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BE198">
      <w:pPr>
        <w:spacing w:line="360" w:lineRule="auto"/>
        <w:jc w:val="center"/>
        <w:rPr>
          <w:rFonts w:ascii="仿宋" w:hAnsi="仿宋" w:eastAsia="仿宋" w:cs="仿宋"/>
          <w:b/>
          <w:color w:val="auto"/>
          <w:sz w:val="24"/>
          <w:highlight w:val="none"/>
        </w:rPr>
      </w:pPr>
    </w:p>
    <w:p w14:paraId="3223AE11">
      <w:pPr>
        <w:spacing w:line="360" w:lineRule="auto"/>
        <w:jc w:val="center"/>
        <w:rPr>
          <w:rFonts w:ascii="仿宋" w:hAnsi="仿宋" w:eastAsia="仿宋" w:cs="仿宋"/>
          <w:b/>
          <w:color w:val="auto"/>
          <w:sz w:val="24"/>
          <w:highlight w:val="none"/>
        </w:rPr>
      </w:pPr>
    </w:p>
    <w:p w14:paraId="510DA845">
      <w:pPr>
        <w:adjustRightInd/>
        <w:spacing w:line="360" w:lineRule="auto"/>
        <w:jc w:val="center"/>
        <w:rPr>
          <w:rFonts w:ascii="仿宋" w:hAnsi="仿宋" w:eastAsia="仿宋" w:cs="仿宋"/>
          <w:b/>
          <w:color w:val="auto"/>
          <w:sz w:val="48"/>
          <w:szCs w:val="48"/>
          <w:highlight w:val="none"/>
        </w:rPr>
      </w:pPr>
    </w:p>
    <w:p w14:paraId="2E6E9512">
      <w:pPr>
        <w:adjustRightInd/>
        <w:snapToGrid w:val="0"/>
        <w:spacing w:line="360" w:lineRule="auto"/>
        <w:jc w:val="center"/>
        <w:rPr>
          <w:rFonts w:hint="eastAsia" w:ascii="仿宋" w:hAnsi="仿宋" w:eastAsia="仿宋" w:cs="仿宋"/>
          <w:b/>
          <w:bCs/>
          <w:color w:val="auto"/>
          <w:w w:val="80"/>
          <w:sz w:val="48"/>
          <w:szCs w:val="48"/>
          <w:highlight w:val="none"/>
          <w:lang w:eastAsia="zh-CN" w:bidi="th-TH"/>
        </w:rPr>
      </w:pPr>
      <w:r>
        <w:rPr>
          <w:rFonts w:hint="eastAsia" w:ascii="仿宋" w:hAnsi="仿宋" w:eastAsia="仿宋" w:cs="仿宋"/>
          <w:b/>
          <w:bCs/>
          <w:color w:val="auto"/>
          <w:w w:val="80"/>
          <w:sz w:val="48"/>
          <w:szCs w:val="48"/>
          <w:highlight w:val="none"/>
          <w:lang w:eastAsia="zh-CN" w:bidi="th-TH"/>
        </w:rPr>
        <w:t>杭州市第三人民医院</w:t>
      </w:r>
    </w:p>
    <w:p w14:paraId="7C9FA8E1">
      <w:pPr>
        <w:adjustRightInd/>
        <w:snapToGrid w:val="0"/>
        <w:spacing w:line="360" w:lineRule="auto"/>
        <w:jc w:val="center"/>
        <w:rPr>
          <w:rFonts w:hint="eastAsia" w:ascii="仿宋" w:hAnsi="仿宋" w:eastAsia="仿宋" w:cs="仿宋"/>
          <w:b/>
          <w:bCs/>
          <w:color w:val="auto"/>
          <w:w w:val="80"/>
          <w:sz w:val="48"/>
          <w:szCs w:val="48"/>
          <w:highlight w:val="none"/>
          <w:lang w:eastAsia="zh-CN" w:bidi="th-TH"/>
        </w:rPr>
      </w:pPr>
      <w:r>
        <w:rPr>
          <w:rFonts w:hint="eastAsia" w:ascii="仿宋" w:hAnsi="仿宋" w:eastAsia="仿宋" w:cs="仿宋"/>
          <w:b/>
          <w:bCs/>
          <w:color w:val="auto"/>
          <w:w w:val="80"/>
          <w:sz w:val="48"/>
          <w:szCs w:val="48"/>
          <w:highlight w:val="none"/>
          <w:lang w:eastAsia="zh-CN" w:bidi="th-TH"/>
        </w:rPr>
        <w:t>制剂包装材料玻璃内包材采购</w:t>
      </w:r>
    </w:p>
    <w:p w14:paraId="629227C8">
      <w:pPr>
        <w:pStyle w:val="60"/>
        <w:rPr>
          <w:color w:val="auto"/>
          <w:highlight w:val="none"/>
        </w:rPr>
      </w:pPr>
    </w:p>
    <w:p w14:paraId="1B25C42B">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pacing w:val="40"/>
          <w:w w:val="80"/>
          <w:sz w:val="96"/>
          <w:szCs w:val="96"/>
          <w:highlight w:val="none"/>
          <w:lang w:bidi="th-TH"/>
        </w:rPr>
        <w:t>招 标 文 件</w:t>
      </w:r>
    </w:p>
    <w:p w14:paraId="6D9087AC">
      <w:pPr>
        <w:adjustRightInd/>
        <w:snapToGrid w:val="0"/>
        <w:spacing w:line="360" w:lineRule="auto"/>
        <w:jc w:val="center"/>
        <w:rPr>
          <w:rFonts w:ascii="仿宋" w:hAnsi="仿宋" w:eastAsia="仿宋" w:cs="仿宋"/>
          <w:color w:val="auto"/>
          <w:w w:val="80"/>
          <w:sz w:val="48"/>
          <w:szCs w:val="48"/>
          <w:highlight w:val="none"/>
          <w:lang w:bidi="th-TH"/>
        </w:rPr>
      </w:pPr>
      <w:r>
        <w:rPr>
          <w:rFonts w:hint="eastAsia" w:ascii="仿宋" w:hAnsi="仿宋" w:eastAsia="仿宋" w:cs="仿宋"/>
          <w:color w:val="auto"/>
          <w:w w:val="80"/>
          <w:sz w:val="48"/>
          <w:szCs w:val="48"/>
          <w:highlight w:val="none"/>
          <w:lang w:bidi="th-TH"/>
        </w:rPr>
        <w:t xml:space="preserve"> （电子招投标）</w:t>
      </w:r>
    </w:p>
    <w:p w14:paraId="1575187C">
      <w:pPr>
        <w:adjustRightInd/>
        <w:snapToGrid w:val="0"/>
        <w:spacing w:line="360" w:lineRule="auto"/>
        <w:jc w:val="center"/>
        <w:rPr>
          <w:rFonts w:hint="eastAsia" w:ascii="仿宋" w:hAnsi="仿宋" w:eastAsia="仿宋" w:cs="仿宋"/>
          <w:color w:val="auto"/>
          <w:w w:val="80"/>
          <w:sz w:val="30"/>
          <w:szCs w:val="30"/>
          <w:highlight w:val="none"/>
          <w:lang w:eastAsia="zh-CN" w:bidi="th-TH"/>
        </w:rPr>
      </w:pPr>
      <w:r>
        <w:rPr>
          <w:rFonts w:hint="eastAsia" w:ascii="仿宋" w:hAnsi="仿宋" w:eastAsia="仿宋" w:cs="仿宋"/>
          <w:color w:val="auto"/>
          <w:w w:val="80"/>
          <w:sz w:val="30"/>
          <w:szCs w:val="30"/>
          <w:highlight w:val="none"/>
          <w:lang w:bidi="th-TH"/>
        </w:rPr>
        <w:t>项目编号:</w:t>
      </w:r>
      <w:r>
        <w:rPr>
          <w:rFonts w:hint="eastAsia" w:ascii="仿宋" w:hAnsi="仿宋" w:eastAsia="仿宋" w:cs="仿宋"/>
          <w:color w:val="auto"/>
          <w:w w:val="80"/>
          <w:sz w:val="30"/>
          <w:szCs w:val="30"/>
          <w:highlight w:val="none"/>
          <w:lang w:eastAsia="zh-CN" w:bidi="th-TH"/>
        </w:rPr>
        <w:t>ZJ-2433185-01</w:t>
      </w:r>
    </w:p>
    <w:p w14:paraId="64EDD0E0">
      <w:pPr>
        <w:spacing w:line="360" w:lineRule="auto"/>
        <w:rPr>
          <w:rFonts w:ascii="仿宋" w:hAnsi="仿宋" w:eastAsia="仿宋" w:cs="仿宋"/>
          <w:b/>
          <w:color w:val="auto"/>
          <w:sz w:val="44"/>
          <w:szCs w:val="44"/>
          <w:highlight w:val="none"/>
        </w:rPr>
      </w:pPr>
    </w:p>
    <w:p w14:paraId="0920603A">
      <w:pPr>
        <w:spacing w:line="360" w:lineRule="auto"/>
        <w:jc w:val="center"/>
        <w:rPr>
          <w:rFonts w:ascii="仿宋" w:hAnsi="仿宋" w:eastAsia="仿宋" w:cs="仿宋"/>
          <w:b/>
          <w:color w:val="auto"/>
          <w:sz w:val="44"/>
          <w:szCs w:val="44"/>
          <w:highlight w:val="none"/>
        </w:rPr>
      </w:pPr>
    </w:p>
    <w:p w14:paraId="4B3932D0">
      <w:pPr>
        <w:rPr>
          <w:rFonts w:ascii="仿宋" w:hAnsi="仿宋" w:eastAsia="仿宋" w:cs="仿宋"/>
          <w:color w:val="auto"/>
          <w:highlight w:val="none"/>
        </w:rPr>
      </w:pPr>
    </w:p>
    <w:p w14:paraId="06CAAD5E">
      <w:pPr>
        <w:rPr>
          <w:rFonts w:ascii="仿宋" w:hAnsi="仿宋" w:eastAsia="仿宋" w:cs="仿宋"/>
          <w:color w:val="auto"/>
          <w:highlight w:val="none"/>
        </w:rPr>
      </w:pPr>
    </w:p>
    <w:p w14:paraId="0D7F4CCF">
      <w:pPr>
        <w:spacing w:line="360" w:lineRule="auto"/>
        <w:jc w:val="center"/>
        <w:rPr>
          <w:rFonts w:ascii="仿宋" w:hAnsi="仿宋" w:eastAsia="仿宋" w:cs="仿宋"/>
          <w:color w:val="auto"/>
          <w:sz w:val="24"/>
          <w:highlight w:val="none"/>
        </w:rPr>
      </w:pPr>
    </w:p>
    <w:p w14:paraId="04B29C5A">
      <w:pPr>
        <w:rPr>
          <w:rFonts w:ascii="仿宋" w:hAnsi="仿宋" w:eastAsia="仿宋" w:cs="仿宋"/>
          <w:color w:val="auto"/>
          <w:highlight w:val="none"/>
        </w:rPr>
      </w:pPr>
    </w:p>
    <w:tbl>
      <w:tblPr>
        <w:tblStyle w:val="62"/>
        <w:tblW w:w="0" w:type="auto"/>
        <w:jc w:val="center"/>
        <w:tblLayout w:type="fixed"/>
        <w:tblCellMar>
          <w:top w:w="0" w:type="dxa"/>
          <w:left w:w="108" w:type="dxa"/>
          <w:bottom w:w="0" w:type="dxa"/>
          <w:right w:w="108" w:type="dxa"/>
        </w:tblCellMar>
      </w:tblPr>
      <w:tblGrid>
        <w:gridCol w:w="2032"/>
        <w:gridCol w:w="516"/>
        <w:gridCol w:w="4411"/>
      </w:tblGrid>
      <w:tr w14:paraId="24801961">
        <w:tblPrEx>
          <w:tblCellMar>
            <w:top w:w="0" w:type="dxa"/>
            <w:left w:w="108" w:type="dxa"/>
            <w:bottom w:w="0" w:type="dxa"/>
            <w:right w:w="108" w:type="dxa"/>
          </w:tblCellMar>
        </w:tblPrEx>
        <w:trPr>
          <w:trHeight w:val="680" w:hRule="atLeast"/>
          <w:jc w:val="center"/>
        </w:trPr>
        <w:tc>
          <w:tcPr>
            <w:tcW w:w="2032" w:type="dxa"/>
            <w:vAlign w:val="center"/>
          </w:tcPr>
          <w:p w14:paraId="48CC2D3D">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w:t>
            </w:r>
          </w:p>
        </w:tc>
        <w:tc>
          <w:tcPr>
            <w:tcW w:w="516" w:type="dxa"/>
            <w:vAlign w:val="center"/>
          </w:tcPr>
          <w:p w14:paraId="41877FD2">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411" w:type="dxa"/>
            <w:vAlign w:val="center"/>
          </w:tcPr>
          <w:p w14:paraId="71887679">
            <w:pPr>
              <w:snapToGrid w:val="0"/>
              <w:jc w:val="distribute"/>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杭州市第三人民医院</w:t>
            </w:r>
          </w:p>
        </w:tc>
      </w:tr>
      <w:tr w14:paraId="43FD093D">
        <w:tblPrEx>
          <w:tblCellMar>
            <w:top w:w="0" w:type="dxa"/>
            <w:left w:w="108" w:type="dxa"/>
            <w:bottom w:w="0" w:type="dxa"/>
            <w:right w:w="108" w:type="dxa"/>
          </w:tblCellMar>
        </w:tblPrEx>
        <w:trPr>
          <w:trHeight w:val="297" w:hRule="atLeast"/>
          <w:jc w:val="center"/>
        </w:trPr>
        <w:tc>
          <w:tcPr>
            <w:tcW w:w="2032" w:type="dxa"/>
            <w:vAlign w:val="center"/>
          </w:tcPr>
          <w:p w14:paraId="0BC15C98">
            <w:pPr>
              <w:snapToGrid w:val="0"/>
              <w:jc w:val="distribute"/>
              <w:rPr>
                <w:rFonts w:ascii="仿宋" w:hAnsi="仿宋" w:eastAsia="仿宋" w:cs="仿宋"/>
                <w:color w:val="auto"/>
                <w:szCs w:val="21"/>
                <w:highlight w:val="none"/>
              </w:rPr>
            </w:pPr>
          </w:p>
        </w:tc>
        <w:tc>
          <w:tcPr>
            <w:tcW w:w="516" w:type="dxa"/>
            <w:vAlign w:val="center"/>
          </w:tcPr>
          <w:p w14:paraId="3A5957FF">
            <w:pPr>
              <w:snapToGrid w:val="0"/>
              <w:jc w:val="distribute"/>
              <w:rPr>
                <w:rFonts w:ascii="仿宋" w:hAnsi="仿宋" w:eastAsia="仿宋" w:cs="仿宋"/>
                <w:color w:val="auto"/>
                <w:szCs w:val="21"/>
                <w:highlight w:val="none"/>
              </w:rPr>
            </w:pPr>
          </w:p>
        </w:tc>
        <w:tc>
          <w:tcPr>
            <w:tcW w:w="4411" w:type="dxa"/>
            <w:vAlign w:val="center"/>
          </w:tcPr>
          <w:p w14:paraId="445DF45F">
            <w:pPr>
              <w:snapToGrid w:val="0"/>
              <w:jc w:val="distribute"/>
              <w:rPr>
                <w:rFonts w:ascii="仿宋" w:hAnsi="仿宋" w:eastAsia="仿宋" w:cs="仿宋"/>
                <w:color w:val="auto"/>
                <w:szCs w:val="21"/>
                <w:highlight w:val="none"/>
              </w:rPr>
            </w:pPr>
          </w:p>
        </w:tc>
      </w:tr>
      <w:tr w14:paraId="68CB0520">
        <w:tblPrEx>
          <w:tblCellMar>
            <w:top w:w="0" w:type="dxa"/>
            <w:left w:w="108" w:type="dxa"/>
            <w:bottom w:w="0" w:type="dxa"/>
            <w:right w:w="108" w:type="dxa"/>
          </w:tblCellMar>
        </w:tblPrEx>
        <w:trPr>
          <w:trHeight w:val="680" w:hRule="atLeast"/>
          <w:jc w:val="center"/>
        </w:trPr>
        <w:tc>
          <w:tcPr>
            <w:tcW w:w="2032" w:type="dxa"/>
            <w:vAlign w:val="center"/>
          </w:tcPr>
          <w:p w14:paraId="06B2D760">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采购代理机构</w:t>
            </w:r>
          </w:p>
        </w:tc>
        <w:tc>
          <w:tcPr>
            <w:tcW w:w="516" w:type="dxa"/>
            <w:vAlign w:val="center"/>
          </w:tcPr>
          <w:p w14:paraId="022165D0">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411" w:type="dxa"/>
            <w:vAlign w:val="center"/>
          </w:tcPr>
          <w:p w14:paraId="454B7D74">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浙江国际招投标有限公司</w:t>
            </w:r>
          </w:p>
        </w:tc>
      </w:tr>
      <w:tr w14:paraId="19B1F092">
        <w:tblPrEx>
          <w:tblCellMar>
            <w:top w:w="0" w:type="dxa"/>
            <w:left w:w="108" w:type="dxa"/>
            <w:bottom w:w="0" w:type="dxa"/>
            <w:right w:w="108" w:type="dxa"/>
          </w:tblCellMar>
        </w:tblPrEx>
        <w:trPr>
          <w:trHeight w:val="680" w:hRule="atLeast"/>
          <w:jc w:val="center"/>
        </w:trPr>
        <w:tc>
          <w:tcPr>
            <w:tcW w:w="6959" w:type="dxa"/>
            <w:gridSpan w:val="3"/>
            <w:vAlign w:val="bottom"/>
          </w:tcPr>
          <w:p w14:paraId="4C4D0BF0">
            <w:pPr>
              <w:snapToGrid w:val="0"/>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11</w:t>
            </w:r>
            <w:r>
              <w:rPr>
                <w:rFonts w:hint="eastAsia" w:ascii="仿宋" w:hAnsi="仿宋" w:eastAsia="仿宋" w:cs="仿宋"/>
                <w:color w:val="auto"/>
                <w:sz w:val="30"/>
                <w:szCs w:val="30"/>
                <w:highlight w:val="none"/>
              </w:rPr>
              <w:t>月</w:t>
            </w:r>
          </w:p>
        </w:tc>
      </w:tr>
    </w:tbl>
    <w:p w14:paraId="14094EE6">
      <w:pPr>
        <w:spacing w:line="360" w:lineRule="auto"/>
        <w:jc w:val="center"/>
        <w:rPr>
          <w:rFonts w:ascii="仿宋" w:hAnsi="仿宋" w:eastAsia="仿宋" w:cs="仿宋"/>
          <w:color w:val="auto"/>
          <w:sz w:val="24"/>
          <w:highlight w:val="none"/>
        </w:rPr>
      </w:pPr>
    </w:p>
    <w:p w14:paraId="4A5507F7">
      <w:pPr>
        <w:spacing w:line="360" w:lineRule="auto"/>
        <w:jc w:val="center"/>
        <w:rPr>
          <w:rFonts w:ascii="仿宋" w:hAnsi="仿宋" w:eastAsia="仿宋" w:cs="仿宋"/>
          <w:color w:val="auto"/>
          <w:sz w:val="24"/>
          <w:highlight w:val="none"/>
        </w:rPr>
      </w:pPr>
      <w:bookmarkStart w:id="0" w:name="_Hlt67893495"/>
      <w:bookmarkEnd w:id="0"/>
    </w:p>
    <w:p w14:paraId="3B55EFEF">
      <w:pP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p>
    <w:p w14:paraId="34AFEBE2">
      <w:pPr>
        <w:spacing w:line="360" w:lineRule="auto"/>
        <w:jc w:val="center"/>
        <w:rPr>
          <w:rFonts w:ascii="仿宋" w:hAnsi="仿宋" w:eastAsia="仿宋" w:cs="仿宋"/>
          <w:b/>
          <w:color w:val="auto"/>
          <w:sz w:val="48"/>
          <w:szCs w:val="48"/>
          <w:highlight w:val="none"/>
        </w:rPr>
      </w:pPr>
    </w:p>
    <w:p w14:paraId="7FE89EA0">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w:t>
      </w:r>
      <w:r>
        <w:rPr>
          <w:rFonts w:hint="eastAsia" w:ascii="仿宋" w:hAnsi="仿宋" w:eastAsia="仿宋" w:cs="仿宋"/>
          <w:b/>
          <w:color w:val="auto"/>
          <w:sz w:val="48"/>
          <w:szCs w:val="48"/>
          <w:highlight w:val="none"/>
          <w:lang w:val="en-US" w:eastAsia="zh-CN"/>
        </w:rPr>
        <w:t xml:space="preserve">  </w:t>
      </w:r>
      <w:r>
        <w:rPr>
          <w:rFonts w:hint="eastAsia" w:ascii="仿宋" w:hAnsi="仿宋" w:eastAsia="仿宋" w:cs="仿宋"/>
          <w:b/>
          <w:color w:val="auto"/>
          <w:sz w:val="48"/>
          <w:szCs w:val="48"/>
          <w:highlight w:val="none"/>
        </w:rPr>
        <w:t>录</w:t>
      </w:r>
    </w:p>
    <w:p w14:paraId="4ABEB694">
      <w:pPr>
        <w:spacing w:line="360" w:lineRule="auto"/>
        <w:rPr>
          <w:rFonts w:ascii="仿宋" w:hAnsi="仿宋" w:eastAsia="仿宋" w:cs="仿宋"/>
          <w:color w:val="auto"/>
          <w:sz w:val="32"/>
          <w:szCs w:val="32"/>
          <w:highlight w:val="none"/>
        </w:rPr>
      </w:pPr>
    </w:p>
    <w:p w14:paraId="71E51F84">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招标公告</w:t>
      </w:r>
    </w:p>
    <w:p w14:paraId="4525DAC9">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投标人须知</w:t>
      </w:r>
    </w:p>
    <w:p w14:paraId="42CC47F8">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采购需求</w:t>
      </w:r>
    </w:p>
    <w:p w14:paraId="4237ECCD">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评标办法</w:t>
      </w:r>
    </w:p>
    <w:p w14:paraId="380F8F01">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拟签订的合同文本</w:t>
      </w:r>
    </w:p>
    <w:p w14:paraId="562F09FE">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应提交的有关格式范例</w:t>
      </w:r>
    </w:p>
    <w:p w14:paraId="00565C08">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14:paraId="5C76262F">
      <w:pPr>
        <w:spacing w:line="360" w:lineRule="auto"/>
        <w:ind w:firstLine="549" w:firstLineChars="229"/>
        <w:rPr>
          <w:rFonts w:ascii="仿宋" w:hAnsi="仿宋" w:eastAsia="仿宋" w:cs="仿宋"/>
          <w:color w:val="auto"/>
          <w:sz w:val="24"/>
          <w:highlight w:val="none"/>
        </w:rPr>
      </w:pPr>
    </w:p>
    <w:p w14:paraId="18CF25AB">
      <w:pPr>
        <w:spacing w:line="360" w:lineRule="auto"/>
        <w:ind w:firstLine="549" w:firstLineChars="229"/>
        <w:rPr>
          <w:rFonts w:ascii="仿宋" w:hAnsi="仿宋" w:eastAsia="仿宋" w:cs="仿宋"/>
          <w:color w:val="auto"/>
          <w:sz w:val="24"/>
          <w:highlight w:val="none"/>
        </w:rPr>
      </w:pPr>
    </w:p>
    <w:p w14:paraId="392F37C5">
      <w:pPr>
        <w:spacing w:line="360" w:lineRule="auto"/>
        <w:ind w:firstLine="549" w:firstLineChars="229"/>
        <w:rPr>
          <w:rFonts w:ascii="仿宋" w:hAnsi="仿宋" w:eastAsia="仿宋" w:cs="仿宋"/>
          <w:color w:val="auto"/>
          <w:sz w:val="24"/>
          <w:highlight w:val="none"/>
        </w:rPr>
      </w:pPr>
    </w:p>
    <w:p w14:paraId="6AB17C95">
      <w:pPr>
        <w:spacing w:line="360" w:lineRule="auto"/>
        <w:ind w:firstLine="549" w:firstLineChars="229"/>
        <w:rPr>
          <w:rFonts w:ascii="仿宋" w:hAnsi="仿宋" w:eastAsia="仿宋" w:cs="仿宋"/>
          <w:color w:val="auto"/>
          <w:sz w:val="24"/>
          <w:highlight w:val="none"/>
        </w:rPr>
      </w:pPr>
    </w:p>
    <w:p w14:paraId="643C4B07">
      <w:pPr>
        <w:spacing w:line="360" w:lineRule="auto"/>
        <w:ind w:firstLine="549" w:firstLineChars="229"/>
        <w:rPr>
          <w:rFonts w:ascii="仿宋" w:hAnsi="仿宋" w:eastAsia="仿宋" w:cs="仿宋"/>
          <w:color w:val="auto"/>
          <w:sz w:val="24"/>
          <w:highlight w:val="none"/>
        </w:rPr>
      </w:pPr>
    </w:p>
    <w:p w14:paraId="6D4FB04E">
      <w:pPr>
        <w:spacing w:line="360" w:lineRule="auto"/>
        <w:ind w:firstLine="549" w:firstLineChars="229"/>
        <w:rPr>
          <w:rFonts w:ascii="仿宋" w:hAnsi="仿宋" w:eastAsia="仿宋" w:cs="仿宋"/>
          <w:color w:val="auto"/>
          <w:sz w:val="24"/>
          <w:highlight w:val="none"/>
        </w:rPr>
      </w:pPr>
    </w:p>
    <w:p w14:paraId="0A8240C3">
      <w:pPr>
        <w:spacing w:line="360" w:lineRule="auto"/>
        <w:ind w:firstLine="549" w:firstLineChars="229"/>
        <w:rPr>
          <w:rFonts w:ascii="仿宋" w:hAnsi="仿宋" w:eastAsia="仿宋" w:cs="仿宋"/>
          <w:color w:val="auto"/>
          <w:sz w:val="24"/>
          <w:highlight w:val="none"/>
        </w:rPr>
      </w:pPr>
    </w:p>
    <w:p w14:paraId="4BD4B0CF">
      <w:pPr>
        <w:spacing w:line="360" w:lineRule="auto"/>
        <w:ind w:firstLine="549" w:firstLineChars="229"/>
        <w:rPr>
          <w:rFonts w:ascii="仿宋" w:hAnsi="仿宋" w:eastAsia="仿宋" w:cs="仿宋"/>
          <w:color w:val="auto"/>
          <w:sz w:val="24"/>
          <w:highlight w:val="none"/>
        </w:rPr>
      </w:pPr>
    </w:p>
    <w:p w14:paraId="5D1EE0B6">
      <w:pPr>
        <w:spacing w:line="360" w:lineRule="auto"/>
        <w:ind w:firstLine="549" w:firstLineChars="229"/>
        <w:rPr>
          <w:rFonts w:ascii="仿宋" w:hAnsi="仿宋" w:eastAsia="仿宋" w:cs="仿宋"/>
          <w:color w:val="auto"/>
          <w:sz w:val="24"/>
          <w:highlight w:val="none"/>
        </w:rPr>
      </w:pPr>
    </w:p>
    <w:p w14:paraId="3553D9DE">
      <w:pPr>
        <w:spacing w:line="360" w:lineRule="auto"/>
        <w:ind w:firstLine="549" w:firstLineChars="229"/>
        <w:rPr>
          <w:rFonts w:ascii="仿宋" w:hAnsi="仿宋" w:eastAsia="仿宋" w:cs="仿宋"/>
          <w:color w:val="auto"/>
          <w:sz w:val="24"/>
          <w:highlight w:val="none"/>
        </w:rPr>
      </w:pPr>
    </w:p>
    <w:p w14:paraId="719E6B4C">
      <w:pPr>
        <w:spacing w:line="360" w:lineRule="auto"/>
        <w:ind w:firstLine="549" w:firstLineChars="229"/>
        <w:rPr>
          <w:rFonts w:ascii="仿宋" w:hAnsi="仿宋" w:eastAsia="仿宋" w:cs="仿宋"/>
          <w:color w:val="auto"/>
          <w:sz w:val="24"/>
          <w:highlight w:val="none"/>
        </w:rPr>
      </w:pPr>
    </w:p>
    <w:p w14:paraId="0004486E">
      <w:pPr>
        <w:spacing w:line="360" w:lineRule="auto"/>
        <w:ind w:firstLine="549" w:firstLineChars="229"/>
        <w:rPr>
          <w:rFonts w:ascii="仿宋" w:hAnsi="仿宋" w:eastAsia="仿宋" w:cs="仿宋"/>
          <w:color w:val="auto"/>
          <w:sz w:val="24"/>
          <w:highlight w:val="none"/>
        </w:rPr>
      </w:pPr>
    </w:p>
    <w:p w14:paraId="21B3A506">
      <w:pPr>
        <w:spacing w:line="360" w:lineRule="auto"/>
        <w:rPr>
          <w:rFonts w:ascii="仿宋" w:hAnsi="仿宋" w:eastAsia="仿宋" w:cs="仿宋"/>
          <w:color w:val="auto"/>
          <w:sz w:val="24"/>
          <w:highlight w:val="none"/>
        </w:rPr>
      </w:pPr>
    </w:p>
    <w:p w14:paraId="687D7D9E">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_Toc29265"/>
      <w:bookmarkStart w:id="9" w:name="第二部分"/>
      <w:bookmarkStart w:id="10" w:name="_Toc91899870"/>
      <w:bookmarkStart w:id="11" w:name="_Toc91899871"/>
      <w:r>
        <w:rPr>
          <w:rFonts w:hint="eastAsia" w:ascii="仿宋" w:hAnsi="仿宋" w:eastAsia="仿宋" w:cs="仿宋"/>
          <w:b/>
          <w:color w:val="auto"/>
          <w:sz w:val="36"/>
          <w:szCs w:val="20"/>
          <w:highlight w:val="none"/>
        </w:rPr>
        <w:t>第一部分</w:t>
      </w:r>
      <w:r>
        <w:rPr>
          <w:rFonts w:hint="eastAsia" w:ascii="仿宋" w:hAnsi="仿宋" w:eastAsia="仿宋" w:cs="仿宋"/>
          <w:b/>
          <w:color w:val="auto"/>
          <w:sz w:val="36"/>
          <w:szCs w:val="20"/>
          <w:highlight w:val="none"/>
          <w:lang w:val="en-US" w:eastAsia="zh-CN"/>
        </w:rPr>
        <w:t xml:space="preserve">  </w:t>
      </w:r>
      <w:r>
        <w:rPr>
          <w:rFonts w:hint="eastAsia" w:ascii="仿宋" w:hAnsi="仿宋" w:eastAsia="仿宋" w:cs="仿宋"/>
          <w:b/>
          <w:color w:val="auto"/>
          <w:sz w:val="36"/>
          <w:szCs w:val="20"/>
          <w:highlight w:val="none"/>
        </w:rPr>
        <w:t>招标公告</w:t>
      </w:r>
      <w:bookmarkEnd w:id="8"/>
    </w:p>
    <w:p w14:paraId="7B14C3B9">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30839FB">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杭州市第三人民医院制剂包装材料玻璃内包材采购</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12月13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09点30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3B066654">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0CA22BD7">
      <w:pPr>
        <w:spacing w:line="360" w:lineRule="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ZJ-2433185-01</w:t>
      </w:r>
    </w:p>
    <w:p w14:paraId="4FB1163D">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杭州市第三人民医院制剂包装材料玻璃内包材采购</w:t>
      </w:r>
    </w:p>
    <w:p w14:paraId="5A1C6B31">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00000</w:t>
      </w:r>
      <w:r>
        <w:rPr>
          <w:rFonts w:hint="eastAsia" w:ascii="仿宋" w:hAnsi="仿宋" w:eastAsia="仿宋" w:cs="仿宋"/>
          <w:bCs/>
          <w:color w:val="auto"/>
          <w:sz w:val="24"/>
          <w:highlight w:val="none"/>
        </w:rPr>
        <w:t>.00</w:t>
      </w:r>
    </w:p>
    <w:p w14:paraId="27CDA0D0">
      <w:pPr>
        <w:spacing w:line="360" w:lineRule="auto"/>
        <w:ind w:firstLine="480"/>
        <w:rPr>
          <w:rFonts w:hint="default" w:ascii="仿宋" w:hAnsi="仿宋" w:eastAsia="仿宋" w:cs="仿宋"/>
          <w:color w:val="auto"/>
          <w:sz w:val="24"/>
          <w:highlight w:val="none"/>
          <w:lang w:val="en-US"/>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00000</w:t>
      </w:r>
      <w:r>
        <w:rPr>
          <w:rFonts w:hint="eastAsia" w:ascii="仿宋" w:hAnsi="仿宋" w:eastAsia="仿宋" w:cs="仿宋"/>
          <w:color w:val="auto"/>
          <w:sz w:val="24"/>
          <w:szCs w:val="24"/>
          <w:highlight w:val="none"/>
          <w:lang w:val="en-US" w:eastAsia="zh-CN"/>
        </w:rPr>
        <w:t>.00</w:t>
      </w:r>
    </w:p>
    <w:p w14:paraId="5CF4FFA4">
      <w:pPr>
        <w:pStyle w:val="6"/>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66937422">
      <w:pPr>
        <w:pStyle w:val="6"/>
        <w:spacing w:line="360" w:lineRule="auto"/>
        <w:ind w:firstLine="480"/>
        <w:rPr>
          <w:rFonts w:hint="eastAsia" w:ascii="仿宋" w:hAnsi="仿宋" w:eastAsia="仿宋" w:cs="仿宋"/>
          <w:b/>
          <w:snapToGrid/>
          <w:color w:val="auto"/>
          <w:kern w:val="2"/>
          <w:sz w:val="24"/>
          <w:szCs w:val="24"/>
          <w:highlight w:val="none"/>
          <w:lang w:eastAsia="zh-CN"/>
        </w:rPr>
      </w:pPr>
      <w:r>
        <w:rPr>
          <w:rFonts w:hint="eastAsia" w:ascii="仿宋" w:hAnsi="仿宋" w:eastAsia="仿宋" w:cs="仿宋"/>
          <w:b/>
          <w:snapToGrid/>
          <w:color w:val="auto"/>
          <w:kern w:val="2"/>
          <w:sz w:val="24"/>
          <w:szCs w:val="24"/>
          <w:highlight w:val="none"/>
        </w:rPr>
        <w:t>标项</w:t>
      </w:r>
      <w:r>
        <w:rPr>
          <w:rFonts w:hint="eastAsia" w:ascii="仿宋" w:hAnsi="仿宋" w:eastAsia="仿宋" w:cs="仿宋"/>
          <w:b/>
          <w:snapToGrid/>
          <w:color w:val="auto"/>
          <w:kern w:val="2"/>
          <w:sz w:val="24"/>
          <w:szCs w:val="24"/>
          <w:highlight w:val="none"/>
          <w:lang w:eastAsia="zh-CN"/>
        </w:rPr>
        <w:t>一</w:t>
      </w:r>
    </w:p>
    <w:p w14:paraId="4E75CC32">
      <w:pPr>
        <w:pStyle w:val="6"/>
        <w:spacing w:line="360" w:lineRule="auto"/>
        <w:ind w:firstLine="480"/>
        <w:rPr>
          <w:rFonts w:hint="eastAsia" w:ascii="仿宋" w:hAnsi="仿宋" w:eastAsia="仿宋" w:cs="仿宋"/>
          <w:bCs/>
          <w:snapToGrid/>
          <w:color w:val="auto"/>
          <w:kern w:val="2"/>
          <w:sz w:val="24"/>
          <w:szCs w:val="24"/>
          <w:highlight w:val="none"/>
          <w:lang w:eastAsia="zh-CN"/>
        </w:rPr>
      </w:pPr>
      <w:r>
        <w:rPr>
          <w:rFonts w:hint="eastAsia" w:ascii="仿宋" w:hAnsi="仿宋" w:eastAsia="仿宋" w:cs="仿宋"/>
          <w:b/>
          <w:color w:val="auto"/>
          <w:sz w:val="24"/>
          <w:highlight w:val="none"/>
        </w:rPr>
        <w:t>标项名称：</w:t>
      </w:r>
      <w:r>
        <w:rPr>
          <w:rFonts w:hint="eastAsia" w:ascii="仿宋" w:hAnsi="仿宋" w:eastAsia="仿宋" w:cs="仿宋"/>
          <w:snapToGrid/>
          <w:color w:val="auto"/>
          <w:kern w:val="2"/>
          <w:sz w:val="24"/>
          <w:szCs w:val="24"/>
          <w:highlight w:val="none"/>
          <w:lang w:eastAsia="zh-CN"/>
        </w:rPr>
        <w:t>制剂包装材料玻璃内包材采购</w:t>
      </w:r>
    </w:p>
    <w:p w14:paraId="015A2B08">
      <w:pPr>
        <w:pStyle w:val="6"/>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数量：1批</w:t>
      </w:r>
    </w:p>
    <w:p w14:paraId="53C23CE6">
      <w:pPr>
        <w:pStyle w:val="6"/>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00000</w:t>
      </w:r>
      <w:r>
        <w:rPr>
          <w:rFonts w:hint="eastAsia" w:ascii="仿宋" w:hAnsi="仿宋" w:eastAsia="仿宋" w:cs="仿宋"/>
          <w:snapToGrid/>
          <w:color w:val="auto"/>
          <w:kern w:val="2"/>
          <w:sz w:val="24"/>
          <w:szCs w:val="24"/>
          <w:highlight w:val="none"/>
        </w:rPr>
        <w:t>.00</w:t>
      </w:r>
    </w:p>
    <w:p w14:paraId="5B01386B">
      <w:pPr>
        <w:pStyle w:val="6"/>
        <w:spacing w:line="360" w:lineRule="auto"/>
        <w:ind w:firstLine="480"/>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简要规格描述或项目基本概况介绍、用途：</w:t>
      </w:r>
      <w:r>
        <w:rPr>
          <w:rFonts w:hint="eastAsia" w:ascii="仿宋" w:hAnsi="仿宋" w:eastAsia="仿宋" w:cs="仿宋"/>
          <w:snapToGrid/>
          <w:color w:val="auto"/>
          <w:kern w:val="2"/>
          <w:sz w:val="24"/>
          <w:szCs w:val="24"/>
          <w:highlight w:val="none"/>
          <w:lang w:eastAsia="zh-CN"/>
        </w:rPr>
        <w:t>制剂包装材料玻璃内包材采购</w:t>
      </w:r>
      <w:r>
        <w:rPr>
          <w:rFonts w:hint="eastAsia" w:ascii="仿宋" w:hAnsi="仿宋" w:eastAsia="仿宋" w:cs="仿宋"/>
          <w:color w:val="auto"/>
          <w:sz w:val="24"/>
          <w:highlight w:val="none"/>
        </w:rPr>
        <w:t>1批</w:t>
      </w:r>
      <w:r>
        <w:rPr>
          <w:rFonts w:hint="eastAsia" w:ascii="仿宋" w:hAnsi="仿宋" w:eastAsia="仿宋" w:cs="仿宋"/>
          <w:bCs/>
          <w:snapToGrid/>
          <w:color w:val="auto"/>
          <w:kern w:val="2"/>
          <w:sz w:val="24"/>
          <w:szCs w:val="24"/>
          <w:highlight w:val="none"/>
        </w:rPr>
        <w:t>。具体以招标文件第三部分采购需求为准，供应商可点击本公告下方“浏览采购文件”查看采购需求。</w:t>
      </w:r>
    </w:p>
    <w:p w14:paraId="15CB723F">
      <w:pPr>
        <w:pStyle w:val="6"/>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p w14:paraId="6BC14484">
      <w:pPr>
        <w:pStyle w:val="6"/>
        <w:spacing w:line="360" w:lineRule="auto"/>
        <w:ind w:firstLine="0"/>
        <w:rPr>
          <w:rFonts w:ascii="仿宋" w:hAnsi="仿宋" w:eastAsia="仿宋" w:cs="仿宋"/>
          <w:b/>
          <w:color w:val="auto"/>
          <w:sz w:val="24"/>
          <w:highlight w:val="none"/>
        </w:rPr>
      </w:pPr>
    </w:p>
    <w:p w14:paraId="0D28D45B">
      <w:pPr>
        <w:pStyle w:val="6"/>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合同履约期限：按照招标文件要求。</w:t>
      </w:r>
    </w:p>
    <w:p w14:paraId="002DC156">
      <w:pPr>
        <w:pStyle w:val="6"/>
        <w:spacing w:line="360" w:lineRule="auto"/>
        <w:ind w:firstLine="480"/>
        <w:rPr>
          <w:rFonts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00FE"/>
      </w:r>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76552672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5B9E3185">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0D9A1886">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31194F9">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14:paraId="2BC8E698">
      <w:pPr>
        <w:spacing w:line="360" w:lineRule="auto"/>
        <w:ind w:firstLine="480" w:firstLineChars="0"/>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3.落实政府采购政策需满足的资格要求：</w:t>
      </w:r>
      <w:sdt>
        <w:sdtPr>
          <w:rPr>
            <w:rFonts w:hint="eastAsia" w:ascii="仿宋" w:hAnsi="仿宋" w:eastAsia="仿宋" w:cs="仿宋"/>
            <w:color w:val="auto"/>
            <w:kern w:val="0"/>
            <w:sz w:val="24"/>
            <w:highlight w:val="none"/>
          </w:rPr>
          <w:id w:val="147467252"/>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928616923"/>
            </w:sdtPr>
            <w:sdtEndPr>
              <w:rPr>
                <w:rFonts w:hint="eastAsia" w:ascii="仿宋" w:hAnsi="仿宋" w:eastAsia="仿宋" w:cs="仿宋"/>
                <w:color w:val="auto"/>
                <w:kern w:val="0"/>
                <w:sz w:val="24"/>
                <w:highlight w:val="none"/>
              </w:rPr>
            </w:sdtEndPr>
            <w:sdtContent>
              <w:r>
                <w:rPr>
                  <w:rFonts w:hint="eastAsia" w:ascii="仿宋_GB2312" w:hAnsi="仿宋" w:eastAsia="仿宋_GB2312"/>
                  <w:color w:val="auto"/>
                  <w:sz w:val="24"/>
                  <w:highlight w:val="none"/>
                </w:rPr>
                <w:t>货物全部由符合政策要求的中小企业制造，提供中小企业声明函</w:t>
              </w:r>
            </w:sdtContent>
          </w:sdt>
          <w:r>
            <w:rPr>
              <w:rFonts w:hint="eastAsia" w:ascii="仿宋" w:hAnsi="仿宋" w:eastAsia="仿宋" w:cs="仿宋"/>
              <w:color w:val="auto"/>
              <w:sz w:val="24"/>
              <w:highlight w:val="none"/>
            </w:rPr>
            <w:t xml:space="preserve">； </w:t>
          </w:r>
        </w:sdtContent>
      </w:sdt>
    </w:p>
    <w:p w14:paraId="2C3B4A7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i w:val="0"/>
          <w:iCs w:val="0"/>
          <w:caps w:val="0"/>
          <w:color w:val="auto"/>
          <w:spacing w:val="0"/>
          <w:sz w:val="22"/>
          <w:szCs w:val="22"/>
          <w:highlight w:val="none"/>
          <w:lang w:val="en-US" w:eastAsia="zh-CN"/>
        </w:rPr>
        <w:t>无</w:t>
      </w:r>
      <w:r>
        <w:rPr>
          <w:rFonts w:hint="eastAsia" w:ascii="仿宋" w:hAnsi="仿宋" w:eastAsia="仿宋" w:cs="仿宋"/>
          <w:color w:val="auto"/>
          <w:sz w:val="24"/>
          <w:highlight w:val="none"/>
        </w:rPr>
        <w:t>。</w:t>
      </w:r>
    </w:p>
    <w:p w14:paraId="2EEB8FFF">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三、获取招标文件</w:t>
      </w:r>
    </w:p>
    <w:p w14:paraId="694AA385">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12月13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263EFEE">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07D576DC">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4103C575">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14:paraId="5EBDB981">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33C2B10D">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12月13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09点30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（北京时间）</w:t>
      </w:r>
    </w:p>
    <w:p w14:paraId="2BA2616A">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请登录政采云投标客户端投标 </w:t>
      </w:r>
    </w:p>
    <w:p w14:paraId="1299960F">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12月13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09点30</w:t>
      </w:r>
      <w:r>
        <w:rPr>
          <w:rFonts w:hint="eastAsia" w:ascii="仿宋" w:hAnsi="仿宋" w:eastAsia="仿宋" w:cs="仿宋"/>
          <w:color w:val="auto"/>
          <w:sz w:val="24"/>
          <w:highlight w:val="none"/>
          <w:u w:val="single"/>
        </w:rPr>
        <w:t>分</w:t>
      </w:r>
    </w:p>
    <w:p w14:paraId="39FEC07B">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06B0BF36">
      <w:pPr>
        <w:numPr>
          <w:ilvl w:val="0"/>
          <w:numId w:val="1"/>
        </w:numPr>
        <w:spacing w:line="360" w:lineRule="auto"/>
        <w:rPr>
          <w:rStyle w:val="76"/>
          <w:rFonts w:hint="eastAsia" w:ascii="仿宋" w:hAnsi="仿宋" w:eastAsia="仿宋" w:cs="仿宋"/>
          <w:color w:val="auto"/>
          <w:sz w:val="24"/>
          <w:highlight w:val="none"/>
        </w:rPr>
      </w:pPr>
      <w:r>
        <w:rPr>
          <w:rFonts w:hint="eastAsia" w:ascii="仿宋" w:hAnsi="仿宋" w:eastAsia="仿宋" w:cs="仿宋"/>
          <w:b/>
          <w:color w:val="auto"/>
          <w:sz w:val="24"/>
          <w:highlight w:val="none"/>
        </w:rPr>
        <w:t>采购意向公开链接：</w:t>
      </w:r>
    </w:p>
    <w:p w14:paraId="09A7C20A">
      <w:pPr>
        <w:spacing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https://zfcg.czt.zj.gov.cn/site/detail?parentId=600007&amp;articleId=kMTDN94dB88la53jAXQBHg%3D%3D&amp;utm=site.site-PC-37000.979-pc-websitegroup-zhejiang-secondPage-front.18.8596f510c16311ee81e045cc5cb4bdd0</w:t>
      </w:r>
    </w:p>
    <w:p w14:paraId="092AC1C9">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六、公告期限</w:t>
      </w:r>
    </w:p>
    <w:p w14:paraId="156D2F5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F004B45">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5D0EB9D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0B2463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635B23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2CA75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14:paraId="511397FB">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74D4805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07277099">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杭州市第三人民医院</w:t>
      </w:r>
      <w:r>
        <w:rPr>
          <w:rFonts w:hint="eastAsia" w:ascii="仿宋" w:hAnsi="仿宋" w:eastAsia="仿宋" w:cs="仿宋"/>
          <w:color w:val="auto"/>
          <w:sz w:val="24"/>
          <w:szCs w:val="24"/>
          <w:highlight w:val="none"/>
        </w:rPr>
        <w:t> </w:t>
      </w:r>
    </w:p>
    <w:p w14:paraId="68359285">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地    址： </w:t>
      </w:r>
      <w:r>
        <w:rPr>
          <w:rFonts w:ascii="仿宋" w:hAnsi="仿宋" w:eastAsia="仿宋" w:cs="仿宋"/>
          <w:color w:val="auto"/>
          <w:szCs w:val="21"/>
          <w:highlight w:val="none"/>
        </w:rPr>
        <w:t>杭州市上城区</w:t>
      </w:r>
      <w:r>
        <w:rPr>
          <w:rFonts w:hint="eastAsia" w:ascii="仿宋" w:hAnsi="仿宋" w:eastAsia="仿宋" w:cs="仿宋"/>
          <w:color w:val="auto"/>
          <w:szCs w:val="21"/>
          <w:highlight w:val="none"/>
        </w:rPr>
        <w:t>西湖大道38</w:t>
      </w:r>
      <w:r>
        <w:rPr>
          <w:rFonts w:ascii="仿宋" w:hAnsi="仿宋" w:eastAsia="仿宋" w:cs="仿宋"/>
          <w:color w:val="auto"/>
          <w:szCs w:val="21"/>
          <w:highlight w:val="none"/>
        </w:rPr>
        <w:t>号</w:t>
      </w:r>
      <w:r>
        <w:rPr>
          <w:rFonts w:hint="eastAsia" w:ascii="仿宋" w:hAnsi="仿宋" w:eastAsia="仿宋" w:cs="仿宋"/>
          <w:color w:val="auto"/>
          <w:sz w:val="24"/>
          <w:szCs w:val="24"/>
          <w:highlight w:val="none"/>
        </w:rPr>
        <w:t> </w:t>
      </w:r>
    </w:p>
    <w:p w14:paraId="558C1761">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传    真：  </w:t>
      </w:r>
    </w:p>
    <w:p w14:paraId="67C4ABDD">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项目联系人（询问）：  </w:t>
      </w:r>
      <w:r>
        <w:rPr>
          <w:rFonts w:hint="eastAsia" w:ascii="仿宋" w:hAnsi="仿宋" w:eastAsia="仿宋" w:cs="仿宋"/>
          <w:color w:val="auto"/>
          <w:sz w:val="24"/>
          <w:szCs w:val="24"/>
          <w:highlight w:val="none"/>
          <w:lang w:val="en-US" w:eastAsia="zh-CN"/>
        </w:rPr>
        <w:t>徐主任</w:t>
      </w:r>
    </w:p>
    <w:p w14:paraId="48D35367">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项目联系方式（询问）： </w:t>
      </w:r>
      <w:r>
        <w:rPr>
          <w:rFonts w:hint="eastAsia" w:ascii="仿宋" w:hAnsi="仿宋" w:eastAsia="仿宋" w:cs="仿宋"/>
          <w:color w:val="auto"/>
          <w:sz w:val="24"/>
          <w:szCs w:val="24"/>
          <w:highlight w:val="none"/>
          <w:lang w:val="en-US" w:eastAsia="zh-CN"/>
        </w:rPr>
        <w:t>0571-87823128</w:t>
      </w:r>
    </w:p>
    <w:p w14:paraId="3D27B91E">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质疑联系人：</w:t>
      </w:r>
      <w:r>
        <w:rPr>
          <w:rFonts w:hint="eastAsia" w:ascii="仿宋_GB2312" w:hAnsi="仿宋" w:eastAsia="仿宋_GB2312"/>
          <w:color w:val="auto"/>
          <w:sz w:val="24"/>
          <w:highlight w:val="none"/>
          <w:lang w:val="en-US" w:eastAsia="zh-CN"/>
        </w:rPr>
        <w:t>吴晓云</w:t>
      </w:r>
      <w:r>
        <w:rPr>
          <w:rFonts w:hint="eastAsia" w:ascii="仿宋" w:hAnsi="仿宋" w:eastAsia="仿宋" w:cs="仿宋"/>
          <w:color w:val="auto"/>
          <w:sz w:val="24"/>
          <w:szCs w:val="24"/>
          <w:highlight w:val="none"/>
        </w:rPr>
        <w:t>    </w:t>
      </w:r>
    </w:p>
    <w:p w14:paraId="41E9A81F">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质疑联系方式：</w:t>
      </w:r>
      <w:r>
        <w:rPr>
          <w:rFonts w:hint="eastAsia" w:ascii="仿宋_GB2312" w:hAnsi="仿宋" w:eastAsia="仿宋_GB2312"/>
          <w:color w:val="auto"/>
          <w:sz w:val="24"/>
          <w:highlight w:val="none"/>
          <w:lang w:val="en-US" w:eastAsia="zh-CN"/>
        </w:rPr>
        <w:t>0571-87823159</w:t>
      </w:r>
      <w:r>
        <w:rPr>
          <w:rFonts w:hint="eastAsia" w:ascii="仿宋" w:hAnsi="仿宋" w:eastAsia="仿宋" w:cs="仿宋"/>
          <w:color w:val="auto"/>
          <w:sz w:val="24"/>
          <w:szCs w:val="24"/>
          <w:highlight w:val="none"/>
        </w:rPr>
        <w:t>（请通过以下路径在线提起质疑：政采云-项目采购-询问质疑投诉-质疑列表）</w:t>
      </w:r>
    </w:p>
    <w:p w14:paraId="30DD7B80">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2.采购代理机构信息            </w:t>
      </w:r>
    </w:p>
    <w:p w14:paraId="3DCD94BE">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名    称：浙江国际招投标有限公司             </w:t>
      </w:r>
    </w:p>
    <w:p w14:paraId="154596A4">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地    址：浙江省杭州市西湖区文三路90号东部软件园1号楼3楼             </w:t>
      </w:r>
    </w:p>
    <w:p w14:paraId="0481B433">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传    真：             </w:t>
      </w:r>
    </w:p>
    <w:p w14:paraId="25E04E5D">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项目联系人（询问）：</w:t>
      </w:r>
      <w:r>
        <w:rPr>
          <w:rFonts w:hint="eastAsia" w:ascii="仿宋" w:hAnsi="仿宋" w:eastAsia="仿宋" w:cs="仿宋"/>
          <w:color w:val="auto"/>
          <w:sz w:val="24"/>
          <w:szCs w:val="24"/>
          <w:highlight w:val="none"/>
          <w:lang w:val="en-US" w:eastAsia="zh-CN"/>
        </w:rPr>
        <w:t>苑洪春</w:t>
      </w:r>
      <w:r>
        <w:rPr>
          <w:rFonts w:hint="eastAsia" w:ascii="仿宋" w:hAnsi="仿宋" w:eastAsia="仿宋" w:cs="仿宋"/>
          <w:color w:val="auto"/>
          <w:sz w:val="24"/>
          <w:szCs w:val="24"/>
          <w:highlight w:val="none"/>
        </w:rPr>
        <w:t>              </w:t>
      </w:r>
    </w:p>
    <w:p w14:paraId="459FCB39">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项目联系方式（询问）：0571-81061814</w:t>
      </w:r>
    </w:p>
    <w:p w14:paraId="3A53FC46">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质疑联系人：</w:t>
      </w:r>
      <w:r>
        <w:rPr>
          <w:rFonts w:hint="eastAsia" w:ascii="仿宋" w:hAnsi="仿宋" w:eastAsia="仿宋" w:cs="仿宋"/>
          <w:color w:val="auto"/>
          <w:sz w:val="24"/>
          <w:szCs w:val="24"/>
          <w:highlight w:val="none"/>
          <w:lang w:val="en-US" w:eastAsia="zh-CN"/>
        </w:rPr>
        <w:t>张域</w:t>
      </w:r>
      <w:r>
        <w:rPr>
          <w:rFonts w:hint="eastAsia" w:ascii="仿宋" w:hAnsi="仿宋" w:eastAsia="仿宋" w:cs="仿宋"/>
          <w:color w:val="auto"/>
          <w:sz w:val="24"/>
          <w:szCs w:val="24"/>
          <w:highlight w:val="none"/>
        </w:rPr>
        <w:t>             </w:t>
      </w:r>
    </w:p>
    <w:p w14:paraId="51DF7230">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质疑联系方式：0571-8106181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（请通过以下路径在线提起质疑：政采云-项目采购-询问质疑投诉-质疑列表）　　　　　　     </w:t>
      </w:r>
    </w:p>
    <w:p w14:paraId="544FDA7D">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3.</w:t>
      </w:r>
      <w:r>
        <w:rPr>
          <w:rStyle w:val="79"/>
          <w:rFonts w:hint="eastAsia" w:ascii="仿宋" w:hAnsi="仿宋" w:eastAsia="仿宋" w:cs="仿宋"/>
          <w:color w:val="auto"/>
          <w:sz w:val="24"/>
          <w:szCs w:val="24"/>
          <w:highlight w:val="none"/>
        </w:rPr>
        <w:t>同级政府采购监督管理部门</w:t>
      </w:r>
    </w:p>
    <w:p w14:paraId="2639C80B">
      <w:pPr>
        <w:pStyle w:val="57"/>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rPr>
        <w:t> </w:t>
      </w:r>
      <w:r>
        <w:rPr>
          <w:rFonts w:hint="eastAsia" w:ascii="仿宋" w:hAnsi="仿宋" w:eastAsia="仿宋" w:cs="仿宋"/>
          <w:color w:val="auto"/>
          <w:highlight w:val="none"/>
        </w:rPr>
        <w:t>   名    称：杭州市财政局政府采购监管处、浙江省政府采购行政裁决服务中心（杭州）</w:t>
      </w:r>
    </w:p>
    <w:p w14:paraId="4A730005">
      <w:pPr>
        <w:pStyle w:val="57"/>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地    址：</w:t>
      </w:r>
      <w:r>
        <w:rPr>
          <w:rFonts w:hint="eastAsia" w:ascii="仿宋" w:hAnsi="仿宋" w:eastAsia="仿宋" w:cs="仿宋"/>
          <w:color w:val="auto"/>
          <w:highlight w:val="none"/>
          <w:lang w:eastAsia="zh-CN"/>
        </w:rPr>
        <w:t>杭州市上城区清泰街549号城建综合大楼11楼</w:t>
      </w:r>
      <w:r>
        <w:rPr>
          <w:rFonts w:hint="eastAsia" w:ascii="仿宋" w:hAnsi="仿宋" w:eastAsia="仿宋" w:cs="仿宋"/>
          <w:color w:val="auto"/>
          <w:highlight w:val="none"/>
        </w:rPr>
        <w:t>（快递仅限ems或顺丰）</w:t>
      </w:r>
    </w:p>
    <w:p w14:paraId="6B5A3309">
      <w:pPr>
        <w:pStyle w:val="57"/>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传    真：</w:t>
      </w:r>
    </w:p>
    <w:p w14:paraId="5030D0D4">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    联 系 人：朱女士/王女士</w:t>
      </w:r>
    </w:p>
    <w:p w14:paraId="37D3153D">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监督投诉电话：0571-8</w:t>
      </w:r>
      <w:r>
        <w:rPr>
          <w:rFonts w:hint="eastAsia" w:ascii="仿宋" w:hAnsi="仿宋" w:eastAsia="仿宋" w:cs="仿宋"/>
          <w:color w:val="auto"/>
          <w:highlight w:val="none"/>
          <w:lang w:val="en-US" w:eastAsia="zh-CN"/>
        </w:rPr>
        <w:t>7227671,0571-87800218</w:t>
      </w:r>
      <w:r>
        <w:rPr>
          <w:rFonts w:hint="eastAsia" w:ascii="仿宋" w:hAnsi="仿宋" w:eastAsia="仿宋" w:cs="仿宋"/>
          <w:color w:val="auto"/>
          <w:highlight w:val="none"/>
        </w:rPr>
        <w:t>（仅限投诉事项）</w:t>
      </w:r>
    </w:p>
    <w:p w14:paraId="0F2FC303">
      <w:pPr>
        <w:spacing w:line="360" w:lineRule="auto"/>
        <w:rPr>
          <w:rFonts w:hint="eastAsia" w:ascii="仿宋" w:hAnsi="仿宋" w:eastAsia="仿宋" w:cs="仿宋"/>
          <w:color w:val="auto"/>
          <w:sz w:val="24"/>
          <w:highlight w:val="none"/>
          <w:lang w:eastAsia="zh-CN"/>
        </w:rPr>
      </w:pPr>
    </w:p>
    <w:p w14:paraId="4D5CFC67">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p>
    <w:p w14:paraId="05D7876A">
      <w:pPr>
        <w:spacing w:line="360" w:lineRule="auto"/>
        <w:rPr>
          <w:rFonts w:hint="eastAsia" w:ascii="仿宋" w:hAnsi="仿宋" w:eastAsia="仿宋" w:cs="仿宋"/>
          <w:color w:val="auto"/>
          <w:sz w:val="24"/>
          <w:highlight w:val="none"/>
          <w:lang w:eastAsia="zh-CN"/>
        </w:rPr>
      </w:pPr>
    </w:p>
    <w:p w14:paraId="30C85C1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DC8BE8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EF29EBE">
      <w:pPr>
        <w:pStyle w:val="32"/>
        <w:spacing w:line="360" w:lineRule="auto"/>
        <w:ind w:firstLine="480" w:firstLineChars="200"/>
        <w:rPr>
          <w:rFonts w:ascii="仿宋" w:hAnsi="仿宋" w:eastAsia="仿宋" w:cs="仿宋"/>
          <w:color w:val="auto"/>
          <w:sz w:val="24"/>
          <w:szCs w:val="24"/>
          <w:highlight w:val="none"/>
        </w:rPr>
      </w:pPr>
    </w:p>
    <w:p w14:paraId="51F3929C">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bookmarkStart w:id="12" w:name="_Toc11261"/>
      <w:r>
        <w:rPr>
          <w:rFonts w:hint="eastAsia" w:ascii="仿宋" w:hAnsi="仿宋" w:eastAsia="仿宋" w:cs="仿宋"/>
          <w:b/>
          <w:color w:val="auto"/>
          <w:sz w:val="36"/>
          <w:szCs w:val="20"/>
          <w:highlight w:val="none"/>
        </w:rPr>
        <w:t>第二部分</w:t>
      </w:r>
      <w:bookmarkEnd w:id="9"/>
      <w:r>
        <w:rPr>
          <w:rFonts w:hint="eastAsia" w:ascii="仿宋" w:hAnsi="仿宋" w:eastAsia="仿宋" w:cs="仿宋"/>
          <w:b/>
          <w:color w:val="auto"/>
          <w:sz w:val="36"/>
          <w:szCs w:val="20"/>
          <w:highlight w:val="none"/>
          <w:lang w:val="en-US" w:eastAsia="zh-CN"/>
        </w:rPr>
        <w:t xml:space="preserve">  </w:t>
      </w:r>
      <w:r>
        <w:rPr>
          <w:rFonts w:hint="eastAsia" w:ascii="仿宋" w:hAnsi="仿宋" w:eastAsia="仿宋" w:cs="仿宋"/>
          <w:b/>
          <w:color w:val="auto"/>
          <w:sz w:val="36"/>
          <w:szCs w:val="20"/>
          <w:highlight w:val="none"/>
        </w:rPr>
        <w:t>投标人须知</w:t>
      </w:r>
      <w:bookmarkEnd w:id="10"/>
      <w:bookmarkEnd w:id="12"/>
    </w:p>
    <w:p w14:paraId="0B5A7B7B">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7F9B3D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7FA5B803">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l2br w:val="nil"/>
              <w:tr2bl w:val="nil"/>
            </w:tcBorders>
            <w:vAlign w:val="center"/>
          </w:tcPr>
          <w:p w14:paraId="404A2BDF">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l2br w:val="nil"/>
              <w:tr2bl w:val="nil"/>
            </w:tcBorders>
            <w:vAlign w:val="center"/>
          </w:tcPr>
          <w:p w14:paraId="345419DB">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AE9EB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14:paraId="16C769F3">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l2br w:val="nil"/>
              <w:tr2bl w:val="nil"/>
            </w:tcBorders>
            <w:vAlign w:val="center"/>
          </w:tcPr>
          <w:p w14:paraId="22DAD813">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l2br w:val="nil"/>
              <w:tr2bl w:val="nil"/>
            </w:tcBorders>
            <w:vAlign w:val="center"/>
          </w:tcPr>
          <w:p w14:paraId="2CA27E3B">
            <w:pPr>
              <w:widowControl/>
              <w:spacing w:line="360" w:lineRule="auto"/>
              <w:jc w:val="both"/>
              <w:textAlignment w:val="bottom"/>
              <w:rPr>
                <w:rFonts w:hint="eastAsia" w:ascii="仿宋" w:hAnsi="仿宋" w:eastAsia="宋体" w:cs="仿宋"/>
                <w:color w:val="auto"/>
                <w:sz w:val="24"/>
                <w:highlight w:val="none"/>
                <w:lang w:eastAsia="zh-CN"/>
              </w:rPr>
            </w:pPr>
            <w:r>
              <w:rPr>
                <w:rFonts w:hint="eastAsia" w:ascii="仿宋" w:hAnsi="仿宋" w:eastAsia="仿宋" w:cs="仿宋"/>
                <w:color w:val="auto"/>
                <w:kern w:val="0"/>
                <w:sz w:val="24"/>
                <w:highlight w:val="none"/>
                <w:lang w:eastAsia="zh-CN"/>
              </w:rPr>
              <w:t>货物类，单一产品或核心产品为：</w:t>
            </w:r>
            <w:r>
              <w:rPr>
                <w:rFonts w:hint="eastAsia" w:ascii="仿宋" w:hAnsi="仿宋" w:eastAsia="仿宋" w:cs="仿宋"/>
                <w:color w:val="auto"/>
                <w:kern w:val="0"/>
                <w:sz w:val="24"/>
                <w:highlight w:val="none"/>
                <w:u w:val="single"/>
                <w:lang w:eastAsia="zh-CN"/>
              </w:rPr>
              <w:t xml:space="preserve"> </w:t>
            </w:r>
            <w:r>
              <w:rPr>
                <w:rFonts w:hint="eastAsia" w:ascii="仿宋" w:hAnsi="仿宋" w:eastAsia="仿宋" w:cs="仿宋"/>
                <w:color w:val="auto"/>
                <w:kern w:val="0"/>
                <w:sz w:val="24"/>
                <w:highlight w:val="none"/>
                <w:u w:val="single"/>
                <w:lang w:val="en-US" w:eastAsia="zh-CN"/>
              </w:rPr>
              <w:t>钠钙玻璃管制口服液体瓶套装（B型）</w:t>
            </w:r>
            <w:r>
              <w:rPr>
                <w:rFonts w:hint="eastAsia" w:ascii="仿宋" w:hAnsi="仿宋" w:eastAsia="仿宋" w:cs="仿宋"/>
                <w:color w:val="auto"/>
                <w:kern w:val="0"/>
                <w:sz w:val="24"/>
                <w:highlight w:val="none"/>
                <w:u w:val="single"/>
                <w:lang w:eastAsia="zh-CN"/>
              </w:rPr>
              <w:t>。</w:t>
            </w:r>
          </w:p>
        </w:tc>
      </w:tr>
      <w:tr w14:paraId="0D687E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14:paraId="5811CA0E">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l2br w:val="nil"/>
              <w:tr2bl w:val="nil"/>
            </w:tcBorders>
            <w:vAlign w:val="center"/>
          </w:tcPr>
          <w:p w14:paraId="485ED07D">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l2br w:val="nil"/>
              <w:tr2bl w:val="nil"/>
            </w:tcBorders>
            <w:vAlign w:val="center"/>
          </w:tcPr>
          <w:p w14:paraId="1793AF53">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jc w:val="both"/>
              <w:textAlignment w:val="auto"/>
              <w:rPr>
                <w:rFonts w:hint="eastAsia" w:ascii="仿宋" w:hAnsi="仿宋" w:eastAsia="仿宋" w:cs="仿宋"/>
                <w:b w:val="0"/>
                <w:bCs w:val="0"/>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eastAsia="zh-CN"/>
              </w:rPr>
              <w:t>）</w:t>
            </w:r>
            <w:r>
              <w:rPr>
                <w:rFonts w:hint="eastAsia" w:ascii="仿宋" w:hAnsi="仿宋" w:eastAsia="仿宋" w:cs="仿宋"/>
                <w:b w:val="0"/>
                <w:bCs w:val="0"/>
                <w:color w:val="auto"/>
                <w:kern w:val="0"/>
                <w:sz w:val="24"/>
                <w:highlight w:val="none"/>
              </w:rPr>
              <w:t xml:space="preserve">标的： </w:t>
            </w:r>
            <w:r>
              <w:rPr>
                <w:rFonts w:hint="eastAsia" w:ascii="仿宋" w:hAnsi="仿宋" w:eastAsia="仿宋" w:cs="仿宋"/>
                <w:color w:val="auto"/>
                <w:kern w:val="0"/>
                <w:sz w:val="24"/>
                <w:highlight w:val="none"/>
                <w:u w:val="single"/>
                <w:lang w:val="en-US" w:eastAsia="zh-CN"/>
              </w:rPr>
              <w:t>钠钙玻璃管制口服液体瓶套装（B型）</w:t>
            </w:r>
            <w:r>
              <w:rPr>
                <w:rFonts w:hint="eastAsia" w:ascii="仿宋" w:hAnsi="仿宋" w:eastAsia="仿宋" w:cs="仿宋"/>
                <w:b w:val="0"/>
                <w:bCs w:val="0"/>
                <w:color w:val="auto"/>
                <w:kern w:val="0"/>
                <w:sz w:val="24"/>
                <w:highlight w:val="none"/>
                <w:u w:val="single"/>
              </w:rPr>
              <w:t xml:space="preserve"> </w:t>
            </w:r>
            <w:r>
              <w:rPr>
                <w:rFonts w:hint="eastAsia" w:ascii="仿宋" w:hAnsi="仿宋" w:eastAsia="仿宋" w:cs="仿宋"/>
                <w:b w:val="0"/>
                <w:bCs w:val="0"/>
                <w:color w:val="auto"/>
                <w:kern w:val="0"/>
                <w:sz w:val="24"/>
                <w:highlight w:val="none"/>
              </w:rPr>
              <w:t xml:space="preserve">  ，属于</w:t>
            </w:r>
            <w:r>
              <w:rPr>
                <w:rFonts w:hint="eastAsia" w:ascii="仿宋" w:hAnsi="仿宋" w:eastAsia="仿宋" w:cs="仿宋"/>
                <w:b w:val="0"/>
                <w:bCs w:val="0"/>
                <w:color w:val="auto"/>
                <w:kern w:val="0"/>
                <w:sz w:val="24"/>
                <w:highlight w:val="none"/>
                <w:u w:val="single"/>
              </w:rPr>
              <w:t xml:space="preserve"> </w:t>
            </w:r>
            <w:r>
              <w:rPr>
                <w:rFonts w:hint="eastAsia" w:ascii="仿宋" w:hAnsi="仿宋" w:eastAsia="仿宋" w:cs="仿宋"/>
                <w:b w:val="0"/>
                <w:bCs w:val="0"/>
                <w:color w:val="auto"/>
                <w:kern w:val="0"/>
                <w:sz w:val="24"/>
                <w:highlight w:val="none"/>
                <w:u w:val="single"/>
                <w:lang w:val="en-US" w:eastAsia="zh-CN"/>
              </w:rPr>
              <w:t>工业</w:t>
            </w:r>
            <w:r>
              <w:rPr>
                <w:rFonts w:hint="eastAsia" w:ascii="仿宋" w:hAnsi="仿宋" w:eastAsia="仿宋" w:cs="仿宋"/>
                <w:b w:val="0"/>
                <w:bCs w:val="0"/>
                <w:color w:val="auto"/>
                <w:kern w:val="0"/>
                <w:sz w:val="24"/>
                <w:highlight w:val="none"/>
              </w:rPr>
              <w:t xml:space="preserve"> 行业；</w:t>
            </w:r>
          </w:p>
          <w:p w14:paraId="7CCE80D4">
            <w:pPr>
              <w:widowControl/>
              <w:spacing w:line="360" w:lineRule="auto"/>
              <w:jc w:val="both"/>
              <w:textAlignment w:val="bottom"/>
              <w:rPr>
                <w:color w:val="auto"/>
                <w:highlight w:val="none"/>
              </w:rPr>
            </w:pPr>
            <w:r>
              <w:rPr>
                <w:rFonts w:hint="eastAsia" w:ascii="仿宋" w:eastAsia="仿宋" w:cs="仿宋"/>
                <w:b w:val="0"/>
                <w:bCs w:val="0"/>
                <w:color w:val="auto"/>
                <w:sz w:val="24"/>
                <w:szCs w:val="24"/>
                <w:highlight w:val="none"/>
                <w:lang w:val="en-US" w:eastAsia="zh-CN"/>
              </w:rPr>
              <w:t>（2）</w:t>
            </w:r>
            <w:r>
              <w:rPr>
                <w:rFonts w:hint="eastAsia" w:ascii="仿宋" w:hAnsi="仿宋" w:eastAsia="仿宋" w:cs="仿宋"/>
                <w:b w:val="0"/>
                <w:bCs w:val="0"/>
                <w:color w:val="auto"/>
                <w:kern w:val="0"/>
                <w:sz w:val="24"/>
                <w:highlight w:val="none"/>
              </w:rPr>
              <w:t>标的：</w:t>
            </w:r>
            <w:r>
              <w:rPr>
                <w:rFonts w:hint="eastAsia" w:ascii="仿宋" w:hAnsi="仿宋" w:eastAsia="仿宋" w:cs="仿宋"/>
                <w:color w:val="auto"/>
                <w:kern w:val="0"/>
                <w:sz w:val="24"/>
                <w:highlight w:val="none"/>
                <w:u w:val="single"/>
                <w:lang w:val="en-US" w:eastAsia="zh-CN"/>
              </w:rPr>
              <w:t>钠钙玻璃管制口服液体瓶套装（C型）</w:t>
            </w:r>
            <w:r>
              <w:rPr>
                <w:rFonts w:hint="eastAsia" w:ascii="仿宋" w:hAnsi="仿宋" w:eastAsia="仿宋" w:cs="仿宋"/>
                <w:b w:val="0"/>
                <w:bCs w:val="0"/>
                <w:color w:val="auto"/>
                <w:kern w:val="0"/>
                <w:sz w:val="24"/>
                <w:highlight w:val="none"/>
              </w:rPr>
              <w:t>，属于</w:t>
            </w:r>
            <w:r>
              <w:rPr>
                <w:rFonts w:hint="eastAsia" w:ascii="仿宋" w:hAnsi="仿宋" w:eastAsia="仿宋" w:cs="仿宋"/>
                <w:b w:val="0"/>
                <w:bCs w:val="0"/>
                <w:color w:val="auto"/>
                <w:kern w:val="0"/>
                <w:sz w:val="24"/>
                <w:highlight w:val="none"/>
                <w:u w:val="single"/>
              </w:rPr>
              <w:t xml:space="preserve"> </w:t>
            </w:r>
            <w:r>
              <w:rPr>
                <w:rFonts w:hint="eastAsia" w:ascii="仿宋" w:eastAsia="仿宋" w:cs="仿宋"/>
                <w:b w:val="0"/>
                <w:bCs w:val="0"/>
                <w:color w:val="auto"/>
                <w:kern w:val="0"/>
                <w:sz w:val="24"/>
                <w:highlight w:val="none"/>
                <w:u w:val="single"/>
                <w:lang w:val="en-US" w:eastAsia="zh-CN"/>
              </w:rPr>
              <w:t>工业</w:t>
            </w:r>
            <w:r>
              <w:rPr>
                <w:rFonts w:hint="eastAsia" w:ascii="仿宋" w:hAnsi="仿宋" w:eastAsia="仿宋" w:cs="仿宋"/>
                <w:b w:val="0"/>
                <w:bCs w:val="0"/>
                <w:color w:val="auto"/>
                <w:kern w:val="0"/>
                <w:sz w:val="24"/>
                <w:highlight w:val="none"/>
              </w:rPr>
              <w:t xml:space="preserve"> 行业；</w:t>
            </w:r>
          </w:p>
        </w:tc>
      </w:tr>
      <w:tr w14:paraId="4EAD90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14:paraId="13154FD7">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l2br w:val="nil"/>
              <w:tr2bl w:val="nil"/>
            </w:tcBorders>
            <w:vAlign w:val="center"/>
          </w:tcPr>
          <w:p w14:paraId="6BC38174">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l2br w:val="nil"/>
              <w:tr2bl w:val="nil"/>
            </w:tcBorders>
            <w:vAlign w:val="center"/>
          </w:tcPr>
          <w:p w14:paraId="6FCC579D">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本项目不允许采购进口产品。</w:t>
            </w:r>
          </w:p>
          <w:p w14:paraId="350EDFF2">
            <w:pPr>
              <w:snapToGrid w:val="0"/>
              <w:spacing w:line="360" w:lineRule="auto"/>
              <w:rPr>
                <w:rFonts w:ascii="仿宋" w:hAnsi="仿宋" w:eastAsia="仿宋" w:cs="仿宋"/>
                <w:color w:val="auto"/>
                <w:highlight w:val="none"/>
              </w:rPr>
            </w:pPr>
            <w:sdt>
              <w:sdtPr>
                <w:rPr>
                  <w:rFonts w:hint="eastAsia" w:ascii="仿宋" w:hAnsi="仿宋" w:eastAsia="仿宋" w:cs="仿宋"/>
                  <w:color w:val="auto"/>
                  <w:kern w:val="0"/>
                  <w:sz w:val="24"/>
                  <w:highlight w:val="none"/>
                </w:rPr>
                <w:id w:val="-5285282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采购进口产品。优先采购向我国企业转让技术、与我国企业签订消化吸收再创新方案的供应商的进口产品。</w:t>
            </w:r>
          </w:p>
        </w:tc>
      </w:tr>
      <w:tr w14:paraId="7C054F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14:paraId="6C96D4BA">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l2br w:val="nil"/>
              <w:tr2bl w:val="nil"/>
            </w:tcBorders>
            <w:vAlign w:val="center"/>
          </w:tcPr>
          <w:p w14:paraId="6EC2D51F">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l2br w:val="nil"/>
              <w:tr2bl w:val="nil"/>
            </w:tcBorders>
            <w:vAlign w:val="center"/>
          </w:tcPr>
          <w:p w14:paraId="2C54A5AB">
            <w:pPr>
              <w:snapToGrid w:val="0"/>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82842570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运输  </w:t>
            </w:r>
            <w:r>
              <w:rPr>
                <w:rFonts w:hint="eastAsia" w:ascii="仿宋" w:hAnsi="仿宋" w:eastAsia="仿宋" w:cs="仿宋"/>
                <w:color w:val="auto"/>
                <w:sz w:val="24"/>
                <w:highlight w:val="none"/>
              </w:rPr>
              <w:t>工作分包。</w:t>
            </w:r>
          </w:p>
          <w:p w14:paraId="73BB073B">
            <w:pPr>
              <w:snapToGrid w:val="0"/>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14:paraId="3115443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72501D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14:paraId="04F6817A">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l2br w:val="nil"/>
              <w:tr2bl w:val="nil"/>
            </w:tcBorders>
            <w:vAlign w:val="center"/>
          </w:tcPr>
          <w:p w14:paraId="11156290">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l2br w:val="nil"/>
              <w:tr2bl w:val="nil"/>
            </w:tcBorders>
            <w:vAlign w:val="center"/>
          </w:tcPr>
          <w:p w14:paraId="3C108ED1">
            <w:pPr>
              <w:snapToGrid w:val="0"/>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7120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020EDE09">
            <w:pPr>
              <w:snapToGrid w:val="0"/>
              <w:spacing w:line="360" w:lineRule="auto"/>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时间：,地点：，联系人：，联系方式：</w:t>
            </w:r>
            <w:r>
              <w:rPr>
                <w:rFonts w:hint="eastAsia" w:ascii="仿宋" w:hAnsi="仿宋" w:eastAsia="仿宋" w:cs="仿宋"/>
                <w:color w:val="auto"/>
                <w:sz w:val="24"/>
                <w:szCs w:val="20"/>
                <w:highlight w:val="none"/>
              </w:rPr>
              <w:t>。</w:t>
            </w:r>
          </w:p>
        </w:tc>
      </w:tr>
      <w:tr w14:paraId="2D2500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19" w:hRule="atLeast"/>
        </w:trPr>
        <w:tc>
          <w:tcPr>
            <w:tcW w:w="629" w:type="dxa"/>
            <w:tcBorders>
              <w:tl2br w:val="nil"/>
              <w:tr2bl w:val="nil"/>
            </w:tcBorders>
            <w:vAlign w:val="center"/>
          </w:tcPr>
          <w:p w14:paraId="39AE02CF">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l2br w:val="nil"/>
              <w:tr2bl w:val="nil"/>
            </w:tcBorders>
            <w:vAlign w:val="center"/>
          </w:tcPr>
          <w:p w14:paraId="13A30C20">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样品提供</w:t>
            </w:r>
          </w:p>
        </w:tc>
        <w:tc>
          <w:tcPr>
            <w:tcW w:w="6095" w:type="dxa"/>
            <w:tcBorders>
              <w:tl2br w:val="nil"/>
              <w:tr2bl w:val="nil"/>
            </w:tcBorders>
            <w:vAlign w:val="center"/>
          </w:tcPr>
          <w:p w14:paraId="50D4E632">
            <w:pPr>
              <w:snapToGrid w:val="0"/>
              <w:spacing w:line="360" w:lineRule="auto"/>
              <w:rPr>
                <w:rFonts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sym w:font="Wingdings" w:char="00A8"/>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1871F7E7">
            <w:pPr>
              <w:pStyle w:val="20"/>
              <w:spacing w:line="360" w:lineRule="auto"/>
              <w:rPr>
                <w:rFonts w:ascii="仿宋" w:hAnsi="仿宋" w:eastAsia="仿宋" w:cs="仿宋"/>
                <w:color w:val="auto"/>
                <w:kern w:val="0"/>
                <w:sz w:val="24"/>
                <w:highlight w:val="none"/>
              </w:rPr>
            </w:pPr>
            <w:r>
              <w:rPr>
                <w:rFonts w:hint="eastAsia" w:ascii="Wingdings" w:hAnsi="Wingdings" w:eastAsia="仿宋" w:cs="仿宋"/>
                <w:color w:val="auto"/>
                <w:kern w:val="0"/>
                <w:sz w:val="24"/>
                <w:szCs w:val="24"/>
                <w:highlight w:val="none"/>
                <w:lang w:val="en-US" w:eastAsia="zh-CN" w:bidi="ar-SA"/>
              </w:rPr>
              <w:sym w:font="Wingdings" w:char="00FE"/>
            </w:r>
            <w:r>
              <w:rPr>
                <w:rFonts w:hint="eastAsia" w:ascii="仿宋" w:hAnsi="仿宋" w:eastAsia="仿宋" w:cs="仿宋"/>
                <w:color w:val="auto"/>
                <w:kern w:val="0"/>
                <w:sz w:val="24"/>
                <w:highlight w:val="none"/>
              </w:rPr>
              <w:t>B要求提供，</w:t>
            </w:r>
            <w:r>
              <w:rPr>
                <w:rFonts w:hint="eastAsia" w:ascii="仿宋" w:hAnsi="仿宋" w:eastAsia="仿宋" w:cs="仿宋"/>
                <w:snapToGrid w:val="0"/>
                <w:color w:val="auto"/>
                <w:kern w:val="28"/>
                <w:sz w:val="24"/>
                <w:highlight w:val="none"/>
                <w:lang w:eastAsia="zh-CN"/>
              </w:rPr>
              <w:t>（未提供样品或提供样品不满足采购需求实质性条件的供应商，投标无效）</w:t>
            </w:r>
          </w:p>
          <w:p w14:paraId="2D478848">
            <w:pPr>
              <w:numPr>
                <w:ilvl w:val="0"/>
                <w:numId w:val="2"/>
              </w:numPr>
              <w:snapToGrid w:val="0"/>
              <w:spacing w:line="360" w:lineRule="auto"/>
              <w:rPr>
                <w:rFonts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详见采购文件第三部分采购需求“四、样品要求”</w:t>
            </w:r>
            <w:r>
              <w:rPr>
                <w:rFonts w:hint="eastAsia" w:ascii="仿宋" w:hAnsi="仿宋" w:eastAsia="仿宋" w:cs="仿宋"/>
                <w:color w:val="auto"/>
                <w:kern w:val="0"/>
                <w:sz w:val="24"/>
                <w:highlight w:val="none"/>
              </w:rPr>
              <w:t>；</w:t>
            </w:r>
          </w:p>
          <w:p w14:paraId="487D779F">
            <w:pPr>
              <w:numPr>
                <w:ilvl w:val="0"/>
                <w:numId w:val="2"/>
              </w:numPr>
              <w:snapToGrid w:val="0"/>
              <w:spacing w:line="360" w:lineRule="auto"/>
              <w:rPr>
                <w:rFonts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国家食品药品监督管理局药品审评中心（https://www.cde.org.cn/）原辅包登记平台具备登记号，且</w:t>
            </w:r>
            <w:r>
              <w:rPr>
                <w:rFonts w:hint="eastAsia" w:ascii="仿宋" w:hAnsi="仿宋" w:eastAsia="仿宋" w:cs="仿宋"/>
                <w:color w:val="auto"/>
                <w:sz w:val="24"/>
                <w:highlight w:val="none"/>
                <w:u w:val="single"/>
              </w:rPr>
              <w:t>与制剂共同审评审批结果</w:t>
            </w:r>
            <w:r>
              <w:rPr>
                <w:rFonts w:hint="eastAsia" w:ascii="仿宋" w:hAnsi="仿宋" w:eastAsia="仿宋" w:cs="仿宋"/>
                <w:color w:val="auto"/>
                <w:sz w:val="24"/>
                <w:highlight w:val="none"/>
                <w:u w:val="single"/>
                <w:lang w:val="en-US" w:eastAsia="zh-CN"/>
              </w:rPr>
              <w:t>为“A”</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E4FA11C">
            <w:pPr>
              <w:numPr>
                <w:ilvl w:val="0"/>
                <w:numId w:val="2"/>
              </w:num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样品的评审方法以及评审标准</w:t>
            </w:r>
            <w:r>
              <w:rPr>
                <w:rFonts w:hint="eastAsia" w:ascii="仿宋" w:hAnsi="仿宋" w:eastAsia="仿宋" w:cs="仿宋"/>
                <w:snapToGrid w:val="0"/>
                <w:color w:val="auto"/>
                <w:kern w:val="28"/>
                <w:sz w:val="24"/>
                <w:highlight w:val="none"/>
              </w:rPr>
              <w:t>：</w:t>
            </w:r>
            <w:r>
              <w:rPr>
                <w:rFonts w:hint="eastAsia" w:ascii="仿宋" w:hAnsi="仿宋" w:eastAsia="仿宋" w:cs="仿宋"/>
                <w:snapToGrid w:val="0"/>
                <w:color w:val="auto"/>
                <w:kern w:val="28"/>
                <w:sz w:val="24"/>
                <w:highlight w:val="none"/>
              </w:rPr>
              <w:br w:type="textWrapping"/>
            </w: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snapToGrid w:val="0"/>
                <w:color w:val="auto"/>
                <w:kern w:val="28"/>
                <w:sz w:val="24"/>
                <w:highlight w:val="none"/>
              </w:rPr>
              <w:t>样品分未超过价格分的50%；</w:t>
            </w:r>
          </w:p>
          <w:p w14:paraId="6513568F">
            <w:pPr>
              <w:numPr>
                <w:ilvl w:val="0"/>
                <w:numId w:val="0"/>
              </w:numPr>
              <w:snapToGrid w:val="0"/>
              <w:spacing w:line="360" w:lineRule="auto"/>
              <w:ind w:left="0" w:firstLine="480" w:firstLineChars="200"/>
              <w:rPr>
                <w:rFonts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☐样品分超过价格分的50%，理由            。</w:t>
            </w:r>
            <w:r>
              <w:rPr>
                <w:rFonts w:hint="eastAsia" w:ascii="仿宋" w:hAnsi="仿宋" w:eastAsia="仿宋" w:cs="仿宋"/>
                <w:snapToGrid w:val="0"/>
                <w:color w:val="auto"/>
                <w:kern w:val="28"/>
                <w:sz w:val="24"/>
                <w:highlight w:val="none"/>
              </w:rPr>
              <w:br w:type="textWrapping"/>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29A27514">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425" w:leftChars="0" w:hanging="425" w:firstLineChars="0"/>
              <w:textAlignment w:val="auto"/>
              <w:rPr>
                <w:rFonts w:hint="eastAsia" w:ascii="仿宋" w:hAnsi="仿宋" w:eastAsia="仿宋" w:cs="仿宋"/>
                <w:b w:val="0"/>
                <w:bCs w:val="0"/>
                <w:color w:val="auto"/>
                <w:kern w:val="0"/>
                <w:sz w:val="24"/>
                <w:highlight w:val="none"/>
              </w:rPr>
            </w:pPr>
            <w:r>
              <w:rPr>
                <w:rFonts w:hint="eastAsia" w:ascii="仿宋" w:hAnsi="仿宋" w:eastAsia="仿宋" w:cs="仿宋"/>
                <w:color w:val="auto"/>
                <w:kern w:val="0"/>
                <w:sz w:val="24"/>
                <w:highlight w:val="none"/>
              </w:rPr>
              <w:t>是否需要随样品提交检测报告：</w:t>
            </w:r>
            <w:r>
              <w:rPr>
                <w:rFonts w:hint="eastAsia" w:ascii="Wingdings" w:hAnsi="Wingdings" w:eastAsia="仿宋" w:cs="仿宋"/>
                <w:color w:val="auto"/>
                <w:kern w:val="0"/>
                <w:sz w:val="24"/>
                <w:szCs w:val="24"/>
                <w:highlight w:val="none"/>
                <w:lang w:val="en-US" w:eastAsia="zh-CN" w:bidi="ar-SA"/>
              </w:rPr>
              <w:sym w:font="Wingdings" w:char="00A8"/>
            </w:r>
            <w:r>
              <w:rPr>
                <w:rFonts w:hint="eastAsia" w:ascii="仿宋" w:hAnsi="仿宋" w:eastAsia="仿宋" w:cs="仿宋"/>
                <w:color w:val="auto"/>
                <w:kern w:val="0"/>
                <w:sz w:val="24"/>
                <w:highlight w:val="none"/>
              </w:rPr>
              <w:t>否；</w:t>
            </w:r>
            <w:sdt>
              <w:sdtPr>
                <w:rPr>
                  <w:rFonts w:hint="eastAsia" w:ascii="仿宋" w:hAnsi="仿宋" w:eastAsia="仿宋" w:cs="仿宋"/>
                  <w:b w:val="0"/>
                  <w:bCs w:val="0"/>
                  <w:color w:val="auto"/>
                  <w:kern w:val="0"/>
                  <w:sz w:val="24"/>
                  <w:highlight w:val="none"/>
                </w:rPr>
                <w:id w:val="1621728433"/>
                <w14:checkbox>
                  <w14:checked w14:val="1"/>
                  <w14:checkedState w14:val="00FE" w14:font="Wingdings"/>
                  <w14:uncheckedState w14:val="2610" w14:font="MS Gothic"/>
                </w14:checkbox>
              </w:sdtPr>
              <w:sdtEndPr>
                <w:rPr>
                  <w:rFonts w:hint="eastAsia" w:ascii="仿宋" w:hAnsi="仿宋" w:eastAsia="仿宋" w:cs="仿宋"/>
                  <w:b w:val="0"/>
                  <w:bCs w:val="0"/>
                  <w:color w:val="auto"/>
                  <w:kern w:val="0"/>
                  <w:sz w:val="24"/>
                  <w:highlight w:val="none"/>
                </w:rPr>
              </w:sdtEndPr>
              <w:sdtContent>
                <w:r>
                  <w:rPr>
                    <w:rFonts w:hint="eastAsia" w:ascii="Wingdings" w:hAnsi="Wingdings" w:eastAsia="仿宋" w:cs="仿宋"/>
                    <w:b w:val="0"/>
                    <w:bCs w:val="0"/>
                    <w:color w:val="auto"/>
                    <w:kern w:val="0"/>
                    <w:sz w:val="24"/>
                    <w:szCs w:val="24"/>
                    <w:highlight w:val="none"/>
                    <w:lang w:val="en-US" w:eastAsia="zh-CN" w:bidi="ar-SA"/>
                  </w:rPr>
                  <w:t>þ</w:t>
                </w:r>
              </w:sdtContent>
            </w:sdt>
            <w:r>
              <w:rPr>
                <w:rFonts w:hint="eastAsia" w:ascii="仿宋" w:hAnsi="仿宋" w:eastAsia="仿宋" w:cs="仿宋"/>
                <w:b w:val="0"/>
                <w:bCs w:val="0"/>
                <w:color w:val="auto"/>
                <w:kern w:val="0"/>
                <w:sz w:val="24"/>
                <w:highlight w:val="none"/>
              </w:rPr>
              <w:t>是，检测机构的要求</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u w:val="single"/>
                <w:lang w:val="en-US" w:eastAsia="zh-CN"/>
              </w:rPr>
              <w:t>具有CMA认证的药品包装材料检测机构</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kern w:val="0"/>
                <w:sz w:val="24"/>
                <w:highlight w:val="none"/>
              </w:rPr>
              <w:t>；检测内容</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u w:val="single"/>
                <w:lang w:val="en-US" w:eastAsia="zh-CN"/>
              </w:rPr>
              <w:t>按照标准包材全检</w:t>
            </w:r>
            <w:r>
              <w:rPr>
                <w:rFonts w:hint="eastAsia" w:ascii="仿宋" w:hAnsi="仿宋" w:eastAsia="仿宋" w:cs="仿宋"/>
                <w:b w:val="0"/>
                <w:bCs w:val="0"/>
                <w:color w:val="auto"/>
                <w:kern w:val="0"/>
                <w:sz w:val="24"/>
                <w:highlight w:val="none"/>
              </w:rPr>
              <w:t>。</w:t>
            </w:r>
          </w:p>
          <w:p w14:paraId="16A68902">
            <w:pPr>
              <w:numPr>
                <w:ilvl w:val="0"/>
                <w:numId w:val="2"/>
              </w:num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提供样品的时间：</w:t>
            </w:r>
            <w:r>
              <w:rPr>
                <w:rFonts w:hint="eastAsia" w:ascii="仿宋" w:hAnsi="仿宋" w:eastAsia="仿宋" w:cs="仿宋"/>
                <w:color w:val="auto"/>
                <w:sz w:val="24"/>
                <w:highlight w:val="none"/>
                <w:u w:val="single"/>
              </w:rPr>
              <w:t xml:space="preserve"> 投标截止时间前（可提前一个工作日递交）   </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杭州市文三路90号1号楼3楼307室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苑洪春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13065702633</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27164497">
            <w:pPr>
              <w:numPr>
                <w:ilvl w:val="0"/>
                <w:numId w:val="2"/>
              </w:numPr>
              <w:snapToGrid w:val="0"/>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EC48CB3">
            <w:pPr>
              <w:numPr>
                <w:ilvl w:val="0"/>
                <w:numId w:val="2"/>
              </w:numPr>
              <w:snapToGrid w:val="0"/>
              <w:spacing w:line="360" w:lineRule="auto"/>
              <w:ind w:left="425" w:leftChars="0" w:hanging="425" w:firstLineChars="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highlight w:val="none"/>
              </w:rPr>
              <w:t>制作、运输、安装和保管样品所发生的一切费用由投标人自理。</w:t>
            </w:r>
          </w:p>
        </w:tc>
      </w:tr>
      <w:tr w14:paraId="00154D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92" w:hRule="atLeast"/>
        </w:trPr>
        <w:tc>
          <w:tcPr>
            <w:tcW w:w="629" w:type="dxa"/>
            <w:tcBorders>
              <w:tl2br w:val="nil"/>
              <w:tr2bl w:val="nil"/>
            </w:tcBorders>
            <w:vAlign w:val="center"/>
          </w:tcPr>
          <w:p w14:paraId="73028783">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l2br w:val="nil"/>
              <w:tr2bl w:val="nil"/>
            </w:tcBorders>
            <w:vAlign w:val="center"/>
          </w:tcPr>
          <w:p w14:paraId="249A63AC">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l2br w:val="nil"/>
              <w:tr2bl w:val="nil"/>
            </w:tcBorders>
            <w:vAlign w:val="center"/>
          </w:tcPr>
          <w:p w14:paraId="23155480">
            <w:pPr>
              <w:snapToGrid w:val="0"/>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6432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64B2D27">
            <w:pPr>
              <w:snapToGrid w:val="0"/>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66775413">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（1）在评标时安排每个投标人进行方案讲解演示。每个投标人时间不超过分钟，讲解次序以投标文件解密时间先后次序为准，讲解演示人员不超过人。讲解演示结束后按要求解答评标委员会提问。</w:t>
            </w:r>
          </w:p>
          <w:p w14:paraId="69805C5A">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3010C873">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4A257102">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方式二：采购代理机构现场讲解演示。现场讲解地点为，讲解演示所用电脑等设备由投标人自备。现场讲解演示人员进场时提供讲解人员名单（加盖公章或授权代表签名）及身份证明，否则不得讲解演示。</w:t>
            </w:r>
          </w:p>
          <w:p w14:paraId="38F0070A">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14:paraId="2D03A47E">
            <w:pPr>
              <w:snapToGrid w:val="0"/>
              <w:spacing w:line="360" w:lineRule="auto"/>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20317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rPr>
        <w:tc>
          <w:tcPr>
            <w:tcW w:w="629" w:type="dxa"/>
            <w:vMerge w:val="restart"/>
            <w:tcBorders>
              <w:tl2br w:val="nil"/>
              <w:tr2bl w:val="nil"/>
            </w:tcBorders>
            <w:vAlign w:val="center"/>
          </w:tcPr>
          <w:p w14:paraId="253BAAAB">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l2br w:val="nil"/>
              <w:tr2bl w:val="nil"/>
            </w:tcBorders>
            <w:vAlign w:val="center"/>
          </w:tcPr>
          <w:p w14:paraId="605BD20C">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l2br w:val="nil"/>
              <w:tr2bl w:val="nil"/>
            </w:tcBorders>
            <w:vAlign w:val="center"/>
          </w:tcPr>
          <w:p w14:paraId="31FABC5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175A829E">
            <w:pPr>
              <w:snapToGrid w:val="0"/>
              <w:spacing w:line="360" w:lineRule="auto"/>
              <w:rPr>
                <w:rFonts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1F5D43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Merge w:val="continue"/>
            <w:tcBorders>
              <w:tl2br w:val="nil"/>
              <w:tr2bl w:val="nil"/>
            </w:tcBorders>
            <w:vAlign w:val="center"/>
          </w:tcPr>
          <w:p w14:paraId="24FE982F">
            <w:pPr>
              <w:snapToGrid w:val="0"/>
              <w:spacing w:line="360" w:lineRule="auto"/>
              <w:jc w:val="center"/>
              <w:rPr>
                <w:rFonts w:ascii="仿宋" w:hAnsi="仿宋" w:eastAsia="仿宋" w:cs="仿宋"/>
                <w:color w:val="auto"/>
                <w:sz w:val="24"/>
                <w:highlight w:val="none"/>
              </w:rPr>
            </w:pPr>
          </w:p>
        </w:tc>
        <w:tc>
          <w:tcPr>
            <w:tcW w:w="1843" w:type="dxa"/>
            <w:vMerge w:val="continue"/>
            <w:tcBorders>
              <w:tl2br w:val="nil"/>
              <w:tr2bl w:val="nil"/>
            </w:tcBorders>
            <w:vAlign w:val="center"/>
          </w:tcPr>
          <w:p w14:paraId="6397B701">
            <w:pPr>
              <w:snapToGrid w:val="0"/>
              <w:spacing w:line="360" w:lineRule="auto"/>
              <w:jc w:val="center"/>
              <w:rPr>
                <w:rFonts w:ascii="仿宋" w:hAnsi="仿宋" w:eastAsia="仿宋" w:cs="仿宋"/>
                <w:b/>
                <w:color w:val="auto"/>
                <w:sz w:val="24"/>
                <w:highlight w:val="none"/>
              </w:rPr>
            </w:pPr>
          </w:p>
        </w:tc>
        <w:tc>
          <w:tcPr>
            <w:tcW w:w="6095" w:type="dxa"/>
            <w:tcBorders>
              <w:tl2br w:val="nil"/>
              <w:tr2bl w:val="nil"/>
            </w:tcBorders>
            <w:vAlign w:val="center"/>
          </w:tcPr>
          <w:p w14:paraId="4090596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5AFFA7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14:paraId="4FC45EDE">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l2br w:val="nil"/>
              <w:tr2bl w:val="nil"/>
            </w:tcBorders>
            <w:vAlign w:val="center"/>
          </w:tcPr>
          <w:p w14:paraId="68951E88">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节能产品、环境标志产品政府优先采购或强制采购</w:t>
            </w:r>
          </w:p>
        </w:tc>
        <w:tc>
          <w:tcPr>
            <w:tcW w:w="6095" w:type="dxa"/>
            <w:tcBorders>
              <w:tl2br w:val="nil"/>
              <w:tr2bl w:val="nil"/>
            </w:tcBorders>
            <w:vAlign w:val="center"/>
          </w:tcPr>
          <w:p w14:paraId="5287AD39">
            <w:pPr>
              <w:spacing w:line="360" w:lineRule="auto"/>
              <w:rPr>
                <w:rFonts w:hint="eastAsia" w:ascii="仿宋" w:hAnsi="仿宋" w:eastAsia="仿宋" w:cs="仿宋"/>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lang w:val="zh-CN"/>
                </w:rPr>
              </w:sdtEndPr>
              <w:sdtContent>
                <w:r>
                  <w:rPr>
                    <w:rFonts w:hint="eastAsia" w:ascii="仿宋" w:hAnsi="仿宋" w:eastAsia="仿宋" w:cs="仿宋"/>
                    <w:color w:val="auto"/>
                    <w:kern w:val="0"/>
                    <w:sz w:val="24"/>
                    <w:highlight w:val="none"/>
                    <w:lang w:val="zh-CN"/>
                  </w:rPr>
                  <w:t>☐</w:t>
                </w:r>
              </w:sdtContent>
            </w:sdt>
            <w:r>
              <w:rPr>
                <w:rFonts w:hint="eastAsia" w:ascii="仿宋" w:hAnsi="仿宋" w:eastAsia="仿宋" w:cs="仿宋"/>
                <w:color w:val="auto"/>
                <w:kern w:val="0"/>
                <w:sz w:val="24"/>
                <w:highlight w:val="none"/>
                <w:lang w:val="zh-CN"/>
              </w:rPr>
              <w:t>依据国家确定的认证机构出具的、处于有效期之内的节能产品认证证书，对获得证书的产品实施政府优先采购或强制采购；其中，对产品名称</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实施政府优先采购，</w:t>
            </w:r>
            <w:r>
              <w:rPr>
                <w:rFonts w:hint="eastAsia" w:ascii="仿宋" w:hAnsi="仿宋" w:eastAsia="仿宋" w:cs="仿宋"/>
                <w:color w:val="auto"/>
                <w:kern w:val="0"/>
                <w:sz w:val="24"/>
                <w:highlight w:val="none"/>
              </w:rPr>
              <w:t>详</w:t>
            </w:r>
            <w:r>
              <w:rPr>
                <w:rFonts w:hint="eastAsia" w:ascii="仿宋" w:hAnsi="仿宋" w:eastAsia="仿宋" w:cs="仿宋"/>
                <w:color w:val="auto"/>
                <w:kern w:val="0"/>
                <w:sz w:val="24"/>
                <w:highlight w:val="none"/>
                <w:lang w:val="zh-CN"/>
              </w:rPr>
              <w:t>见评分标准；</w:t>
            </w:r>
          </w:p>
          <w:p w14:paraId="2C6284D6">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w:t>
            </w:r>
            <w:r>
              <w:rPr>
                <w:rFonts w:hint="eastAsia" w:ascii="仿宋" w:hAnsi="仿宋" w:eastAsia="仿宋" w:cs="仿宋"/>
                <w:b/>
                <w:bCs/>
                <w:color w:val="auto"/>
                <w:kern w:val="0"/>
                <w:sz w:val="24"/>
                <w:highlight w:val="none"/>
                <w:lang w:val="zh-CN"/>
              </w:rPr>
              <w:t>对产品名称</w:t>
            </w:r>
            <w:r>
              <w:rPr>
                <w:rFonts w:hint="eastAsia" w:ascii="仿宋" w:hAnsi="仿宋" w:eastAsia="仿宋" w:cs="仿宋"/>
                <w:b/>
                <w:bCs/>
                <w:color w:val="auto"/>
                <w:kern w:val="0"/>
                <w:sz w:val="24"/>
                <w:highlight w:val="none"/>
                <w:u w:val="single"/>
                <w:lang w:val="en-US" w:eastAsia="zh-CN"/>
              </w:rPr>
              <w:t xml:space="preserve">     </w:t>
            </w:r>
            <w:r>
              <w:rPr>
                <w:rFonts w:hint="eastAsia" w:ascii="仿宋" w:hAnsi="仿宋" w:eastAsia="仿宋" w:cs="仿宋"/>
                <w:b/>
                <w:bCs/>
                <w:color w:val="auto"/>
                <w:kern w:val="0"/>
                <w:sz w:val="24"/>
                <w:highlight w:val="none"/>
                <w:lang w:val="zh-CN"/>
              </w:rPr>
              <w:t>实施政府强制采购，投标人</w:t>
            </w:r>
            <w:r>
              <w:rPr>
                <w:rFonts w:hint="eastAsia" w:ascii="仿宋" w:hAnsi="仿宋" w:eastAsia="仿宋" w:cs="仿宋"/>
                <w:b/>
                <w:bCs/>
                <w:color w:val="auto"/>
                <w:kern w:val="0"/>
                <w:sz w:val="24"/>
                <w:highlight w:val="none"/>
              </w:rPr>
              <w:t>就</w:t>
            </w:r>
            <w:r>
              <w:rPr>
                <w:rFonts w:hint="eastAsia" w:ascii="仿宋" w:hAnsi="仿宋" w:eastAsia="仿宋" w:cs="仿宋"/>
                <w:b/>
                <w:bCs/>
                <w:color w:val="auto"/>
                <w:kern w:val="0"/>
                <w:sz w:val="24"/>
                <w:highlight w:val="none"/>
                <w:lang w:val="zh-CN"/>
              </w:rPr>
              <w:t>相应的投标产品未</w:t>
            </w:r>
            <w:r>
              <w:rPr>
                <w:rFonts w:hint="eastAsia" w:ascii="仿宋" w:hAnsi="仿宋" w:eastAsia="仿宋" w:cs="仿宋"/>
                <w:b/>
                <w:bCs/>
                <w:color w:val="auto"/>
                <w:kern w:val="0"/>
                <w:sz w:val="24"/>
                <w:highlight w:val="none"/>
              </w:rPr>
              <w:t>提供</w:t>
            </w:r>
            <w:r>
              <w:rPr>
                <w:rFonts w:hint="eastAsia" w:ascii="仿宋" w:hAnsi="仿宋" w:eastAsia="仿宋" w:cs="仿宋"/>
                <w:b/>
                <w:bCs/>
                <w:color w:val="auto"/>
                <w:kern w:val="0"/>
                <w:sz w:val="24"/>
                <w:highlight w:val="none"/>
                <w:lang w:val="zh-CN"/>
              </w:rPr>
              <w:t>国家确定的认证机构出具的、处于有效期之内的节能产品认证证书的，投标无效。</w:t>
            </w:r>
          </w:p>
          <w:p w14:paraId="2AD2AEC8">
            <w:pPr>
              <w:spacing w:line="360" w:lineRule="auto"/>
              <w:rPr>
                <w:rFonts w:hint="eastAsia" w:ascii="仿宋" w:hAnsi="仿宋" w:eastAsia="仿宋" w:cs="仿宋"/>
                <w:color w:val="auto"/>
                <w:kern w:val="0"/>
                <w:sz w:val="24"/>
                <w:highlight w:val="none"/>
                <w:lang w:val="zh-CN"/>
              </w:rPr>
            </w:pPr>
            <w:sdt>
              <w:sdtPr>
                <w:rPr>
                  <w:rFonts w:hint="eastAsia" w:ascii="宋体" w:hAnsi="宋体" w:cs="宋体"/>
                  <w:color w:val="auto"/>
                  <w:kern w:val="0"/>
                  <w:sz w:val="24"/>
                  <w:highlight w:val="none"/>
                </w:rPr>
                <w:id w:val="14748171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lang w:val="zh-CN"/>
                </w:rPr>
              </w:sdtEndPr>
              <w:sdtContent>
                <w:r>
                  <w:rPr>
                    <w:rFonts w:hint="eastAsia" w:ascii="Wingdings" w:hAnsi="Wingdings" w:eastAsia="仿宋" w:cs="仿宋"/>
                    <w:color w:val="auto"/>
                    <w:kern w:val="0"/>
                    <w:sz w:val="24"/>
                    <w:szCs w:val="24"/>
                    <w:highlight w:val="none"/>
                    <w:lang w:val="zh-CN" w:eastAsia="zh-CN" w:bidi="ar-SA"/>
                  </w:rPr>
                  <w:t>þ</w:t>
                </w:r>
              </w:sdtContent>
            </w:sdt>
            <w:r>
              <w:rPr>
                <w:rFonts w:hint="eastAsia" w:ascii="仿宋" w:hAnsi="仿宋" w:eastAsia="仿宋" w:cs="仿宋"/>
                <w:color w:val="auto"/>
                <w:kern w:val="0"/>
                <w:sz w:val="24"/>
                <w:highlight w:val="none"/>
                <w:lang w:val="zh-CN"/>
              </w:rPr>
              <w:t>依据国家确定的认证机构出具的、处于有效期之内的环境标志产品认证证书，对获得证书的本项目所有标的物实施政府优先采购，</w:t>
            </w:r>
            <w:r>
              <w:rPr>
                <w:rFonts w:hint="eastAsia" w:ascii="仿宋" w:hAnsi="仿宋" w:eastAsia="仿宋" w:cs="仿宋"/>
                <w:color w:val="auto"/>
                <w:kern w:val="0"/>
                <w:sz w:val="24"/>
                <w:highlight w:val="none"/>
              </w:rPr>
              <w:t>详</w:t>
            </w:r>
            <w:r>
              <w:rPr>
                <w:rFonts w:hint="eastAsia" w:ascii="仿宋" w:hAnsi="仿宋" w:eastAsia="仿宋" w:cs="仿宋"/>
                <w:color w:val="auto"/>
                <w:kern w:val="0"/>
                <w:sz w:val="24"/>
                <w:highlight w:val="none"/>
                <w:lang w:val="zh-CN"/>
              </w:rPr>
              <w:t>见评分标准。</w:t>
            </w:r>
          </w:p>
          <w:p w14:paraId="542BA1BF">
            <w:pPr>
              <w:snapToGrid w:val="0"/>
              <w:spacing w:line="360" w:lineRule="auto"/>
              <w:rPr>
                <w:rFonts w:ascii="仿宋" w:hAnsi="仿宋" w:eastAsia="仿宋" w:cs="仿宋"/>
                <w:color w:val="auto"/>
                <w:highlight w:val="none"/>
              </w:rPr>
            </w:pPr>
            <w:sdt>
              <w:sdtPr>
                <w:rPr>
                  <w:rFonts w:hint="eastAsia" w:ascii="仿宋" w:hAnsi="仿宋" w:eastAsia="仿宋" w:cs="仿宋"/>
                  <w:color w:val="auto"/>
                  <w:kern w:val="0"/>
                  <w:sz w:val="24"/>
                  <w:highlight w:val="none"/>
                </w:rPr>
                <w:id w:val="-37800363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无。</w:t>
            </w:r>
          </w:p>
        </w:tc>
      </w:tr>
      <w:tr w14:paraId="11F11B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14:paraId="5C8E6C47">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l2br w:val="nil"/>
              <w:tr2bl w:val="nil"/>
            </w:tcBorders>
            <w:vAlign w:val="center"/>
          </w:tcPr>
          <w:p w14:paraId="7728C6A1">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l2br w:val="nil"/>
              <w:tr2bl w:val="nil"/>
            </w:tcBorders>
            <w:vAlign w:val="center"/>
          </w:tcPr>
          <w:p w14:paraId="6C383EAB">
            <w:p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44872CE3">
            <w:p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73A1D71D">
            <w:pPr>
              <w:numPr>
                <w:ilvl w:val="0"/>
                <w:numId w:val="3"/>
              </w:num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0499006F">
            <w:pPr>
              <w:numPr>
                <w:ilvl w:val="0"/>
                <w:numId w:val="3"/>
              </w:num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758DE9BE">
            <w:pPr>
              <w:numPr>
                <w:ilvl w:val="0"/>
                <w:numId w:val="3"/>
              </w:num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78DC817C">
            <w:pPr>
              <w:numPr>
                <w:ilvl w:val="0"/>
                <w:numId w:val="3"/>
              </w:numPr>
              <w:snapToGrid w:val="0"/>
              <w:spacing w:line="360" w:lineRule="auto"/>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p>
        </w:tc>
      </w:tr>
      <w:tr w14:paraId="1653C0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14:paraId="5D62C920">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l2br w:val="nil"/>
              <w:tr2bl w:val="nil"/>
            </w:tcBorders>
            <w:vAlign w:val="center"/>
          </w:tcPr>
          <w:p w14:paraId="2485EF99">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l2br w:val="nil"/>
              <w:tr2bl w:val="nil"/>
            </w:tcBorders>
            <w:vAlign w:val="center"/>
          </w:tcPr>
          <w:p w14:paraId="169D5AA6">
            <w:pPr>
              <w:snapToGrid w:val="0"/>
              <w:spacing w:line="360" w:lineRule="auto"/>
              <w:ind w:firstLine="240" w:firstLineChars="100"/>
              <w:rPr>
                <w:rFonts w:ascii="仿宋" w:hAnsi="仿宋" w:eastAsia="仿宋" w:cs="仿宋"/>
                <w:b/>
                <w:color w:val="auto"/>
                <w:kern w:val="0"/>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54785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79" w:hRule="atLeast"/>
        </w:trPr>
        <w:tc>
          <w:tcPr>
            <w:tcW w:w="629" w:type="dxa"/>
            <w:tcBorders>
              <w:tl2br w:val="nil"/>
              <w:tr2bl w:val="nil"/>
            </w:tcBorders>
            <w:vAlign w:val="center"/>
          </w:tcPr>
          <w:p w14:paraId="75BD3CC5">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l2br w:val="nil"/>
              <w:tr2bl w:val="nil"/>
            </w:tcBorders>
            <w:vAlign w:val="center"/>
          </w:tcPr>
          <w:p w14:paraId="655C79FC">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 xml:space="preserve">备份投标文件送达地点和签收人员 </w:t>
            </w:r>
          </w:p>
        </w:tc>
        <w:tc>
          <w:tcPr>
            <w:tcW w:w="6095" w:type="dxa"/>
            <w:tcBorders>
              <w:tl2br w:val="nil"/>
              <w:tr2bl w:val="nil"/>
            </w:tcBorders>
            <w:vAlign w:val="center"/>
          </w:tcPr>
          <w:p w14:paraId="774E30DB">
            <w:pPr>
              <w:pStyle w:val="32"/>
              <w:snapToGrid w:val="0"/>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杭州市文三路90号东部软件园1号楼3楼307室</w:t>
            </w:r>
            <w:r>
              <w:rPr>
                <w:rFonts w:hint="eastAsia" w:ascii="仿宋" w:hAnsi="仿宋" w:eastAsia="仿宋" w:cs="仿宋"/>
                <w:color w:val="auto"/>
                <w:kern w:val="28"/>
                <w:sz w:val="24"/>
                <w:szCs w:val="24"/>
                <w:highlight w:val="none"/>
              </w:rPr>
              <w:t>；</w:t>
            </w:r>
          </w:p>
          <w:p w14:paraId="6EE5B38D">
            <w:pPr>
              <w:pStyle w:val="32"/>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备份投标文件签收联系人：</w:t>
            </w:r>
            <w:r>
              <w:rPr>
                <w:rFonts w:hint="eastAsia" w:ascii="仿宋" w:hAnsi="仿宋" w:eastAsia="仿宋" w:cs="仿宋"/>
                <w:color w:val="auto"/>
                <w:sz w:val="24"/>
                <w:szCs w:val="24"/>
                <w:highlight w:val="none"/>
                <w:u w:val="single"/>
                <w:lang w:val="en-US" w:eastAsia="zh-CN"/>
              </w:rPr>
              <w:t>苑洪春</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u w:val="single"/>
                <w:lang w:val="en-US" w:eastAsia="zh-CN"/>
              </w:rPr>
              <w:t>13065702633</w:t>
            </w:r>
            <w:r>
              <w:rPr>
                <w:rFonts w:hint="eastAsia" w:ascii="仿宋" w:hAnsi="仿宋" w:eastAsia="仿宋" w:cs="仿宋"/>
                <w:color w:val="auto"/>
                <w:sz w:val="24"/>
                <w:szCs w:val="24"/>
                <w:highlight w:val="none"/>
              </w:rPr>
              <w:t>。</w:t>
            </w:r>
          </w:p>
          <w:p w14:paraId="17A50A5B">
            <w:pPr>
              <w:pStyle w:val="32"/>
              <w:snapToGrid w:val="0"/>
              <w:spacing w:line="360" w:lineRule="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
                <w:color w:val="auto"/>
                <w:sz w:val="24"/>
                <w:szCs w:val="24"/>
                <w:highlight w:val="none"/>
              </w:rPr>
              <w:t>采购人、采购代理机构不强制或变相强制投标人提交备份投标文件。</w:t>
            </w:r>
          </w:p>
        </w:tc>
      </w:tr>
      <w:tr w14:paraId="24B8C1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tcBorders>
              <w:tl2br w:val="nil"/>
              <w:tr2bl w:val="nil"/>
            </w:tcBorders>
            <w:vAlign w:val="center"/>
          </w:tcPr>
          <w:p w14:paraId="3915AB7A">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l2br w:val="nil"/>
              <w:tr2bl w:val="nil"/>
            </w:tcBorders>
            <w:vAlign w:val="center"/>
          </w:tcPr>
          <w:p w14:paraId="01DD5A64">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采购代理服务费</w:t>
            </w:r>
          </w:p>
        </w:tc>
        <w:tc>
          <w:tcPr>
            <w:tcW w:w="6095" w:type="dxa"/>
            <w:tcBorders>
              <w:tl2br w:val="nil"/>
              <w:tr2bl w:val="nil"/>
            </w:tcBorders>
            <w:vAlign w:val="center"/>
          </w:tcPr>
          <w:p w14:paraId="1E4F0DB3">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本项目的采购代理费由中标人支付，以预算金额作为收费的计算基数，费用按以下计费标准的80%收取：</w:t>
            </w:r>
          </w:p>
          <w:tbl>
            <w:tblPr>
              <w:tblStyle w:val="62"/>
              <w:tblW w:w="5687" w:type="dxa"/>
              <w:tblInd w:w="1"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4"/>
              <w:gridCol w:w="1307"/>
              <w:gridCol w:w="1431"/>
              <w:gridCol w:w="1275"/>
            </w:tblGrid>
            <w:tr w14:paraId="0C103E1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0" w:hRule="atLeast"/>
              </w:trPr>
              <w:tc>
                <w:tcPr>
                  <w:tcW w:w="1674" w:type="dxa"/>
                  <w:vMerge w:val="restart"/>
                  <w:tcBorders>
                    <w:top w:val="double" w:color="000000" w:sz="6" w:space="0"/>
                    <w:left w:val="double" w:color="000000" w:sz="6" w:space="0"/>
                    <w:bottom w:val="single" w:color="000000" w:sz="6" w:space="0"/>
                    <w:right w:val="single" w:color="000000" w:sz="6" w:space="0"/>
                  </w:tcBorders>
                  <w:noWrap w:val="0"/>
                  <w:vAlign w:val="center"/>
                </w:tcPr>
                <w:p w14:paraId="5604A5C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预算金额（万元）</w:t>
                  </w:r>
                </w:p>
              </w:tc>
              <w:tc>
                <w:tcPr>
                  <w:tcW w:w="4013" w:type="dxa"/>
                  <w:gridSpan w:val="3"/>
                  <w:tcBorders>
                    <w:top w:val="double" w:color="000000" w:sz="6" w:space="0"/>
                    <w:left w:val="single" w:color="000000" w:sz="6" w:space="0"/>
                    <w:bottom w:val="single" w:color="auto" w:sz="4" w:space="0"/>
                    <w:right w:val="double" w:color="000000" w:sz="6" w:space="0"/>
                  </w:tcBorders>
                  <w:noWrap w:val="0"/>
                  <w:vAlign w:val="center"/>
                </w:tcPr>
                <w:p w14:paraId="5C6C763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服务类型</w:t>
                  </w:r>
                </w:p>
              </w:tc>
            </w:tr>
            <w:tr w14:paraId="36DDA3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trPr>
              <w:tc>
                <w:tcPr>
                  <w:tcW w:w="1674" w:type="dxa"/>
                  <w:vMerge w:val="continue"/>
                  <w:tcBorders>
                    <w:top w:val="single" w:color="000000" w:sz="6" w:space="0"/>
                    <w:left w:val="double" w:color="000000" w:sz="6" w:space="0"/>
                    <w:bottom w:val="single" w:color="000000" w:sz="6" w:space="0"/>
                    <w:right w:val="single" w:color="000000" w:sz="6" w:space="0"/>
                  </w:tcBorders>
                  <w:noWrap w:val="0"/>
                  <w:vAlign w:val="center"/>
                </w:tcPr>
                <w:p w14:paraId="3AB103D6">
                  <w:pPr>
                    <w:spacing w:line="360" w:lineRule="auto"/>
                    <w:rPr>
                      <w:rFonts w:hint="eastAsia" w:ascii="仿宋" w:hAnsi="仿宋" w:eastAsia="仿宋" w:cs="仿宋"/>
                      <w:color w:val="auto"/>
                      <w:sz w:val="24"/>
                      <w:szCs w:val="24"/>
                      <w:highlight w:val="none"/>
                    </w:rPr>
                  </w:pPr>
                </w:p>
              </w:tc>
              <w:tc>
                <w:tcPr>
                  <w:tcW w:w="1307" w:type="dxa"/>
                  <w:tcBorders>
                    <w:top w:val="single" w:color="auto" w:sz="4" w:space="0"/>
                    <w:left w:val="single" w:color="000000" w:sz="6" w:space="0"/>
                    <w:bottom w:val="single" w:color="auto" w:sz="4" w:space="0"/>
                    <w:right w:val="single" w:color="000000" w:sz="6" w:space="0"/>
                  </w:tcBorders>
                  <w:noWrap w:val="0"/>
                  <w:vAlign w:val="center"/>
                </w:tcPr>
                <w:p w14:paraId="6593F3B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货物招标</w:t>
                  </w:r>
                </w:p>
              </w:tc>
              <w:tc>
                <w:tcPr>
                  <w:tcW w:w="1431" w:type="dxa"/>
                  <w:tcBorders>
                    <w:top w:val="single" w:color="auto" w:sz="4" w:space="0"/>
                    <w:left w:val="single" w:color="000000" w:sz="6" w:space="0"/>
                    <w:bottom w:val="single" w:color="auto" w:sz="4" w:space="0"/>
                    <w:right w:val="single" w:color="000000" w:sz="6" w:space="0"/>
                  </w:tcBorders>
                  <w:noWrap w:val="0"/>
                  <w:vAlign w:val="center"/>
                </w:tcPr>
                <w:p w14:paraId="7658927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服务招标</w:t>
                  </w:r>
                </w:p>
              </w:tc>
              <w:tc>
                <w:tcPr>
                  <w:tcW w:w="1275" w:type="dxa"/>
                  <w:tcBorders>
                    <w:top w:val="single" w:color="auto" w:sz="4" w:space="0"/>
                    <w:left w:val="single" w:color="000000" w:sz="6" w:space="0"/>
                    <w:bottom w:val="single" w:color="auto" w:sz="4" w:space="0"/>
                    <w:right w:val="double" w:color="000000" w:sz="6" w:space="0"/>
                  </w:tcBorders>
                  <w:noWrap w:val="0"/>
                  <w:vAlign w:val="center"/>
                </w:tcPr>
                <w:p w14:paraId="09A6AE1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工程招标</w:t>
                  </w:r>
                </w:p>
              </w:tc>
            </w:tr>
            <w:tr w14:paraId="138E426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0" w:hRule="atLeast"/>
              </w:trPr>
              <w:tc>
                <w:tcPr>
                  <w:tcW w:w="1674" w:type="dxa"/>
                  <w:vMerge w:val="continue"/>
                  <w:tcBorders>
                    <w:top w:val="single" w:color="000000" w:sz="6" w:space="0"/>
                    <w:left w:val="double" w:color="000000" w:sz="6" w:space="0"/>
                    <w:bottom w:val="single" w:color="000000" w:sz="6" w:space="0"/>
                    <w:right w:val="single" w:color="000000" w:sz="6" w:space="0"/>
                  </w:tcBorders>
                  <w:noWrap w:val="0"/>
                  <w:vAlign w:val="center"/>
                </w:tcPr>
                <w:p w14:paraId="7E2993FE">
                  <w:pPr>
                    <w:spacing w:line="360" w:lineRule="auto"/>
                    <w:rPr>
                      <w:rFonts w:hint="eastAsia" w:ascii="仿宋" w:hAnsi="仿宋" w:eastAsia="仿宋" w:cs="仿宋"/>
                      <w:color w:val="auto"/>
                      <w:sz w:val="24"/>
                      <w:szCs w:val="24"/>
                      <w:highlight w:val="none"/>
                    </w:rPr>
                  </w:pPr>
                </w:p>
              </w:tc>
              <w:tc>
                <w:tcPr>
                  <w:tcW w:w="4013" w:type="dxa"/>
                  <w:gridSpan w:val="3"/>
                  <w:tcBorders>
                    <w:top w:val="single" w:color="auto" w:sz="4" w:space="0"/>
                    <w:left w:val="single" w:color="000000" w:sz="6" w:space="0"/>
                    <w:bottom w:val="single" w:color="000000" w:sz="6" w:space="0"/>
                    <w:right w:val="double" w:color="000000" w:sz="6" w:space="0"/>
                  </w:tcBorders>
                  <w:noWrap w:val="0"/>
                  <w:vAlign w:val="center"/>
                </w:tcPr>
                <w:p w14:paraId="1E0E501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费率</w:t>
                  </w:r>
                </w:p>
              </w:tc>
            </w:tr>
            <w:tr w14:paraId="3BEF8BF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single" w:color="000000" w:sz="6" w:space="0"/>
                    <w:right w:val="single" w:color="000000" w:sz="6" w:space="0"/>
                  </w:tcBorders>
                  <w:noWrap w:val="0"/>
                  <w:vAlign w:val="center"/>
                </w:tcPr>
                <w:p w14:paraId="39590F0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100以下</w:t>
                  </w:r>
                </w:p>
              </w:tc>
              <w:tc>
                <w:tcPr>
                  <w:tcW w:w="1307" w:type="dxa"/>
                  <w:tcBorders>
                    <w:top w:val="single" w:color="000000" w:sz="6" w:space="0"/>
                    <w:left w:val="single" w:color="000000" w:sz="6" w:space="0"/>
                    <w:bottom w:val="single" w:color="000000" w:sz="6" w:space="0"/>
                    <w:right w:val="single" w:color="000000" w:sz="6" w:space="0"/>
                  </w:tcBorders>
                  <w:noWrap w:val="0"/>
                  <w:vAlign w:val="center"/>
                </w:tcPr>
                <w:p w14:paraId="1276E4F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431" w:type="dxa"/>
                  <w:tcBorders>
                    <w:top w:val="single" w:color="000000" w:sz="6" w:space="0"/>
                    <w:left w:val="single" w:color="000000" w:sz="6" w:space="0"/>
                    <w:bottom w:val="single" w:color="000000" w:sz="6" w:space="0"/>
                    <w:right w:val="single" w:color="000000" w:sz="6" w:space="0"/>
                  </w:tcBorders>
                  <w:noWrap w:val="0"/>
                  <w:vAlign w:val="center"/>
                </w:tcPr>
                <w:p w14:paraId="7C45728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275" w:type="dxa"/>
                  <w:tcBorders>
                    <w:top w:val="single" w:color="000000" w:sz="6" w:space="0"/>
                    <w:left w:val="single" w:color="000000" w:sz="6" w:space="0"/>
                    <w:bottom w:val="single" w:color="000000" w:sz="6" w:space="0"/>
                    <w:right w:val="double" w:color="000000" w:sz="6" w:space="0"/>
                  </w:tcBorders>
                  <w:noWrap w:val="0"/>
                  <w:vAlign w:val="center"/>
                </w:tcPr>
                <w:p w14:paraId="681F7B7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r>
            <w:tr w14:paraId="5C236FD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single" w:color="000000" w:sz="6" w:space="0"/>
                    <w:right w:val="single" w:color="000000" w:sz="6" w:space="0"/>
                  </w:tcBorders>
                  <w:noWrap w:val="0"/>
                  <w:vAlign w:val="center"/>
                </w:tcPr>
                <w:p w14:paraId="7D76568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100-500</w:t>
                  </w:r>
                </w:p>
              </w:tc>
              <w:tc>
                <w:tcPr>
                  <w:tcW w:w="1307" w:type="dxa"/>
                  <w:tcBorders>
                    <w:top w:val="single" w:color="000000" w:sz="6" w:space="0"/>
                    <w:left w:val="single" w:color="000000" w:sz="6" w:space="0"/>
                    <w:bottom w:val="single" w:color="000000" w:sz="6" w:space="0"/>
                    <w:right w:val="single" w:color="000000" w:sz="6" w:space="0"/>
                  </w:tcBorders>
                  <w:noWrap w:val="0"/>
                  <w:vAlign w:val="center"/>
                </w:tcPr>
                <w:p w14:paraId="204B99E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431" w:type="dxa"/>
                  <w:tcBorders>
                    <w:top w:val="single" w:color="000000" w:sz="6" w:space="0"/>
                    <w:left w:val="single" w:color="000000" w:sz="6" w:space="0"/>
                    <w:bottom w:val="single" w:color="000000" w:sz="6" w:space="0"/>
                    <w:right w:val="single" w:color="000000" w:sz="6" w:space="0"/>
                  </w:tcBorders>
                  <w:noWrap w:val="0"/>
                  <w:vAlign w:val="center"/>
                </w:tcPr>
                <w:p w14:paraId="5605835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1275" w:type="dxa"/>
                  <w:tcBorders>
                    <w:top w:val="single" w:color="000000" w:sz="6" w:space="0"/>
                    <w:left w:val="single" w:color="000000" w:sz="6" w:space="0"/>
                    <w:bottom w:val="single" w:color="000000" w:sz="6" w:space="0"/>
                    <w:right w:val="double" w:color="000000" w:sz="6" w:space="0"/>
                  </w:tcBorders>
                  <w:noWrap w:val="0"/>
                  <w:vAlign w:val="center"/>
                </w:tcPr>
                <w:p w14:paraId="785EC5E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w:t>
                  </w:r>
                </w:p>
              </w:tc>
            </w:tr>
            <w:tr w14:paraId="109CF8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single" w:color="000000" w:sz="6" w:space="0"/>
                    <w:right w:val="single" w:color="000000" w:sz="6" w:space="0"/>
                  </w:tcBorders>
                  <w:noWrap w:val="0"/>
                  <w:vAlign w:val="center"/>
                </w:tcPr>
                <w:p w14:paraId="1A693FF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500-1000</w:t>
                  </w:r>
                </w:p>
              </w:tc>
              <w:tc>
                <w:tcPr>
                  <w:tcW w:w="1307" w:type="dxa"/>
                  <w:tcBorders>
                    <w:top w:val="single" w:color="000000" w:sz="6" w:space="0"/>
                    <w:left w:val="single" w:color="000000" w:sz="6" w:space="0"/>
                    <w:bottom w:val="single" w:color="000000" w:sz="6" w:space="0"/>
                    <w:right w:val="single" w:color="000000" w:sz="6" w:space="0"/>
                  </w:tcBorders>
                  <w:noWrap w:val="0"/>
                  <w:vAlign w:val="center"/>
                </w:tcPr>
                <w:p w14:paraId="10B0024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1431" w:type="dxa"/>
                  <w:tcBorders>
                    <w:top w:val="single" w:color="000000" w:sz="6" w:space="0"/>
                    <w:left w:val="single" w:color="000000" w:sz="6" w:space="0"/>
                    <w:bottom w:val="single" w:color="000000" w:sz="6" w:space="0"/>
                    <w:right w:val="single" w:color="000000" w:sz="6" w:space="0"/>
                  </w:tcBorders>
                  <w:noWrap w:val="0"/>
                  <w:vAlign w:val="center"/>
                </w:tcPr>
                <w:p w14:paraId="1A4165C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0.45%</w:t>
                  </w:r>
                </w:p>
              </w:tc>
              <w:tc>
                <w:tcPr>
                  <w:tcW w:w="1275" w:type="dxa"/>
                  <w:tcBorders>
                    <w:top w:val="single" w:color="000000" w:sz="6" w:space="0"/>
                    <w:left w:val="single" w:color="000000" w:sz="6" w:space="0"/>
                    <w:bottom w:val="single" w:color="000000" w:sz="6" w:space="0"/>
                    <w:right w:val="double" w:color="000000" w:sz="6" w:space="0"/>
                  </w:tcBorders>
                  <w:noWrap w:val="0"/>
                  <w:vAlign w:val="center"/>
                </w:tcPr>
                <w:p w14:paraId="61E1A43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0.55%</w:t>
                  </w:r>
                </w:p>
              </w:tc>
            </w:tr>
            <w:tr w14:paraId="0867E66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double" w:color="000000" w:sz="6" w:space="0"/>
                    <w:right w:val="single" w:color="000000" w:sz="6" w:space="0"/>
                  </w:tcBorders>
                  <w:noWrap w:val="0"/>
                  <w:vAlign w:val="center"/>
                </w:tcPr>
                <w:p w14:paraId="1D17003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1000-5000</w:t>
                  </w:r>
                </w:p>
              </w:tc>
              <w:tc>
                <w:tcPr>
                  <w:tcW w:w="1307" w:type="dxa"/>
                  <w:tcBorders>
                    <w:top w:val="single" w:color="000000" w:sz="6" w:space="0"/>
                    <w:left w:val="single" w:color="000000" w:sz="6" w:space="0"/>
                    <w:bottom w:val="double" w:color="000000" w:sz="6" w:space="0"/>
                    <w:right w:val="single" w:color="000000" w:sz="6" w:space="0"/>
                  </w:tcBorders>
                  <w:noWrap w:val="0"/>
                  <w:vAlign w:val="center"/>
                </w:tcPr>
                <w:p w14:paraId="6CF518A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0.5%</w:t>
                  </w:r>
                </w:p>
              </w:tc>
              <w:tc>
                <w:tcPr>
                  <w:tcW w:w="1431" w:type="dxa"/>
                  <w:tcBorders>
                    <w:top w:val="single" w:color="000000" w:sz="6" w:space="0"/>
                    <w:left w:val="single" w:color="000000" w:sz="6" w:space="0"/>
                    <w:bottom w:val="double" w:color="000000" w:sz="6" w:space="0"/>
                    <w:right w:val="single" w:color="000000" w:sz="6" w:space="0"/>
                  </w:tcBorders>
                  <w:noWrap w:val="0"/>
                  <w:vAlign w:val="center"/>
                </w:tcPr>
                <w:p w14:paraId="247FF08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0.25%</w:t>
                  </w:r>
                </w:p>
              </w:tc>
              <w:tc>
                <w:tcPr>
                  <w:tcW w:w="1275" w:type="dxa"/>
                  <w:tcBorders>
                    <w:top w:val="single" w:color="000000" w:sz="6" w:space="0"/>
                    <w:left w:val="single" w:color="000000" w:sz="6" w:space="0"/>
                    <w:bottom w:val="double" w:color="000000" w:sz="6" w:space="0"/>
                    <w:right w:val="double" w:color="000000" w:sz="6" w:space="0"/>
                  </w:tcBorders>
                  <w:noWrap w:val="0"/>
                  <w:vAlign w:val="center"/>
                </w:tcPr>
                <w:p w14:paraId="4D59D93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0.35%</w:t>
                  </w:r>
                </w:p>
              </w:tc>
            </w:tr>
          </w:tbl>
          <w:p w14:paraId="24E6522D">
            <w:pPr>
              <w:snapToGrid w:val="0"/>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结算方式及时间为：中标之日起5个工作日之内一次性支付给招标代理公司。</w:t>
            </w:r>
          </w:p>
          <w:p w14:paraId="61B752BC">
            <w:pPr>
              <w:pStyle w:val="32"/>
              <w:snapToGrid w:val="0"/>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付款账号：</w:t>
            </w:r>
          </w:p>
          <w:p w14:paraId="37701ACE">
            <w:pPr>
              <w:snapToGrid w:val="0"/>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收款单位（户名）：</w:t>
            </w:r>
            <w:r>
              <w:rPr>
                <w:rFonts w:hint="eastAsia" w:ascii="仿宋" w:hAnsi="仿宋" w:eastAsia="仿宋" w:cs="仿宋"/>
                <w:color w:val="auto"/>
                <w:sz w:val="24"/>
                <w:szCs w:val="24"/>
                <w:highlight w:val="none"/>
              </w:rPr>
              <w:t>浙江国际招投标有限公司</w:t>
            </w:r>
          </w:p>
          <w:p w14:paraId="6F2F6343">
            <w:pPr>
              <w:snapToGrid w:val="0"/>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开户银行：中国工商银行杭州武林支行</w:t>
            </w:r>
          </w:p>
          <w:p w14:paraId="45DAAA6D">
            <w:pPr>
              <w:snapToGrid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napToGrid w:val="0"/>
                <w:color w:val="auto"/>
                <w:kern w:val="28"/>
                <w:sz w:val="24"/>
                <w:szCs w:val="24"/>
                <w:highlight w:val="none"/>
              </w:rPr>
              <w:t>银行账号：1202021209906782015</w:t>
            </w:r>
            <w:r>
              <w:rPr>
                <w:rFonts w:hint="eastAsia" w:ascii="仿宋" w:hAnsi="仿宋" w:eastAsia="仿宋" w:cs="仿宋"/>
                <w:snapToGrid w:val="0"/>
                <w:color w:val="auto"/>
                <w:kern w:val="28"/>
                <w:sz w:val="24"/>
                <w:szCs w:val="24"/>
                <w:highlight w:val="none"/>
              </w:rPr>
              <w:br w:type="textWrapping"/>
            </w:r>
            <w:r>
              <w:rPr>
                <w:rFonts w:hint="eastAsia" w:ascii="仿宋" w:hAnsi="仿宋" w:eastAsia="仿宋" w:cs="仿宋"/>
                <w:color w:val="auto"/>
                <w:kern w:val="28"/>
                <w:sz w:val="24"/>
                <w:szCs w:val="24"/>
                <w:highlight w:val="none"/>
              </w:rPr>
              <w:t>说明：中标、成交供应商放弃中标、成交资格导致重新采购的，应当承担支付代理费和专家评审费等费用在内的赔偿责任。</w:t>
            </w:r>
          </w:p>
        </w:tc>
      </w:tr>
      <w:tr w14:paraId="499892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Merge w:val="restart"/>
            <w:tcBorders>
              <w:tl2br w:val="nil"/>
              <w:tr2bl w:val="nil"/>
            </w:tcBorders>
            <w:vAlign w:val="center"/>
          </w:tcPr>
          <w:p w14:paraId="6B14FA95">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vMerge w:val="restart"/>
            <w:tcBorders>
              <w:tl2br w:val="nil"/>
              <w:tr2bl w:val="nil"/>
            </w:tcBorders>
            <w:vAlign w:val="center"/>
          </w:tcPr>
          <w:p w14:paraId="5BFFEBDD">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联合体投标说明</w:t>
            </w:r>
          </w:p>
        </w:tc>
        <w:tc>
          <w:tcPr>
            <w:tcW w:w="6095" w:type="dxa"/>
            <w:tcBorders>
              <w:tl2br w:val="nil"/>
              <w:tr2bl w:val="nil"/>
            </w:tcBorders>
            <w:vAlign w:val="center"/>
          </w:tcPr>
          <w:p w14:paraId="53506512">
            <w:pPr>
              <w:pStyle w:val="32"/>
              <w:snapToGrid w:val="0"/>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业绩证明材料</w:t>
            </w:r>
          </w:p>
          <w:p w14:paraId="44454D1B">
            <w:pPr>
              <w:pStyle w:val="32"/>
              <w:snapToGrid w:val="0"/>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☐联合体投标的，按联合体协议约定的分工内容出具相应的业绩证明材料。承担相同工作的各方或工作内容存在部 分相同的，业绩数量以提供材料较少的一方为准。</w:t>
            </w:r>
          </w:p>
          <w:p w14:paraId="3FE74908">
            <w:pPr>
              <w:pStyle w:val="32"/>
              <w:snapToGrid w:val="0"/>
              <w:spacing w:line="360" w:lineRule="auto"/>
              <w:rPr>
                <w:rFonts w:ascii="仿宋" w:hAnsi="仿宋" w:eastAsia="仿宋" w:cs="仿宋"/>
                <w:color w:val="auto"/>
                <w:kern w:val="28"/>
                <w:sz w:val="24"/>
                <w:szCs w:val="24"/>
                <w:highlight w:val="none"/>
              </w:rPr>
            </w:pPr>
            <w:sdt>
              <w:sdtPr>
                <w:rPr>
                  <w:rFonts w:hint="eastAsia" w:ascii="仿宋" w:hAnsi="仿宋" w:eastAsia="仿宋" w:cs="仿宋"/>
                  <w:color w:val="auto"/>
                  <w:kern w:val="0"/>
                  <w:sz w:val="24"/>
                  <w:highlight w:val="none"/>
                </w:rPr>
                <w:id w:val="14748035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28"/>
                <w:sz w:val="24"/>
                <w:szCs w:val="24"/>
                <w:highlight w:val="none"/>
              </w:rPr>
              <w:t>联合体投标的，由联合体牵头方出具相应的业绩证明材料。</w:t>
            </w:r>
          </w:p>
          <w:p w14:paraId="28053481">
            <w:pPr>
              <w:pStyle w:val="32"/>
              <w:snapToGrid w:val="0"/>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☐其他规定：</w:t>
            </w:r>
          </w:p>
        </w:tc>
      </w:tr>
      <w:tr w14:paraId="0C8567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189" w:hRule="atLeast"/>
        </w:trPr>
        <w:tc>
          <w:tcPr>
            <w:tcW w:w="629" w:type="dxa"/>
            <w:vMerge w:val="continue"/>
            <w:tcBorders>
              <w:tl2br w:val="nil"/>
              <w:tr2bl w:val="nil"/>
            </w:tcBorders>
            <w:vAlign w:val="center"/>
          </w:tcPr>
          <w:p w14:paraId="56A61963">
            <w:pPr>
              <w:snapToGrid w:val="0"/>
              <w:spacing w:line="360" w:lineRule="auto"/>
              <w:jc w:val="center"/>
              <w:rPr>
                <w:rFonts w:ascii="仿宋" w:hAnsi="仿宋" w:eastAsia="仿宋" w:cs="仿宋"/>
                <w:color w:val="auto"/>
                <w:sz w:val="24"/>
                <w:highlight w:val="none"/>
              </w:rPr>
            </w:pPr>
          </w:p>
        </w:tc>
        <w:tc>
          <w:tcPr>
            <w:tcW w:w="1843" w:type="dxa"/>
            <w:vMerge w:val="continue"/>
            <w:tcBorders>
              <w:tl2br w:val="nil"/>
              <w:tr2bl w:val="nil"/>
            </w:tcBorders>
            <w:vAlign w:val="center"/>
          </w:tcPr>
          <w:p w14:paraId="6899F29A">
            <w:pPr>
              <w:snapToGrid w:val="0"/>
              <w:spacing w:line="360" w:lineRule="auto"/>
              <w:jc w:val="center"/>
              <w:rPr>
                <w:rFonts w:ascii="仿宋" w:hAnsi="仿宋" w:eastAsia="仿宋" w:cs="仿宋"/>
                <w:b/>
                <w:color w:val="auto"/>
                <w:sz w:val="24"/>
                <w:highlight w:val="none"/>
              </w:rPr>
            </w:pPr>
          </w:p>
        </w:tc>
        <w:tc>
          <w:tcPr>
            <w:tcW w:w="6095" w:type="dxa"/>
            <w:tcBorders>
              <w:tl2br w:val="nil"/>
              <w:tr2bl w:val="nil"/>
            </w:tcBorders>
            <w:vAlign w:val="center"/>
          </w:tcPr>
          <w:p w14:paraId="0501747D">
            <w:pPr>
              <w:pStyle w:val="32"/>
              <w:snapToGrid w:val="0"/>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其他资信证明材料</w:t>
            </w:r>
          </w:p>
          <w:p w14:paraId="0DAC531F">
            <w:pPr>
              <w:pStyle w:val="32"/>
              <w:snapToGrid w:val="0"/>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☐联合体投标的，联合体各方均需按招标文件第四部分评标标准要求提供资信证明文件，否则视为不符合相关要求。</w:t>
            </w:r>
          </w:p>
          <w:p w14:paraId="1CB770F3">
            <w:pPr>
              <w:pStyle w:val="32"/>
              <w:snapToGrid w:val="0"/>
              <w:spacing w:line="360" w:lineRule="auto"/>
              <w:rPr>
                <w:rFonts w:ascii="仿宋" w:hAnsi="仿宋" w:eastAsia="仿宋" w:cs="仿宋"/>
                <w:color w:val="auto"/>
                <w:kern w:val="28"/>
                <w:sz w:val="24"/>
                <w:szCs w:val="24"/>
                <w:highlight w:val="none"/>
              </w:rPr>
            </w:pPr>
            <w:sdt>
              <w:sdtPr>
                <w:rPr>
                  <w:rFonts w:hint="eastAsia" w:ascii="仿宋" w:hAnsi="仿宋" w:eastAsia="仿宋" w:cs="仿宋"/>
                  <w:color w:val="auto"/>
                  <w:kern w:val="0"/>
                  <w:sz w:val="24"/>
                  <w:highlight w:val="none"/>
                </w:rPr>
                <w:id w:val="14745468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28"/>
                <w:sz w:val="24"/>
                <w:szCs w:val="24"/>
                <w:highlight w:val="none"/>
              </w:rPr>
              <w:t>联合体投标的，联合体牵头方或者联合体成员根据分工按招标文件第四部分评标标准要求提供资信证明文件的，视为符合了相关要求。</w:t>
            </w:r>
          </w:p>
          <w:p w14:paraId="5DA1D658">
            <w:pPr>
              <w:pStyle w:val="32"/>
              <w:snapToGrid w:val="0"/>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☐其他规定：</w:t>
            </w:r>
          </w:p>
        </w:tc>
      </w:tr>
      <w:tr w14:paraId="1457FF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29" w:type="dxa"/>
            <w:tcBorders>
              <w:tl2br w:val="nil"/>
              <w:tr2bl w:val="nil"/>
            </w:tcBorders>
            <w:vAlign w:val="center"/>
          </w:tcPr>
          <w:p w14:paraId="5BB2620C">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tcBorders>
              <w:tl2br w:val="nil"/>
              <w:tr2bl w:val="nil"/>
            </w:tcBorders>
            <w:vAlign w:val="center"/>
          </w:tcPr>
          <w:p w14:paraId="1BE36CC3">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l2br w:val="nil"/>
              <w:tr2bl w:val="nil"/>
            </w:tcBorders>
            <w:vAlign w:val="center"/>
          </w:tcPr>
          <w:p w14:paraId="28E3F134">
            <w:pPr>
              <w:snapToGrid w:val="0"/>
              <w:spacing w:line="360" w:lineRule="auto"/>
              <w:rPr>
                <w:rFonts w:hint="eastAsia" w:ascii="仿宋" w:hAnsi="仿宋" w:eastAsia="仿宋" w:cs="仿宋"/>
                <w:snapToGrid w:val="0"/>
                <w:color w:val="auto"/>
                <w:kern w:val="28"/>
                <w:sz w:val="24"/>
                <w:highlight w:val="none"/>
                <w:u w:val="single"/>
                <w:lang w:eastAsia="zh-CN"/>
              </w:rPr>
            </w:pPr>
            <w:r>
              <w:rPr>
                <w:rFonts w:hint="eastAsia" w:ascii="仿宋" w:hAnsi="仿宋" w:eastAsia="仿宋" w:cs="仿宋"/>
                <w:snapToGrid w:val="0"/>
                <w:color w:val="auto"/>
                <w:kern w:val="28"/>
                <w:sz w:val="24"/>
                <w:highlight w:val="none"/>
                <w:lang w:eastAsia="zh-CN"/>
              </w:rPr>
              <w:t>☑</w:t>
            </w:r>
            <w:r>
              <w:rPr>
                <w:rFonts w:hint="eastAsia" w:ascii="仿宋" w:hAnsi="仿宋" w:eastAsia="仿宋" w:cs="仿宋"/>
                <w:snapToGrid w:val="0"/>
                <w:color w:val="auto"/>
                <w:kern w:val="28"/>
                <w:sz w:val="24"/>
                <w:highlight w:val="none"/>
              </w:rPr>
              <w:t>有，</w:t>
            </w:r>
            <w:r>
              <w:rPr>
                <w:rFonts w:hint="eastAsia" w:ascii="仿宋" w:hAnsi="仿宋" w:eastAsia="仿宋" w:cs="仿宋"/>
                <w:snapToGrid w:val="0"/>
                <w:color w:val="auto"/>
                <w:kern w:val="28"/>
                <w:sz w:val="24"/>
                <w:highlight w:val="none"/>
                <w:lang w:val="en-US" w:eastAsia="zh-CN"/>
              </w:rPr>
              <w:t>以联合体形式参加政府采购活动的，其质疑应当由组成联合体的所有供应商共同提出。</w:t>
            </w:r>
          </w:p>
          <w:p w14:paraId="3758F311">
            <w:pPr>
              <w:pStyle w:val="2"/>
              <w:autoSpaceDE/>
              <w:autoSpaceDN/>
              <w:snapToGrid w:val="0"/>
              <w:spacing w:line="360" w:lineRule="auto"/>
              <w:rPr>
                <w:rFonts w:ascii="仿宋" w:hAnsi="仿宋" w:eastAsia="仿宋" w:cs="仿宋"/>
                <w:color w:val="auto"/>
                <w:highlight w:val="none"/>
              </w:rPr>
            </w:pPr>
            <w:r>
              <w:rPr>
                <w:rFonts w:hint="eastAsia" w:ascii="仿宋" w:hAnsi="仿宋" w:eastAsia="仿宋" w:cs="仿宋"/>
                <w:color w:val="auto"/>
                <w:kern w:val="28"/>
                <w:sz w:val="24"/>
                <w:szCs w:val="24"/>
                <w:highlight w:val="none"/>
              </w:rPr>
              <w:t>☐</w:t>
            </w:r>
            <w:r>
              <w:rPr>
                <w:rFonts w:hint="eastAsia" w:ascii="仿宋" w:hAnsi="仿宋" w:eastAsia="仿宋" w:cs="仿宋"/>
                <w:color w:val="auto"/>
                <w:kern w:val="28"/>
                <w:highlight w:val="none"/>
              </w:rPr>
              <w:t>无</w:t>
            </w:r>
            <w:r>
              <w:rPr>
                <w:rFonts w:hint="eastAsia" w:ascii="仿宋" w:hAnsi="仿宋" w:eastAsia="仿宋" w:cs="仿宋"/>
                <w:b/>
                <w:color w:val="auto"/>
                <w:kern w:val="0"/>
                <w:highlight w:val="none"/>
              </w:rPr>
              <w:t>。</w:t>
            </w:r>
          </w:p>
        </w:tc>
      </w:tr>
    </w:tbl>
    <w:p w14:paraId="53051A61">
      <w:pPr>
        <w:snapToGrid w:val="0"/>
        <w:spacing w:line="360" w:lineRule="auto"/>
        <w:rPr>
          <w:rFonts w:ascii="仿宋" w:hAnsi="仿宋" w:eastAsia="仿宋" w:cs="仿宋"/>
          <w:b/>
          <w:color w:val="auto"/>
          <w:sz w:val="32"/>
          <w:szCs w:val="20"/>
          <w:highlight w:val="none"/>
        </w:rPr>
      </w:pPr>
    </w:p>
    <w:bookmarkEnd w:id="11"/>
    <w:p w14:paraId="74640D59">
      <w:pPr>
        <w:rPr>
          <w:rFonts w:ascii="仿宋" w:hAnsi="仿宋" w:eastAsia="仿宋" w:cs="仿宋"/>
          <w:b/>
          <w:color w:val="auto"/>
          <w:sz w:val="32"/>
          <w:szCs w:val="20"/>
          <w:highlight w:val="none"/>
        </w:rPr>
      </w:pPr>
      <w:bookmarkStart w:id="13" w:name="_Toc164416483"/>
      <w:bookmarkStart w:id="14" w:name="第三部分"/>
      <w:r>
        <w:rPr>
          <w:rFonts w:hint="eastAsia" w:ascii="仿宋" w:hAnsi="仿宋" w:eastAsia="仿宋" w:cs="仿宋"/>
          <w:b/>
          <w:color w:val="auto"/>
          <w:sz w:val="32"/>
          <w:szCs w:val="20"/>
          <w:highlight w:val="none"/>
        </w:rPr>
        <w:br w:type="page"/>
      </w:r>
    </w:p>
    <w:p w14:paraId="65720E81">
      <w:pPr>
        <w:adjustRightInd/>
        <w:spacing w:line="360" w:lineRule="auto"/>
        <w:jc w:val="center"/>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3818F63B">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适用范围</w:t>
      </w:r>
    </w:p>
    <w:p w14:paraId="097D4B10">
      <w:pPr>
        <w:snapToGrid w:val="0"/>
        <w:spacing w:line="360" w:lineRule="auto"/>
        <w:ind w:firstLine="480" w:firstLineChars="200"/>
        <w:jc w:val="left"/>
        <w:rPr>
          <w:rFonts w:ascii="仿宋" w:hAnsi="仿宋" w:eastAsia="仿宋" w:cs="仿宋"/>
          <w:color w:val="auto"/>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7AB1670C">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定义</w:t>
      </w:r>
    </w:p>
    <w:p w14:paraId="5047508E">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“采购人”系指招标公告中载明的本项目的采购人。</w:t>
      </w:r>
    </w:p>
    <w:p w14:paraId="1C78C1AD">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“采购代理机构”系指招标公告中载明的本项目的采购代理机构。</w:t>
      </w:r>
    </w:p>
    <w:p w14:paraId="11CD9146">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“投标人”系指响应招标、参加投标竞争的法人、其他组织或者自然人。</w:t>
      </w:r>
    </w:p>
    <w:p w14:paraId="16BEDCA3">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“负责人”系指法人企业的法定负责人，或其他组织为法律、行政法规规定代表单位行使职权的主要负责人，或自然人本人。</w:t>
      </w:r>
    </w:p>
    <w:p w14:paraId="3AA09DE8">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1741387">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“电子交易平台”是指本项目政府采购活动所依托的政府采购云平台（https://www.zcygov.cn/）。</w:t>
      </w:r>
    </w:p>
    <w:p w14:paraId="0006FF42">
      <w:pPr>
        <w:numPr>
          <w:ilvl w:val="1"/>
          <w:numId w:val="4"/>
        </w:numPr>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“▲”系指实质性要求条款，“</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6600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14:paraId="0FEF7689">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采购项目需要落实的政府采购政策</w:t>
      </w:r>
    </w:p>
    <w:p w14:paraId="30816B24">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1D18B6E1">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支持绿色发展</w:t>
      </w:r>
    </w:p>
    <w:p w14:paraId="03573F99">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6D77FDC1">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76D082F7">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14:paraId="622C6C07">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r>
        <w:rPr>
          <w:rFonts w:hint="eastAsia" w:ascii="仿宋" w:hAnsi="仿宋" w:eastAsia="仿宋" w:cs="仿宋"/>
          <w:color w:val="auto"/>
          <w:sz w:val="24"/>
          <w:highlight w:val="none"/>
          <w:lang w:eastAsia="zh-CN"/>
        </w:rPr>
        <w:t>。</w:t>
      </w:r>
    </w:p>
    <w:p w14:paraId="75A8C748">
      <w:pPr>
        <w:numPr>
          <w:ilvl w:val="2"/>
          <w:numId w:val="4"/>
        </w:numPr>
        <w:spacing w:line="360" w:lineRule="auto"/>
        <w:rPr>
          <w:rFonts w:ascii="仿宋" w:hAnsi="仿宋" w:eastAsia="仿宋" w:cs="仿宋"/>
          <w:color w:val="auto"/>
          <w:highlight w:val="none"/>
        </w:rPr>
      </w:pPr>
      <w:r>
        <w:rPr>
          <w:rFonts w:hint="eastAsia" w:ascii="仿宋" w:hAnsi="仿宋" w:eastAsia="仿宋" w:cs="仿宋"/>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68BB2C4">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支持中小企业发展</w:t>
      </w:r>
    </w:p>
    <w:p w14:paraId="5E753204">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15625C0">
      <w:pPr>
        <w:spacing w:line="360" w:lineRule="auto"/>
        <w:ind w:firstLine="840" w:firstLineChars="35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72D8B88E">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783F009">
      <w:pPr>
        <w:widowControl/>
        <w:spacing w:line="360" w:lineRule="auto"/>
        <w:ind w:firstLine="720" w:firstLineChars="3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0538A90">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b/>
          <w:bCs/>
          <w:color w:val="auto"/>
          <w:sz w:val="24"/>
          <w:highlight w:val="none"/>
        </w:rPr>
        <w:t>10%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4"/>
          <w:highlight w:val="none"/>
        </w:rPr>
        <w:t>4%</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10CC35E0">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w:t>
      </w:r>
    </w:p>
    <w:p w14:paraId="700A96E6">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00B9A5F">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3FB55BD">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中小企业享受扶持政策获得政府采购合同的，小微企业不得将合同分包给大中型企业，中型企业不得将合同分包给大型企业。</w:t>
      </w:r>
    </w:p>
    <w:p w14:paraId="0FAF88C5">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支持创新发展</w:t>
      </w:r>
    </w:p>
    <w:p w14:paraId="774B9AC3">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采购人优先采购被认定为首台套产品和“制造精品”的自主创新产品。</w:t>
      </w:r>
    </w:p>
    <w:p w14:paraId="754D96E9">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72BA579">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w:t>
      </w:r>
    </w:p>
    <w:p w14:paraId="582C4B7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166126E0">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询问、质疑、投诉</w:t>
      </w:r>
    </w:p>
    <w:p w14:paraId="5F426CCC">
      <w:pPr>
        <w:numPr>
          <w:ilvl w:val="1"/>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在线询问、质疑、投诉</w:t>
      </w:r>
    </w:p>
    <w:p w14:paraId="7BAC0A3B">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9C2AEB">
      <w:pPr>
        <w:numPr>
          <w:ilvl w:val="1"/>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供应商询问</w:t>
      </w:r>
    </w:p>
    <w:p w14:paraId="71EC971D">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67947AE">
      <w:pPr>
        <w:numPr>
          <w:ilvl w:val="1"/>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供应商质疑</w:t>
      </w:r>
    </w:p>
    <w:p w14:paraId="3CD6AD9A">
      <w:pPr>
        <w:numPr>
          <w:ilvl w:val="2"/>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提出质疑的供应商应当是参与所质疑项目采购活动的供应商。以联合体形式参加政府采购活动的，其</w:t>
      </w:r>
      <w:r>
        <w:rPr>
          <w:rFonts w:hint="eastAsia" w:ascii="仿宋" w:hAnsi="仿宋" w:eastAsia="仿宋" w:cs="仿宋"/>
          <w:bCs/>
          <w:color w:val="auto"/>
          <w:sz w:val="24"/>
          <w:highlight w:val="none"/>
          <w:lang w:val="zh-CN" w:eastAsia="zh-CN"/>
        </w:rPr>
        <w:t>质疑</w:t>
      </w:r>
      <w:r>
        <w:rPr>
          <w:rFonts w:hint="eastAsia" w:ascii="仿宋" w:hAnsi="仿宋" w:eastAsia="仿宋" w:cs="仿宋"/>
          <w:bCs/>
          <w:color w:val="auto"/>
          <w:sz w:val="24"/>
          <w:highlight w:val="none"/>
          <w:lang w:val="zh-CN"/>
        </w:rPr>
        <w:t>应当由组成联合体的所有供应商共同提出。潜在供应商已依法获取其可质疑的招标文件的，可以对该文件提出质疑。</w:t>
      </w:r>
    </w:p>
    <w:p w14:paraId="73337059">
      <w:pPr>
        <w:numPr>
          <w:ilvl w:val="2"/>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9D90CE3">
      <w:pPr>
        <w:numPr>
          <w:ilvl w:val="3"/>
          <w:numId w:val="4"/>
        </w:numPr>
        <w:tabs>
          <w:tab w:val="left" w:pos="210"/>
          <w:tab w:val="left" w:pos="1050"/>
        </w:tabs>
        <w:snapToGrid w:val="0"/>
        <w:spacing w:line="360" w:lineRule="auto"/>
        <w:ind w:left="1050" w:hanging="1050"/>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对招标文件提出质疑的，质疑期限为供应商获得招标文件之日或者招标文件公告期限届满之日起计算。</w:t>
      </w:r>
    </w:p>
    <w:p w14:paraId="73757E7F">
      <w:pPr>
        <w:numPr>
          <w:ilvl w:val="3"/>
          <w:numId w:val="4"/>
        </w:numPr>
        <w:tabs>
          <w:tab w:val="left" w:pos="210"/>
          <w:tab w:val="left" w:pos="1050"/>
        </w:tabs>
        <w:snapToGrid w:val="0"/>
        <w:spacing w:line="360" w:lineRule="auto"/>
        <w:ind w:left="1050" w:hanging="1050"/>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对采购过程提出质疑的，质疑期限为各采购程序环节结束之日起计算。</w:t>
      </w:r>
    </w:p>
    <w:p w14:paraId="62917967">
      <w:pPr>
        <w:numPr>
          <w:ilvl w:val="3"/>
          <w:numId w:val="4"/>
        </w:numPr>
        <w:tabs>
          <w:tab w:val="left" w:pos="210"/>
          <w:tab w:val="left" w:pos="1050"/>
        </w:tabs>
        <w:snapToGrid w:val="0"/>
        <w:spacing w:line="360" w:lineRule="auto"/>
        <w:ind w:left="1050" w:hanging="1050"/>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对采购结果提出质疑的，质疑期限自采购结果公告期限届满之日起计算。</w:t>
      </w:r>
    </w:p>
    <w:p w14:paraId="2003D74D">
      <w:pPr>
        <w:numPr>
          <w:ilvl w:val="2"/>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供应商提出质疑应当提交质疑函和必要的证明材料。质疑函应当包括下列内容：</w:t>
      </w:r>
    </w:p>
    <w:p w14:paraId="292AFEB2">
      <w:pPr>
        <w:numPr>
          <w:ilvl w:val="3"/>
          <w:numId w:val="4"/>
        </w:numPr>
        <w:tabs>
          <w:tab w:val="left" w:pos="210"/>
          <w:tab w:val="left" w:pos="105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供应商的姓名或者名称、地址、邮编、联系人及联系电话；</w:t>
      </w:r>
    </w:p>
    <w:p w14:paraId="57A483DE">
      <w:pPr>
        <w:numPr>
          <w:ilvl w:val="3"/>
          <w:numId w:val="4"/>
        </w:numPr>
        <w:tabs>
          <w:tab w:val="left" w:pos="210"/>
          <w:tab w:val="left" w:pos="105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质疑项目的名称、编号；</w:t>
      </w:r>
    </w:p>
    <w:p w14:paraId="740B310E">
      <w:pPr>
        <w:numPr>
          <w:ilvl w:val="3"/>
          <w:numId w:val="4"/>
        </w:numPr>
        <w:tabs>
          <w:tab w:val="left" w:pos="210"/>
          <w:tab w:val="left" w:pos="105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具体、明确的质疑事项和与质疑事项相关的请求；</w:t>
      </w:r>
    </w:p>
    <w:p w14:paraId="23F5008F">
      <w:pPr>
        <w:numPr>
          <w:ilvl w:val="3"/>
          <w:numId w:val="4"/>
        </w:numPr>
        <w:tabs>
          <w:tab w:val="left" w:pos="210"/>
          <w:tab w:val="left" w:pos="105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事实依据；</w:t>
      </w:r>
    </w:p>
    <w:p w14:paraId="09E9176B">
      <w:pPr>
        <w:numPr>
          <w:ilvl w:val="3"/>
          <w:numId w:val="4"/>
        </w:numPr>
        <w:tabs>
          <w:tab w:val="left" w:pos="210"/>
          <w:tab w:val="left" w:pos="105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必要的法律依据；</w:t>
      </w:r>
    </w:p>
    <w:p w14:paraId="45CC6022">
      <w:pPr>
        <w:numPr>
          <w:ilvl w:val="3"/>
          <w:numId w:val="4"/>
        </w:numPr>
        <w:tabs>
          <w:tab w:val="left" w:pos="210"/>
          <w:tab w:val="left" w:pos="105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提出质疑的日期。</w:t>
      </w:r>
    </w:p>
    <w:p w14:paraId="21AA97A7">
      <w:pPr>
        <w:tabs>
          <w:tab w:val="left" w:pos="210"/>
        </w:tabs>
        <w:snapToGrid w:val="0"/>
        <w:spacing w:line="360" w:lineRule="auto"/>
        <w:ind w:firstLine="480" w:firstLineChars="200"/>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02DDD501">
      <w:pPr>
        <w:tabs>
          <w:tab w:val="left" w:pos="210"/>
        </w:tabs>
        <w:snapToGrid w:val="0"/>
        <w:spacing w:line="360" w:lineRule="auto"/>
        <w:ind w:firstLine="480" w:firstLineChars="200"/>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质疑函范本及制作说明详见附件2。</w:t>
      </w:r>
    </w:p>
    <w:p w14:paraId="75745250">
      <w:pPr>
        <w:numPr>
          <w:ilvl w:val="2"/>
          <w:numId w:val="4"/>
        </w:numPr>
        <w:tabs>
          <w:tab w:val="left" w:pos="210"/>
          <w:tab w:val="left" w:pos="84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对同一采购程序环节的质疑，供应商须在法定质疑期内一次性提出。</w:t>
      </w:r>
    </w:p>
    <w:p w14:paraId="65DC6A53">
      <w:pPr>
        <w:numPr>
          <w:ilvl w:val="2"/>
          <w:numId w:val="4"/>
        </w:numPr>
        <w:tabs>
          <w:tab w:val="left" w:pos="210"/>
          <w:tab w:val="left" w:pos="84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采购人负责供应商质疑答复。采购人委托采购代理机构采购的，采购代理机构对委托授权范围内质疑事项作出答复。委托授权范围应当在采购代理协议中明确。</w:t>
      </w:r>
    </w:p>
    <w:p w14:paraId="347093FE">
      <w:pPr>
        <w:numPr>
          <w:ilvl w:val="2"/>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询问或者质疑事项可能影响采购结果的，采购人应当暂停签订合同，已经签订合同的，应当中止履行合同。</w:t>
      </w:r>
    </w:p>
    <w:p w14:paraId="7A5C51FD">
      <w:pPr>
        <w:numPr>
          <w:ilvl w:val="1"/>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供应商投诉</w:t>
      </w:r>
    </w:p>
    <w:p w14:paraId="075D1065">
      <w:pPr>
        <w:numPr>
          <w:ilvl w:val="2"/>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14:paraId="523A1B2A">
      <w:pPr>
        <w:numPr>
          <w:ilvl w:val="2"/>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供应商投诉的事项不得超出已质疑事项的范围，基于质疑答复内容提出的投诉事项除外。</w:t>
      </w:r>
    </w:p>
    <w:p w14:paraId="09298BF7">
      <w:pPr>
        <w:numPr>
          <w:ilvl w:val="2"/>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供应商投诉应当有明确的请求和必要的证明材料。</w:t>
      </w:r>
    </w:p>
    <w:p w14:paraId="1B693502">
      <w:pPr>
        <w:numPr>
          <w:ilvl w:val="2"/>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以联合体形式参加政府采购活动的，其投诉应当由组成联合体的所有供应商共同提出。</w:t>
      </w:r>
    </w:p>
    <w:p w14:paraId="43C71125">
      <w:pPr>
        <w:numPr>
          <w:ilvl w:val="2"/>
          <w:numId w:val="4"/>
        </w:numPr>
        <w:tabs>
          <w:tab w:val="left" w:pos="210"/>
        </w:tabs>
        <w:snapToGrid w:val="0"/>
        <w:spacing w:line="360" w:lineRule="auto"/>
        <w:ind w:left="0" w:firstLine="0"/>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投诉材料可寄送浙江省政府采购行政裁决服务中心（杭州），地址：杭州市上城区四季青街道新业路市民之家G03办公室，收件人：朱女士</w:t>
      </w:r>
      <w:r>
        <w:rPr>
          <w:rFonts w:hint="eastAsia" w:ascii="仿宋" w:hAnsi="仿宋" w:eastAsia="仿宋" w:cs="仿宋"/>
          <w:bCs/>
          <w:color w:val="auto"/>
          <w:sz w:val="24"/>
          <w:highlight w:val="none"/>
          <w:lang w:val="en-US" w:eastAsia="zh-CN"/>
        </w:rPr>
        <w:t>/王女士</w:t>
      </w:r>
      <w:r>
        <w:rPr>
          <w:rFonts w:hint="eastAsia" w:ascii="仿宋" w:hAnsi="仿宋" w:eastAsia="仿宋" w:cs="仿宋"/>
          <w:bCs/>
          <w:color w:val="auto"/>
          <w:sz w:val="24"/>
          <w:highlight w:val="none"/>
          <w:lang w:val="zh-CN"/>
        </w:rPr>
        <w:t>，电话：0571-87227671,0571-87800218。</w:t>
      </w:r>
    </w:p>
    <w:p w14:paraId="4BDE16DB">
      <w:pPr>
        <w:tabs>
          <w:tab w:val="left" w:pos="210"/>
        </w:tabs>
        <w:snapToGrid w:val="0"/>
        <w:spacing w:line="360" w:lineRule="auto"/>
        <w:ind w:firstLine="480" w:firstLineChars="200"/>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投诉书范本及制作说明详见附件3。</w:t>
      </w:r>
    </w:p>
    <w:p w14:paraId="4A80EDE1">
      <w:pPr>
        <w:rPr>
          <w:rFonts w:ascii="仿宋" w:hAnsi="仿宋" w:eastAsia="仿宋" w:cs="仿宋"/>
          <w:color w:val="auto"/>
          <w:highlight w:val="none"/>
        </w:rPr>
      </w:pPr>
    </w:p>
    <w:p w14:paraId="39E2EA45">
      <w:pPr>
        <w:adjustRightInd/>
        <w:spacing w:line="360" w:lineRule="auto"/>
        <w:jc w:val="center"/>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49007E9A">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招标文件的构成</w:t>
      </w:r>
    </w:p>
    <w:p w14:paraId="50A6CB84">
      <w:pPr>
        <w:numPr>
          <w:ilvl w:val="1"/>
          <w:numId w:val="4"/>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招标文件包括下列文件及附件：</w:t>
      </w:r>
    </w:p>
    <w:p w14:paraId="75CE73D9">
      <w:pPr>
        <w:numPr>
          <w:ilvl w:val="2"/>
          <w:numId w:val="4"/>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招标公告；</w:t>
      </w:r>
    </w:p>
    <w:p w14:paraId="197360FD">
      <w:pPr>
        <w:numPr>
          <w:ilvl w:val="2"/>
          <w:numId w:val="4"/>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投标人须知；</w:t>
      </w:r>
    </w:p>
    <w:p w14:paraId="019C250A">
      <w:pPr>
        <w:numPr>
          <w:ilvl w:val="2"/>
          <w:numId w:val="4"/>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采购需求；</w:t>
      </w:r>
    </w:p>
    <w:p w14:paraId="2659C85A">
      <w:pPr>
        <w:numPr>
          <w:ilvl w:val="2"/>
          <w:numId w:val="4"/>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评标办法；</w:t>
      </w:r>
    </w:p>
    <w:p w14:paraId="4C34A65E">
      <w:pPr>
        <w:numPr>
          <w:ilvl w:val="2"/>
          <w:numId w:val="4"/>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拟签订的合同文本；</w:t>
      </w:r>
    </w:p>
    <w:p w14:paraId="599F99B7">
      <w:pPr>
        <w:numPr>
          <w:ilvl w:val="2"/>
          <w:numId w:val="4"/>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应提交的有关格式范例。</w:t>
      </w:r>
    </w:p>
    <w:p w14:paraId="62524508">
      <w:pPr>
        <w:numPr>
          <w:ilvl w:val="1"/>
          <w:numId w:val="4"/>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与本项目有关的澄清或者修改的内容为招标文件的组成部分。</w:t>
      </w:r>
    </w:p>
    <w:p w14:paraId="7BB374CD">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招标文件的澄清、修改</w:t>
      </w:r>
    </w:p>
    <w:p w14:paraId="1CC5A28E">
      <w:pPr>
        <w:numPr>
          <w:ilvl w:val="1"/>
          <w:numId w:val="4"/>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已获取招标文件的潜在投标人，若有问题需要澄清，应于投标截止时间前，以书面形式向采购代理机构提出。</w:t>
      </w:r>
    </w:p>
    <w:p w14:paraId="21D911F1">
      <w:pPr>
        <w:numPr>
          <w:ilvl w:val="1"/>
          <w:numId w:val="4"/>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2BA93DE">
      <w:pPr>
        <w:adjustRightInd/>
        <w:spacing w:line="360" w:lineRule="auto"/>
        <w:jc w:val="center"/>
        <w:outlineLvl w:val="1"/>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09249264">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招标文件的获取</w:t>
      </w:r>
    </w:p>
    <w:p w14:paraId="6F0C5025">
      <w:pPr>
        <w:spacing w:line="360" w:lineRule="auto"/>
        <w:ind w:firstLine="42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6F0EA0A6">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1A512958">
      <w:pPr>
        <w:pStyle w:val="32"/>
        <w:spacing w:line="360" w:lineRule="auto"/>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79CAC434">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投标保证金</w:t>
      </w:r>
    </w:p>
    <w:p w14:paraId="01BEB06F">
      <w:pPr>
        <w:pStyle w:val="6"/>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496B0096">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投标文件的语言</w:t>
      </w:r>
    </w:p>
    <w:p w14:paraId="7075822E">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BDFCFB7">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投标文件的组成</w:t>
      </w:r>
    </w:p>
    <w:p w14:paraId="52EBF9FD">
      <w:pPr>
        <w:numPr>
          <w:ilvl w:val="1"/>
          <w:numId w:val="4"/>
        </w:numPr>
        <w:tabs>
          <w:tab w:val="left" w:pos="210"/>
          <w:tab w:val="left" w:pos="630"/>
          <w:tab w:val="left" w:pos="84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资格文件：</w:t>
      </w:r>
    </w:p>
    <w:p w14:paraId="22DE7C45">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符合参加政府采购活动应当具备的一般条件的承诺函；</w:t>
      </w:r>
    </w:p>
    <w:p w14:paraId="1B2AC5E7">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联合协议（如果有）；</w:t>
      </w:r>
    </w:p>
    <w:p w14:paraId="6605070E">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落实政府采购政策需满足的资格要求：中小企业声明函；</w:t>
      </w:r>
    </w:p>
    <w:p w14:paraId="6ABA7721">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本项目的特定资格要求</w:t>
      </w:r>
      <w:r>
        <w:rPr>
          <w:rFonts w:hint="eastAsia" w:ascii="仿宋" w:hAnsi="仿宋" w:eastAsia="仿宋" w:cs="仿宋"/>
          <w:bCs/>
          <w:color w:val="auto"/>
          <w:sz w:val="24"/>
          <w:highlight w:val="none"/>
          <w:lang w:eastAsia="zh-CN"/>
        </w:rPr>
        <w:t>：</w:t>
      </w:r>
      <w:r>
        <w:rPr>
          <w:rFonts w:hint="eastAsia" w:ascii="仿宋" w:hAnsi="仿宋" w:eastAsia="仿宋" w:cs="仿宋"/>
          <w:b w:val="0"/>
          <w:bCs/>
          <w:i w:val="0"/>
          <w:iCs w:val="0"/>
          <w:caps w:val="0"/>
          <w:color w:val="auto"/>
          <w:spacing w:val="0"/>
          <w:sz w:val="24"/>
          <w:szCs w:val="24"/>
          <w:highlight w:val="none"/>
          <w:lang w:val="en-US" w:eastAsia="zh-CN"/>
        </w:rPr>
        <w:t>无</w:t>
      </w:r>
      <w:r>
        <w:rPr>
          <w:rFonts w:hint="eastAsia" w:ascii="仿宋" w:hAnsi="仿宋" w:eastAsia="仿宋" w:cs="仿宋"/>
          <w:bCs/>
          <w:color w:val="auto"/>
          <w:sz w:val="24"/>
          <w:highlight w:val="none"/>
        </w:rPr>
        <w:t>。</w:t>
      </w:r>
    </w:p>
    <w:p w14:paraId="559014C1">
      <w:pPr>
        <w:numPr>
          <w:ilvl w:val="1"/>
          <w:numId w:val="4"/>
        </w:numPr>
        <w:tabs>
          <w:tab w:val="left" w:pos="210"/>
          <w:tab w:val="left" w:pos="630"/>
          <w:tab w:val="left" w:pos="840"/>
        </w:tabs>
        <w:snapToGrid w:val="0"/>
        <w:spacing w:line="360" w:lineRule="auto"/>
        <w:jc w:val="left"/>
        <w:outlineLvl w:val="2"/>
        <w:rPr>
          <w:rFonts w:ascii="仿宋" w:hAnsi="仿宋" w:eastAsia="仿宋" w:cs="仿宋"/>
          <w:b/>
          <w:color w:val="auto"/>
          <w:sz w:val="24"/>
          <w:highlight w:val="none"/>
          <w:lang w:val="zh-CN"/>
        </w:rPr>
      </w:pPr>
      <w:r>
        <w:rPr>
          <w:rFonts w:hint="eastAsia" w:ascii="仿宋" w:hAnsi="仿宋" w:eastAsia="仿宋" w:cs="仿宋"/>
          <w:b/>
          <w:color w:val="auto"/>
          <w:sz w:val="24"/>
          <w:highlight w:val="none"/>
        </w:rPr>
        <w:t>商务技术</w:t>
      </w:r>
      <w:r>
        <w:rPr>
          <w:rFonts w:hint="eastAsia" w:ascii="仿宋" w:hAnsi="仿宋" w:eastAsia="仿宋" w:cs="仿宋"/>
          <w:b/>
          <w:color w:val="auto"/>
          <w:sz w:val="24"/>
          <w:highlight w:val="none"/>
          <w:lang w:val="zh-CN"/>
        </w:rPr>
        <w:t>文件：</w:t>
      </w:r>
    </w:p>
    <w:p w14:paraId="675A0AFE">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投标函；</w:t>
      </w:r>
    </w:p>
    <w:p w14:paraId="4624CD28">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授权委托书或法定代表人（单位负责人、自然人本人）身份证明</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授权代表最近一个月在投标单位缴纳社保的参保证明</w:t>
      </w:r>
      <w:r>
        <w:rPr>
          <w:rFonts w:hint="eastAsia" w:ascii="仿宋" w:hAnsi="仿宋" w:eastAsia="仿宋" w:cs="仿宋"/>
          <w:bCs/>
          <w:color w:val="auto"/>
          <w:sz w:val="24"/>
          <w:highlight w:val="none"/>
        </w:rPr>
        <w:t>；</w:t>
      </w:r>
    </w:p>
    <w:p w14:paraId="721E4997">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分包意向协议（如果有）；</w:t>
      </w:r>
    </w:p>
    <w:p w14:paraId="5B7DBC95">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符合性审查资料；</w:t>
      </w:r>
    </w:p>
    <w:p w14:paraId="1CB853D4">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评标标准相应的商务技术资料；</w:t>
      </w:r>
    </w:p>
    <w:p w14:paraId="48F27FB6">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投标标的清单；</w:t>
      </w:r>
    </w:p>
    <w:p w14:paraId="5493AB5D">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_GB2312" w:hAnsi="仿宋" w:eastAsia="仿宋_GB2312"/>
          <w:bCs/>
          <w:color w:val="auto"/>
          <w:sz w:val="24"/>
          <w:highlight w:val="none"/>
          <w:lang w:val="en-US" w:eastAsia="zh-CN"/>
        </w:rPr>
        <w:t>技术响应表；</w:t>
      </w:r>
    </w:p>
    <w:p w14:paraId="6CFACED6">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商务技术偏离表；</w:t>
      </w:r>
    </w:p>
    <w:p w14:paraId="6D276C4D">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政府采购供应商廉洁自律承诺书。</w:t>
      </w:r>
    </w:p>
    <w:p w14:paraId="6EF58FD6">
      <w:pPr>
        <w:numPr>
          <w:ilvl w:val="1"/>
          <w:numId w:val="4"/>
        </w:numPr>
        <w:tabs>
          <w:tab w:val="left" w:pos="210"/>
          <w:tab w:val="left" w:pos="630"/>
          <w:tab w:val="left" w:pos="840"/>
        </w:tabs>
        <w:snapToGrid w:val="0"/>
        <w:spacing w:line="360" w:lineRule="auto"/>
        <w:jc w:val="left"/>
        <w:outlineLvl w:val="2"/>
        <w:rPr>
          <w:rFonts w:ascii="仿宋" w:hAnsi="仿宋" w:eastAsia="仿宋" w:cs="仿宋"/>
          <w:b/>
          <w:color w:val="auto"/>
          <w:sz w:val="24"/>
          <w:highlight w:val="none"/>
          <w:lang w:val="zh-CN"/>
        </w:rPr>
      </w:pPr>
      <w:r>
        <w:rPr>
          <w:rFonts w:hint="eastAsia" w:ascii="仿宋" w:hAnsi="仿宋" w:eastAsia="仿宋" w:cs="仿宋"/>
          <w:b/>
          <w:color w:val="auto"/>
          <w:sz w:val="24"/>
          <w:highlight w:val="none"/>
        </w:rPr>
        <w:t xml:space="preserve">报价文件： </w:t>
      </w:r>
    </w:p>
    <w:p w14:paraId="5E6C5FC3">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开标一览表（报价表）；</w:t>
      </w:r>
    </w:p>
    <w:p w14:paraId="1CC6E2B5">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投标报价分析说明（投标报价低于预算金额50%时，供应商应详细阐述不影响产品质量或诚信履约的具体原因）</w:t>
      </w:r>
      <w:r>
        <w:rPr>
          <w:rFonts w:hint="eastAsia" w:ascii="仿宋" w:hAnsi="仿宋" w:eastAsia="仿宋" w:cs="仿宋"/>
          <w:bCs/>
          <w:color w:val="auto"/>
          <w:sz w:val="24"/>
          <w:highlight w:val="none"/>
        </w:rPr>
        <w:t>；</w:t>
      </w:r>
    </w:p>
    <w:p w14:paraId="219E9608">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中标服务费支付承诺书和中标服务费结算信息表。</w:t>
      </w:r>
    </w:p>
    <w:p w14:paraId="18CF7793">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0AC2F0C5">
      <w:pPr>
        <w:spacing w:line="360" w:lineRule="auto"/>
        <w:ind w:firstLine="482" w:firstLineChars="2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4C672A84">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投标文件的编制</w:t>
      </w:r>
    </w:p>
    <w:p w14:paraId="627E58DF">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9021B84">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4BEA99F3">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使用“政采云电子交易客户端”需要提前申领CA数字证书，申领流程请自行前往“浙江政府采购网-下载专区-电子交易客户端-CA驱动和申领流程”进行查阅。</w:t>
      </w:r>
    </w:p>
    <w:p w14:paraId="374498F1">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4FA8A878">
      <w:pPr>
        <w:numPr>
          <w:ilvl w:val="1"/>
          <w:numId w:val="4"/>
        </w:numPr>
        <w:tabs>
          <w:tab w:val="left" w:pos="210"/>
          <w:tab w:val="left" w:pos="6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投标文件按照招标文件第六部分格式要求进行签署、盖章。</w:t>
      </w:r>
    </w:p>
    <w:p w14:paraId="4F9E64C5">
      <w:pPr>
        <w:pStyle w:val="139"/>
        <w:snapToGrid w:val="0"/>
        <w:spacing w:before="0"/>
        <w:ind w:firstLine="482"/>
        <w:rPr>
          <w:rFonts w:ascii="仿宋" w:hAnsi="仿宋" w:eastAsia="仿宋" w:cs="仿宋"/>
          <w:b/>
          <w:color w:val="auto"/>
          <w:highlight w:val="none"/>
        </w:rPr>
      </w:pP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2F7217CE">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为确保网上操作合法、有效和安全，投标人应当在投标截止时间前完成在“政府采购云平台”的身份认证，确保在电子投标过程中能够对相关数据电文进行加密和使用电子签名。</w:t>
      </w:r>
    </w:p>
    <w:p w14:paraId="197F91D8">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招标文件对投标文件签署、盖章的要求适用于电子签名。</w:t>
      </w:r>
    </w:p>
    <w:p w14:paraId="670AF6C8">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投标文件的提交、补充、修改、撤回</w:t>
      </w:r>
    </w:p>
    <w:p w14:paraId="590B6F8A">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AF276D3">
      <w:pPr>
        <w:numPr>
          <w:ilvl w:val="1"/>
          <w:numId w:val="4"/>
        </w:numPr>
        <w:tabs>
          <w:tab w:val="left" w:pos="210"/>
          <w:tab w:val="left" w:pos="6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电子交易平台收到投标文件，将妥善保存并即时向供应商发出确认回执通知。在投标截止时间前，除供应商补充、修改或者撤回投标文件外，任何单位和个人不得解密或提取投标文件。</w:t>
      </w:r>
    </w:p>
    <w:p w14:paraId="4A27126D">
      <w:pPr>
        <w:numPr>
          <w:ilvl w:val="1"/>
          <w:numId w:val="4"/>
        </w:numPr>
        <w:tabs>
          <w:tab w:val="left" w:pos="210"/>
          <w:tab w:val="left" w:pos="6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采购人、采购代理机构可以视情况延长投标文件提交的截止时间。在上述情况下，采购代理机构与投标人以前在投标截止期方面的全部权利、责任和义务，将适用于延长至新的投标截止期。</w:t>
      </w:r>
    </w:p>
    <w:p w14:paraId="26CF20E9">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w:t>
      </w:r>
    </w:p>
    <w:p w14:paraId="2FE33B29">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投标人在电子交易平台传输递交投标文件后，还可以在投标截止时间前直接提交或者以邮政快递方式递交备份投标文件1份，</w:t>
      </w:r>
      <w:r>
        <w:rPr>
          <w:rFonts w:hint="eastAsia" w:ascii="仿宋" w:hAnsi="仿宋" w:eastAsia="仿宋" w:cs="仿宋"/>
          <w:b/>
          <w:color w:val="auto"/>
          <w:sz w:val="24"/>
          <w:highlight w:val="none"/>
        </w:rPr>
        <w:t>但采购人、采购代理机构不强制或变相强制投标人提交备份投标文件</w:t>
      </w:r>
      <w:r>
        <w:rPr>
          <w:rFonts w:hint="eastAsia" w:ascii="仿宋" w:hAnsi="仿宋" w:eastAsia="仿宋" w:cs="仿宋"/>
          <w:bCs/>
          <w:color w:val="auto"/>
          <w:sz w:val="24"/>
          <w:highlight w:val="none"/>
        </w:rPr>
        <w:t>。</w:t>
      </w:r>
    </w:p>
    <w:p w14:paraId="075BD52C">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不符合上述制作、存储、密封规定的备份投标文件将被视为无效或者被拒绝接收。</w:t>
      </w:r>
    </w:p>
    <w:p w14:paraId="5AF39D31">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直接提交备份投标文件的，投标人应于投标截止时间前在招标公告中载明的开标地点将备份投标文件提交给采购代理机构，</w:t>
      </w:r>
      <w:r>
        <w:rPr>
          <w:rFonts w:hint="eastAsia" w:ascii="仿宋" w:hAnsi="仿宋" w:eastAsia="仿宋" w:cs="仿宋"/>
          <w:b/>
          <w:color w:val="auto"/>
          <w:sz w:val="24"/>
          <w:highlight w:val="none"/>
        </w:rPr>
        <w:t>采购代理机构将拒绝接受逾期送达的备份投标文件</w:t>
      </w:r>
      <w:r>
        <w:rPr>
          <w:rFonts w:hint="eastAsia" w:ascii="仿宋" w:hAnsi="仿宋" w:eastAsia="仿宋" w:cs="仿宋"/>
          <w:bCs/>
          <w:color w:val="auto"/>
          <w:sz w:val="24"/>
          <w:highlight w:val="none"/>
        </w:rPr>
        <w:t>。</w:t>
      </w:r>
    </w:p>
    <w:p w14:paraId="66F8C060">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7F0F29FB">
      <w:pPr>
        <w:numPr>
          <w:ilvl w:val="1"/>
          <w:numId w:val="4"/>
        </w:numPr>
        <w:tabs>
          <w:tab w:val="left" w:pos="210"/>
          <w:tab w:val="left" w:pos="640"/>
        </w:tabs>
        <w:snapToGrid w:val="0"/>
        <w:spacing w:line="360" w:lineRule="auto"/>
        <w:ind w:left="627" w:hanging="627"/>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投标人仅提交备份投标文件，未在电子交易平台传输递交投标文件的，投标无效。</w:t>
      </w:r>
    </w:p>
    <w:p w14:paraId="11C7FBBD">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投标文件的无效处理</w:t>
      </w:r>
    </w:p>
    <w:p w14:paraId="7FEB5ECC">
      <w:pPr>
        <w:pStyle w:val="24"/>
        <w:spacing w:line="360" w:lineRule="auto"/>
        <w:ind w:firstLine="360" w:firstLineChars="15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第4.2项规定</w:t>
      </w:r>
      <w:r>
        <w:rPr>
          <w:rFonts w:hint="eastAsia" w:ascii="仿宋" w:hAnsi="仿宋" w:eastAsia="仿宋" w:cs="仿宋"/>
          <w:color w:val="auto"/>
          <w:szCs w:val="21"/>
          <w:highlight w:val="none"/>
        </w:rPr>
        <w:t>的情形之一的，投标无效</w:t>
      </w:r>
      <w:r>
        <w:rPr>
          <w:rFonts w:hint="eastAsia" w:ascii="仿宋" w:hAnsi="仿宋" w:eastAsia="仿宋" w:cs="仿宋"/>
          <w:color w:val="auto"/>
          <w:szCs w:val="21"/>
          <w:highlight w:val="none"/>
          <w:lang w:eastAsia="zh-CN"/>
        </w:rPr>
        <w:t>。</w:t>
      </w:r>
    </w:p>
    <w:p w14:paraId="3EC4E28D">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投标有效期</w:t>
      </w:r>
    </w:p>
    <w:p w14:paraId="69307CA3">
      <w:pPr>
        <w:numPr>
          <w:ilvl w:val="1"/>
          <w:numId w:val="4"/>
        </w:numPr>
        <w:tabs>
          <w:tab w:val="left" w:pos="210"/>
          <w:tab w:val="left" w:pos="6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投标有效期为从提交投标文件的截止之日起90天。</w:t>
      </w:r>
    </w:p>
    <w:p w14:paraId="281A0577">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EF04D84">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投标文件合格投递后，自投标截止日期起，在投标有效期内有效。</w:t>
      </w:r>
    </w:p>
    <w:p w14:paraId="16367C73">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在原定投标有效期满之前，如果出现特殊情况，采购代理机构可以以书面形式通知投标人延长投标有效期。投标人同意延长的，不得要求或被允许修改其投标文件，投标人拒绝延长的，其投标无效</w:t>
      </w:r>
      <w:r>
        <w:rPr>
          <w:rFonts w:hint="eastAsia" w:ascii="仿宋" w:hAnsi="仿宋" w:eastAsia="仿宋" w:cs="仿宋"/>
          <w:bCs/>
          <w:color w:val="auto"/>
          <w:sz w:val="24"/>
          <w:highlight w:val="none"/>
          <w:lang w:eastAsia="zh-CN"/>
        </w:rPr>
        <w:t>。</w:t>
      </w:r>
    </w:p>
    <w:p w14:paraId="5B16FD27">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在投标截止时间起至投标有效期届满，供应商投标文件不可撤销。</w:t>
      </w:r>
    </w:p>
    <w:p w14:paraId="5517E3D9">
      <w:pPr>
        <w:adjustRightInd/>
        <w:spacing w:line="360" w:lineRule="auto"/>
        <w:jc w:val="center"/>
        <w:outlineLvl w:val="1"/>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四、开标、资格审查与信用信息查询</w:t>
      </w:r>
    </w:p>
    <w:p w14:paraId="2497DA09">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开标 </w:t>
      </w:r>
    </w:p>
    <w:p w14:paraId="3A299740">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采购代理机构按照招标文件规定的时间通过电子交易平台组织开标，所有投标人均应当准时在线参加。投标人不足3家的，不得开标。</w:t>
      </w:r>
    </w:p>
    <w:p w14:paraId="3FE3DDAF">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开标时，电子交易平台按开标时间自动提取所有投标文件。采购代理机构依托电子交易平台发起开始解密指令，投标人按照平台提示和招标文件的规定在半小时内完成在线解密。</w:t>
      </w:r>
    </w:p>
    <w:p w14:paraId="4ABE8326">
      <w:pPr>
        <w:numPr>
          <w:ilvl w:val="1"/>
          <w:numId w:val="4"/>
        </w:numPr>
        <w:tabs>
          <w:tab w:val="left" w:pos="210"/>
          <w:tab w:val="left" w:pos="640"/>
        </w:tabs>
        <w:snapToGrid w:val="0"/>
        <w:spacing w:line="360" w:lineRule="auto"/>
        <w:ind w:left="627" w:hanging="627"/>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6C325C8A">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资格审查</w:t>
      </w:r>
    </w:p>
    <w:p w14:paraId="25489AE6">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开标后，</w:t>
      </w:r>
      <w:r>
        <w:rPr>
          <w:rFonts w:hint="eastAsia" w:ascii="仿宋" w:hAnsi="仿宋" w:eastAsia="仿宋" w:cs="仿宋"/>
          <w:bCs/>
          <w:color w:val="auto"/>
          <w:sz w:val="24"/>
          <w:highlight w:val="none"/>
        </w:rPr>
        <w:t>采购人或采购代理机构依据法律法规和招标文件的规定，对投标人的资格进行审查。</w:t>
      </w:r>
    </w:p>
    <w:p w14:paraId="69576AD6">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投标人未按照招标文件要求提供与资格条件相应的有效资格证明材料的，视为投标人不具备招标文件中规定的资格要求，其投标无效。</w:t>
      </w:r>
    </w:p>
    <w:p w14:paraId="6F68C105">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对未通过资格审查的投标人，采购人或采购代理机构告知其未通过的原因。</w:t>
      </w:r>
    </w:p>
    <w:p w14:paraId="66C7C694">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合格投标人不足3家的，不再评标。</w:t>
      </w:r>
    </w:p>
    <w:p w14:paraId="7AD560E6">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信用信息查询</w:t>
      </w:r>
    </w:p>
    <w:p w14:paraId="0804EDB0">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信用信息查询渠道及截止时间：采购代理机构将通过“信用中国”网站(www.creditchina.gov.cn)、中国政府采购网(www.ccgp.gov.cn)渠道查询投标人投标截止时间当天的信用记录。</w:t>
      </w:r>
    </w:p>
    <w:p w14:paraId="09196782">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信用信息查询记录和证据留存的具体方式：现场查询的投标人的信用记录、查询结果经确认后将与采购文件一起存档。</w:t>
      </w:r>
    </w:p>
    <w:p w14:paraId="340244DE">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信用信息的使用规则：经查询列入失信被执行人名单、重大税收违法案件当事人名单、政府采购严重违法失信行为记录名单的投标人将被拒绝参与政府采购活动。</w:t>
      </w:r>
    </w:p>
    <w:p w14:paraId="63E18B70">
      <w:pPr>
        <w:numPr>
          <w:ilvl w:val="1"/>
          <w:numId w:val="4"/>
        </w:numPr>
        <w:tabs>
          <w:tab w:val="left" w:pos="210"/>
          <w:tab w:val="left" w:pos="640"/>
        </w:tabs>
        <w:snapToGrid w:val="0"/>
        <w:spacing w:line="360" w:lineRule="auto"/>
        <w:ind w:left="627" w:hanging="627"/>
        <w:jc w:val="left"/>
        <w:outlineLvl w:val="2"/>
        <w:rPr>
          <w:rFonts w:ascii="仿宋" w:hAnsi="仿宋" w:eastAsia="仿宋" w:cs="仿宋"/>
          <w:color w:val="auto"/>
          <w:kern w:val="0"/>
          <w:highlight w:val="none"/>
        </w:rPr>
      </w:pPr>
      <w:r>
        <w:rPr>
          <w:rFonts w:hint="eastAsia" w:ascii="仿宋" w:hAnsi="仿宋" w:eastAsia="仿宋" w:cs="仿宋"/>
          <w:bCs/>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42E7214">
      <w:pPr>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0641388C">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bookmarkStart w:id="15" w:name="_Toc91899903"/>
      <w:r>
        <w:rPr>
          <w:rFonts w:hint="eastAsia" w:ascii="仿宋" w:hAnsi="仿宋" w:eastAsia="仿宋" w:cs="仿宋"/>
          <w:b/>
          <w:color w:val="auto"/>
          <w:sz w:val="24"/>
          <w:highlight w:val="none"/>
        </w:rPr>
        <w:t>评标</w:t>
      </w:r>
    </w:p>
    <w:p w14:paraId="750744F5">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143C8C1A">
      <w:pPr>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六、定标</w:t>
      </w:r>
    </w:p>
    <w:p w14:paraId="38F373F1">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确定中标供应商</w:t>
      </w:r>
    </w:p>
    <w:p w14:paraId="1E561DAA">
      <w:pPr>
        <w:pStyle w:val="139"/>
        <w:snapToGrid w:val="0"/>
        <w:spacing w:before="0"/>
        <w:ind w:firstLine="420" w:firstLineChars="175"/>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候选人并列的，由采购人或者采购人委托评标委员会按照招标文件规定的方式确定中标人；招标文件未规定的，采取随机抽取的方式确定。在采购结果确认环节，中标候选人撤销投标文件不能成为采购人不确认采购结果的正当理由。中标、成交通知书和中标、成交结果公告应当在规定时间内同时发出。</w:t>
      </w:r>
    </w:p>
    <w:p w14:paraId="3FE5891F">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中标通知与中标结果公告</w:t>
      </w:r>
    </w:p>
    <w:p w14:paraId="5A039C9E">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自中标人确定之日起2个工作日内，采购代理机构通过电子交易平台向中标人发出中标通知书，同时编制发布采购结果公告。采购代理机构也可以以纸质形式进行中标通知。</w:t>
      </w:r>
    </w:p>
    <w:p w14:paraId="4C52CA3A">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09EC0D3A">
      <w:pPr>
        <w:numPr>
          <w:ilvl w:val="1"/>
          <w:numId w:val="4"/>
        </w:numPr>
        <w:tabs>
          <w:tab w:val="left" w:pos="210"/>
          <w:tab w:val="left" w:pos="640"/>
        </w:tabs>
        <w:snapToGrid w:val="0"/>
        <w:spacing w:line="360" w:lineRule="auto"/>
        <w:ind w:left="627" w:hanging="627"/>
        <w:jc w:val="left"/>
        <w:outlineLvl w:val="2"/>
        <w:rPr>
          <w:rFonts w:ascii="仿宋" w:hAnsi="仿宋" w:eastAsia="仿宋" w:cs="仿宋"/>
          <w:color w:val="auto"/>
          <w:highlight w:val="none"/>
        </w:rPr>
      </w:pPr>
      <w:r>
        <w:rPr>
          <w:rFonts w:hint="eastAsia" w:ascii="仿宋" w:hAnsi="仿宋" w:eastAsia="仿宋" w:cs="仿宋"/>
          <w:bCs/>
          <w:color w:val="auto"/>
          <w:sz w:val="24"/>
          <w:highlight w:val="none"/>
        </w:rPr>
        <w:t>公告期限为1个工作日。</w:t>
      </w:r>
    </w:p>
    <w:p w14:paraId="08AE4BC7">
      <w:pPr>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七、合同授予</w:t>
      </w:r>
    </w:p>
    <w:p w14:paraId="7C1B692E">
      <w:pPr>
        <w:numPr>
          <w:ilvl w:val="0"/>
          <w:numId w:val="4"/>
        </w:numPr>
        <w:tabs>
          <w:tab w:val="left" w:pos="210"/>
        </w:tabs>
        <w:snapToGrid w:val="0"/>
        <w:spacing w:line="360" w:lineRule="auto"/>
        <w:jc w:val="left"/>
        <w:outlineLvl w:val="3"/>
        <w:rPr>
          <w:rFonts w:ascii="仿宋" w:hAnsi="仿宋" w:eastAsia="仿宋" w:cs="仿宋"/>
          <w:b/>
          <w:color w:val="auto"/>
          <w:sz w:val="24"/>
          <w:highlight w:val="none"/>
        </w:rPr>
      </w:pPr>
      <w:r>
        <w:rPr>
          <w:rFonts w:hint="eastAsia" w:ascii="仿宋" w:hAnsi="仿宋" w:eastAsia="仿宋" w:cs="仿宋"/>
          <w:b/>
          <w:color w:val="auto"/>
          <w:sz w:val="24"/>
          <w:highlight w:val="none"/>
        </w:rPr>
        <w:t>合同授予</w:t>
      </w:r>
    </w:p>
    <w:p w14:paraId="305D028D">
      <w:pPr>
        <w:widowControl/>
        <w:shd w:val="clear" w:color="auto" w:fill="FFFFFF"/>
        <w:spacing w:line="36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合同主要条款详见第五部分拟签订的合同文本。</w:t>
      </w:r>
    </w:p>
    <w:p w14:paraId="06B6D1F4">
      <w:pPr>
        <w:numPr>
          <w:ilvl w:val="0"/>
          <w:numId w:val="4"/>
        </w:numPr>
        <w:tabs>
          <w:tab w:val="left" w:pos="210"/>
        </w:tabs>
        <w:snapToGrid w:val="0"/>
        <w:spacing w:line="360" w:lineRule="auto"/>
        <w:jc w:val="left"/>
        <w:outlineLvl w:val="3"/>
        <w:rPr>
          <w:rFonts w:ascii="仿宋" w:hAnsi="仿宋" w:eastAsia="仿宋" w:cs="仿宋"/>
          <w:b/>
          <w:color w:val="auto"/>
          <w:sz w:val="24"/>
          <w:highlight w:val="none"/>
        </w:rPr>
      </w:pPr>
      <w:r>
        <w:rPr>
          <w:rFonts w:hint="eastAsia" w:ascii="仿宋" w:hAnsi="仿宋" w:eastAsia="仿宋" w:cs="仿宋"/>
          <w:b/>
          <w:color w:val="auto"/>
          <w:sz w:val="24"/>
          <w:highlight w:val="none"/>
        </w:rPr>
        <w:t>合同的签订</w:t>
      </w:r>
    </w:p>
    <w:p w14:paraId="12F6227E">
      <w:pPr>
        <w:numPr>
          <w:ilvl w:val="1"/>
          <w:numId w:val="4"/>
        </w:numPr>
        <w:tabs>
          <w:tab w:val="left" w:pos="210"/>
          <w:tab w:val="left" w:pos="640"/>
        </w:tabs>
        <w:snapToGrid w:val="0"/>
        <w:spacing w:line="360" w:lineRule="auto"/>
        <w:ind w:left="627" w:hanging="627"/>
        <w:jc w:val="left"/>
        <w:outlineLvl w:val="3"/>
        <w:rPr>
          <w:rFonts w:ascii="仿宋" w:hAnsi="仿宋" w:eastAsia="仿宋" w:cs="仿宋"/>
          <w:bCs/>
          <w:color w:val="auto"/>
          <w:sz w:val="24"/>
          <w:highlight w:val="none"/>
        </w:rPr>
      </w:pPr>
      <w:r>
        <w:rPr>
          <w:rFonts w:hint="eastAsia" w:ascii="仿宋" w:hAnsi="仿宋" w:eastAsia="仿宋" w:cs="仿宋"/>
          <w:bCs/>
          <w:color w:val="auto"/>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5F4DCC6">
      <w:pPr>
        <w:numPr>
          <w:ilvl w:val="1"/>
          <w:numId w:val="4"/>
        </w:numPr>
        <w:tabs>
          <w:tab w:val="left" w:pos="210"/>
          <w:tab w:val="left" w:pos="640"/>
        </w:tabs>
        <w:snapToGrid w:val="0"/>
        <w:spacing w:line="360" w:lineRule="auto"/>
        <w:ind w:left="627" w:hanging="627"/>
        <w:jc w:val="left"/>
        <w:outlineLvl w:val="3"/>
        <w:rPr>
          <w:rFonts w:ascii="仿宋" w:hAnsi="仿宋" w:eastAsia="仿宋" w:cs="仿宋"/>
          <w:bCs/>
          <w:color w:val="auto"/>
          <w:sz w:val="24"/>
          <w:highlight w:val="none"/>
        </w:rPr>
      </w:pPr>
      <w:r>
        <w:rPr>
          <w:rFonts w:hint="eastAsia" w:ascii="仿宋" w:hAnsi="仿宋" w:eastAsia="仿宋" w:cs="仿宋"/>
          <w:bCs/>
          <w:color w:val="auto"/>
          <w:sz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7E2B176A">
      <w:pPr>
        <w:numPr>
          <w:ilvl w:val="1"/>
          <w:numId w:val="4"/>
        </w:numPr>
        <w:tabs>
          <w:tab w:val="left" w:pos="210"/>
          <w:tab w:val="left" w:pos="640"/>
        </w:tabs>
        <w:snapToGrid w:val="0"/>
        <w:spacing w:line="360" w:lineRule="auto"/>
        <w:ind w:left="627" w:hanging="627"/>
        <w:jc w:val="left"/>
        <w:outlineLvl w:val="3"/>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如签订合同并生效后，供应商无故拒绝或延期，除按照合同条款处理外，列入不良行为记录一次，并给予通报。</w:t>
      </w:r>
    </w:p>
    <w:p w14:paraId="15D6A1B6">
      <w:pPr>
        <w:numPr>
          <w:ilvl w:val="1"/>
          <w:numId w:val="4"/>
        </w:numPr>
        <w:tabs>
          <w:tab w:val="left" w:pos="210"/>
          <w:tab w:val="left" w:pos="640"/>
        </w:tabs>
        <w:snapToGrid w:val="0"/>
        <w:spacing w:line="360" w:lineRule="auto"/>
        <w:ind w:left="627" w:hanging="627"/>
        <w:jc w:val="left"/>
        <w:outlineLvl w:val="3"/>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中标供应商拒绝与采购人签订合同的，采购人可以按照评审报告推荐的中标或者成交候选人名单排序，确定下一候选人为中标供应商，也可以重新开展政府采购活动。</w:t>
      </w:r>
    </w:p>
    <w:p w14:paraId="21990D13">
      <w:pPr>
        <w:numPr>
          <w:ilvl w:val="1"/>
          <w:numId w:val="4"/>
        </w:numPr>
        <w:tabs>
          <w:tab w:val="left" w:pos="210"/>
          <w:tab w:val="left" w:pos="640"/>
        </w:tabs>
        <w:snapToGrid w:val="0"/>
        <w:spacing w:line="360" w:lineRule="auto"/>
        <w:ind w:left="627" w:hanging="627"/>
        <w:jc w:val="left"/>
        <w:outlineLvl w:val="3"/>
        <w:rPr>
          <w:rFonts w:ascii="仿宋" w:hAnsi="仿宋" w:eastAsia="仿宋" w:cs="仿宋"/>
          <w:b/>
          <w:color w:val="auto"/>
          <w:highlight w:val="none"/>
        </w:rPr>
      </w:pPr>
      <w:r>
        <w:rPr>
          <w:rFonts w:hint="eastAsia" w:ascii="仿宋" w:hAnsi="仿宋" w:eastAsia="仿宋" w:cs="仿宋"/>
          <w:bCs/>
          <w:color w:val="auto"/>
          <w:sz w:val="24"/>
          <w:highlight w:val="none"/>
          <w:lang w:val="zh-CN"/>
        </w:rPr>
        <w:t>采购合同由采购人与中标供应商根据招标文件、投标文件等内容通过政府采购电子交易平台在线签订，自动备案。</w:t>
      </w:r>
    </w:p>
    <w:p w14:paraId="5FEE89AA">
      <w:pPr>
        <w:numPr>
          <w:ilvl w:val="0"/>
          <w:numId w:val="4"/>
        </w:numPr>
        <w:tabs>
          <w:tab w:val="left" w:pos="210"/>
        </w:tabs>
        <w:snapToGrid w:val="0"/>
        <w:spacing w:line="360" w:lineRule="auto"/>
        <w:jc w:val="left"/>
        <w:outlineLvl w:val="3"/>
        <w:rPr>
          <w:rFonts w:ascii="仿宋" w:hAnsi="仿宋" w:eastAsia="仿宋" w:cs="仿宋"/>
          <w:b/>
          <w:color w:val="auto"/>
          <w:sz w:val="24"/>
          <w:highlight w:val="none"/>
        </w:rPr>
      </w:pPr>
      <w:r>
        <w:rPr>
          <w:rFonts w:hint="eastAsia" w:ascii="仿宋" w:hAnsi="仿宋" w:eastAsia="仿宋" w:cs="仿宋"/>
          <w:b/>
          <w:color w:val="auto"/>
          <w:sz w:val="24"/>
          <w:highlight w:val="none"/>
        </w:rPr>
        <w:t>履约保证金</w:t>
      </w:r>
    </w:p>
    <w:p w14:paraId="56E6E031">
      <w:pPr>
        <w:numPr>
          <w:ilvl w:val="1"/>
          <w:numId w:val="4"/>
        </w:numPr>
        <w:tabs>
          <w:tab w:val="left" w:pos="210"/>
          <w:tab w:val="left" w:pos="640"/>
        </w:tabs>
        <w:snapToGrid w:val="0"/>
        <w:spacing w:line="360" w:lineRule="auto"/>
        <w:ind w:left="627" w:hanging="627"/>
        <w:jc w:val="left"/>
        <w:outlineLvl w:val="3"/>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cs="仿宋"/>
          <w:bCs/>
          <w:color w:val="auto"/>
          <w:sz w:val="24"/>
          <w:highlight w:val="none"/>
        </w:rPr>
        <w:t>1.0</w:t>
      </w:r>
      <w:r>
        <w:rPr>
          <w:rFonts w:hint="eastAsia" w:ascii="仿宋" w:hAnsi="仿宋" w:eastAsia="仿宋" w:cs="仿宋"/>
          <w:bCs/>
          <w:color w:val="auto"/>
          <w:sz w:val="24"/>
          <w:highlight w:val="none"/>
          <w:lang w:val="zh-CN"/>
        </w:rPr>
        <w:t>%。鼓励和支持供应商以银行、保险公司出具的保函形式提供履约保证金。采购人不得拒收履约保函，项目验收结束后应及时退还，延迟退还的，应当按照合同约定和法律规定承担相应的赔偿责任。</w:t>
      </w:r>
    </w:p>
    <w:p w14:paraId="6F99C3EC">
      <w:pPr>
        <w:numPr>
          <w:ilvl w:val="1"/>
          <w:numId w:val="4"/>
        </w:numPr>
        <w:tabs>
          <w:tab w:val="left" w:pos="210"/>
          <w:tab w:val="left" w:pos="640"/>
        </w:tabs>
        <w:snapToGrid w:val="0"/>
        <w:spacing w:line="360" w:lineRule="auto"/>
        <w:ind w:left="627" w:hanging="627"/>
        <w:jc w:val="left"/>
        <w:outlineLvl w:val="3"/>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w:t>
      </w:r>
      <w:r>
        <w:rPr>
          <w:rFonts w:hint="eastAsia" w:ascii="仿宋" w:hAnsi="仿宋" w:eastAsia="仿宋" w:cs="仿宋"/>
          <w:bCs/>
          <w:color w:val="auto"/>
          <w:sz w:val="24"/>
          <w:highlight w:val="none"/>
        </w:rPr>
        <w:t>可</w:t>
      </w:r>
      <w:r>
        <w:rPr>
          <w:rFonts w:hint="eastAsia" w:ascii="仿宋" w:hAnsi="仿宋" w:eastAsia="仿宋" w:cs="仿宋"/>
          <w:bCs/>
          <w:color w:val="auto"/>
          <w:sz w:val="24"/>
          <w:highlight w:val="none"/>
          <w:lang w:val="zh-CN"/>
        </w:rPr>
        <w:t>登录政采云平台-【金融服务】—【我的项目】—【已备案合同】以保函形式提供：</w:t>
      </w:r>
    </w:p>
    <w:p w14:paraId="1DD7602C">
      <w:pPr>
        <w:numPr>
          <w:ilvl w:val="2"/>
          <w:numId w:val="4"/>
        </w:numPr>
        <w:tabs>
          <w:tab w:val="left" w:pos="210"/>
        </w:tabs>
        <w:snapToGrid w:val="0"/>
        <w:spacing w:line="360" w:lineRule="auto"/>
        <w:jc w:val="left"/>
        <w:outlineLvl w:val="3"/>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供应商在合同列表选择需要投保的合同，点击【保函推荐】。</w:t>
      </w:r>
    </w:p>
    <w:p w14:paraId="6D88AD68">
      <w:pPr>
        <w:numPr>
          <w:ilvl w:val="2"/>
          <w:numId w:val="4"/>
        </w:numPr>
        <w:tabs>
          <w:tab w:val="left" w:pos="210"/>
        </w:tabs>
        <w:snapToGrid w:val="0"/>
        <w:spacing w:line="360" w:lineRule="auto"/>
        <w:jc w:val="left"/>
        <w:outlineLvl w:val="3"/>
        <w:rPr>
          <w:rFonts w:ascii="仿宋" w:hAnsi="仿宋" w:eastAsia="仿宋" w:cs="仿宋"/>
          <w:bCs/>
          <w:color w:val="auto"/>
          <w:sz w:val="24"/>
          <w:highlight w:val="none"/>
        </w:rPr>
      </w:pPr>
      <w:r>
        <w:rPr>
          <w:rFonts w:hint="eastAsia" w:ascii="仿宋" w:hAnsi="仿宋" w:eastAsia="仿宋" w:cs="仿宋"/>
          <w:bCs/>
          <w:color w:val="auto"/>
          <w:sz w:val="24"/>
          <w:highlight w:val="none"/>
          <w:lang w:val="zh-CN"/>
        </w:rPr>
        <w:t>在弹框里查看推荐的保函产品，供应商自行选择保函产品，点击【立即申请】。</w:t>
      </w:r>
    </w:p>
    <w:p w14:paraId="29C28E98">
      <w:pPr>
        <w:numPr>
          <w:ilvl w:val="2"/>
          <w:numId w:val="4"/>
        </w:numPr>
        <w:tabs>
          <w:tab w:val="left" w:pos="210"/>
        </w:tabs>
        <w:snapToGrid w:val="0"/>
        <w:spacing w:line="360" w:lineRule="auto"/>
        <w:jc w:val="left"/>
        <w:outlineLvl w:val="3"/>
        <w:rPr>
          <w:rFonts w:ascii="仿宋" w:hAnsi="仿宋" w:eastAsia="仿宋" w:cs="仿宋"/>
          <w:bCs/>
          <w:color w:val="auto"/>
          <w:sz w:val="24"/>
          <w:highlight w:val="none"/>
        </w:rPr>
      </w:pPr>
      <w:r>
        <w:rPr>
          <w:rFonts w:hint="eastAsia" w:ascii="仿宋" w:hAnsi="仿宋" w:eastAsia="仿宋" w:cs="仿宋"/>
          <w:bCs/>
          <w:color w:val="auto"/>
          <w:sz w:val="24"/>
          <w:highlight w:val="none"/>
          <w:lang w:val="zh-CN"/>
        </w:rPr>
        <w:t>在弹框里填写保函申请信息。具体步骤：选择产品—填写供应商信息—选择中标项目—确认信息—等待保险/保函受理—确认保单—支付保费—成功出单。政采云金融专线400-903-9583。</w:t>
      </w:r>
    </w:p>
    <w:p w14:paraId="372DFA72">
      <w:pPr>
        <w:numPr>
          <w:ilvl w:val="0"/>
          <w:numId w:val="4"/>
        </w:numPr>
        <w:tabs>
          <w:tab w:val="left" w:pos="210"/>
        </w:tabs>
        <w:snapToGrid w:val="0"/>
        <w:spacing w:line="360" w:lineRule="auto"/>
        <w:jc w:val="left"/>
        <w:outlineLvl w:val="3"/>
        <w:rPr>
          <w:rFonts w:ascii="仿宋" w:hAnsi="仿宋" w:eastAsia="仿宋" w:cs="仿宋"/>
          <w:b/>
          <w:color w:val="auto"/>
          <w:sz w:val="24"/>
          <w:highlight w:val="none"/>
        </w:rPr>
      </w:pPr>
      <w:r>
        <w:rPr>
          <w:rFonts w:hint="eastAsia" w:ascii="仿宋" w:hAnsi="仿宋" w:eastAsia="仿宋" w:cs="仿宋"/>
          <w:b/>
          <w:color w:val="auto"/>
          <w:sz w:val="24"/>
          <w:highlight w:val="none"/>
        </w:rPr>
        <w:t>预付款</w:t>
      </w:r>
    </w:p>
    <w:p w14:paraId="3B1A7AC0">
      <w:pPr>
        <w:pStyle w:val="24"/>
        <w:rPr>
          <w:rFonts w:ascii="仿宋" w:hAnsi="仿宋" w:eastAsia="仿宋" w:cs="仿宋"/>
          <w:color w:val="auto"/>
          <w:highlight w:val="none"/>
        </w:rPr>
      </w:pPr>
      <w:r>
        <w:rPr>
          <w:rFonts w:hint="eastAsia" w:ascii="仿宋" w:hAnsi="仿宋" w:eastAsia="仿宋" w:cs="仿宋"/>
          <w:bCs/>
          <w:color w:val="auto"/>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957DFFF">
      <w:pPr>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八、电子交易活动的中止</w:t>
      </w:r>
    </w:p>
    <w:p w14:paraId="3506AD0D">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电子交易活动的中止</w:t>
      </w:r>
    </w:p>
    <w:p w14:paraId="46F43EE9">
      <w:pPr>
        <w:pStyle w:val="13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462D6055">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 xml:space="preserve">电子交易平台发生故障而无法登录访问的； </w:t>
      </w:r>
    </w:p>
    <w:p w14:paraId="7919578C">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电子交易平台应用或数据库出现错误，不能进行正常操作的；</w:t>
      </w:r>
    </w:p>
    <w:p w14:paraId="69FFFF33">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电子交易平台发现严重安全漏洞，有潜在泄密危险的；</w:t>
      </w:r>
    </w:p>
    <w:p w14:paraId="0890BF13">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 xml:space="preserve">病毒发作导致不能进行正常操作的； </w:t>
      </w:r>
    </w:p>
    <w:p w14:paraId="0EFD4008">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其他无法保证电子交易的公平、公正和安全的情况。</w:t>
      </w:r>
    </w:p>
    <w:p w14:paraId="6435585A">
      <w:pPr>
        <w:numPr>
          <w:ilvl w:val="0"/>
          <w:numId w:val="4"/>
        </w:numPr>
        <w:tabs>
          <w:tab w:val="left" w:pos="210"/>
        </w:tabs>
        <w:snapToGrid w:val="0"/>
        <w:spacing w:line="360" w:lineRule="auto"/>
        <w:ind w:left="403" w:hanging="403"/>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4111B40">
      <w:pPr>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九、验收</w:t>
      </w:r>
    </w:p>
    <w:p w14:paraId="0E21E5C2">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验收</w:t>
      </w:r>
    </w:p>
    <w:p w14:paraId="78E1756D">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5F63CF">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采购人可以邀请参加本项目的其他投标人或者第三方机构参与验收。参与验收的投标人或者第三方机构的意见作为验收书的参考资料一并存档。</w:t>
      </w:r>
    </w:p>
    <w:p w14:paraId="20D42738">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A9604CF">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584D3C7A">
      <w:pPr>
        <w:pStyle w:val="139"/>
        <w:snapToGrid w:val="0"/>
        <w:spacing w:before="0"/>
        <w:ind w:firstLine="480"/>
        <w:rPr>
          <w:rFonts w:ascii="仿宋" w:hAnsi="仿宋" w:eastAsia="仿宋" w:cs="仿宋"/>
          <w:color w:val="auto"/>
          <w:highlight w:val="none"/>
        </w:rPr>
      </w:pPr>
      <w:bookmarkStart w:id="16" w:name="_Hlt68072990"/>
      <w:bookmarkEnd w:id="16"/>
      <w:bookmarkStart w:id="17" w:name="_Hlt74714665"/>
      <w:bookmarkEnd w:id="17"/>
      <w:bookmarkStart w:id="18" w:name="_Hlt68072998"/>
      <w:bookmarkEnd w:id="18"/>
      <w:bookmarkStart w:id="19" w:name="_Hlt68073093"/>
      <w:bookmarkEnd w:id="19"/>
      <w:bookmarkStart w:id="20" w:name="_Hlt75236011"/>
      <w:bookmarkEnd w:id="20"/>
      <w:bookmarkStart w:id="21" w:name="_Hlt74730295"/>
      <w:bookmarkEnd w:id="21"/>
      <w:bookmarkStart w:id="22" w:name="_Hlt75236101"/>
      <w:bookmarkEnd w:id="22"/>
      <w:bookmarkStart w:id="23" w:name="_Hlt68403820"/>
      <w:bookmarkEnd w:id="23"/>
      <w:bookmarkStart w:id="24" w:name="_Hlt68057669"/>
      <w:bookmarkEnd w:id="24"/>
      <w:bookmarkStart w:id="25" w:name="_Hlt74707468"/>
      <w:bookmarkEnd w:id="25"/>
      <w:bookmarkStart w:id="26" w:name="_Hlt75236290"/>
      <w:bookmarkEnd w:id="26"/>
      <w:bookmarkStart w:id="27" w:name="_Hlt74729768"/>
      <w:bookmarkEnd w:id="27"/>
    </w:p>
    <w:p w14:paraId="7E3E484A">
      <w:pPr>
        <w:pStyle w:val="139"/>
        <w:snapToGrid w:val="0"/>
        <w:spacing w:before="0"/>
        <w:ind w:firstLine="480"/>
        <w:rPr>
          <w:rFonts w:ascii="仿宋" w:hAnsi="仿宋" w:eastAsia="仿宋" w:cs="仿宋"/>
          <w:color w:val="auto"/>
          <w:highlight w:val="none"/>
        </w:rPr>
        <w:sectPr>
          <w:headerReference r:id="rId4" w:type="first"/>
          <w:footerReference r:id="rId7" w:type="first"/>
          <w:headerReference r:id="rId3" w:type="default"/>
          <w:footerReference r:id="rId5" w:type="default"/>
          <w:footerReference r:id="rId6" w:type="even"/>
          <w:pgSz w:w="11906" w:h="16838"/>
          <w:pgMar w:top="1287" w:right="1757" w:bottom="1440" w:left="1757" w:header="651" w:footer="992" w:gutter="0"/>
          <w:cols w:space="720" w:num="1"/>
          <w:titlePg/>
          <w:docGrid w:linePitch="312" w:charSpace="0"/>
        </w:sectPr>
      </w:pPr>
    </w:p>
    <w:bookmarkEnd w:id="13"/>
    <w:bookmarkEnd w:id="14"/>
    <w:p w14:paraId="4E338CDF">
      <w:pPr>
        <w:numPr>
          <w:ilvl w:val="0"/>
          <w:numId w:val="5"/>
        </w:numPr>
        <w:adjustRightInd/>
        <w:spacing w:line="360" w:lineRule="auto"/>
        <w:jc w:val="center"/>
        <w:outlineLvl w:val="0"/>
        <w:rPr>
          <w:rFonts w:ascii="仿宋" w:hAnsi="仿宋" w:eastAsia="仿宋" w:cs="仿宋"/>
          <w:b/>
          <w:color w:val="auto"/>
          <w:sz w:val="36"/>
          <w:szCs w:val="20"/>
          <w:highlight w:val="none"/>
        </w:rPr>
      </w:pPr>
      <w:bookmarkStart w:id="28" w:name="_Toc5571"/>
      <w:bookmarkStart w:id="29" w:name="第四部分"/>
      <w:r>
        <w:rPr>
          <w:rFonts w:hint="eastAsia" w:ascii="仿宋" w:hAnsi="仿宋" w:eastAsia="仿宋" w:cs="仿宋"/>
          <w:b/>
          <w:color w:val="auto"/>
          <w:sz w:val="36"/>
          <w:szCs w:val="20"/>
          <w:highlight w:val="none"/>
        </w:rPr>
        <w:t xml:space="preserve"> 采购需求</w:t>
      </w:r>
      <w:bookmarkEnd w:id="28"/>
    </w:p>
    <w:p w14:paraId="728340CA">
      <w:pPr>
        <w:spacing w:line="360" w:lineRule="auto"/>
        <w:ind w:firstLine="480" w:firstLineChars="200"/>
        <w:rPr>
          <w:rFonts w:hint="eastAsia" w:ascii="仿宋" w:hAnsi="仿宋" w:eastAsia="仿宋" w:cs="仿宋"/>
          <w:color w:val="auto"/>
          <w:sz w:val="24"/>
          <w:szCs w:val="24"/>
          <w:highlight w:val="none"/>
        </w:rPr>
      </w:pPr>
      <w:bookmarkStart w:id="30" w:name="_Toc422946256"/>
      <w:r>
        <w:rPr>
          <w:rFonts w:hint="eastAsia" w:ascii="仿宋" w:hAnsi="仿宋" w:eastAsia="仿宋" w:cs="仿宋"/>
          <w:color w:val="auto"/>
          <w:sz w:val="24"/>
          <w:szCs w:val="24"/>
          <w:highlight w:val="none"/>
        </w:rPr>
        <w:t>一、采购内容</w:t>
      </w:r>
      <w:bookmarkEnd w:id="30"/>
    </w:p>
    <w:p w14:paraId="7356D1F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本次招标的内容为</w:t>
      </w:r>
      <w:r>
        <w:rPr>
          <w:rFonts w:hint="eastAsia" w:ascii="仿宋" w:hAnsi="仿宋" w:eastAsia="仿宋" w:cs="仿宋"/>
          <w:color w:val="auto"/>
          <w:sz w:val="24"/>
          <w:szCs w:val="24"/>
          <w:highlight w:val="none"/>
          <w:lang w:val="en-US" w:eastAsia="zh-CN"/>
        </w:rPr>
        <w:t>我院10ml口服液体制剂</w:t>
      </w:r>
      <w:r>
        <w:rPr>
          <w:rFonts w:hint="default" w:ascii="仿宋" w:hAnsi="仿宋" w:eastAsia="仿宋" w:cs="仿宋"/>
          <w:color w:val="auto"/>
          <w:sz w:val="24"/>
          <w:szCs w:val="24"/>
          <w:highlight w:val="none"/>
          <w:lang w:val="en-US" w:eastAsia="zh-CN"/>
        </w:rPr>
        <w:t>药包材钠钙玻璃管制口服液体瓶套装。</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需提供各项货物的制</w:t>
      </w:r>
      <w:r>
        <w:rPr>
          <w:rFonts w:hint="eastAsia" w:ascii="仿宋" w:hAnsi="仿宋" w:eastAsia="仿宋" w:cs="仿宋"/>
          <w:color w:val="auto"/>
          <w:sz w:val="24"/>
          <w:szCs w:val="24"/>
          <w:highlight w:val="none"/>
          <w:lang w:val="en-US" w:eastAsia="zh-CN"/>
        </w:rPr>
        <w:t>作</w:t>
      </w:r>
      <w:r>
        <w:rPr>
          <w:rFonts w:hint="eastAsia" w:ascii="仿宋" w:hAnsi="仿宋" w:eastAsia="仿宋" w:cs="仿宋"/>
          <w:color w:val="auto"/>
          <w:sz w:val="24"/>
          <w:szCs w:val="24"/>
          <w:highlight w:val="none"/>
        </w:rPr>
        <w:t>、配送、运输和售后服务等一切与清单有关的附随服务工作。</w:t>
      </w:r>
    </w:p>
    <w:p w14:paraId="1A401CC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投标人应根据招标文件和产品清单所提出的技术规格、参数、数量和服务要求，选择具有最佳性能价格比的</w:t>
      </w:r>
      <w:r>
        <w:rPr>
          <w:rFonts w:hint="eastAsia" w:ascii="仿宋" w:hAnsi="仿宋" w:eastAsia="仿宋" w:cs="仿宋"/>
          <w:color w:val="auto"/>
          <w:sz w:val="24"/>
          <w:szCs w:val="24"/>
          <w:highlight w:val="none"/>
          <w:lang w:val="en-US" w:eastAsia="zh-CN"/>
        </w:rPr>
        <w:t>产品</w:t>
      </w:r>
      <w:r>
        <w:rPr>
          <w:rFonts w:hint="eastAsia" w:ascii="仿宋" w:hAnsi="仿宋" w:eastAsia="仿宋" w:cs="仿宋"/>
          <w:color w:val="auto"/>
          <w:sz w:val="24"/>
          <w:szCs w:val="24"/>
          <w:highlight w:val="none"/>
        </w:rPr>
        <w:t>前来投标。</w:t>
      </w:r>
    </w:p>
    <w:p w14:paraId="524FCA10">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应具备规范的管理体系</w:t>
      </w:r>
      <w:r>
        <w:rPr>
          <w:rFonts w:hint="eastAsia" w:ascii="仿宋" w:hAnsi="仿宋" w:eastAsia="仿宋" w:cs="仿宋"/>
          <w:color w:val="auto"/>
          <w:sz w:val="24"/>
          <w:szCs w:val="24"/>
          <w:highlight w:val="none"/>
          <w:lang w:eastAsia="zh-CN"/>
        </w:rPr>
        <w:t>（具有有效期内的质量管理体系认证证书、环境管理体系认证证书）</w:t>
      </w:r>
      <w:r>
        <w:rPr>
          <w:rFonts w:hint="eastAsia" w:ascii="仿宋" w:hAnsi="仿宋" w:eastAsia="仿宋" w:cs="仿宋"/>
          <w:color w:val="auto"/>
          <w:sz w:val="24"/>
          <w:szCs w:val="24"/>
          <w:highlight w:val="none"/>
          <w:lang w:val="en-US" w:eastAsia="zh-CN"/>
        </w:rPr>
        <w:t>及同类钠钙玻璃管</w:t>
      </w:r>
      <w:r>
        <w:rPr>
          <w:rFonts w:hint="eastAsia" w:ascii="仿宋" w:hAnsi="仿宋" w:eastAsia="仿宋" w:cs="仿宋"/>
          <w:color w:val="auto"/>
          <w:sz w:val="24"/>
          <w:highlight w:val="none"/>
          <w:lang w:eastAsia="zh-CN"/>
        </w:rPr>
        <w:t>套装产品</w:t>
      </w:r>
      <w:r>
        <w:rPr>
          <w:rFonts w:hint="eastAsia" w:ascii="仿宋" w:hAnsi="仿宋" w:eastAsia="仿宋" w:cs="仿宋"/>
          <w:color w:val="auto"/>
          <w:sz w:val="24"/>
          <w:szCs w:val="24"/>
          <w:highlight w:val="none"/>
          <w:lang w:val="en-US" w:eastAsia="zh-CN"/>
        </w:rPr>
        <w:t>供货业绩。</w:t>
      </w:r>
    </w:p>
    <w:p w14:paraId="501CA831">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w:t>
      </w:r>
      <w:r>
        <w:rPr>
          <w:rFonts w:hint="eastAsia" w:ascii="仿宋" w:hAnsi="仿宋" w:eastAsia="仿宋" w:cs="仿宋"/>
          <w:color w:val="auto"/>
          <w:sz w:val="24"/>
          <w:szCs w:val="24"/>
          <w:highlight w:val="none"/>
        </w:rPr>
        <w:t>应具备完善的管理制度和服务标准，提供管理服务模式、工作流程说明。</w:t>
      </w:r>
    </w:p>
    <w:p w14:paraId="215AEAC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、投标人应设立仓库，提供物流保障方案，如运输方案、配送方案，以确保服务期内，货源的正常提供。</w:t>
      </w:r>
    </w:p>
    <w:p w14:paraId="69B1CFD4">
      <w:pPr>
        <w:spacing w:line="360" w:lineRule="auto"/>
        <w:ind w:firstLine="480" w:firstLineChars="200"/>
        <w:rPr>
          <w:rFonts w:hint="eastAsia" w:ascii="Calibri" w:hAnsi="Calibri" w:eastAsia="微软雅黑" w:cs="Times New Roman"/>
          <w:color w:val="auto"/>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投标人提供详细的售后服务承诺书</w:t>
      </w:r>
      <w:r>
        <w:rPr>
          <w:rFonts w:hint="eastAsia" w:ascii="仿宋" w:hAnsi="仿宋" w:eastAsia="仿宋" w:cs="仿宋"/>
          <w:color w:val="auto"/>
          <w:sz w:val="24"/>
          <w:szCs w:val="24"/>
          <w:highlight w:val="none"/>
          <w:lang w:eastAsia="zh-CN"/>
        </w:rPr>
        <w:t>。</w:t>
      </w:r>
    </w:p>
    <w:p w14:paraId="4937A47D">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7、投标人可针对本项目实施提出合理化建议</w:t>
      </w:r>
      <w:r>
        <w:rPr>
          <w:rFonts w:hint="eastAsia" w:ascii="仿宋" w:hAnsi="仿宋" w:eastAsia="仿宋" w:cs="仿宋"/>
          <w:color w:val="auto"/>
          <w:sz w:val="24"/>
          <w:szCs w:val="24"/>
          <w:highlight w:val="none"/>
          <w:lang w:eastAsia="zh-CN"/>
        </w:rPr>
        <w:t>。</w:t>
      </w:r>
    </w:p>
    <w:p w14:paraId="5FC78B33">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8、项目服务期：一年</w:t>
      </w:r>
      <w:r>
        <w:rPr>
          <w:rFonts w:hint="eastAsia" w:ascii="仿宋" w:hAnsi="仿宋" w:eastAsia="仿宋" w:cs="仿宋"/>
          <w:color w:val="auto"/>
          <w:sz w:val="24"/>
          <w:highlight w:val="none"/>
        </w:rPr>
        <w:t>或如合同期内采购总金额已达中标总价，合同自动终止，以二者中的先到时间为准。</w:t>
      </w:r>
    </w:p>
    <w:p w14:paraId="4756FA8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二、产品清单</w:t>
      </w:r>
    </w:p>
    <w:tbl>
      <w:tblPr>
        <w:tblStyle w:val="62"/>
        <w:tblW w:w="825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1526"/>
        <w:gridCol w:w="1837"/>
        <w:gridCol w:w="2715"/>
        <w:gridCol w:w="660"/>
        <w:gridCol w:w="945"/>
      </w:tblGrid>
      <w:tr w14:paraId="26B66A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67" w:type="dxa"/>
            <w:tcBorders>
              <w:tl2br w:val="nil"/>
              <w:tr2bl w:val="nil"/>
            </w:tcBorders>
            <w:shd w:val="clear" w:color="auto" w:fill="FFFFFF"/>
            <w:noWrap/>
            <w:tcMar>
              <w:top w:w="15" w:type="dxa"/>
              <w:left w:w="15" w:type="dxa"/>
              <w:right w:w="15" w:type="dxa"/>
            </w:tcMar>
            <w:vAlign w:val="center"/>
          </w:tcPr>
          <w:p w14:paraId="36BC14CA">
            <w:pPr>
              <w:keepNext w:val="0"/>
              <w:keepLines w:val="0"/>
              <w:widowControl/>
              <w:suppressLineNumbers w:val="0"/>
              <w:spacing w:line="360" w:lineRule="auto"/>
              <w:jc w:val="center"/>
              <w:textAlignment w:val="bottom"/>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序号</w:t>
            </w:r>
          </w:p>
        </w:tc>
        <w:tc>
          <w:tcPr>
            <w:tcW w:w="1526" w:type="dxa"/>
            <w:tcBorders>
              <w:tl2br w:val="nil"/>
              <w:tr2bl w:val="nil"/>
            </w:tcBorders>
            <w:shd w:val="clear" w:color="auto" w:fill="FFFFFF"/>
            <w:noWrap/>
            <w:tcMar>
              <w:top w:w="15" w:type="dxa"/>
              <w:left w:w="15" w:type="dxa"/>
              <w:right w:w="15" w:type="dxa"/>
            </w:tcMar>
            <w:vAlign w:val="center"/>
          </w:tcPr>
          <w:p w14:paraId="1D867FAA">
            <w:pPr>
              <w:widowControl/>
              <w:spacing w:line="360" w:lineRule="auto"/>
              <w:jc w:val="center"/>
              <w:textAlignment w:val="bottom"/>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名称</w:t>
            </w:r>
          </w:p>
        </w:tc>
        <w:tc>
          <w:tcPr>
            <w:tcW w:w="1837" w:type="dxa"/>
            <w:tcBorders>
              <w:tl2br w:val="nil"/>
              <w:tr2bl w:val="nil"/>
            </w:tcBorders>
            <w:shd w:val="clear" w:color="auto" w:fill="FFFFFF"/>
            <w:noWrap/>
            <w:tcMar>
              <w:top w:w="15" w:type="dxa"/>
              <w:left w:w="15" w:type="dxa"/>
              <w:right w:w="15" w:type="dxa"/>
            </w:tcMar>
            <w:vAlign w:val="center"/>
          </w:tcPr>
          <w:p w14:paraId="78FDA028">
            <w:pPr>
              <w:keepNext w:val="0"/>
              <w:keepLines w:val="0"/>
              <w:widowControl/>
              <w:suppressLineNumbers w:val="0"/>
              <w:spacing w:line="360" w:lineRule="auto"/>
              <w:jc w:val="center"/>
              <w:textAlignment w:val="bottom"/>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用途</w:t>
            </w:r>
          </w:p>
        </w:tc>
        <w:tc>
          <w:tcPr>
            <w:tcW w:w="2715" w:type="dxa"/>
            <w:tcBorders>
              <w:tl2br w:val="nil"/>
              <w:tr2bl w:val="nil"/>
            </w:tcBorders>
            <w:shd w:val="clear" w:color="auto" w:fill="FFFFFF"/>
            <w:noWrap/>
            <w:tcMar>
              <w:top w:w="15" w:type="dxa"/>
              <w:left w:w="15" w:type="dxa"/>
              <w:right w:w="15" w:type="dxa"/>
            </w:tcMar>
            <w:vAlign w:val="center"/>
          </w:tcPr>
          <w:p w14:paraId="4CDCA227">
            <w:pPr>
              <w:keepNext w:val="0"/>
              <w:keepLines w:val="0"/>
              <w:widowControl/>
              <w:suppressLineNumbers w:val="0"/>
              <w:spacing w:line="360" w:lineRule="auto"/>
              <w:jc w:val="center"/>
              <w:textAlignment w:val="bottom"/>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材质</w:t>
            </w:r>
          </w:p>
        </w:tc>
        <w:tc>
          <w:tcPr>
            <w:tcW w:w="660" w:type="dxa"/>
            <w:tcBorders>
              <w:tl2br w:val="nil"/>
              <w:tr2bl w:val="nil"/>
            </w:tcBorders>
            <w:shd w:val="clear" w:color="auto" w:fill="FFFFFF"/>
            <w:noWrap/>
            <w:tcMar>
              <w:top w:w="15" w:type="dxa"/>
              <w:left w:w="15" w:type="dxa"/>
              <w:right w:w="15" w:type="dxa"/>
            </w:tcMar>
            <w:vAlign w:val="center"/>
          </w:tcPr>
          <w:p w14:paraId="1C8A4A05">
            <w:pPr>
              <w:keepNext w:val="0"/>
              <w:keepLines w:val="0"/>
              <w:widowControl/>
              <w:suppressLineNumbers w:val="0"/>
              <w:spacing w:line="360" w:lineRule="auto"/>
              <w:jc w:val="center"/>
              <w:textAlignment w:val="bottom"/>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规格</w:t>
            </w:r>
          </w:p>
        </w:tc>
        <w:tc>
          <w:tcPr>
            <w:tcW w:w="945" w:type="dxa"/>
            <w:tcBorders>
              <w:tl2br w:val="nil"/>
              <w:tr2bl w:val="nil"/>
            </w:tcBorders>
            <w:shd w:val="clear" w:color="auto" w:fill="FFFFFF"/>
            <w:noWrap/>
            <w:tcMar>
              <w:top w:w="15" w:type="dxa"/>
              <w:left w:w="15" w:type="dxa"/>
              <w:right w:w="15" w:type="dxa"/>
            </w:tcMar>
            <w:vAlign w:val="center"/>
          </w:tcPr>
          <w:p w14:paraId="7BE2E334">
            <w:pPr>
              <w:spacing w:line="360" w:lineRule="auto"/>
              <w:jc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预估</w:t>
            </w:r>
          </w:p>
          <w:p w14:paraId="2C1760ED">
            <w:pPr>
              <w:spacing w:line="360" w:lineRule="auto"/>
              <w:jc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数量</w:t>
            </w:r>
          </w:p>
        </w:tc>
      </w:tr>
      <w:tr w14:paraId="450415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67" w:type="dxa"/>
            <w:tcBorders>
              <w:tl2br w:val="nil"/>
              <w:tr2bl w:val="nil"/>
            </w:tcBorders>
            <w:shd w:val="clear" w:color="auto" w:fill="FFFFFF"/>
            <w:noWrap/>
            <w:tcMar>
              <w:top w:w="15" w:type="dxa"/>
              <w:left w:w="15" w:type="dxa"/>
              <w:right w:w="15" w:type="dxa"/>
            </w:tcMar>
            <w:vAlign w:val="center"/>
          </w:tcPr>
          <w:p w14:paraId="71479678">
            <w:pPr>
              <w:keepNext w:val="0"/>
              <w:keepLines w:val="0"/>
              <w:widowControl/>
              <w:suppressLineNumbers w:val="0"/>
              <w:spacing w:line="360" w:lineRule="auto"/>
              <w:ind w:firstLine="240" w:firstLineChars="100"/>
              <w:jc w:val="both"/>
              <w:textAlignment w:val="bottom"/>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w:t>
            </w:r>
          </w:p>
        </w:tc>
        <w:tc>
          <w:tcPr>
            <w:tcW w:w="1526" w:type="dxa"/>
            <w:tcBorders>
              <w:tl2br w:val="nil"/>
              <w:tr2bl w:val="nil"/>
            </w:tcBorders>
            <w:shd w:val="clear" w:color="auto" w:fill="FFFFFF"/>
            <w:noWrap/>
            <w:tcMar>
              <w:top w:w="15" w:type="dxa"/>
              <w:left w:w="15" w:type="dxa"/>
              <w:right w:w="15" w:type="dxa"/>
            </w:tcMar>
            <w:vAlign w:val="center"/>
          </w:tcPr>
          <w:p w14:paraId="6F343B7B">
            <w:pP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钠钙玻璃管制口服液体瓶套装（B型）</w:t>
            </w:r>
          </w:p>
        </w:tc>
        <w:tc>
          <w:tcPr>
            <w:tcW w:w="1837" w:type="dxa"/>
            <w:tcBorders>
              <w:tl2br w:val="nil"/>
              <w:tr2bl w:val="nil"/>
            </w:tcBorders>
            <w:shd w:val="clear" w:color="auto" w:fill="FFFFFF"/>
            <w:noWrap/>
            <w:tcMar>
              <w:top w:w="15" w:type="dxa"/>
              <w:left w:w="15" w:type="dxa"/>
              <w:right w:w="15" w:type="dxa"/>
            </w:tcMar>
            <w:vAlign w:val="center"/>
          </w:tcPr>
          <w:p w14:paraId="099D2E43">
            <w:pPr>
              <w:keepNext w:val="0"/>
              <w:keepLines w:val="0"/>
              <w:widowControl/>
              <w:suppressLineNumbers w:val="0"/>
              <w:spacing w:line="360" w:lineRule="auto"/>
              <w:jc w:val="center"/>
              <w:textAlignment w:val="bottom"/>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皮康口服液体瓶套装</w:t>
            </w:r>
          </w:p>
        </w:tc>
        <w:tc>
          <w:tcPr>
            <w:tcW w:w="2715" w:type="dxa"/>
            <w:tcBorders>
              <w:tl2br w:val="nil"/>
              <w:tr2bl w:val="nil"/>
            </w:tcBorders>
            <w:shd w:val="clear" w:color="auto" w:fill="FFFFFF"/>
            <w:noWrap/>
            <w:tcMar>
              <w:top w:w="15" w:type="dxa"/>
              <w:left w:w="15" w:type="dxa"/>
              <w:right w:w="15" w:type="dxa"/>
            </w:tcMar>
            <w:vAlign w:val="center"/>
          </w:tcPr>
          <w:p w14:paraId="5110BD2A">
            <w:pPr>
              <w:keepNext w:val="0"/>
              <w:keepLines w:val="0"/>
              <w:pageBreakBefore w:val="0"/>
              <w:numPr>
                <w:ilvl w:val="0"/>
                <w:numId w:val="0"/>
              </w:numPr>
              <w:kinsoku/>
              <w:wordWrap/>
              <w:overflowPunct/>
              <w:topLinePunct w:val="0"/>
              <w:autoSpaceDE/>
              <w:autoSpaceDN/>
              <w:bidi w:val="0"/>
              <w:spacing w:line="24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钠钙玻璃管制口服液体瓶（10 ml）+口服液用溴化丁基橡胶塞+口服液瓶用铝塑组合盖+聚丙烯饮用吸管</w:t>
            </w:r>
          </w:p>
        </w:tc>
        <w:tc>
          <w:tcPr>
            <w:tcW w:w="660" w:type="dxa"/>
            <w:tcBorders>
              <w:tl2br w:val="nil"/>
              <w:tr2bl w:val="nil"/>
            </w:tcBorders>
            <w:shd w:val="clear" w:color="auto" w:fill="FFFFFF"/>
            <w:noWrap/>
            <w:tcMar>
              <w:top w:w="15" w:type="dxa"/>
              <w:left w:w="15" w:type="dxa"/>
              <w:right w:w="15" w:type="dxa"/>
            </w:tcMar>
            <w:vAlign w:val="center"/>
          </w:tcPr>
          <w:p w14:paraId="106E4A48">
            <w:pPr>
              <w:keepNext w:val="0"/>
              <w:keepLines w:val="0"/>
              <w:widowControl/>
              <w:suppressLineNumbers w:val="0"/>
              <w:spacing w:line="360" w:lineRule="auto"/>
              <w:jc w:val="center"/>
              <w:textAlignment w:val="bottom"/>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10ml</w:t>
            </w:r>
          </w:p>
        </w:tc>
        <w:tc>
          <w:tcPr>
            <w:tcW w:w="945" w:type="dxa"/>
            <w:tcBorders>
              <w:tl2br w:val="nil"/>
              <w:tr2bl w:val="nil"/>
            </w:tcBorders>
            <w:shd w:val="clear" w:color="auto" w:fill="FFFFFF"/>
            <w:noWrap/>
            <w:tcMar>
              <w:top w:w="15" w:type="dxa"/>
              <w:left w:w="15" w:type="dxa"/>
              <w:right w:w="15" w:type="dxa"/>
            </w:tcMar>
            <w:vAlign w:val="center"/>
          </w:tcPr>
          <w:p w14:paraId="204D768F">
            <w:pPr>
              <w:keepNext w:val="0"/>
              <w:keepLines w:val="0"/>
              <w:widowControl/>
              <w:suppressLineNumbers w:val="0"/>
              <w:spacing w:line="360" w:lineRule="auto"/>
              <w:jc w:val="center"/>
              <w:textAlignment w:val="bottom"/>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278万套</w:t>
            </w:r>
          </w:p>
        </w:tc>
      </w:tr>
      <w:tr w14:paraId="5FBAB7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67" w:type="dxa"/>
            <w:tcBorders>
              <w:tl2br w:val="nil"/>
              <w:tr2bl w:val="nil"/>
            </w:tcBorders>
            <w:shd w:val="clear" w:color="auto" w:fill="FFFFFF"/>
            <w:noWrap/>
            <w:tcMar>
              <w:top w:w="15" w:type="dxa"/>
              <w:left w:w="15" w:type="dxa"/>
              <w:right w:w="15" w:type="dxa"/>
            </w:tcMar>
            <w:vAlign w:val="center"/>
          </w:tcPr>
          <w:p w14:paraId="7607D36B">
            <w:pPr>
              <w:keepNext w:val="0"/>
              <w:keepLines w:val="0"/>
              <w:widowControl/>
              <w:suppressLineNumbers w:val="0"/>
              <w:spacing w:line="360" w:lineRule="auto"/>
              <w:ind w:firstLine="240" w:firstLineChars="100"/>
              <w:jc w:val="both"/>
              <w:textAlignment w:val="bottom"/>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w:t>
            </w:r>
          </w:p>
        </w:tc>
        <w:tc>
          <w:tcPr>
            <w:tcW w:w="1526" w:type="dxa"/>
            <w:tcBorders>
              <w:tl2br w:val="nil"/>
              <w:tr2bl w:val="nil"/>
            </w:tcBorders>
            <w:shd w:val="clear" w:color="auto" w:fill="FFFFFF"/>
            <w:noWrap/>
            <w:tcMar>
              <w:top w:w="15" w:type="dxa"/>
              <w:left w:w="15" w:type="dxa"/>
              <w:right w:w="15" w:type="dxa"/>
            </w:tcMar>
            <w:vAlign w:val="center"/>
          </w:tcPr>
          <w:p w14:paraId="2228FEF9">
            <w:pP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钠钙玻璃管制口服液体瓶套装（C型）</w:t>
            </w:r>
          </w:p>
        </w:tc>
        <w:tc>
          <w:tcPr>
            <w:tcW w:w="1837" w:type="dxa"/>
            <w:tcBorders>
              <w:tl2br w:val="nil"/>
              <w:tr2bl w:val="nil"/>
            </w:tcBorders>
            <w:shd w:val="clear" w:color="auto" w:fill="FFFFFF"/>
            <w:noWrap/>
            <w:tcMar>
              <w:top w:w="15" w:type="dxa"/>
              <w:left w:w="15" w:type="dxa"/>
              <w:right w:w="15" w:type="dxa"/>
            </w:tcMar>
            <w:vAlign w:val="center"/>
          </w:tcPr>
          <w:p w14:paraId="695E6B23">
            <w:pPr>
              <w:keepNext w:val="0"/>
              <w:keepLines w:val="0"/>
              <w:widowControl/>
              <w:suppressLineNumbers w:val="0"/>
              <w:spacing w:line="360" w:lineRule="auto"/>
              <w:jc w:val="center"/>
              <w:textAlignment w:val="bottom"/>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复方氨肽口服液、氯化钾口服溶液、碘化钾口服溶液体瓶套装</w:t>
            </w:r>
          </w:p>
        </w:tc>
        <w:tc>
          <w:tcPr>
            <w:tcW w:w="2715" w:type="dxa"/>
            <w:tcBorders>
              <w:tl2br w:val="nil"/>
              <w:tr2bl w:val="nil"/>
            </w:tcBorders>
            <w:shd w:val="clear" w:color="auto" w:fill="FFFFFF"/>
            <w:noWrap/>
            <w:tcMar>
              <w:top w:w="15" w:type="dxa"/>
              <w:left w:w="15" w:type="dxa"/>
              <w:right w:w="15" w:type="dxa"/>
            </w:tcMar>
            <w:vAlign w:val="center"/>
          </w:tcPr>
          <w:p w14:paraId="11794D4A">
            <w:pPr>
              <w:keepNext w:val="0"/>
              <w:keepLines w:val="0"/>
              <w:pageBreakBefore w:val="0"/>
              <w:numPr>
                <w:ilvl w:val="0"/>
                <w:numId w:val="0"/>
              </w:numPr>
              <w:kinsoku/>
              <w:wordWrap/>
              <w:overflowPunct/>
              <w:topLinePunct w:val="0"/>
              <w:autoSpaceDE/>
              <w:autoSpaceDN/>
              <w:bidi w:val="0"/>
              <w:spacing w:line="24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钠钙玻璃管制口服液体瓶（10 ml）+口服液瓶用易刺铝盖+口服制剂用硅橡胶胶塞+聚丙烯饮用吸管</w:t>
            </w:r>
          </w:p>
        </w:tc>
        <w:tc>
          <w:tcPr>
            <w:tcW w:w="660" w:type="dxa"/>
            <w:tcBorders>
              <w:tl2br w:val="nil"/>
              <w:tr2bl w:val="nil"/>
            </w:tcBorders>
            <w:shd w:val="clear" w:color="auto" w:fill="FFFFFF"/>
            <w:noWrap/>
            <w:tcMar>
              <w:top w:w="15" w:type="dxa"/>
              <w:left w:w="15" w:type="dxa"/>
              <w:right w:w="15" w:type="dxa"/>
            </w:tcMar>
            <w:vAlign w:val="center"/>
          </w:tcPr>
          <w:p w14:paraId="39B0E543">
            <w:pPr>
              <w:keepNext w:val="0"/>
              <w:keepLines w:val="0"/>
              <w:widowControl/>
              <w:suppressLineNumbers w:val="0"/>
              <w:spacing w:line="360" w:lineRule="auto"/>
              <w:jc w:val="center"/>
              <w:textAlignment w:val="bottom"/>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10ml</w:t>
            </w:r>
          </w:p>
        </w:tc>
        <w:tc>
          <w:tcPr>
            <w:tcW w:w="945" w:type="dxa"/>
            <w:tcBorders>
              <w:tl2br w:val="nil"/>
              <w:tr2bl w:val="nil"/>
            </w:tcBorders>
            <w:shd w:val="clear" w:color="auto" w:fill="FFFFFF"/>
            <w:noWrap/>
            <w:tcMar>
              <w:top w:w="15" w:type="dxa"/>
              <w:left w:w="15" w:type="dxa"/>
              <w:right w:w="15" w:type="dxa"/>
            </w:tcMar>
            <w:vAlign w:val="center"/>
          </w:tcPr>
          <w:p w14:paraId="10459C2E">
            <w:pPr>
              <w:keepNext w:val="0"/>
              <w:keepLines w:val="0"/>
              <w:widowControl/>
              <w:suppressLineNumbers w:val="0"/>
              <w:spacing w:line="360" w:lineRule="auto"/>
              <w:jc w:val="center"/>
              <w:textAlignment w:val="bottom"/>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600万套</w:t>
            </w:r>
          </w:p>
        </w:tc>
      </w:tr>
    </w:tbl>
    <w:p w14:paraId="622735B1">
      <w:pPr>
        <w:pStyle w:val="24"/>
        <w:ind w:firstLine="0" w:firstLineChars="0"/>
        <w:rPr>
          <w:rFonts w:hint="eastAsia" w:ascii="仿宋" w:hAnsi="仿宋" w:eastAsia="仿宋" w:cs="仿宋"/>
          <w:color w:val="auto"/>
          <w:highlight w:val="none"/>
        </w:rPr>
      </w:pPr>
    </w:p>
    <w:p w14:paraId="5A3E891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三、技术要求</w:t>
      </w:r>
    </w:p>
    <w:p w14:paraId="4907E3AA">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1、要求药包材在国家食品药品监督管理局药品审评中心（https://www.cde.org.cn/）原辅包登记平台具备登记号，且与制剂共同审评审批结果为“A”。</w:t>
      </w:r>
    </w:p>
    <w:p w14:paraId="53F049D8">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2、钠钙玻璃管制口服液体瓶套装（B型）</w:t>
      </w:r>
    </w:p>
    <w:p w14:paraId="447828D4">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2.1 钠钙玻璃管制口服液体瓶</w:t>
      </w:r>
    </w:p>
    <w:p w14:paraId="46BD5588">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（1）外观要求：在自然光线明亮处，正视目测。应无色透明或棕色透明；表面应光洁、平整，不应有明显的玻璃缺陷；任何部位不得有裂纹。</w:t>
      </w:r>
    </w:p>
    <w:p w14:paraId="77B10071">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（2）规格要求： 满口容量12.5±0.5ml。 </w:t>
      </w:r>
    </w:p>
    <w:p w14:paraId="5661442F">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（3）尺寸要求： 应符合该容器所需的规定容量。</w:t>
      </w:r>
    </w:p>
    <w:tbl>
      <w:tblPr>
        <w:tblStyle w:val="62"/>
        <w:tblW w:w="0" w:type="auto"/>
        <w:tblInd w:w="9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5"/>
        <w:gridCol w:w="2848"/>
        <w:gridCol w:w="2677"/>
      </w:tblGrid>
      <w:tr w14:paraId="1A3D55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45" w:type="dxa"/>
            <w:tcBorders>
              <w:tl2br w:val="nil"/>
              <w:tr2bl w:val="nil"/>
            </w:tcBorders>
            <w:noWrap w:val="0"/>
            <w:vAlign w:val="center"/>
          </w:tcPr>
          <w:p w14:paraId="4DCD27E3">
            <w:pPr>
              <w:pStyle w:val="24"/>
              <w:ind w:left="0" w:leftChars="0" w:firstLine="0" w:firstLineChars="0"/>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项目</w:t>
            </w:r>
          </w:p>
        </w:tc>
        <w:tc>
          <w:tcPr>
            <w:tcW w:w="2848" w:type="dxa"/>
            <w:tcBorders>
              <w:tl2br w:val="nil"/>
              <w:tr2bl w:val="nil"/>
            </w:tcBorders>
            <w:noWrap w:val="0"/>
            <w:vAlign w:val="center"/>
          </w:tcPr>
          <w:p w14:paraId="133DFD5B">
            <w:pPr>
              <w:pStyle w:val="24"/>
              <w:ind w:left="0" w:leftChars="0" w:firstLine="0" w:firstLineChars="0"/>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要求</w:t>
            </w:r>
          </w:p>
        </w:tc>
        <w:tc>
          <w:tcPr>
            <w:tcW w:w="2677" w:type="dxa"/>
            <w:tcBorders>
              <w:tl2br w:val="nil"/>
              <w:tr2bl w:val="nil"/>
            </w:tcBorders>
            <w:noWrap w:val="0"/>
            <w:vAlign w:val="center"/>
          </w:tcPr>
          <w:p w14:paraId="58DD5177">
            <w:pPr>
              <w:pStyle w:val="24"/>
              <w:ind w:left="0" w:leftChars="0" w:firstLine="0" w:firstLineChars="0"/>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极限偏差</w:t>
            </w:r>
          </w:p>
        </w:tc>
      </w:tr>
      <w:tr w14:paraId="634B67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45" w:type="dxa"/>
            <w:tcBorders>
              <w:tl2br w:val="nil"/>
              <w:tr2bl w:val="nil"/>
            </w:tcBorders>
            <w:noWrap w:val="0"/>
            <w:vAlign w:val="center"/>
          </w:tcPr>
          <w:p w14:paraId="686692E0">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瓶身外径</w:t>
            </w:r>
          </w:p>
        </w:tc>
        <w:tc>
          <w:tcPr>
            <w:tcW w:w="2848" w:type="dxa"/>
            <w:tcBorders>
              <w:tl2br w:val="nil"/>
              <w:tr2bl w:val="nil"/>
            </w:tcBorders>
            <w:noWrap w:val="0"/>
            <w:vAlign w:val="center"/>
          </w:tcPr>
          <w:p w14:paraId="575D8DE3">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17.9mm</w:t>
            </w:r>
          </w:p>
        </w:tc>
        <w:tc>
          <w:tcPr>
            <w:tcW w:w="2677" w:type="dxa"/>
            <w:tcBorders>
              <w:tl2br w:val="nil"/>
              <w:tr2bl w:val="nil"/>
            </w:tcBorders>
            <w:noWrap w:val="0"/>
            <w:vAlign w:val="center"/>
          </w:tcPr>
          <w:p w14:paraId="7E372DEB">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±0.4</w:t>
            </w:r>
          </w:p>
        </w:tc>
      </w:tr>
      <w:tr w14:paraId="70CEBE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45" w:type="dxa"/>
            <w:tcBorders>
              <w:tl2br w:val="nil"/>
              <w:tr2bl w:val="nil"/>
            </w:tcBorders>
            <w:noWrap w:val="0"/>
            <w:vAlign w:val="center"/>
          </w:tcPr>
          <w:p w14:paraId="5CAB59E9">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瓶口外径</w:t>
            </w:r>
          </w:p>
        </w:tc>
        <w:tc>
          <w:tcPr>
            <w:tcW w:w="2848" w:type="dxa"/>
            <w:tcBorders>
              <w:tl2br w:val="nil"/>
              <w:tr2bl w:val="nil"/>
            </w:tcBorders>
            <w:noWrap w:val="0"/>
            <w:vAlign w:val="center"/>
          </w:tcPr>
          <w:p w14:paraId="038A3E27">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14.9mm</w:t>
            </w:r>
          </w:p>
        </w:tc>
        <w:tc>
          <w:tcPr>
            <w:tcW w:w="2677" w:type="dxa"/>
            <w:tcBorders>
              <w:tl2br w:val="nil"/>
              <w:tr2bl w:val="nil"/>
            </w:tcBorders>
            <w:noWrap w:val="0"/>
            <w:vAlign w:val="center"/>
          </w:tcPr>
          <w:p w14:paraId="0673F777">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±0.3</w:t>
            </w:r>
          </w:p>
        </w:tc>
      </w:tr>
      <w:tr w14:paraId="33EC09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45" w:type="dxa"/>
            <w:tcBorders>
              <w:tl2br w:val="nil"/>
              <w:tr2bl w:val="nil"/>
            </w:tcBorders>
            <w:noWrap w:val="0"/>
            <w:vAlign w:val="center"/>
          </w:tcPr>
          <w:p w14:paraId="79654365">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瓶口内径</w:t>
            </w:r>
          </w:p>
        </w:tc>
        <w:tc>
          <w:tcPr>
            <w:tcW w:w="2848" w:type="dxa"/>
            <w:tcBorders>
              <w:tl2br w:val="nil"/>
              <w:tr2bl w:val="nil"/>
            </w:tcBorders>
            <w:noWrap w:val="0"/>
            <w:vAlign w:val="center"/>
          </w:tcPr>
          <w:p w14:paraId="2323E83E">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10.0mm</w:t>
            </w:r>
          </w:p>
        </w:tc>
        <w:tc>
          <w:tcPr>
            <w:tcW w:w="2677" w:type="dxa"/>
            <w:tcBorders>
              <w:tl2br w:val="nil"/>
              <w:tr2bl w:val="nil"/>
            </w:tcBorders>
            <w:noWrap w:val="0"/>
            <w:vAlign w:val="center"/>
          </w:tcPr>
          <w:p w14:paraId="6D904FDD">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±0.3</w:t>
            </w:r>
          </w:p>
        </w:tc>
      </w:tr>
      <w:tr w14:paraId="5AAB3F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45" w:type="dxa"/>
            <w:tcBorders>
              <w:tl2br w:val="nil"/>
              <w:tr2bl w:val="nil"/>
            </w:tcBorders>
            <w:noWrap w:val="0"/>
            <w:vAlign w:val="center"/>
          </w:tcPr>
          <w:p w14:paraId="21496B68">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瓶全高</w:t>
            </w:r>
          </w:p>
        </w:tc>
        <w:tc>
          <w:tcPr>
            <w:tcW w:w="2848" w:type="dxa"/>
            <w:tcBorders>
              <w:tl2br w:val="nil"/>
              <w:tr2bl w:val="nil"/>
            </w:tcBorders>
            <w:noWrap w:val="0"/>
            <w:vAlign w:val="center"/>
          </w:tcPr>
          <w:p w14:paraId="0678DF1F">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68.0mm</w:t>
            </w:r>
          </w:p>
        </w:tc>
        <w:tc>
          <w:tcPr>
            <w:tcW w:w="2677" w:type="dxa"/>
            <w:tcBorders>
              <w:tl2br w:val="nil"/>
              <w:tr2bl w:val="nil"/>
            </w:tcBorders>
            <w:noWrap w:val="0"/>
            <w:vAlign w:val="center"/>
          </w:tcPr>
          <w:p w14:paraId="73065E81">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±0.4</w:t>
            </w:r>
          </w:p>
        </w:tc>
      </w:tr>
      <w:tr w14:paraId="3268CA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45" w:type="dxa"/>
            <w:tcBorders>
              <w:tl2br w:val="nil"/>
              <w:tr2bl w:val="nil"/>
            </w:tcBorders>
            <w:noWrap w:val="0"/>
            <w:vAlign w:val="center"/>
          </w:tcPr>
          <w:p w14:paraId="7B60E882">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瓶重（g）</w:t>
            </w:r>
          </w:p>
        </w:tc>
        <w:tc>
          <w:tcPr>
            <w:tcW w:w="2848" w:type="dxa"/>
            <w:tcBorders>
              <w:tl2br w:val="nil"/>
              <w:tr2bl w:val="nil"/>
            </w:tcBorders>
            <w:noWrap w:val="0"/>
            <w:vAlign w:val="center"/>
          </w:tcPr>
          <w:p w14:paraId="69BCDBA0">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≥8.0g</w:t>
            </w:r>
          </w:p>
        </w:tc>
        <w:tc>
          <w:tcPr>
            <w:tcW w:w="2677" w:type="dxa"/>
            <w:tcBorders>
              <w:tl2br w:val="nil"/>
              <w:tr2bl w:val="nil"/>
            </w:tcBorders>
            <w:noWrap w:val="0"/>
            <w:vAlign w:val="center"/>
          </w:tcPr>
          <w:p w14:paraId="07B075CA">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w:t>
            </w:r>
          </w:p>
        </w:tc>
      </w:tr>
    </w:tbl>
    <w:p w14:paraId="1A5A220D">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2.2 口服液瓶B型瓶配套的口服液瓶用铝塑组合盖</w:t>
      </w:r>
    </w:p>
    <w:p w14:paraId="590A1AA9">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（1）外观要求： 取瓶盖适量，在自然光线明亮处目测，应清洁，无残留润滑剂、毛刺、损伤和注塑飞边，塑料件应与铝件完整结合。</w:t>
      </w:r>
    </w:p>
    <w:p w14:paraId="73D23B5B">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（2）铝塑组合盖规格尺寸要求：</w:t>
      </w:r>
    </w:p>
    <w:tbl>
      <w:tblPr>
        <w:tblStyle w:val="62"/>
        <w:tblW w:w="8280" w:type="dxa"/>
        <w:tblInd w:w="7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7"/>
        <w:gridCol w:w="2936"/>
        <w:gridCol w:w="2667"/>
      </w:tblGrid>
      <w:tr w14:paraId="22E8BB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77" w:type="dxa"/>
            <w:tcBorders>
              <w:tl2br w:val="nil"/>
              <w:tr2bl w:val="nil"/>
            </w:tcBorders>
            <w:noWrap w:val="0"/>
            <w:vAlign w:val="top"/>
          </w:tcPr>
          <w:p w14:paraId="2415149B">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项目</w:t>
            </w:r>
          </w:p>
        </w:tc>
        <w:tc>
          <w:tcPr>
            <w:tcW w:w="2936" w:type="dxa"/>
            <w:tcBorders>
              <w:tl2br w:val="nil"/>
              <w:tr2bl w:val="nil"/>
            </w:tcBorders>
            <w:noWrap w:val="0"/>
            <w:vAlign w:val="top"/>
          </w:tcPr>
          <w:p w14:paraId="193FDA32">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要求</w:t>
            </w:r>
          </w:p>
        </w:tc>
        <w:tc>
          <w:tcPr>
            <w:tcW w:w="2667" w:type="dxa"/>
            <w:tcBorders>
              <w:tl2br w:val="nil"/>
              <w:tr2bl w:val="nil"/>
            </w:tcBorders>
            <w:noWrap w:val="0"/>
            <w:vAlign w:val="top"/>
          </w:tcPr>
          <w:p w14:paraId="67EE75E7">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极限偏差</w:t>
            </w:r>
          </w:p>
        </w:tc>
      </w:tr>
      <w:tr w14:paraId="06C3AA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77" w:type="dxa"/>
            <w:tcBorders>
              <w:tl2br w:val="nil"/>
              <w:tr2bl w:val="nil"/>
            </w:tcBorders>
            <w:noWrap w:val="0"/>
            <w:vAlign w:val="top"/>
          </w:tcPr>
          <w:p w14:paraId="5C5E38D7">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铝盖内径</w:t>
            </w:r>
          </w:p>
        </w:tc>
        <w:tc>
          <w:tcPr>
            <w:tcW w:w="2936" w:type="dxa"/>
            <w:tcBorders>
              <w:tl2br w:val="nil"/>
              <w:tr2bl w:val="nil"/>
            </w:tcBorders>
            <w:noWrap w:val="0"/>
            <w:vAlign w:val="top"/>
          </w:tcPr>
          <w:p w14:paraId="6A088ABB">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15.5mm</w:t>
            </w:r>
          </w:p>
        </w:tc>
        <w:tc>
          <w:tcPr>
            <w:tcW w:w="2667" w:type="dxa"/>
            <w:tcBorders>
              <w:tl2br w:val="nil"/>
              <w:tr2bl w:val="nil"/>
            </w:tcBorders>
            <w:noWrap w:val="0"/>
            <w:vAlign w:val="top"/>
          </w:tcPr>
          <w:p w14:paraId="1CDB63DD">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±0.2</w:t>
            </w:r>
          </w:p>
        </w:tc>
      </w:tr>
      <w:tr w14:paraId="25B67F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77" w:type="dxa"/>
            <w:tcBorders>
              <w:tl2br w:val="nil"/>
              <w:tr2bl w:val="nil"/>
            </w:tcBorders>
            <w:noWrap w:val="0"/>
            <w:vAlign w:val="top"/>
          </w:tcPr>
          <w:p w14:paraId="5B55EF0C">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铝盖外径</w:t>
            </w:r>
          </w:p>
        </w:tc>
        <w:tc>
          <w:tcPr>
            <w:tcW w:w="2936" w:type="dxa"/>
            <w:tcBorders>
              <w:tl2br w:val="nil"/>
              <w:tr2bl w:val="nil"/>
            </w:tcBorders>
            <w:noWrap w:val="0"/>
            <w:vAlign w:val="top"/>
          </w:tcPr>
          <w:p w14:paraId="2287BDD5">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15.8mm</w:t>
            </w:r>
          </w:p>
        </w:tc>
        <w:tc>
          <w:tcPr>
            <w:tcW w:w="2667" w:type="dxa"/>
            <w:tcBorders>
              <w:tl2br w:val="nil"/>
              <w:tr2bl w:val="nil"/>
            </w:tcBorders>
            <w:noWrap w:val="0"/>
            <w:vAlign w:val="top"/>
          </w:tcPr>
          <w:p w14:paraId="2B774C3E">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±0.2</w:t>
            </w:r>
          </w:p>
        </w:tc>
      </w:tr>
      <w:tr w14:paraId="377DFA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77" w:type="dxa"/>
            <w:tcBorders>
              <w:tl2br w:val="nil"/>
              <w:tr2bl w:val="nil"/>
            </w:tcBorders>
            <w:noWrap w:val="0"/>
            <w:vAlign w:val="top"/>
          </w:tcPr>
          <w:p w14:paraId="754555E5">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塑料盖外径</w:t>
            </w:r>
          </w:p>
        </w:tc>
        <w:tc>
          <w:tcPr>
            <w:tcW w:w="2936" w:type="dxa"/>
            <w:tcBorders>
              <w:tl2br w:val="nil"/>
              <w:tr2bl w:val="nil"/>
            </w:tcBorders>
            <w:noWrap w:val="0"/>
            <w:vAlign w:val="top"/>
          </w:tcPr>
          <w:p w14:paraId="2F274C5E">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17.7mm</w:t>
            </w:r>
          </w:p>
        </w:tc>
        <w:tc>
          <w:tcPr>
            <w:tcW w:w="2667" w:type="dxa"/>
            <w:tcBorders>
              <w:tl2br w:val="nil"/>
              <w:tr2bl w:val="nil"/>
            </w:tcBorders>
            <w:noWrap w:val="0"/>
            <w:vAlign w:val="top"/>
          </w:tcPr>
          <w:p w14:paraId="5DB46FE4">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±0.3</w:t>
            </w:r>
          </w:p>
        </w:tc>
      </w:tr>
      <w:tr w14:paraId="24C72A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77" w:type="dxa"/>
            <w:tcBorders>
              <w:tl2br w:val="nil"/>
              <w:tr2bl w:val="nil"/>
            </w:tcBorders>
            <w:noWrap w:val="0"/>
            <w:vAlign w:val="top"/>
          </w:tcPr>
          <w:p w14:paraId="1F7F1B8B">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高度</w:t>
            </w:r>
          </w:p>
        </w:tc>
        <w:tc>
          <w:tcPr>
            <w:tcW w:w="2936" w:type="dxa"/>
            <w:tcBorders>
              <w:tl2br w:val="nil"/>
              <w:tr2bl w:val="nil"/>
            </w:tcBorders>
            <w:noWrap w:val="0"/>
            <w:vAlign w:val="top"/>
          </w:tcPr>
          <w:p w14:paraId="179648DE">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7.7mm</w:t>
            </w:r>
          </w:p>
        </w:tc>
        <w:tc>
          <w:tcPr>
            <w:tcW w:w="2667" w:type="dxa"/>
            <w:tcBorders>
              <w:tl2br w:val="nil"/>
              <w:tr2bl w:val="nil"/>
            </w:tcBorders>
            <w:noWrap w:val="0"/>
            <w:vAlign w:val="top"/>
          </w:tcPr>
          <w:p w14:paraId="7E967AD0">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±0.3</w:t>
            </w:r>
          </w:p>
        </w:tc>
      </w:tr>
    </w:tbl>
    <w:p w14:paraId="3E842B38">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2.3 口服液用溴化丁基橡胶塞 </w:t>
      </w:r>
    </w:p>
    <w:p w14:paraId="12F05B20">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（1）外观要求： 在自然光下以目测检验，胶塞颜色应均匀一致，应无嗅、无异味、无异物，表面光滑，不应有气泡、绒毛、胶丝、游离硫等喷出物；表面允许有表面积不大于0.3mm²、深度不大于0.1mm的裂口，表面积不大于0.2mm²的杂质、污迹或污点，但不能超过2处；胶塞冲切边应整齐、圆滑，且偏心不大于0.3mm，不应有大于0.3mm的大边、严重缺料、严重冲坏现象。</w:t>
      </w:r>
    </w:p>
    <w:p w14:paraId="6281C789">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（2）尺寸要求：</w:t>
      </w:r>
    </w:p>
    <w:tbl>
      <w:tblPr>
        <w:tblStyle w:val="62"/>
        <w:tblW w:w="8367"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4"/>
        <w:gridCol w:w="2936"/>
        <w:gridCol w:w="2697"/>
      </w:tblGrid>
      <w:tr w14:paraId="7404E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34" w:type="dxa"/>
            <w:tcBorders>
              <w:top w:val="double" w:color="000000" w:sz="4" w:space="0"/>
              <w:left w:val="double" w:color="000000" w:sz="4" w:space="0"/>
              <w:bottom w:val="single" w:color="000000" w:sz="4" w:space="0"/>
              <w:right w:val="single" w:color="000000" w:sz="4" w:space="0"/>
              <w:tl2br w:val="nil"/>
            </w:tcBorders>
            <w:shd w:val="clear" w:color="auto" w:fill="FFFFFF"/>
            <w:noWrap w:val="0"/>
            <w:vAlign w:val="top"/>
          </w:tcPr>
          <w:p w14:paraId="5FFF8850">
            <w:pPr>
              <w:pStyle w:val="24"/>
              <w:ind w:left="0" w:leftChars="0" w:firstLine="0" w:firstLineChars="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项目</w:t>
            </w:r>
          </w:p>
        </w:tc>
        <w:tc>
          <w:tcPr>
            <w:tcW w:w="2936" w:type="dxa"/>
            <w:tcBorders>
              <w:top w:val="double" w:color="000000" w:sz="4" w:space="0"/>
              <w:left w:val="single" w:color="000000" w:sz="4" w:space="0"/>
              <w:bottom w:val="single" w:color="000000" w:sz="4" w:space="0"/>
              <w:right w:val="single" w:color="000000" w:sz="4" w:space="0"/>
            </w:tcBorders>
            <w:shd w:val="clear" w:color="auto" w:fill="FFFFFF"/>
            <w:noWrap w:val="0"/>
            <w:vAlign w:val="top"/>
          </w:tcPr>
          <w:p w14:paraId="6A25DDB3">
            <w:pPr>
              <w:pStyle w:val="24"/>
              <w:ind w:left="0" w:leftChars="0" w:firstLine="0" w:firstLineChars="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要求</w:t>
            </w:r>
          </w:p>
        </w:tc>
        <w:tc>
          <w:tcPr>
            <w:tcW w:w="2697" w:type="dxa"/>
            <w:tcBorders>
              <w:top w:val="double" w:color="000000" w:sz="4" w:space="0"/>
              <w:left w:val="single" w:color="000000" w:sz="4" w:space="0"/>
              <w:bottom w:val="single" w:color="000000" w:sz="4" w:space="0"/>
              <w:right w:val="double" w:color="000000" w:sz="4" w:space="0"/>
            </w:tcBorders>
            <w:shd w:val="clear" w:color="auto" w:fill="FFFFFF"/>
            <w:noWrap w:val="0"/>
            <w:vAlign w:val="top"/>
          </w:tcPr>
          <w:p w14:paraId="305967EB">
            <w:pPr>
              <w:pStyle w:val="24"/>
              <w:ind w:left="0" w:leftChars="0" w:firstLine="0" w:firstLineChars="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极限偏差</w:t>
            </w:r>
          </w:p>
        </w:tc>
      </w:tr>
      <w:tr w14:paraId="211B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34" w:type="dxa"/>
            <w:tcBorders>
              <w:top w:val="single" w:color="000000" w:sz="4" w:space="0"/>
              <w:left w:val="double" w:color="000000" w:sz="4" w:space="0"/>
              <w:bottom w:val="single" w:color="000000" w:sz="4" w:space="0"/>
              <w:right w:val="single" w:color="000000" w:sz="4" w:space="0"/>
            </w:tcBorders>
            <w:shd w:val="clear" w:color="auto" w:fill="FFFFFF"/>
            <w:noWrap w:val="0"/>
            <w:vAlign w:val="top"/>
          </w:tcPr>
          <w:p w14:paraId="4421429E">
            <w:pPr>
              <w:pStyle w:val="24"/>
              <w:ind w:left="0" w:leftChars="0" w:firstLine="0" w:firstLineChars="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冠部直径</w:t>
            </w:r>
          </w:p>
        </w:tc>
        <w:tc>
          <w:tcPr>
            <w:tcW w:w="293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2671555">
            <w:pPr>
              <w:pStyle w:val="24"/>
              <w:ind w:left="0" w:leftChars="0" w:firstLine="0" w:firstLineChars="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15.3mm</w:t>
            </w:r>
          </w:p>
        </w:tc>
        <w:tc>
          <w:tcPr>
            <w:tcW w:w="2697" w:type="dxa"/>
            <w:tcBorders>
              <w:top w:val="single" w:color="000000" w:sz="4" w:space="0"/>
              <w:left w:val="single" w:color="000000" w:sz="4" w:space="0"/>
              <w:bottom w:val="single" w:color="000000" w:sz="4" w:space="0"/>
              <w:right w:val="double" w:color="000000" w:sz="4" w:space="0"/>
            </w:tcBorders>
            <w:shd w:val="clear" w:color="auto" w:fill="FFFFFF"/>
            <w:noWrap w:val="0"/>
            <w:vAlign w:val="top"/>
          </w:tcPr>
          <w:p w14:paraId="0591ABD4">
            <w:pPr>
              <w:pStyle w:val="24"/>
              <w:ind w:left="0" w:leftChars="0" w:firstLine="0" w:firstLineChars="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±0.2</w:t>
            </w:r>
          </w:p>
        </w:tc>
      </w:tr>
      <w:tr w14:paraId="0689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34" w:type="dxa"/>
            <w:tcBorders>
              <w:top w:val="single" w:color="000000" w:sz="4" w:space="0"/>
              <w:left w:val="double" w:color="000000" w:sz="4" w:space="0"/>
              <w:bottom w:val="single" w:color="000000" w:sz="4" w:space="0"/>
              <w:right w:val="single" w:color="000000" w:sz="4" w:space="0"/>
            </w:tcBorders>
            <w:shd w:val="clear" w:color="auto" w:fill="FFFFFF"/>
            <w:noWrap w:val="0"/>
            <w:vAlign w:val="top"/>
          </w:tcPr>
          <w:p w14:paraId="70ECB162">
            <w:pPr>
              <w:pStyle w:val="24"/>
              <w:ind w:left="0" w:leftChars="0" w:firstLine="0" w:firstLineChars="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冠部厚度</w:t>
            </w:r>
          </w:p>
        </w:tc>
        <w:tc>
          <w:tcPr>
            <w:tcW w:w="293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28B3E01">
            <w:pPr>
              <w:pStyle w:val="24"/>
              <w:ind w:left="0" w:leftChars="0" w:firstLine="0" w:firstLineChars="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2.5mm</w:t>
            </w:r>
          </w:p>
        </w:tc>
        <w:tc>
          <w:tcPr>
            <w:tcW w:w="2697" w:type="dxa"/>
            <w:tcBorders>
              <w:top w:val="single" w:color="000000" w:sz="4" w:space="0"/>
              <w:left w:val="single" w:color="000000" w:sz="4" w:space="0"/>
              <w:bottom w:val="single" w:color="000000" w:sz="4" w:space="0"/>
              <w:right w:val="double" w:color="000000" w:sz="4" w:space="0"/>
            </w:tcBorders>
            <w:shd w:val="clear" w:color="auto" w:fill="FFFFFF"/>
            <w:noWrap w:val="0"/>
            <w:vAlign w:val="top"/>
          </w:tcPr>
          <w:p w14:paraId="14DBEF8E">
            <w:pPr>
              <w:pStyle w:val="24"/>
              <w:ind w:left="0" w:leftChars="0" w:firstLine="0" w:firstLineChars="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±0.2</w:t>
            </w:r>
          </w:p>
        </w:tc>
      </w:tr>
      <w:tr w14:paraId="7467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34" w:type="dxa"/>
            <w:tcBorders>
              <w:top w:val="single" w:color="000000" w:sz="4" w:space="0"/>
              <w:left w:val="double" w:color="000000" w:sz="4" w:space="0"/>
              <w:bottom w:val="double" w:color="000000" w:sz="4" w:space="0"/>
              <w:right w:val="single" w:color="000000" w:sz="4" w:space="0"/>
            </w:tcBorders>
            <w:shd w:val="clear" w:color="auto" w:fill="FFFFFF"/>
            <w:noWrap w:val="0"/>
            <w:vAlign w:val="top"/>
          </w:tcPr>
          <w:p w14:paraId="0FC7E465">
            <w:pPr>
              <w:pStyle w:val="24"/>
              <w:ind w:left="0" w:leftChars="0" w:firstLine="0" w:firstLineChars="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颈部直径</w:t>
            </w:r>
          </w:p>
        </w:tc>
        <w:tc>
          <w:tcPr>
            <w:tcW w:w="2936" w:type="dxa"/>
            <w:tcBorders>
              <w:top w:val="single" w:color="000000" w:sz="4" w:space="0"/>
              <w:left w:val="single" w:color="000000" w:sz="4" w:space="0"/>
              <w:bottom w:val="double" w:color="000000" w:sz="4" w:space="0"/>
              <w:right w:val="single" w:color="000000" w:sz="4" w:space="0"/>
            </w:tcBorders>
            <w:shd w:val="clear" w:color="auto" w:fill="FFFFFF"/>
            <w:noWrap w:val="0"/>
            <w:vAlign w:val="top"/>
          </w:tcPr>
          <w:p w14:paraId="6E85B253">
            <w:pPr>
              <w:pStyle w:val="24"/>
              <w:ind w:left="0" w:leftChars="0" w:firstLine="0" w:firstLineChars="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10.3mm</w:t>
            </w:r>
          </w:p>
        </w:tc>
        <w:tc>
          <w:tcPr>
            <w:tcW w:w="2697" w:type="dxa"/>
            <w:tcBorders>
              <w:top w:val="single" w:color="000000" w:sz="4" w:space="0"/>
              <w:left w:val="single" w:color="000000" w:sz="4" w:space="0"/>
              <w:bottom w:val="double" w:color="000000" w:sz="4" w:space="0"/>
              <w:right w:val="double" w:color="000000" w:sz="4" w:space="0"/>
            </w:tcBorders>
            <w:shd w:val="clear" w:color="auto" w:fill="FFFFFF"/>
            <w:noWrap w:val="0"/>
            <w:vAlign w:val="top"/>
          </w:tcPr>
          <w:p w14:paraId="784C37B4">
            <w:pPr>
              <w:pStyle w:val="24"/>
              <w:ind w:left="0" w:leftChars="0" w:firstLine="0" w:firstLineChars="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±0.1</w:t>
            </w:r>
          </w:p>
        </w:tc>
      </w:tr>
    </w:tbl>
    <w:p w14:paraId="56E334BC">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2.4 聚丙烯饮用吸管</w:t>
      </w:r>
    </w:p>
    <w:p w14:paraId="1F2565C7">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（1）外观要求：在自然光下以目测检验，吸管应无色透明，无污点。</w:t>
      </w:r>
    </w:p>
    <w:p w14:paraId="14A4548E">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（2）尺寸要求：3mm（直径）×90mm（长度）。</w:t>
      </w:r>
    </w:p>
    <w:p w14:paraId="3DBBB595">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（3）包装要求：（10支吸管+1助插器）/包，独立包装。</w:t>
      </w:r>
    </w:p>
    <w:p w14:paraId="04BC543E">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（4）材质要求：食品级塑料。</w:t>
      </w:r>
    </w:p>
    <w:p w14:paraId="60B3EDF2">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3、钠钙玻璃管制口服液体瓶套装（C型）</w:t>
      </w:r>
    </w:p>
    <w:p w14:paraId="6C84C1E9">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3.1 钠钙玻璃管制口服液体瓶</w:t>
      </w:r>
    </w:p>
    <w:p w14:paraId="09CBB2B2">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（1）外观要求：在自然光线明亮处，正视目测。应无色透明或棕色透明；表面应光洁、平整，不应有明显的玻璃缺陷；任何部位不得有裂纹。</w:t>
      </w:r>
    </w:p>
    <w:p w14:paraId="11838E79">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（2）规格要求：满口容量12.5±0.5ml。</w:t>
      </w:r>
    </w:p>
    <w:p w14:paraId="352F764D">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（3）尺寸要求：应符合该容器所需的规定容量。</w:t>
      </w:r>
    </w:p>
    <w:tbl>
      <w:tblPr>
        <w:tblStyle w:val="62"/>
        <w:tblW w:w="0" w:type="auto"/>
        <w:tblInd w:w="8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5"/>
        <w:gridCol w:w="2848"/>
        <w:gridCol w:w="2667"/>
      </w:tblGrid>
      <w:tr w14:paraId="7650E8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755" w:type="dxa"/>
            <w:tcBorders>
              <w:tl2br w:val="nil"/>
              <w:tr2bl w:val="nil"/>
            </w:tcBorders>
            <w:noWrap w:val="0"/>
            <w:vAlign w:val="top"/>
          </w:tcPr>
          <w:p w14:paraId="11A52086">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             项目</w:t>
            </w:r>
          </w:p>
        </w:tc>
        <w:tc>
          <w:tcPr>
            <w:tcW w:w="2848" w:type="dxa"/>
            <w:tcBorders>
              <w:tl2br w:val="nil"/>
              <w:tr2bl w:val="nil"/>
            </w:tcBorders>
            <w:noWrap w:val="0"/>
            <w:vAlign w:val="top"/>
          </w:tcPr>
          <w:p w14:paraId="2301D633">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要求</w:t>
            </w:r>
          </w:p>
        </w:tc>
        <w:tc>
          <w:tcPr>
            <w:tcW w:w="2667" w:type="dxa"/>
            <w:tcBorders>
              <w:tl2br w:val="nil"/>
              <w:tr2bl w:val="nil"/>
            </w:tcBorders>
            <w:noWrap w:val="0"/>
            <w:vAlign w:val="top"/>
          </w:tcPr>
          <w:p w14:paraId="3ADBD608">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极限偏差</w:t>
            </w:r>
          </w:p>
        </w:tc>
      </w:tr>
      <w:tr w14:paraId="403600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755" w:type="dxa"/>
            <w:tcBorders>
              <w:tl2br w:val="nil"/>
              <w:tr2bl w:val="nil"/>
            </w:tcBorders>
            <w:noWrap w:val="0"/>
            <w:vAlign w:val="top"/>
          </w:tcPr>
          <w:p w14:paraId="21E8264E">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瓶身外径</w:t>
            </w:r>
          </w:p>
        </w:tc>
        <w:tc>
          <w:tcPr>
            <w:tcW w:w="2848" w:type="dxa"/>
            <w:tcBorders>
              <w:tl2br w:val="nil"/>
              <w:tr2bl w:val="nil"/>
            </w:tcBorders>
            <w:noWrap w:val="0"/>
            <w:vAlign w:val="top"/>
          </w:tcPr>
          <w:p w14:paraId="1DAE93C8">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17.9mm</w:t>
            </w:r>
          </w:p>
        </w:tc>
        <w:tc>
          <w:tcPr>
            <w:tcW w:w="2667" w:type="dxa"/>
            <w:tcBorders>
              <w:tl2br w:val="nil"/>
              <w:tr2bl w:val="nil"/>
            </w:tcBorders>
            <w:noWrap w:val="0"/>
            <w:vAlign w:val="top"/>
          </w:tcPr>
          <w:p w14:paraId="0EF253F6">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±0.4</w:t>
            </w:r>
          </w:p>
        </w:tc>
      </w:tr>
      <w:tr w14:paraId="7954B2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755" w:type="dxa"/>
            <w:tcBorders>
              <w:tl2br w:val="nil"/>
              <w:tr2bl w:val="nil"/>
            </w:tcBorders>
            <w:noWrap w:val="0"/>
            <w:vAlign w:val="top"/>
          </w:tcPr>
          <w:p w14:paraId="10BE62D8">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瓶口内径</w:t>
            </w:r>
          </w:p>
        </w:tc>
        <w:tc>
          <w:tcPr>
            <w:tcW w:w="2848" w:type="dxa"/>
            <w:tcBorders>
              <w:tl2br w:val="nil"/>
              <w:tr2bl w:val="nil"/>
            </w:tcBorders>
            <w:noWrap w:val="0"/>
            <w:vAlign w:val="top"/>
          </w:tcPr>
          <w:p w14:paraId="120A1444">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10.7mm</w:t>
            </w:r>
          </w:p>
        </w:tc>
        <w:tc>
          <w:tcPr>
            <w:tcW w:w="2667" w:type="dxa"/>
            <w:tcBorders>
              <w:tl2br w:val="nil"/>
              <w:tr2bl w:val="nil"/>
            </w:tcBorders>
            <w:noWrap w:val="0"/>
            <w:vAlign w:val="top"/>
          </w:tcPr>
          <w:p w14:paraId="5BB2D469">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±0.2</w:t>
            </w:r>
          </w:p>
        </w:tc>
      </w:tr>
      <w:tr w14:paraId="6195BE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755" w:type="dxa"/>
            <w:tcBorders>
              <w:tl2br w:val="nil"/>
              <w:tr2bl w:val="nil"/>
            </w:tcBorders>
            <w:noWrap w:val="0"/>
            <w:vAlign w:val="top"/>
          </w:tcPr>
          <w:p w14:paraId="20834BB2">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瓶全高</w:t>
            </w:r>
          </w:p>
        </w:tc>
        <w:tc>
          <w:tcPr>
            <w:tcW w:w="2848" w:type="dxa"/>
            <w:tcBorders>
              <w:tl2br w:val="nil"/>
              <w:tr2bl w:val="nil"/>
            </w:tcBorders>
            <w:noWrap w:val="0"/>
            <w:vAlign w:val="top"/>
          </w:tcPr>
          <w:p w14:paraId="628D636B">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70.0mm</w:t>
            </w:r>
          </w:p>
        </w:tc>
        <w:tc>
          <w:tcPr>
            <w:tcW w:w="2667" w:type="dxa"/>
            <w:tcBorders>
              <w:tl2br w:val="nil"/>
              <w:tr2bl w:val="nil"/>
            </w:tcBorders>
            <w:noWrap w:val="0"/>
            <w:vAlign w:val="top"/>
          </w:tcPr>
          <w:p w14:paraId="242F8F33">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±0.4</w:t>
            </w:r>
          </w:p>
        </w:tc>
      </w:tr>
      <w:tr w14:paraId="2D2E02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755" w:type="dxa"/>
            <w:tcBorders>
              <w:tl2br w:val="nil"/>
              <w:tr2bl w:val="nil"/>
            </w:tcBorders>
            <w:noWrap w:val="0"/>
            <w:vAlign w:val="top"/>
          </w:tcPr>
          <w:p w14:paraId="6DBE6906">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瓶脖外径</w:t>
            </w:r>
          </w:p>
        </w:tc>
        <w:tc>
          <w:tcPr>
            <w:tcW w:w="2848" w:type="dxa"/>
            <w:tcBorders>
              <w:tl2br w:val="nil"/>
              <w:tr2bl w:val="nil"/>
            </w:tcBorders>
            <w:noWrap w:val="0"/>
            <w:vAlign w:val="top"/>
          </w:tcPr>
          <w:p w14:paraId="2CAD7098">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12.2mm</w:t>
            </w:r>
          </w:p>
        </w:tc>
        <w:tc>
          <w:tcPr>
            <w:tcW w:w="2667" w:type="dxa"/>
            <w:tcBorders>
              <w:tl2br w:val="nil"/>
              <w:tr2bl w:val="nil"/>
            </w:tcBorders>
            <w:noWrap w:val="0"/>
            <w:vAlign w:val="top"/>
          </w:tcPr>
          <w:p w14:paraId="03AB3589">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±0.3</w:t>
            </w:r>
          </w:p>
        </w:tc>
      </w:tr>
      <w:tr w14:paraId="5B522D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755" w:type="dxa"/>
            <w:tcBorders>
              <w:tl2br w:val="nil"/>
              <w:tr2bl w:val="nil"/>
            </w:tcBorders>
            <w:noWrap w:val="0"/>
            <w:vAlign w:val="top"/>
          </w:tcPr>
          <w:p w14:paraId="6EAC2EC4">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瓶重（g）</w:t>
            </w:r>
          </w:p>
        </w:tc>
        <w:tc>
          <w:tcPr>
            <w:tcW w:w="2848" w:type="dxa"/>
            <w:tcBorders>
              <w:tl2br w:val="nil"/>
              <w:tr2bl w:val="nil"/>
            </w:tcBorders>
            <w:noWrap w:val="0"/>
            <w:vAlign w:val="top"/>
          </w:tcPr>
          <w:p w14:paraId="12029B7F">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≥8.7g</w:t>
            </w:r>
          </w:p>
        </w:tc>
        <w:tc>
          <w:tcPr>
            <w:tcW w:w="2667" w:type="dxa"/>
            <w:tcBorders>
              <w:tl2br w:val="nil"/>
              <w:tr2bl w:val="nil"/>
            </w:tcBorders>
            <w:noWrap w:val="0"/>
            <w:vAlign w:val="top"/>
          </w:tcPr>
          <w:p w14:paraId="6A2147AC">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w:t>
            </w:r>
          </w:p>
        </w:tc>
      </w:tr>
    </w:tbl>
    <w:p w14:paraId="54915800">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p>
    <w:p w14:paraId="56845E55">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3.2  C型瓶配套用口服液瓶用易刺铝盖</w:t>
      </w:r>
    </w:p>
    <w:p w14:paraId="450F6BB5">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（1）外观要求：在自然光线明亮处目测，铝盖内外应清洁光亮，不染有异物。铝盖表面文字、图案清晰，色泽基本一致。铝盖表面碰伤面积小于2mm²。</w:t>
      </w:r>
    </w:p>
    <w:p w14:paraId="392FB285">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（2）规格尺寸要求： 铝盖规格尺寸应符合下表规定。</w:t>
      </w:r>
    </w:p>
    <w:tbl>
      <w:tblPr>
        <w:tblStyle w:val="62"/>
        <w:tblW w:w="7779" w:type="dxa"/>
        <w:tblInd w:w="17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4"/>
        <w:gridCol w:w="2729"/>
        <w:gridCol w:w="2726"/>
      </w:tblGrid>
      <w:tr w14:paraId="398EB5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24" w:type="dxa"/>
            <w:tcBorders>
              <w:tl2br w:val="nil"/>
              <w:tr2bl w:val="nil"/>
            </w:tcBorders>
            <w:noWrap w:val="0"/>
            <w:vAlign w:val="top"/>
          </w:tcPr>
          <w:p w14:paraId="7F64612F">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       项目</w:t>
            </w:r>
          </w:p>
        </w:tc>
        <w:tc>
          <w:tcPr>
            <w:tcW w:w="2729" w:type="dxa"/>
            <w:tcBorders>
              <w:tl2br w:val="nil"/>
              <w:tr2bl w:val="nil"/>
            </w:tcBorders>
            <w:noWrap w:val="0"/>
            <w:vAlign w:val="top"/>
          </w:tcPr>
          <w:p w14:paraId="31266691">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要求</w:t>
            </w:r>
          </w:p>
        </w:tc>
        <w:tc>
          <w:tcPr>
            <w:tcW w:w="2726" w:type="dxa"/>
            <w:tcBorders>
              <w:tl2br w:val="nil"/>
              <w:tr2bl w:val="nil"/>
            </w:tcBorders>
            <w:noWrap w:val="0"/>
            <w:vAlign w:val="top"/>
          </w:tcPr>
          <w:p w14:paraId="16E5426A">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极限偏差</w:t>
            </w:r>
          </w:p>
        </w:tc>
      </w:tr>
      <w:tr w14:paraId="463D8C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324" w:type="dxa"/>
            <w:tcBorders>
              <w:tl2br w:val="nil"/>
              <w:tr2bl w:val="nil"/>
            </w:tcBorders>
            <w:noWrap w:val="0"/>
            <w:vAlign w:val="top"/>
          </w:tcPr>
          <w:p w14:paraId="44536A91">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内径</w:t>
            </w:r>
          </w:p>
        </w:tc>
        <w:tc>
          <w:tcPr>
            <w:tcW w:w="2729" w:type="dxa"/>
            <w:tcBorders>
              <w:tl2br w:val="nil"/>
              <w:tr2bl w:val="nil"/>
            </w:tcBorders>
            <w:noWrap w:val="0"/>
            <w:vAlign w:val="top"/>
          </w:tcPr>
          <w:p w14:paraId="3046B9F8">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15.4mm</w:t>
            </w:r>
          </w:p>
        </w:tc>
        <w:tc>
          <w:tcPr>
            <w:tcW w:w="2726" w:type="dxa"/>
            <w:tcBorders>
              <w:tl2br w:val="nil"/>
              <w:tr2bl w:val="nil"/>
            </w:tcBorders>
            <w:noWrap w:val="0"/>
            <w:vAlign w:val="top"/>
          </w:tcPr>
          <w:p w14:paraId="2C9E07AD">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±0.2</w:t>
            </w:r>
          </w:p>
        </w:tc>
      </w:tr>
      <w:tr w14:paraId="211257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324" w:type="dxa"/>
            <w:tcBorders>
              <w:tl2br w:val="nil"/>
              <w:tr2bl w:val="nil"/>
            </w:tcBorders>
            <w:noWrap w:val="0"/>
            <w:vAlign w:val="top"/>
          </w:tcPr>
          <w:p w14:paraId="2B6F468F">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内高</w:t>
            </w:r>
          </w:p>
        </w:tc>
        <w:tc>
          <w:tcPr>
            <w:tcW w:w="2729" w:type="dxa"/>
            <w:tcBorders>
              <w:tl2br w:val="nil"/>
              <w:tr2bl w:val="nil"/>
            </w:tcBorders>
            <w:noWrap w:val="0"/>
            <w:vAlign w:val="top"/>
          </w:tcPr>
          <w:p w14:paraId="2D11EBFB">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11.0mm</w:t>
            </w:r>
          </w:p>
        </w:tc>
        <w:tc>
          <w:tcPr>
            <w:tcW w:w="2726" w:type="dxa"/>
            <w:tcBorders>
              <w:tl2br w:val="nil"/>
              <w:tr2bl w:val="nil"/>
            </w:tcBorders>
            <w:noWrap w:val="0"/>
            <w:vAlign w:val="top"/>
          </w:tcPr>
          <w:p w14:paraId="0BD90E4E">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±0.5</w:t>
            </w:r>
          </w:p>
        </w:tc>
      </w:tr>
    </w:tbl>
    <w:p w14:paraId="29252974">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3.3 口服制剂用硅橡胶胶塞</w:t>
      </w:r>
    </w:p>
    <w:p w14:paraId="0B4F2755">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（1）外观要求：取本品适量，目测检测，表面色泽应均匀，不得有污点、杂质、气泡、裂纹、缺胶、粗糙、胶丝、胶屑、海绵状、毛边；不得有除边造成的残缺或锯齿现象；不得有模具造成的明显痕迹。</w:t>
      </w:r>
    </w:p>
    <w:p w14:paraId="3211DFDD">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（2）尺寸要求：</w:t>
      </w:r>
    </w:p>
    <w:tbl>
      <w:tblPr>
        <w:tblStyle w:val="62"/>
        <w:tblW w:w="72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13"/>
        <w:gridCol w:w="3060"/>
        <w:gridCol w:w="1917"/>
      </w:tblGrid>
      <w:tr w14:paraId="6D71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313" w:type="dxa"/>
            <w:tcBorders>
              <w:top w:val="double" w:color="auto" w:sz="4" w:space="0"/>
              <w:left w:val="double" w:color="auto" w:sz="4" w:space="0"/>
            </w:tcBorders>
            <w:noWrap w:val="0"/>
            <w:vAlign w:val="top"/>
          </w:tcPr>
          <w:p w14:paraId="7AB37A25">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项目</w:t>
            </w:r>
          </w:p>
        </w:tc>
        <w:tc>
          <w:tcPr>
            <w:tcW w:w="3060" w:type="dxa"/>
            <w:tcBorders>
              <w:top w:val="double" w:color="auto" w:sz="4" w:space="0"/>
            </w:tcBorders>
            <w:noWrap w:val="0"/>
            <w:vAlign w:val="top"/>
          </w:tcPr>
          <w:p w14:paraId="0BD6658C">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要求</w:t>
            </w:r>
          </w:p>
        </w:tc>
        <w:tc>
          <w:tcPr>
            <w:tcW w:w="1917" w:type="dxa"/>
            <w:tcBorders>
              <w:top w:val="double" w:color="auto" w:sz="4" w:space="0"/>
              <w:right w:val="double" w:color="auto" w:sz="4" w:space="0"/>
            </w:tcBorders>
            <w:noWrap w:val="0"/>
            <w:vAlign w:val="top"/>
          </w:tcPr>
          <w:p w14:paraId="66C3B3B8">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极限偏差</w:t>
            </w:r>
          </w:p>
        </w:tc>
      </w:tr>
      <w:tr w14:paraId="5A1D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313" w:type="dxa"/>
            <w:tcBorders>
              <w:left w:val="double" w:color="auto" w:sz="4" w:space="0"/>
            </w:tcBorders>
            <w:noWrap w:val="0"/>
            <w:vAlign w:val="top"/>
          </w:tcPr>
          <w:p w14:paraId="21E5DBB8">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B型直径</w:t>
            </w:r>
          </w:p>
        </w:tc>
        <w:tc>
          <w:tcPr>
            <w:tcW w:w="3060" w:type="dxa"/>
            <w:noWrap w:val="0"/>
            <w:vAlign w:val="top"/>
          </w:tcPr>
          <w:p w14:paraId="2AA5E084">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15.5mm</w:t>
            </w:r>
          </w:p>
        </w:tc>
        <w:tc>
          <w:tcPr>
            <w:tcW w:w="1917" w:type="dxa"/>
            <w:tcBorders>
              <w:right w:val="double" w:color="auto" w:sz="4" w:space="0"/>
            </w:tcBorders>
            <w:noWrap w:val="0"/>
            <w:vAlign w:val="top"/>
          </w:tcPr>
          <w:p w14:paraId="7A4AAF96">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±0.1</w:t>
            </w:r>
          </w:p>
        </w:tc>
      </w:tr>
      <w:tr w14:paraId="6B65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313" w:type="dxa"/>
            <w:tcBorders>
              <w:left w:val="double" w:color="auto" w:sz="4" w:space="0"/>
            </w:tcBorders>
            <w:noWrap w:val="0"/>
            <w:vAlign w:val="top"/>
          </w:tcPr>
          <w:p w14:paraId="1D83C3FF">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B型边缘厚度</w:t>
            </w:r>
          </w:p>
        </w:tc>
        <w:tc>
          <w:tcPr>
            <w:tcW w:w="3060" w:type="dxa"/>
            <w:noWrap w:val="0"/>
            <w:vAlign w:val="top"/>
          </w:tcPr>
          <w:p w14:paraId="359D4D5A">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2.1mm</w:t>
            </w:r>
          </w:p>
        </w:tc>
        <w:tc>
          <w:tcPr>
            <w:tcW w:w="1917" w:type="dxa"/>
            <w:tcBorders>
              <w:right w:val="double" w:color="auto" w:sz="4" w:space="0"/>
            </w:tcBorders>
            <w:noWrap w:val="0"/>
            <w:vAlign w:val="top"/>
          </w:tcPr>
          <w:p w14:paraId="6F0EB746">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±0.1</w:t>
            </w:r>
          </w:p>
        </w:tc>
      </w:tr>
      <w:tr w14:paraId="3C0E2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313" w:type="dxa"/>
            <w:tcBorders>
              <w:left w:val="double" w:color="auto" w:sz="4" w:space="0"/>
            </w:tcBorders>
            <w:noWrap w:val="0"/>
            <w:vAlign w:val="top"/>
          </w:tcPr>
          <w:p w14:paraId="72E5A576">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B型高度</w:t>
            </w:r>
          </w:p>
        </w:tc>
        <w:tc>
          <w:tcPr>
            <w:tcW w:w="3060" w:type="dxa"/>
            <w:noWrap w:val="0"/>
            <w:vAlign w:val="top"/>
          </w:tcPr>
          <w:p w14:paraId="5119A5D6">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5.2mm</w:t>
            </w:r>
          </w:p>
        </w:tc>
        <w:tc>
          <w:tcPr>
            <w:tcW w:w="1917" w:type="dxa"/>
            <w:tcBorders>
              <w:right w:val="double" w:color="auto" w:sz="4" w:space="0"/>
            </w:tcBorders>
            <w:noWrap w:val="0"/>
            <w:vAlign w:val="top"/>
          </w:tcPr>
          <w:p w14:paraId="2CC7CCF6">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±0.2</w:t>
            </w:r>
          </w:p>
        </w:tc>
      </w:tr>
      <w:tr w14:paraId="0470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313" w:type="dxa"/>
            <w:tcBorders>
              <w:left w:val="double" w:color="auto" w:sz="4" w:space="0"/>
            </w:tcBorders>
            <w:noWrap w:val="0"/>
            <w:vAlign w:val="top"/>
          </w:tcPr>
          <w:p w14:paraId="54E098ED">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C型直径</w:t>
            </w:r>
          </w:p>
        </w:tc>
        <w:tc>
          <w:tcPr>
            <w:tcW w:w="3060" w:type="dxa"/>
            <w:noWrap w:val="0"/>
            <w:vAlign w:val="top"/>
          </w:tcPr>
          <w:p w14:paraId="5ADF8C35">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15.3mm</w:t>
            </w:r>
          </w:p>
        </w:tc>
        <w:tc>
          <w:tcPr>
            <w:tcW w:w="1917" w:type="dxa"/>
            <w:tcBorders>
              <w:right w:val="double" w:color="auto" w:sz="4" w:space="0"/>
            </w:tcBorders>
            <w:noWrap w:val="0"/>
            <w:vAlign w:val="top"/>
          </w:tcPr>
          <w:p w14:paraId="131A1CBF">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±0.1</w:t>
            </w:r>
          </w:p>
        </w:tc>
      </w:tr>
      <w:tr w14:paraId="38BE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313" w:type="dxa"/>
            <w:tcBorders>
              <w:left w:val="double" w:color="auto" w:sz="4" w:space="0"/>
            </w:tcBorders>
            <w:noWrap w:val="0"/>
            <w:vAlign w:val="top"/>
          </w:tcPr>
          <w:p w14:paraId="36F7672C">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C型边缘厚度</w:t>
            </w:r>
          </w:p>
        </w:tc>
        <w:tc>
          <w:tcPr>
            <w:tcW w:w="3060" w:type="dxa"/>
            <w:noWrap w:val="0"/>
            <w:vAlign w:val="top"/>
          </w:tcPr>
          <w:p w14:paraId="34EEEBEC">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1.5mm</w:t>
            </w:r>
          </w:p>
        </w:tc>
        <w:tc>
          <w:tcPr>
            <w:tcW w:w="1917" w:type="dxa"/>
            <w:tcBorders>
              <w:right w:val="double" w:color="auto" w:sz="4" w:space="0"/>
            </w:tcBorders>
            <w:noWrap w:val="0"/>
            <w:vAlign w:val="top"/>
          </w:tcPr>
          <w:p w14:paraId="0AD220B0">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±0.1</w:t>
            </w:r>
          </w:p>
        </w:tc>
      </w:tr>
      <w:tr w14:paraId="430B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313" w:type="dxa"/>
            <w:tcBorders>
              <w:left w:val="double" w:color="auto" w:sz="4" w:space="0"/>
              <w:bottom w:val="double" w:color="auto" w:sz="4" w:space="0"/>
            </w:tcBorders>
            <w:noWrap w:val="0"/>
            <w:vAlign w:val="top"/>
          </w:tcPr>
          <w:p w14:paraId="008023C1">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C型高度</w:t>
            </w:r>
          </w:p>
        </w:tc>
        <w:tc>
          <w:tcPr>
            <w:tcW w:w="3060" w:type="dxa"/>
            <w:tcBorders>
              <w:bottom w:val="double" w:color="auto" w:sz="4" w:space="0"/>
            </w:tcBorders>
            <w:noWrap w:val="0"/>
            <w:vAlign w:val="top"/>
          </w:tcPr>
          <w:p w14:paraId="2F18B2ED">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3.9mm</w:t>
            </w:r>
          </w:p>
        </w:tc>
        <w:tc>
          <w:tcPr>
            <w:tcW w:w="1917" w:type="dxa"/>
            <w:tcBorders>
              <w:bottom w:val="double" w:color="auto" w:sz="4" w:space="0"/>
              <w:right w:val="double" w:color="auto" w:sz="4" w:space="0"/>
            </w:tcBorders>
            <w:noWrap w:val="0"/>
            <w:vAlign w:val="top"/>
          </w:tcPr>
          <w:p w14:paraId="7F5FF192">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±0.2</w:t>
            </w:r>
          </w:p>
        </w:tc>
      </w:tr>
    </w:tbl>
    <w:p w14:paraId="29FA9884">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p>
    <w:p w14:paraId="578F55F3">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3.4 聚丙烯饮用吸管</w:t>
      </w:r>
    </w:p>
    <w:p w14:paraId="103375A6">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（1）外观要求：在自然光下以目测检验，吸管应无色透明，无污点。</w:t>
      </w:r>
    </w:p>
    <w:p w14:paraId="5E90359C">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（2）尺寸要求：3mm（直径）×90mm（长度）。</w:t>
      </w:r>
    </w:p>
    <w:p w14:paraId="7DF8557D">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（3）包装要求：（10支吸管+1助插器）/包，独立包装。</w:t>
      </w:r>
    </w:p>
    <w:p w14:paraId="65E01B6F">
      <w:pPr>
        <w:pStyle w:val="24"/>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（4）材质要求：食品级塑料。</w:t>
      </w:r>
    </w:p>
    <w:p w14:paraId="6241CB08">
      <w:pPr>
        <w:pStyle w:val="24"/>
        <w:ind w:left="0" w:leftChars="0" w:firstLine="0" w:firstLineChars="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四、样品要求</w:t>
      </w:r>
    </w:p>
    <w:p w14:paraId="115E8E75">
      <w:pPr>
        <w:spacing w:line="360" w:lineRule="auto"/>
        <w:ind w:firstLine="480" w:firstLineChars="200"/>
        <w:rPr>
          <w:rFonts w:hint="eastAsia" w:ascii="仿宋" w:hAnsi="仿宋" w:eastAsia="仿宋" w:cs="仿宋"/>
          <w:color w:val="auto"/>
          <w:kern w:val="0"/>
          <w:sz w:val="24"/>
          <w:highlight w:val="none"/>
          <w:lang w:val="en-US" w:eastAsia="zh-CN"/>
        </w:rPr>
      </w:pPr>
    </w:p>
    <w:tbl>
      <w:tblPr>
        <w:tblStyle w:val="62"/>
        <w:tblW w:w="8189"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56"/>
        <w:gridCol w:w="2391"/>
        <w:gridCol w:w="2490"/>
        <w:gridCol w:w="2022"/>
        <w:gridCol w:w="530"/>
      </w:tblGrid>
      <w:tr w14:paraId="6BA666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54" w:hRule="atLeast"/>
        </w:trPr>
        <w:tc>
          <w:tcPr>
            <w:tcW w:w="756" w:type="dxa"/>
            <w:tcBorders>
              <w:tl2br w:val="nil"/>
              <w:tr2bl w:val="nil"/>
            </w:tcBorders>
            <w:noWrap w:val="0"/>
            <w:vAlign w:val="center"/>
          </w:tcPr>
          <w:p w14:paraId="6712265E">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391" w:type="dxa"/>
            <w:tcBorders>
              <w:tl2br w:val="nil"/>
              <w:tr2bl w:val="nil"/>
            </w:tcBorders>
            <w:noWrap w:val="0"/>
            <w:vAlign w:val="center"/>
          </w:tcPr>
          <w:p w14:paraId="0342D8E0">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样品名称</w:t>
            </w:r>
          </w:p>
        </w:tc>
        <w:tc>
          <w:tcPr>
            <w:tcW w:w="2490" w:type="dxa"/>
            <w:tcBorders>
              <w:tl2br w:val="nil"/>
              <w:tr2bl w:val="nil"/>
            </w:tcBorders>
            <w:noWrap w:val="0"/>
            <w:vAlign w:val="center"/>
          </w:tcPr>
          <w:p w14:paraId="1291AF2A">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工艺材料</w:t>
            </w:r>
          </w:p>
        </w:tc>
        <w:tc>
          <w:tcPr>
            <w:tcW w:w="2022" w:type="dxa"/>
            <w:tcBorders>
              <w:tl2br w:val="nil"/>
              <w:tr2bl w:val="nil"/>
            </w:tcBorders>
            <w:noWrap w:val="0"/>
            <w:vAlign w:val="center"/>
          </w:tcPr>
          <w:p w14:paraId="397E4BBC">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图示</w:t>
            </w:r>
          </w:p>
        </w:tc>
        <w:tc>
          <w:tcPr>
            <w:tcW w:w="530" w:type="dxa"/>
            <w:tcBorders>
              <w:tl2br w:val="nil"/>
              <w:tr2bl w:val="nil"/>
            </w:tcBorders>
            <w:noWrap w:val="0"/>
            <w:vAlign w:val="center"/>
          </w:tcPr>
          <w:p w14:paraId="3759C46F">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w:t>
            </w:r>
          </w:p>
        </w:tc>
      </w:tr>
      <w:tr w14:paraId="503EC0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6" w:type="dxa"/>
            <w:tcBorders>
              <w:tl2br w:val="nil"/>
              <w:tr2bl w:val="nil"/>
            </w:tcBorders>
            <w:noWrap w:val="0"/>
            <w:vAlign w:val="center"/>
          </w:tcPr>
          <w:p w14:paraId="6CFDAD81">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391" w:type="dxa"/>
            <w:tcBorders>
              <w:tl2br w:val="nil"/>
              <w:tr2bl w:val="nil"/>
            </w:tcBorders>
            <w:noWrap w:val="0"/>
            <w:vAlign w:val="center"/>
          </w:tcPr>
          <w:p w14:paraId="65CCC2C5">
            <w:pPr>
              <w:spacing w:line="240" w:lineRule="auto"/>
              <w:jc w:val="center"/>
              <w:rPr>
                <w:rFonts w:hint="eastAsia" w:ascii="仿宋" w:hAnsi="仿宋" w:eastAsia="仿宋" w:cs="仿宋"/>
                <w:color w:val="auto"/>
                <w:sz w:val="24"/>
                <w:szCs w:val="24"/>
                <w:highlight w:val="none"/>
              </w:rPr>
            </w:pPr>
            <w:r>
              <w:rPr>
                <w:rFonts w:hint="eastAsia" w:eastAsia="仿宋" w:cs="Times New Roman"/>
                <w:color w:val="auto"/>
                <w:sz w:val="24"/>
                <w:szCs w:val="24"/>
                <w:highlight w:val="none"/>
                <w:lang w:val="en-US" w:eastAsia="zh-CN"/>
              </w:rPr>
              <w:t>样品1：</w:t>
            </w:r>
            <w:r>
              <w:rPr>
                <w:rFonts w:hint="default" w:ascii="Times New Roman" w:hAnsi="Times New Roman" w:eastAsia="仿宋" w:cs="Times New Roman"/>
                <w:color w:val="auto"/>
                <w:sz w:val="24"/>
                <w:szCs w:val="24"/>
                <w:highlight w:val="none"/>
                <w:lang w:val="en-US" w:eastAsia="zh-CN"/>
              </w:rPr>
              <w:t>钠钙玻璃管制口服液体瓶套装</w:t>
            </w:r>
            <w:r>
              <w:rPr>
                <w:rFonts w:hint="eastAsia" w:eastAsia="仿宋" w:cs="Times New Roman"/>
                <w:color w:val="auto"/>
                <w:sz w:val="24"/>
                <w:szCs w:val="24"/>
                <w:highlight w:val="none"/>
                <w:lang w:val="en-US" w:eastAsia="zh-CN"/>
              </w:rPr>
              <w:t>（B型）</w:t>
            </w:r>
          </w:p>
        </w:tc>
        <w:tc>
          <w:tcPr>
            <w:tcW w:w="2490" w:type="dxa"/>
            <w:tcBorders>
              <w:tl2br w:val="nil"/>
              <w:tr2bl w:val="nil"/>
            </w:tcBorders>
            <w:noWrap w:val="0"/>
            <w:vAlign w:val="center"/>
          </w:tcPr>
          <w:p w14:paraId="18409206">
            <w:pPr>
              <w:keepNext w:val="0"/>
              <w:keepLines w:val="0"/>
              <w:pageBreakBefore w:val="0"/>
              <w:numPr>
                <w:ilvl w:val="0"/>
                <w:numId w:val="0"/>
              </w:numPr>
              <w:kinsoku/>
              <w:wordWrap/>
              <w:overflowPunct/>
              <w:topLinePunct w:val="0"/>
              <w:autoSpaceDE/>
              <w:autoSpaceDN/>
              <w:bidi w:val="0"/>
              <w:spacing w:line="240" w:lineRule="auto"/>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钠钙玻璃</w:t>
            </w:r>
            <w:r>
              <w:rPr>
                <w:rFonts w:hint="eastAsia" w:ascii="仿宋" w:hAnsi="仿宋" w:eastAsia="仿宋" w:cs="仿宋"/>
                <w:color w:val="auto"/>
                <w:sz w:val="24"/>
                <w:szCs w:val="24"/>
                <w:highlight w:val="none"/>
                <w:lang w:val="en-US" w:eastAsia="zh-CN"/>
              </w:rPr>
              <w:t>+铝塑盖+口服液用溴化丁基橡胶塞</w:t>
            </w:r>
          </w:p>
        </w:tc>
        <w:tc>
          <w:tcPr>
            <w:tcW w:w="2022" w:type="dxa"/>
            <w:tcBorders>
              <w:tl2br w:val="nil"/>
              <w:tr2bl w:val="nil"/>
            </w:tcBorders>
            <w:noWrap w:val="0"/>
            <w:vAlign w:val="center"/>
          </w:tcPr>
          <w:p w14:paraId="24A5743D">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drawing>
                <wp:inline distT="0" distB="0" distL="114300" distR="114300">
                  <wp:extent cx="503555" cy="978535"/>
                  <wp:effectExtent l="0" t="0" r="12065" b="10795"/>
                  <wp:docPr id="2" name="图片 2" descr="a076940b4eb7f37c969a3c99cd028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076940b4eb7f37c969a3c99cd0281f"/>
                          <pic:cNvPicPr>
                            <a:picLocks noChangeAspect="1"/>
                          </pic:cNvPicPr>
                        </pic:nvPicPr>
                        <pic:blipFill>
                          <a:blip r:embed="rId18"/>
                          <a:srcRect b="22202"/>
                          <a:stretch>
                            <a:fillRect/>
                          </a:stretch>
                        </pic:blipFill>
                        <pic:spPr>
                          <a:xfrm rot="16200000">
                            <a:off x="0" y="0"/>
                            <a:ext cx="503555" cy="978535"/>
                          </a:xfrm>
                          <a:prstGeom prst="rect">
                            <a:avLst/>
                          </a:prstGeom>
                        </pic:spPr>
                      </pic:pic>
                    </a:graphicData>
                  </a:graphic>
                </wp:inline>
              </w:drawing>
            </w:r>
          </w:p>
        </w:tc>
        <w:tc>
          <w:tcPr>
            <w:tcW w:w="530" w:type="dxa"/>
            <w:tcBorders>
              <w:tl2br w:val="nil"/>
              <w:tr2bl w:val="nil"/>
            </w:tcBorders>
            <w:noWrap w:val="0"/>
            <w:vAlign w:val="center"/>
          </w:tcPr>
          <w:p w14:paraId="3B1F7235">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1套</w:t>
            </w:r>
          </w:p>
        </w:tc>
      </w:tr>
      <w:tr w14:paraId="002ADE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6" w:type="dxa"/>
            <w:tcBorders>
              <w:tl2br w:val="nil"/>
              <w:tr2bl w:val="nil"/>
            </w:tcBorders>
            <w:noWrap w:val="0"/>
            <w:vAlign w:val="center"/>
          </w:tcPr>
          <w:p w14:paraId="04319118">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2391" w:type="dxa"/>
            <w:tcBorders>
              <w:tl2br w:val="nil"/>
              <w:tr2bl w:val="nil"/>
            </w:tcBorders>
            <w:noWrap w:val="0"/>
            <w:vAlign w:val="center"/>
          </w:tcPr>
          <w:p w14:paraId="113334FE">
            <w:pPr>
              <w:spacing w:line="240" w:lineRule="auto"/>
              <w:jc w:val="center"/>
              <w:rPr>
                <w:rFonts w:hint="eastAsia" w:ascii="仿宋" w:hAnsi="仿宋" w:eastAsia="仿宋" w:cs="仿宋"/>
                <w:color w:val="auto"/>
                <w:sz w:val="24"/>
                <w:szCs w:val="24"/>
                <w:highlight w:val="none"/>
              </w:rPr>
            </w:pPr>
            <w:r>
              <w:rPr>
                <w:rFonts w:hint="eastAsia" w:eastAsia="仿宋" w:cs="Times New Roman"/>
                <w:color w:val="auto"/>
                <w:sz w:val="24"/>
                <w:szCs w:val="24"/>
                <w:highlight w:val="none"/>
                <w:lang w:val="en-US" w:eastAsia="zh-CN"/>
              </w:rPr>
              <w:t>样品2：</w:t>
            </w:r>
            <w:r>
              <w:rPr>
                <w:rFonts w:hint="default" w:ascii="Times New Roman" w:hAnsi="Times New Roman" w:eastAsia="仿宋" w:cs="Times New Roman"/>
                <w:color w:val="auto"/>
                <w:sz w:val="24"/>
                <w:szCs w:val="24"/>
                <w:highlight w:val="none"/>
                <w:lang w:val="en-US" w:eastAsia="zh-CN"/>
              </w:rPr>
              <w:t>钠钙玻璃管制口服液体瓶套装</w:t>
            </w:r>
            <w:r>
              <w:rPr>
                <w:rFonts w:hint="eastAsia" w:eastAsia="仿宋" w:cs="Times New Roman"/>
                <w:color w:val="auto"/>
                <w:sz w:val="24"/>
                <w:szCs w:val="24"/>
                <w:highlight w:val="none"/>
                <w:lang w:val="en-US" w:eastAsia="zh-CN"/>
              </w:rPr>
              <w:t>（C型）</w:t>
            </w:r>
          </w:p>
        </w:tc>
        <w:tc>
          <w:tcPr>
            <w:tcW w:w="2490" w:type="dxa"/>
            <w:tcBorders>
              <w:tl2br w:val="nil"/>
              <w:tr2bl w:val="nil"/>
            </w:tcBorders>
            <w:noWrap w:val="0"/>
            <w:vAlign w:val="center"/>
          </w:tcPr>
          <w:p w14:paraId="21412ED4">
            <w:pPr>
              <w:keepNext w:val="0"/>
              <w:keepLines w:val="0"/>
              <w:pageBreakBefore w:val="0"/>
              <w:numPr>
                <w:ilvl w:val="0"/>
                <w:numId w:val="0"/>
              </w:numPr>
              <w:kinsoku/>
              <w:wordWrap/>
              <w:overflowPunct/>
              <w:topLinePunct w:val="0"/>
              <w:autoSpaceDE/>
              <w:autoSpaceDN/>
              <w:bidi w:val="0"/>
              <w:spacing w:line="240" w:lineRule="auto"/>
              <w:textAlignment w:val="auto"/>
              <w:rPr>
                <w:rFonts w:hint="default" w:ascii="仿宋" w:hAnsi="仿宋" w:eastAsia="仿宋" w:cs="仿宋"/>
                <w:color w:val="auto"/>
                <w:sz w:val="24"/>
                <w:szCs w:val="24"/>
                <w:highlight w:val="none"/>
                <w:lang w:val="en-US"/>
              </w:rPr>
            </w:pPr>
            <w:r>
              <w:rPr>
                <w:rFonts w:hint="default" w:ascii="仿宋" w:hAnsi="仿宋" w:eastAsia="仿宋" w:cs="仿宋"/>
                <w:color w:val="auto"/>
                <w:sz w:val="24"/>
                <w:szCs w:val="24"/>
                <w:highlight w:val="none"/>
                <w:lang w:val="en-US" w:eastAsia="zh-CN"/>
              </w:rPr>
              <w:t>钠钙玻璃</w:t>
            </w:r>
            <w:r>
              <w:rPr>
                <w:rFonts w:hint="eastAsia" w:ascii="仿宋" w:hAnsi="仿宋" w:eastAsia="仿宋" w:cs="仿宋"/>
                <w:color w:val="auto"/>
                <w:sz w:val="24"/>
                <w:szCs w:val="24"/>
                <w:highlight w:val="none"/>
                <w:lang w:val="en-US" w:eastAsia="zh-CN"/>
              </w:rPr>
              <w:t>+铝盖+口服制剂用硅橡胶胶塞</w:t>
            </w:r>
          </w:p>
        </w:tc>
        <w:tc>
          <w:tcPr>
            <w:tcW w:w="2022" w:type="dxa"/>
            <w:tcBorders>
              <w:tl2br w:val="nil"/>
              <w:tr2bl w:val="nil"/>
            </w:tcBorders>
            <w:noWrap w:val="0"/>
            <w:vAlign w:val="center"/>
          </w:tcPr>
          <w:p w14:paraId="3FE440FE">
            <w:pPr>
              <w:spacing w:line="240" w:lineRule="auto"/>
              <w:jc w:val="center"/>
              <w:rPr>
                <w:rFonts w:hint="eastAsia" w:ascii="仿宋" w:hAnsi="仿宋" w:eastAsia="仿宋" w:cs="仿宋"/>
                <w:color w:val="auto"/>
                <w:sz w:val="24"/>
                <w:szCs w:val="24"/>
                <w:highlight w:val="none"/>
              </w:rPr>
            </w:pPr>
            <w:r>
              <w:rPr>
                <w:color w:val="auto"/>
                <w:highlight w:val="none"/>
              </w:rPr>
              <w:drawing>
                <wp:inline distT="0" distB="0" distL="114300" distR="114300">
                  <wp:extent cx="330835" cy="988060"/>
                  <wp:effectExtent l="0" t="0" r="254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rot="16200000">
                            <a:off x="0" y="0"/>
                            <a:ext cx="330835" cy="988060"/>
                          </a:xfrm>
                          <a:prstGeom prst="rect">
                            <a:avLst/>
                          </a:prstGeom>
                          <a:noFill/>
                          <a:ln>
                            <a:noFill/>
                          </a:ln>
                        </pic:spPr>
                      </pic:pic>
                    </a:graphicData>
                  </a:graphic>
                </wp:inline>
              </w:drawing>
            </w:r>
          </w:p>
        </w:tc>
        <w:tc>
          <w:tcPr>
            <w:tcW w:w="530" w:type="dxa"/>
            <w:tcBorders>
              <w:tl2br w:val="nil"/>
              <w:tr2bl w:val="nil"/>
            </w:tcBorders>
            <w:noWrap w:val="0"/>
            <w:vAlign w:val="center"/>
          </w:tcPr>
          <w:p w14:paraId="57D4A56C">
            <w:pPr>
              <w:spacing w:line="240" w:lineRule="auto"/>
              <w:jc w:val="center"/>
              <w:rPr>
                <w:rFonts w:hint="default" w:eastAsia="宋体"/>
                <w:color w:val="auto"/>
                <w:highlight w:val="none"/>
                <w:lang w:val="en-US" w:eastAsia="zh-CN"/>
              </w:rPr>
            </w:pPr>
            <w:r>
              <w:rPr>
                <w:rFonts w:hint="eastAsia"/>
                <w:color w:val="auto"/>
                <w:highlight w:val="none"/>
                <w:lang w:val="en-US" w:eastAsia="zh-CN"/>
              </w:rPr>
              <w:t>1套</w:t>
            </w:r>
          </w:p>
        </w:tc>
      </w:tr>
    </w:tbl>
    <w:p w14:paraId="467ABED1">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注：</w:t>
      </w:r>
    </w:p>
    <w:p w14:paraId="17F38820">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color w:val="auto"/>
          <w:kern w:val="0"/>
          <w:sz w:val="24"/>
          <w:highlight w:val="none"/>
        </w:rPr>
        <w:t>未提供样品或提供样品不满足采购需求实质性条件的供应商，投标无效</w:t>
      </w:r>
      <w:r>
        <w:rPr>
          <w:rFonts w:hint="eastAsia" w:ascii="仿宋" w:hAnsi="仿宋" w:eastAsia="仿宋" w:cs="仿宋"/>
          <w:color w:val="auto"/>
          <w:kern w:val="0"/>
          <w:sz w:val="24"/>
          <w:highlight w:val="none"/>
          <w:lang w:eastAsia="zh-CN"/>
        </w:rPr>
        <w:t>。</w:t>
      </w:r>
    </w:p>
    <w:p w14:paraId="780B3A44">
      <w:pPr>
        <w:spacing w:line="360" w:lineRule="auto"/>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bCs/>
          <w:color w:val="auto"/>
          <w:sz w:val="24"/>
          <w:highlight w:val="none"/>
          <w:lang w:eastAsia="zh-CN"/>
        </w:rPr>
        <w:t>样品集中装在一个盒子或袋子内，密封递交，</w:t>
      </w:r>
      <w:r>
        <w:rPr>
          <w:rFonts w:hint="eastAsia" w:ascii="仿宋" w:hAnsi="仿宋" w:eastAsia="仿宋" w:cs="仿宋"/>
          <w:b/>
          <w:bCs/>
          <w:color w:val="auto"/>
          <w:sz w:val="24"/>
          <w:szCs w:val="24"/>
          <w:highlight w:val="none"/>
          <w:lang w:val="en-US" w:eastAsia="zh-CN"/>
        </w:rPr>
        <w:t>样品均需标明供应商全称、样品名称。</w:t>
      </w:r>
    </w:p>
    <w:p w14:paraId="1BABFFE0">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样本均不退还</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中标人的样品由采购人封存保管，并作为验收的依据之一。</w:t>
      </w:r>
    </w:p>
    <w:p w14:paraId="2179BAD6">
      <w:pPr>
        <w:spacing w:line="360" w:lineRule="auto"/>
        <w:ind w:firstLine="480" w:firstLineChars="200"/>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4、提供类似于上图产品材质的类似产品。</w:t>
      </w:r>
    </w:p>
    <w:p w14:paraId="6126CEA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五、其他要求</w:t>
      </w:r>
    </w:p>
    <w:p w14:paraId="047A4FB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供货要求：签订合同后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需求确定之日起30个工作日内，</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将根据订单约定数量生产备货，根据</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书面通知数量按批次进行供货，</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接到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通知后</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个工作日内交付使用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应急货物24小时内到货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，同时提交产品相关的资料，包括送货单等送货单和检验报告等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并通过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验收。</w:t>
      </w:r>
      <w:r>
        <w:rPr>
          <w:rFonts w:hint="eastAsia" w:ascii="仿宋" w:hAnsi="仿宋" w:eastAsia="仿宋" w:cs="Times New Roman"/>
          <w:color w:val="auto"/>
          <w:sz w:val="24"/>
          <w:highlight w:val="none"/>
          <w:lang w:val="en-US" w:eastAsia="zh-CN"/>
        </w:rPr>
        <w:t>未发货产品投标人代为保管，直至发完</w:t>
      </w:r>
      <w:r>
        <w:rPr>
          <w:rFonts w:hint="eastAsia" w:ascii="仿宋" w:hAnsi="仿宋" w:eastAsia="仿宋" w:cs="Times New Roman"/>
          <w:color w:val="auto"/>
          <w:sz w:val="24"/>
          <w:highlight w:val="none"/>
        </w:rPr>
        <w:t>。</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负责</w:t>
      </w:r>
      <w:r>
        <w:rPr>
          <w:rFonts w:hint="eastAsia" w:ascii="仿宋" w:hAnsi="仿宋" w:eastAsia="仿宋" w:cs="仿宋"/>
          <w:color w:val="auto"/>
          <w:sz w:val="24"/>
          <w:szCs w:val="24"/>
          <w:highlight w:val="none"/>
          <w:lang w:eastAsia="zh-CN"/>
        </w:rPr>
        <w:t>产品</w:t>
      </w:r>
      <w:r>
        <w:rPr>
          <w:rFonts w:hint="eastAsia" w:ascii="仿宋" w:hAnsi="仿宋" w:eastAsia="仿宋" w:cs="仿宋"/>
          <w:color w:val="auto"/>
          <w:sz w:val="24"/>
          <w:szCs w:val="24"/>
          <w:highlight w:val="none"/>
        </w:rPr>
        <w:t>供货运输并卸货指定地点。投标人负责将货物按签订合同的具体数量、具体地点免费运送到最终目的地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p>
    <w:p w14:paraId="72E7288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如投标人交付的货物（服务）存在数量短缺、交付不符、假冒伪劣或质量瑕疵等情形，招标人当场验收产品时发现的，有权决定拒绝收货或立即要求退换货。如招标人收货后发现上述瑕疵的，则于招标人发现之日起十五个工作日内向投标人的指定联系人提出异议，投标人应按照招标人异议要求立即退换货或承担违约责任。</w:t>
      </w:r>
    </w:p>
    <w:p w14:paraId="29E8849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售后服务</w:t>
      </w:r>
    </w:p>
    <w:p w14:paraId="20346EF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供应商需在0.5小时内响应</w:t>
      </w:r>
      <w:r>
        <w:rPr>
          <w:rFonts w:hint="eastAsia" w:ascii="仿宋" w:hAnsi="仿宋" w:eastAsia="仿宋" w:cs="仿宋"/>
          <w:color w:val="auto"/>
          <w:sz w:val="24"/>
          <w:szCs w:val="24"/>
          <w:highlight w:val="none"/>
          <w:lang w:val="en-US" w:eastAsia="zh-CN"/>
        </w:rPr>
        <w:t>采购人的需求</w:t>
      </w:r>
      <w:r>
        <w:rPr>
          <w:rFonts w:hint="eastAsia" w:ascii="仿宋" w:hAnsi="仿宋" w:eastAsia="仿宋" w:cs="仿宋"/>
          <w:color w:val="auto"/>
          <w:sz w:val="24"/>
          <w:szCs w:val="24"/>
          <w:highlight w:val="none"/>
        </w:rPr>
        <w:t>，2小时解决问题和采购人提出的合理要求，在投标书中请提供详细的售后服务</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承诺书。</w:t>
      </w:r>
    </w:p>
    <w:p w14:paraId="5CD40FCA">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六、商务要求</w:t>
      </w:r>
    </w:p>
    <w:p w14:paraId="716EC8D8">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1、报价</w:t>
      </w:r>
    </w:p>
    <w:p w14:paraId="01079FBD">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 投标人应按照产品清单及技术要求报价，并在投标文件中明确提供投标货物的名称、规格和配置。</w:t>
      </w:r>
    </w:p>
    <w:p w14:paraId="0EFCA611">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1.2 </w:t>
      </w:r>
      <w:r>
        <w:rPr>
          <w:rFonts w:hint="eastAsia" w:ascii="仿宋" w:hAnsi="仿宋" w:eastAsia="仿宋" w:cs="仿宋"/>
          <w:color w:val="auto"/>
          <w:sz w:val="24"/>
          <w:szCs w:val="24"/>
          <w:highlight w:val="none"/>
        </w:rPr>
        <w:t>投标人的报价均已包括了为实施和完成合同所需的制作、</w:t>
      </w:r>
      <w:r>
        <w:rPr>
          <w:rFonts w:hint="eastAsia" w:ascii="仿宋" w:hAnsi="仿宋" w:eastAsia="仿宋" w:cs="仿宋"/>
          <w:color w:val="auto"/>
          <w:sz w:val="24"/>
          <w:szCs w:val="24"/>
          <w:highlight w:val="none"/>
          <w:lang w:val="en-US" w:eastAsia="zh-CN"/>
        </w:rPr>
        <w:t>开模、包装、</w:t>
      </w:r>
      <w:r>
        <w:rPr>
          <w:rFonts w:hint="eastAsia" w:ascii="仿宋" w:hAnsi="仿宋" w:eastAsia="仿宋" w:cs="仿宋"/>
          <w:color w:val="auto"/>
          <w:sz w:val="24"/>
          <w:szCs w:val="24"/>
          <w:highlight w:val="none"/>
        </w:rPr>
        <w:t>运输、验收、材料、售后服务、管理、保险、利润、税金、政策性调价、市场变化以及合同明示的所有责任、义务和风险等所需的一切费用。因投标人报价漏算少计，中标后不予追加。</w:t>
      </w:r>
    </w:p>
    <w:p w14:paraId="3F7DB09D">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2、合同及违约要求</w:t>
      </w:r>
    </w:p>
    <w:p w14:paraId="54607B3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中标人应在中标通知书发出后</w:t>
      </w:r>
      <w:r>
        <w:rPr>
          <w:rFonts w:hint="eastAsia" w:ascii="仿宋" w:hAnsi="仿宋" w:eastAsia="仿宋" w:cs="仿宋"/>
          <w:color w:val="auto"/>
          <w:sz w:val="24"/>
          <w:szCs w:val="24"/>
          <w:highlight w:val="none"/>
          <w:lang w:eastAsia="zh-CN"/>
        </w:rPr>
        <w:t>30日</w:t>
      </w:r>
      <w:r>
        <w:rPr>
          <w:rFonts w:hint="eastAsia" w:ascii="仿宋" w:hAnsi="仿宋" w:eastAsia="仿宋" w:cs="仿宋"/>
          <w:color w:val="auto"/>
          <w:sz w:val="24"/>
          <w:szCs w:val="24"/>
          <w:highlight w:val="none"/>
        </w:rPr>
        <w:t>内与招标人签订合同。</w:t>
      </w:r>
    </w:p>
    <w:p w14:paraId="7D33522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中标人在供货期内有下列行为，造成不当的损失而产生的费用，要从当</w:t>
      </w:r>
      <w:r>
        <w:rPr>
          <w:rFonts w:hint="eastAsia" w:ascii="仿宋" w:hAnsi="仿宋" w:eastAsia="仿宋" w:cs="仿宋"/>
          <w:color w:val="auto"/>
          <w:sz w:val="24"/>
          <w:szCs w:val="24"/>
          <w:highlight w:val="none"/>
          <w:lang w:val="en-US" w:eastAsia="zh-CN"/>
        </w:rPr>
        <w:t>月</w:t>
      </w:r>
      <w:r>
        <w:rPr>
          <w:rFonts w:hint="eastAsia" w:ascii="仿宋" w:hAnsi="仿宋" w:eastAsia="仿宋" w:cs="仿宋"/>
          <w:color w:val="auto"/>
          <w:sz w:val="24"/>
          <w:szCs w:val="24"/>
          <w:highlight w:val="none"/>
        </w:rPr>
        <w:t>支付给中标人的费用中扣除：中标人要爱护与保管招标人的财产，如损坏招标人的设备设施等，按实际损失价值赔偿；有严重影响招标人有关科室的正常工作及招标人形象行为的，按实际损失价值赔偿。</w:t>
      </w:r>
    </w:p>
    <w:p w14:paraId="4F87C07C">
      <w:pPr>
        <w:pStyle w:val="2"/>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2.3除另有约定的外，</w:t>
      </w:r>
      <w:r>
        <w:rPr>
          <w:rFonts w:hint="eastAsia" w:ascii="仿宋" w:hAnsi="仿宋" w:eastAsia="仿宋" w:cs="仿宋"/>
          <w:color w:val="auto"/>
          <w:sz w:val="24"/>
          <w:szCs w:val="24"/>
          <w:highlight w:val="none"/>
        </w:rPr>
        <w:t>中标人存在如下违约情况时，招标人有权单方面解除合同并要求中标人按照</w:t>
      </w:r>
      <w:bookmarkStart w:id="31" w:name="OLE_LINK1"/>
      <w:r>
        <w:rPr>
          <w:rFonts w:hint="eastAsia" w:ascii="仿宋" w:hAnsi="仿宋" w:eastAsia="仿宋" w:cs="仿宋"/>
          <w:color w:val="auto"/>
          <w:sz w:val="24"/>
          <w:szCs w:val="24"/>
          <w:highlight w:val="none"/>
          <w:lang w:val="en-US" w:eastAsia="zh-CN"/>
        </w:rPr>
        <w:t>已采购金额总额的</w:t>
      </w:r>
      <w:bookmarkEnd w:id="31"/>
      <w:r>
        <w:rPr>
          <w:rFonts w:hint="eastAsia" w:ascii="仿宋" w:hAnsi="仿宋" w:eastAsia="仿宋" w:cs="仿宋"/>
          <w:color w:val="auto"/>
          <w:sz w:val="24"/>
          <w:szCs w:val="24"/>
          <w:highlight w:val="none"/>
        </w:rPr>
        <w:t>30%向</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支付违约金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如前述违约金不足以弥补招标人因此所遭受的损失</w:t>
      </w:r>
      <w:r>
        <w:rPr>
          <w:rFonts w:hint="eastAsia" w:ascii="仿宋" w:hAnsi="仿宋" w:eastAsia="仿宋" w:cs="Times New Roman"/>
          <w:color w:val="auto"/>
          <w:sz w:val="24"/>
          <w:highlight w:val="none"/>
          <w:lang w:val="en-US" w:eastAsia="zh-CN"/>
        </w:rPr>
        <w:t>（该损失包括但不限于直接损失、间接损失以及招标人因维权而产生的诉讼费、律师费、保全费、保全担保费、公证费、鉴定费和执行费等一切损失）</w:t>
      </w:r>
      <w:r>
        <w:rPr>
          <w:rFonts w:hint="eastAsia" w:ascii="仿宋" w:hAnsi="仿宋" w:eastAsia="仿宋" w:cs="仿宋"/>
          <w:color w:val="auto"/>
          <w:sz w:val="24"/>
          <w:szCs w:val="24"/>
          <w:highlight w:val="none"/>
          <w:lang w:val="en-US" w:eastAsia="zh-CN"/>
        </w:rPr>
        <w:t>，中标人应予全额补足</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中标人当月存在3次及以上在招标人派单后未及时到现场查看核对或产品逾期交货超过10个工作日的，但法定不可抗力因素或有特殊情况需与招标人商议后经招标人同意后方可延迟的情形除外；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中标人交付的货物（服务）存在数量短缺、交付</w:t>
      </w:r>
      <w:r>
        <w:rPr>
          <w:rFonts w:hint="eastAsia" w:ascii="仿宋" w:hAnsi="仿宋" w:eastAsia="仿宋" w:cs="仿宋"/>
          <w:color w:val="auto"/>
          <w:sz w:val="24"/>
          <w:szCs w:val="24"/>
          <w:highlight w:val="none"/>
          <w:lang w:val="en-US" w:eastAsia="zh-CN"/>
        </w:rPr>
        <w:t>产品的名称/材质/规格型号/质量等</w:t>
      </w:r>
      <w:r>
        <w:rPr>
          <w:rFonts w:hint="eastAsia" w:ascii="仿宋" w:hAnsi="仿宋" w:eastAsia="仿宋" w:cs="仿宋"/>
          <w:color w:val="auto"/>
          <w:sz w:val="24"/>
          <w:szCs w:val="24"/>
          <w:highlight w:val="none"/>
        </w:rPr>
        <w:t>不符</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情形，或招标人就前述情况向中标人提出异议后，中标人未按照招标人要求立即退换货的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或退换货后再行提供的货物仍存在前述情形的</w:t>
      </w:r>
      <w:r>
        <w:rPr>
          <w:rFonts w:hint="eastAsia" w:ascii="仿宋" w:hAnsi="仿宋" w:eastAsia="仿宋" w:cs="Times New Roman"/>
          <w:color w:val="auto"/>
          <w:sz w:val="24"/>
          <w:highlight w:val="none"/>
          <w:lang w:val="en-US" w:eastAsia="zh-CN"/>
        </w:rPr>
        <w:t>，总共累计5次及以上</w:t>
      </w:r>
      <w:r>
        <w:rPr>
          <w:rFonts w:hint="eastAsia" w:ascii="仿宋" w:hAnsi="仿宋" w:eastAsia="仿宋" w:cs="仿宋"/>
          <w:color w:val="auto"/>
          <w:sz w:val="24"/>
          <w:szCs w:val="24"/>
          <w:highlight w:val="none"/>
        </w:rPr>
        <w:t>。</w:t>
      </w:r>
    </w:p>
    <w:p w14:paraId="5757DF2B">
      <w:pPr>
        <w:pStyle w:val="2"/>
        <w:spacing w:line="360" w:lineRule="auto"/>
        <w:ind w:firstLine="480" w:firstLineChars="200"/>
        <w:rPr>
          <w:rFonts w:hint="eastAsia"/>
          <w:color w:val="auto"/>
          <w:highlight w:val="none"/>
        </w:rPr>
      </w:pPr>
      <w:r>
        <w:rPr>
          <w:rFonts w:hint="eastAsia" w:ascii="仿宋" w:hAnsi="仿宋" w:eastAsia="仿宋" w:cs="仿宋"/>
          <w:color w:val="auto"/>
          <w:sz w:val="24"/>
          <w:szCs w:val="24"/>
          <w:highlight w:val="none"/>
          <w:lang w:val="en-US" w:eastAsia="zh-CN"/>
        </w:rPr>
        <w:t>2.4违约要求余条款详见合同文本。</w:t>
      </w:r>
    </w:p>
    <w:p w14:paraId="0F8C24EF">
      <w:pPr>
        <w:numPr>
          <w:ilvl w:val="0"/>
          <w:numId w:val="6"/>
        </w:num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结算和支付方式</w:t>
      </w:r>
    </w:p>
    <w:p w14:paraId="37A50336">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3.1根据每月实际采购数量进行结算，</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结算清单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经双方核对无误后</w:t>
      </w:r>
      <w:r>
        <w:rPr>
          <w:rFonts w:hint="eastAsia" w:ascii="仿宋" w:hAnsi="仿宋" w:eastAsia="仿宋" w:cs="仿宋"/>
          <w:color w:val="auto"/>
          <w:sz w:val="24"/>
          <w:szCs w:val="24"/>
          <w:highlight w:val="none"/>
        </w:rPr>
        <w:t>开具正式合格</w:t>
      </w:r>
      <w:r>
        <w:rPr>
          <w:rFonts w:hint="eastAsia" w:ascii="仿宋" w:hAnsi="仿宋" w:eastAsia="仿宋" w:cs="仿宋"/>
          <w:color w:val="auto"/>
          <w:sz w:val="24"/>
          <w:szCs w:val="24"/>
          <w:highlight w:val="none"/>
          <w:lang w:val="en-US" w:eastAsia="zh-CN"/>
        </w:rPr>
        <w:t>有效</w:t>
      </w:r>
      <w:r>
        <w:rPr>
          <w:rFonts w:hint="eastAsia" w:ascii="仿宋" w:hAnsi="仿宋" w:eastAsia="仿宋" w:cs="仿宋"/>
          <w:color w:val="auto"/>
          <w:sz w:val="24"/>
          <w:szCs w:val="24"/>
          <w:highlight w:val="none"/>
        </w:rPr>
        <w:t>发票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方可</w:t>
      </w:r>
      <w:r>
        <w:rPr>
          <w:rFonts w:hint="eastAsia" w:ascii="仿宋" w:hAnsi="仿宋" w:eastAsia="仿宋" w:cs="仿宋"/>
          <w:color w:val="auto"/>
          <w:sz w:val="24"/>
          <w:szCs w:val="24"/>
          <w:highlight w:val="none"/>
        </w:rPr>
        <w:t>进行入库，</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入库后</w:t>
      </w:r>
      <w:r>
        <w:rPr>
          <w:rFonts w:hint="eastAsia" w:ascii="仿宋" w:hAnsi="仿宋" w:eastAsia="仿宋" w:cs="仿宋"/>
          <w:color w:val="auto"/>
          <w:sz w:val="24"/>
          <w:szCs w:val="24"/>
          <w:highlight w:val="none"/>
          <w:lang w:val="en-US" w:eastAsia="zh-CN"/>
        </w:rPr>
        <w:t>付款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人承诺其开具发票的形式与内容真实、合法、准确、完整、有效，不开具或开具不合格发票的，招标人有权延迟支付应付款项且不承担违约责任，直至中标人开具合格的经招标人审核无误的发票，在此期间中标人仍应按照合同的约定履行合同的义务。</w:t>
      </w:r>
    </w:p>
    <w:p w14:paraId="69BD7EA0">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kern w:val="0"/>
          <w:sz w:val="24"/>
          <w:szCs w:val="24"/>
          <w:highlight w:val="none"/>
          <w:lang w:val="en-US" w:eastAsia="zh-CN"/>
        </w:rPr>
        <w:t>预付款：</w:t>
      </w:r>
      <w:r>
        <w:rPr>
          <w:rFonts w:hint="eastAsia" w:ascii="仿宋" w:hAnsi="仿宋" w:eastAsia="仿宋" w:cs="仿宋"/>
          <w:color w:val="auto"/>
          <w:kern w:val="0"/>
          <w:sz w:val="24"/>
          <w:szCs w:val="24"/>
          <w:highlight w:val="none"/>
        </w:rPr>
        <w:t>在合同生效以及具备实施条件后5个工作日内支付</w:t>
      </w:r>
      <w:r>
        <w:rPr>
          <w:rFonts w:hint="eastAsia" w:ascii="仿宋" w:hAnsi="仿宋" w:eastAsia="仿宋" w:cs="仿宋"/>
          <w:color w:val="auto"/>
          <w:kern w:val="0"/>
          <w:sz w:val="24"/>
          <w:szCs w:val="24"/>
          <w:highlight w:val="none"/>
          <w:lang w:val="en-US" w:eastAsia="zh-CN"/>
        </w:rPr>
        <w:t>合同总价</w:t>
      </w:r>
      <w:r>
        <w:rPr>
          <w:rFonts w:hint="eastAsia" w:ascii="仿宋" w:hAnsi="仿宋" w:eastAsia="仿宋" w:cs="仿宋"/>
          <w:color w:val="auto"/>
          <w:kern w:val="0"/>
          <w:sz w:val="24"/>
          <w:szCs w:val="24"/>
          <w:highlight w:val="none"/>
        </w:rPr>
        <w:t>的40%，</w:t>
      </w:r>
      <w:r>
        <w:rPr>
          <w:rFonts w:hint="eastAsia" w:ascii="仿宋" w:hAnsi="仿宋" w:eastAsia="仿宋" w:cs="仿宋"/>
          <w:color w:val="auto"/>
          <w:sz w:val="24"/>
          <w:szCs w:val="24"/>
          <w:highlight w:val="none"/>
          <w:lang w:val="en-US" w:eastAsia="zh-CN"/>
        </w:rPr>
        <w:t>第一个季度结算款中进行抵扣，第一个季度货款不足抵扣，在第二季度付款中继续抵扣。</w:t>
      </w:r>
      <w:r>
        <w:rPr>
          <w:rFonts w:hint="eastAsia" w:ascii="仿宋" w:hAnsi="仿宋" w:eastAsia="仿宋" w:cs="仿宋"/>
          <w:color w:val="auto"/>
          <w:kern w:val="0"/>
          <w:sz w:val="24"/>
          <w:szCs w:val="24"/>
          <w:highlight w:val="none"/>
        </w:rPr>
        <w:t>如</w:t>
      </w:r>
      <w:r>
        <w:rPr>
          <w:rFonts w:hint="eastAsia" w:ascii="仿宋" w:hAnsi="仿宋" w:eastAsia="仿宋" w:cs="仿宋"/>
          <w:color w:val="auto"/>
          <w:kern w:val="0"/>
          <w:sz w:val="24"/>
          <w:szCs w:val="24"/>
          <w:highlight w:val="none"/>
          <w:lang w:val="en-US" w:eastAsia="zh-CN"/>
        </w:rPr>
        <w:t>中标人</w:t>
      </w:r>
      <w:r>
        <w:rPr>
          <w:rFonts w:hint="eastAsia" w:ascii="仿宋" w:hAnsi="仿宋" w:eastAsia="仿宋" w:cs="仿宋"/>
          <w:color w:val="auto"/>
          <w:kern w:val="0"/>
          <w:sz w:val="24"/>
          <w:szCs w:val="24"/>
          <w:highlight w:val="none"/>
        </w:rPr>
        <w:t>明确表示不需支付预付款的，则不予支付。</w:t>
      </w:r>
    </w:p>
    <w:p w14:paraId="54C95BC9">
      <w:pPr>
        <w:widowControl/>
        <w:autoSpaceDE w:val="0"/>
        <w:autoSpaceDN w:val="0"/>
        <w:spacing w:line="360" w:lineRule="auto"/>
        <w:ind w:firstLine="480" w:firstLineChars="200"/>
        <w:textAlignment w:val="bottom"/>
        <w:rPr>
          <w:rFonts w:hint="eastAsia" w:ascii="仿宋" w:hAnsi="仿宋" w:eastAsia="仿宋" w:cs="仿宋"/>
          <w:color w:val="auto"/>
          <w:sz w:val="24"/>
          <w:highlight w:val="none"/>
          <w:lang w:val="en-US" w:eastAsia="zh-CN"/>
        </w:rPr>
      </w:pPr>
      <w:r>
        <w:rPr>
          <w:rFonts w:hint="eastAsia" w:ascii="仿宋" w:hAnsi="仿宋" w:eastAsia="仿宋" w:cs="仿宋"/>
          <w:b w:val="0"/>
          <w:bCs/>
          <w:color w:val="auto"/>
          <w:sz w:val="24"/>
          <w:highlight w:val="none"/>
          <w:lang w:val="en-US" w:eastAsia="zh-CN"/>
        </w:rPr>
        <w:t>4、</w:t>
      </w:r>
      <w:r>
        <w:rPr>
          <w:rFonts w:hint="eastAsia" w:ascii="仿宋" w:hAnsi="仿宋" w:eastAsia="仿宋" w:cs="仿宋"/>
          <w:color w:val="auto"/>
          <w:sz w:val="24"/>
          <w:highlight w:val="none"/>
          <w:lang w:val="en-US" w:eastAsia="zh-CN"/>
        </w:rPr>
        <w:t>验收</w:t>
      </w:r>
    </w:p>
    <w:p w14:paraId="7F83C84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4.1</w:t>
      </w:r>
      <w:r>
        <w:rPr>
          <w:rFonts w:hint="eastAsia" w:ascii="仿宋" w:hAnsi="仿宋" w:eastAsia="仿宋" w:cs="仿宋"/>
          <w:color w:val="auto"/>
          <w:sz w:val="24"/>
          <w:szCs w:val="24"/>
          <w:highlight w:val="none"/>
        </w:rPr>
        <w:t>采购人依据</w:t>
      </w:r>
      <w:r>
        <w:rPr>
          <w:rFonts w:hint="eastAsia" w:ascii="仿宋" w:hAnsi="仿宋" w:eastAsia="仿宋" w:cs="仿宋"/>
          <w:color w:val="auto"/>
          <w:sz w:val="24"/>
          <w:szCs w:val="24"/>
          <w:highlight w:val="none"/>
          <w:lang w:val="en-US" w:eastAsia="zh-CN"/>
        </w:rPr>
        <w:t>本单位要求</w:t>
      </w:r>
      <w:r>
        <w:rPr>
          <w:rFonts w:hint="eastAsia" w:ascii="仿宋" w:hAnsi="仿宋" w:eastAsia="仿宋" w:cs="仿宋"/>
          <w:color w:val="auto"/>
          <w:sz w:val="24"/>
          <w:szCs w:val="24"/>
          <w:highlight w:val="none"/>
        </w:rPr>
        <w:t>组织验收</w:t>
      </w:r>
      <w:r>
        <w:rPr>
          <w:rFonts w:hint="eastAsia" w:ascii="仿宋" w:hAnsi="仿宋" w:eastAsia="仿宋" w:cs="仿宋"/>
          <w:color w:val="auto"/>
          <w:sz w:val="24"/>
          <w:szCs w:val="24"/>
          <w:highlight w:val="none"/>
          <w:lang w:val="en-US" w:eastAsia="zh-CN"/>
        </w:rPr>
        <w:t>货物到货后20个工作日内验收完成</w:t>
      </w:r>
      <w:r>
        <w:rPr>
          <w:rFonts w:hint="eastAsia" w:ascii="仿宋" w:hAnsi="仿宋" w:eastAsia="仿宋" w:cs="仿宋"/>
          <w:color w:val="auto"/>
          <w:sz w:val="24"/>
          <w:szCs w:val="24"/>
          <w:highlight w:val="none"/>
        </w:rPr>
        <w:t>。验收中发现达不到验收标准或合同规定的，中标人必须配合直至验收通过，并且赔偿由此给用户造成的损失。</w:t>
      </w:r>
    </w:p>
    <w:p w14:paraId="1B4D2F7B">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w:t>
      </w:r>
      <w:bookmarkStart w:id="32" w:name="OLE_LINK2"/>
      <w:r>
        <w:rPr>
          <w:rFonts w:hint="eastAsia" w:ascii="仿宋" w:hAnsi="仿宋" w:eastAsia="仿宋" w:cs="仿宋"/>
          <w:color w:val="auto"/>
          <w:sz w:val="24"/>
          <w:szCs w:val="24"/>
          <w:highlight w:val="none"/>
        </w:rPr>
        <w:t>验收费</w:t>
      </w:r>
      <w:bookmarkEnd w:id="32"/>
      <w:r>
        <w:rPr>
          <w:rFonts w:hint="eastAsia" w:ascii="仿宋" w:hAnsi="仿宋" w:eastAsia="仿宋" w:cs="仿宋"/>
          <w:color w:val="auto"/>
          <w:sz w:val="24"/>
          <w:szCs w:val="24"/>
          <w:highlight w:val="none"/>
        </w:rPr>
        <w:t>用根据“杭州市政府采购履约验收暂行办法”第二十条规定，首次验收过程中产生的，由采购人承担；属于首次验收不合格，重新验收过程中产生的由中标供应商承担</w:t>
      </w:r>
      <w:r>
        <w:rPr>
          <w:rFonts w:hint="eastAsia" w:ascii="仿宋" w:hAnsi="仿宋" w:eastAsia="仿宋" w:cs="仿宋"/>
          <w:color w:val="auto"/>
          <w:sz w:val="24"/>
          <w:szCs w:val="24"/>
          <w:highlight w:val="none"/>
          <w:lang w:val="en-US" w:eastAsia="zh-CN"/>
        </w:rPr>
        <w:t>。</w:t>
      </w:r>
    </w:p>
    <w:p w14:paraId="0C5C3E97">
      <w:pPr>
        <w:pStyle w:val="6"/>
        <w:keepNext w:val="0"/>
        <w:keepLines w:val="0"/>
        <w:pageBreakBefore w:val="0"/>
        <w:numPr>
          <w:ilvl w:val="0"/>
          <w:numId w:val="7"/>
        </w:numPr>
        <w:kinsoku/>
        <w:wordWrap/>
        <w:overflowPunct/>
        <w:topLinePunct w:val="0"/>
        <w:autoSpaceDE/>
        <w:autoSpaceDN/>
        <w:bidi w:val="0"/>
        <w:adjustRightIn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交货地点：杭州市钱塘区白杨街道21号大街233号。</w:t>
      </w:r>
    </w:p>
    <w:p w14:paraId="75D1B7D6">
      <w:pPr>
        <w:pStyle w:val="6"/>
        <w:keepNext w:val="0"/>
        <w:keepLines w:val="0"/>
        <w:pageBreakBefore w:val="0"/>
        <w:numPr>
          <w:ilvl w:val="0"/>
          <w:numId w:val="7"/>
        </w:numPr>
        <w:kinsoku/>
        <w:wordWrap/>
        <w:overflowPunct/>
        <w:topLinePunct w:val="0"/>
        <w:autoSpaceDE/>
        <w:autoSpaceDN/>
        <w:bidi w:val="0"/>
        <w:adjustRightInd w:val="0"/>
        <w:spacing w:line="36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其他要求</w:t>
      </w:r>
    </w:p>
    <w:p w14:paraId="51313EC7">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6.1</w:t>
      </w:r>
      <w:r>
        <w:rPr>
          <w:rFonts w:hint="eastAsia" w:ascii="仿宋" w:hAnsi="仿宋" w:eastAsia="仿宋" w:cs="仿宋"/>
          <w:b/>
          <w:bCs/>
          <w:color w:val="auto"/>
          <w:sz w:val="24"/>
          <w:szCs w:val="24"/>
          <w:highlight w:val="none"/>
          <w:lang w:val="en-US" w:eastAsia="zh-CN"/>
        </w:rPr>
        <w:t>不同生产厂家药包材验证要求：</w:t>
      </w:r>
      <w:r>
        <w:rPr>
          <w:rFonts w:hint="eastAsia" w:ascii="仿宋" w:hAnsi="仿宋" w:eastAsia="仿宋" w:cs="仿宋"/>
          <w:b/>
          <w:bCs/>
          <w:color w:val="auto"/>
          <w:sz w:val="24"/>
          <w:szCs w:val="24"/>
          <w:highlight w:val="none"/>
          <w:lang w:val="en-US" w:eastAsia="zh-CN" w:bidi="ar"/>
        </w:rPr>
        <w:t>根据</w:t>
      </w:r>
      <w:r>
        <w:rPr>
          <w:rFonts w:hint="eastAsia" w:ascii="仿宋" w:hAnsi="仿宋" w:eastAsia="仿宋" w:cs="仿宋"/>
          <w:b/>
          <w:bCs/>
          <w:color w:val="auto"/>
          <w:kern w:val="2"/>
          <w:sz w:val="24"/>
          <w:szCs w:val="24"/>
          <w:highlight w:val="none"/>
          <w:lang w:val="en-US" w:eastAsia="zh-CN" w:bidi="ar"/>
        </w:rPr>
        <w:t>《浙江省医疗机构制剂注册管理细则》要求及</w:t>
      </w:r>
      <w:r>
        <w:rPr>
          <w:rFonts w:hint="eastAsia" w:ascii="仿宋" w:hAnsi="仿宋" w:eastAsia="仿宋" w:cs="仿宋"/>
          <w:b/>
          <w:bCs/>
          <w:color w:val="auto"/>
          <w:sz w:val="24"/>
          <w:szCs w:val="24"/>
          <w:highlight w:val="none"/>
          <w:lang w:val="en-US" w:eastAsia="zh-CN"/>
        </w:rPr>
        <w:t>参照《已上市化学药品药学变更研究技术指导原则（试行）》规定，药包材产地变更需进行相关验证工作，如采购人根据需要进行验证，所涉及的包材委托检验、稳定性试验等技术性工作，支出费用由中标人负责，验证通过后方能供货，如验证不合格，不予采购，所造成的损失由中标人承担，采购合同终止。</w:t>
      </w:r>
    </w:p>
    <w:p w14:paraId="4E837B3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6.2投标人需每年提供一次具有CMA认证的药包材检测机构出具的全检报告单。</w:t>
      </w:r>
    </w:p>
    <w:p w14:paraId="27E18F5C">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default" w:ascii="仿宋" w:hAnsi="仿宋" w:eastAsia="仿宋" w:cs="仿宋"/>
          <w:color w:val="auto"/>
          <w:sz w:val="24"/>
          <w:szCs w:val="24"/>
          <w:highlight w:val="none"/>
          <w:lang w:val="en-US" w:eastAsia="zh-CN"/>
        </w:rPr>
      </w:pPr>
    </w:p>
    <w:p w14:paraId="26DFBB15">
      <w:pPr>
        <w:pStyle w:val="24"/>
        <w:numPr>
          <w:ilvl w:val="0"/>
          <w:numId w:val="8"/>
        </w:numPr>
        <w:ind w:firstLine="482"/>
        <w:rPr>
          <w:rFonts w:ascii="仿宋" w:hAnsi="仿宋" w:eastAsia="仿宋" w:cs="仿宋"/>
          <w:b/>
          <w:color w:val="auto"/>
          <w:highlight w:val="none"/>
        </w:rPr>
      </w:pPr>
      <w:r>
        <w:rPr>
          <w:rFonts w:hint="eastAsia" w:ascii="仿宋" w:hAnsi="仿宋" w:eastAsia="仿宋" w:cs="仿宋"/>
          <w:b/>
          <w:color w:val="auto"/>
          <w:highlight w:val="none"/>
        </w:rPr>
        <w:br w:type="page"/>
      </w:r>
    </w:p>
    <w:p w14:paraId="4B69999E">
      <w:pPr>
        <w:spacing w:line="360" w:lineRule="auto"/>
        <w:jc w:val="center"/>
        <w:outlineLvl w:val="0"/>
        <w:rPr>
          <w:rFonts w:ascii="仿宋" w:hAnsi="仿宋" w:eastAsia="仿宋" w:cs="仿宋"/>
          <w:b/>
          <w:color w:val="auto"/>
          <w:sz w:val="36"/>
          <w:szCs w:val="36"/>
          <w:highlight w:val="none"/>
        </w:rPr>
      </w:pPr>
      <w:bookmarkStart w:id="33" w:name="_Toc28740"/>
      <w:r>
        <w:rPr>
          <w:rFonts w:hint="eastAsia" w:ascii="仿宋" w:hAnsi="仿宋" w:eastAsia="仿宋" w:cs="仿宋"/>
          <w:b/>
          <w:color w:val="auto"/>
          <w:sz w:val="36"/>
          <w:szCs w:val="36"/>
          <w:highlight w:val="none"/>
        </w:rPr>
        <w:t xml:space="preserve">第四部分  </w:t>
      </w:r>
      <w:bookmarkStart w:id="34" w:name="_Toc184310283"/>
      <w:bookmarkEnd w:id="34"/>
      <w:bookmarkStart w:id="35" w:name="_Toc184308049"/>
      <w:bookmarkEnd w:id="35"/>
      <w:bookmarkStart w:id="36" w:name="_Toc184310314"/>
      <w:bookmarkEnd w:id="36"/>
      <w:bookmarkStart w:id="37" w:name="_Toc184313292"/>
      <w:bookmarkEnd w:id="37"/>
      <w:bookmarkStart w:id="38" w:name="_Toc184312088"/>
      <w:bookmarkEnd w:id="38"/>
      <w:bookmarkStart w:id="39" w:name="_Toc184313283"/>
      <w:bookmarkEnd w:id="39"/>
      <w:bookmarkStart w:id="40" w:name="_Toc184312110"/>
      <w:bookmarkEnd w:id="40"/>
      <w:bookmarkStart w:id="41" w:name="_Toc184310332"/>
      <w:bookmarkEnd w:id="41"/>
      <w:bookmarkStart w:id="42" w:name="_Toc184310273"/>
      <w:bookmarkEnd w:id="42"/>
      <w:bookmarkStart w:id="43" w:name="_Toc184312071"/>
      <w:bookmarkEnd w:id="43"/>
      <w:bookmarkStart w:id="44" w:name="_Toc184314469"/>
      <w:bookmarkEnd w:id="44"/>
      <w:bookmarkStart w:id="45" w:name="_Toc184310326"/>
      <w:bookmarkEnd w:id="45"/>
      <w:bookmarkStart w:id="46" w:name="_Toc184310300"/>
      <w:bookmarkEnd w:id="46"/>
      <w:bookmarkStart w:id="47" w:name="_Toc184312136"/>
      <w:bookmarkEnd w:id="47"/>
      <w:bookmarkStart w:id="48" w:name="_Toc184312132"/>
      <w:bookmarkEnd w:id="48"/>
      <w:bookmarkStart w:id="49" w:name="_Toc184314447"/>
      <w:bookmarkEnd w:id="49"/>
      <w:bookmarkStart w:id="50" w:name="_Toc184308101"/>
      <w:bookmarkEnd w:id="50"/>
      <w:bookmarkStart w:id="51" w:name="_Toc184308094"/>
      <w:bookmarkEnd w:id="51"/>
      <w:bookmarkStart w:id="52" w:name="_Toc184314448"/>
      <w:bookmarkEnd w:id="52"/>
      <w:bookmarkStart w:id="53" w:name="_Toc184310288"/>
      <w:bookmarkEnd w:id="53"/>
      <w:bookmarkStart w:id="54" w:name="_Toc184313296"/>
      <w:bookmarkEnd w:id="54"/>
      <w:bookmarkStart w:id="55" w:name="_Toc184313253"/>
      <w:bookmarkEnd w:id="55"/>
      <w:bookmarkStart w:id="56" w:name="_Toc184312124"/>
      <w:bookmarkEnd w:id="56"/>
      <w:bookmarkStart w:id="57" w:name="_Toc184313273"/>
      <w:bookmarkEnd w:id="57"/>
      <w:bookmarkStart w:id="58" w:name="_Toc184308065"/>
      <w:bookmarkEnd w:id="58"/>
      <w:bookmarkStart w:id="59" w:name="_Toc184313274"/>
      <w:bookmarkEnd w:id="59"/>
      <w:bookmarkStart w:id="60" w:name="_Toc184310329"/>
      <w:bookmarkEnd w:id="60"/>
      <w:bookmarkStart w:id="61" w:name="_Toc184310303"/>
      <w:bookmarkEnd w:id="61"/>
      <w:bookmarkStart w:id="62" w:name="_Toc184312119"/>
      <w:bookmarkEnd w:id="62"/>
      <w:bookmarkStart w:id="63" w:name="_Toc184310312"/>
      <w:bookmarkEnd w:id="63"/>
      <w:bookmarkStart w:id="64" w:name="_Toc184313269"/>
      <w:bookmarkEnd w:id="64"/>
      <w:bookmarkStart w:id="65" w:name="_Toc184308057"/>
      <w:bookmarkEnd w:id="65"/>
      <w:bookmarkStart w:id="66" w:name="_Toc184314441"/>
      <w:bookmarkEnd w:id="66"/>
      <w:bookmarkStart w:id="67" w:name="_Toc184308047"/>
      <w:bookmarkEnd w:id="67"/>
      <w:bookmarkStart w:id="68" w:name="_Toc184310278"/>
      <w:bookmarkEnd w:id="68"/>
      <w:bookmarkStart w:id="69" w:name="_Toc184312082"/>
      <w:bookmarkEnd w:id="69"/>
      <w:bookmarkStart w:id="70" w:name="_Toc184314429"/>
      <w:bookmarkEnd w:id="70"/>
      <w:bookmarkStart w:id="71" w:name="_Toc184310327"/>
      <w:bookmarkEnd w:id="71"/>
      <w:bookmarkStart w:id="72" w:name="_Toc184314464"/>
      <w:bookmarkEnd w:id="72"/>
      <w:bookmarkStart w:id="73" w:name="_Toc184312095"/>
      <w:bookmarkEnd w:id="73"/>
      <w:bookmarkStart w:id="74" w:name="_Toc184308079"/>
      <w:bookmarkEnd w:id="74"/>
      <w:bookmarkStart w:id="75" w:name="_Toc184310324"/>
      <w:bookmarkEnd w:id="75"/>
      <w:bookmarkStart w:id="76" w:name="_Toc184308058"/>
      <w:bookmarkEnd w:id="76"/>
      <w:bookmarkStart w:id="77" w:name="_Toc184312093"/>
      <w:bookmarkEnd w:id="77"/>
      <w:bookmarkStart w:id="78" w:name="_Toc184308099"/>
      <w:bookmarkEnd w:id="78"/>
      <w:bookmarkStart w:id="79" w:name="_Toc184314452"/>
      <w:bookmarkEnd w:id="79"/>
      <w:bookmarkStart w:id="80" w:name="_Toc184314420"/>
      <w:bookmarkEnd w:id="80"/>
      <w:bookmarkStart w:id="81" w:name="_Toc184308044"/>
      <w:bookmarkEnd w:id="81"/>
      <w:bookmarkStart w:id="82" w:name="_Toc184308060"/>
      <w:bookmarkEnd w:id="82"/>
      <w:bookmarkStart w:id="83" w:name="_Toc184312072"/>
      <w:bookmarkEnd w:id="83"/>
      <w:bookmarkStart w:id="84" w:name="_Toc184310297"/>
      <w:bookmarkEnd w:id="84"/>
      <w:bookmarkStart w:id="85" w:name="_Toc184308104"/>
      <w:bookmarkEnd w:id="85"/>
      <w:bookmarkStart w:id="86" w:name="_Toc184312098"/>
      <w:bookmarkEnd w:id="86"/>
      <w:bookmarkStart w:id="87" w:name="_Toc184313295"/>
      <w:bookmarkEnd w:id="87"/>
      <w:bookmarkStart w:id="88" w:name="_Toc184313257"/>
      <w:bookmarkEnd w:id="88"/>
      <w:bookmarkStart w:id="89" w:name="_Toc184312128"/>
      <w:bookmarkEnd w:id="89"/>
      <w:bookmarkStart w:id="90" w:name="_Toc184312075"/>
      <w:bookmarkEnd w:id="90"/>
      <w:bookmarkStart w:id="91" w:name="_Toc184314410"/>
      <w:bookmarkEnd w:id="91"/>
      <w:bookmarkStart w:id="92" w:name="_Toc184312126"/>
      <w:bookmarkEnd w:id="92"/>
      <w:bookmarkStart w:id="93" w:name="_Toc184313254"/>
      <w:bookmarkEnd w:id="93"/>
      <w:bookmarkStart w:id="94" w:name="_Toc184310290"/>
      <w:bookmarkEnd w:id="94"/>
      <w:bookmarkStart w:id="95" w:name="_Toc184312106"/>
      <w:bookmarkEnd w:id="95"/>
      <w:bookmarkStart w:id="96" w:name="_Toc184308062"/>
      <w:bookmarkEnd w:id="96"/>
      <w:bookmarkStart w:id="97" w:name="_Toc184310279"/>
      <w:bookmarkEnd w:id="97"/>
      <w:bookmarkStart w:id="98" w:name="_Toc184313248"/>
      <w:bookmarkEnd w:id="98"/>
      <w:bookmarkStart w:id="99" w:name="_Toc184313272"/>
      <w:bookmarkEnd w:id="99"/>
      <w:bookmarkStart w:id="100" w:name="_Toc184310344"/>
      <w:bookmarkEnd w:id="100"/>
      <w:bookmarkStart w:id="101" w:name="_Toc184313245"/>
      <w:bookmarkEnd w:id="101"/>
      <w:bookmarkStart w:id="102" w:name="_Toc184310339"/>
      <w:bookmarkEnd w:id="102"/>
      <w:bookmarkStart w:id="103" w:name="_Toc184310274"/>
      <w:bookmarkEnd w:id="103"/>
      <w:bookmarkStart w:id="104" w:name="_Toc184308040"/>
      <w:bookmarkEnd w:id="104"/>
      <w:bookmarkStart w:id="105" w:name="_Toc184312089"/>
      <w:bookmarkEnd w:id="105"/>
      <w:bookmarkStart w:id="106" w:name="_Toc184313267"/>
      <w:bookmarkEnd w:id="106"/>
      <w:bookmarkStart w:id="107" w:name="_Toc184314450"/>
      <w:bookmarkEnd w:id="107"/>
      <w:bookmarkStart w:id="108" w:name="_Toc184313246"/>
      <w:bookmarkEnd w:id="108"/>
      <w:bookmarkStart w:id="109" w:name="_Toc184310295"/>
      <w:bookmarkEnd w:id="109"/>
      <w:bookmarkStart w:id="110" w:name="_Toc184314468"/>
      <w:bookmarkEnd w:id="110"/>
      <w:bookmarkStart w:id="111" w:name="_Toc184310304"/>
      <w:bookmarkEnd w:id="111"/>
      <w:bookmarkStart w:id="112" w:name="_Toc184308070"/>
      <w:bookmarkEnd w:id="112"/>
      <w:bookmarkStart w:id="113" w:name="_Toc184308071"/>
      <w:bookmarkEnd w:id="113"/>
      <w:bookmarkStart w:id="114" w:name="_Toc184312116"/>
      <w:bookmarkEnd w:id="114"/>
      <w:bookmarkStart w:id="115" w:name="_Toc184313261"/>
      <w:bookmarkEnd w:id="115"/>
      <w:bookmarkStart w:id="116" w:name="_Toc184312084"/>
      <w:bookmarkEnd w:id="116"/>
      <w:bookmarkStart w:id="117" w:name="_Toc184312076"/>
      <w:bookmarkEnd w:id="117"/>
      <w:bookmarkStart w:id="118" w:name="_Toc184310311"/>
      <w:bookmarkEnd w:id="118"/>
      <w:bookmarkStart w:id="119" w:name="_Toc184314477"/>
      <w:bookmarkEnd w:id="119"/>
      <w:bookmarkStart w:id="120" w:name="_Toc184314438"/>
      <w:bookmarkEnd w:id="120"/>
      <w:bookmarkStart w:id="121" w:name="_Toc184308054"/>
      <w:bookmarkEnd w:id="121"/>
      <w:bookmarkStart w:id="122" w:name="_Toc184314421"/>
      <w:bookmarkEnd w:id="122"/>
      <w:bookmarkStart w:id="123" w:name="_Toc184310287"/>
      <w:bookmarkEnd w:id="123"/>
      <w:bookmarkStart w:id="124" w:name="_Toc184308076"/>
      <w:bookmarkEnd w:id="124"/>
      <w:bookmarkStart w:id="125" w:name="_Toc184310306"/>
      <w:bookmarkEnd w:id="125"/>
      <w:bookmarkStart w:id="126" w:name="_Toc184310316"/>
      <w:bookmarkEnd w:id="126"/>
      <w:bookmarkStart w:id="127" w:name="_Toc184310276"/>
      <w:bookmarkEnd w:id="127"/>
      <w:bookmarkStart w:id="128" w:name="_Toc184314458"/>
      <w:bookmarkEnd w:id="128"/>
      <w:bookmarkStart w:id="129" w:name="_Toc184312122"/>
      <w:bookmarkEnd w:id="129"/>
      <w:bookmarkStart w:id="130" w:name="_Toc184313308"/>
      <w:bookmarkEnd w:id="130"/>
      <w:bookmarkStart w:id="131" w:name="_Toc184310334"/>
      <w:bookmarkEnd w:id="131"/>
      <w:bookmarkStart w:id="132" w:name="_Toc184314415"/>
      <w:bookmarkEnd w:id="132"/>
      <w:bookmarkStart w:id="133" w:name="_Toc184312134"/>
      <w:bookmarkEnd w:id="133"/>
      <w:bookmarkStart w:id="134" w:name="_Toc184312120"/>
      <w:bookmarkEnd w:id="134"/>
      <w:bookmarkStart w:id="135" w:name="_Toc184310275"/>
      <w:bookmarkEnd w:id="135"/>
      <w:bookmarkStart w:id="136" w:name="_Toc184314424"/>
      <w:bookmarkEnd w:id="136"/>
      <w:bookmarkStart w:id="137" w:name="_Toc184314413"/>
      <w:bookmarkEnd w:id="137"/>
      <w:bookmarkStart w:id="138" w:name="_Toc184314446"/>
      <w:bookmarkEnd w:id="138"/>
      <w:bookmarkStart w:id="139" w:name="_Toc184312080"/>
      <w:bookmarkEnd w:id="139"/>
      <w:bookmarkStart w:id="140" w:name="_Toc184310330"/>
      <w:bookmarkEnd w:id="140"/>
      <w:bookmarkStart w:id="141" w:name="_Toc184313300"/>
      <w:bookmarkEnd w:id="141"/>
      <w:bookmarkStart w:id="142" w:name="_Toc184313282"/>
      <w:bookmarkEnd w:id="142"/>
      <w:bookmarkStart w:id="143" w:name="_Toc184314479"/>
      <w:bookmarkEnd w:id="143"/>
      <w:bookmarkStart w:id="144" w:name="_Toc184310335"/>
      <w:bookmarkEnd w:id="144"/>
      <w:bookmarkStart w:id="145" w:name="_Toc184314412"/>
      <w:bookmarkEnd w:id="145"/>
      <w:bookmarkStart w:id="146" w:name="_Toc184312108"/>
      <w:bookmarkEnd w:id="146"/>
      <w:bookmarkStart w:id="147" w:name="_Toc184310325"/>
      <w:bookmarkEnd w:id="147"/>
      <w:bookmarkStart w:id="148" w:name="_Toc184313289"/>
      <w:bookmarkEnd w:id="148"/>
      <w:bookmarkStart w:id="149" w:name="_Toc184313275"/>
      <w:bookmarkEnd w:id="149"/>
      <w:bookmarkStart w:id="150" w:name="_Toc184314432"/>
      <w:bookmarkEnd w:id="150"/>
      <w:bookmarkStart w:id="151" w:name="_Toc184310340"/>
      <w:bookmarkEnd w:id="151"/>
      <w:bookmarkStart w:id="152" w:name="_Toc184312074"/>
      <w:bookmarkEnd w:id="152"/>
      <w:bookmarkStart w:id="153" w:name="_Toc184313293"/>
      <w:bookmarkEnd w:id="153"/>
      <w:bookmarkStart w:id="154" w:name="_Toc184310294"/>
      <w:bookmarkEnd w:id="154"/>
      <w:bookmarkStart w:id="155" w:name="_Toc184314428"/>
      <w:bookmarkEnd w:id="155"/>
      <w:bookmarkStart w:id="156" w:name="_Toc184313303"/>
      <w:bookmarkEnd w:id="156"/>
      <w:bookmarkStart w:id="157" w:name="_Toc184308088"/>
      <w:bookmarkEnd w:id="157"/>
      <w:bookmarkStart w:id="158" w:name="_Toc184308074"/>
      <w:bookmarkEnd w:id="158"/>
      <w:bookmarkStart w:id="159" w:name="_Toc184314470"/>
      <w:bookmarkEnd w:id="159"/>
      <w:bookmarkStart w:id="160" w:name="_Toc184308107"/>
      <w:bookmarkEnd w:id="160"/>
      <w:bookmarkStart w:id="161" w:name="_Toc184314440"/>
      <w:bookmarkEnd w:id="161"/>
      <w:bookmarkStart w:id="162" w:name="_Toc184308105"/>
      <w:bookmarkEnd w:id="162"/>
      <w:bookmarkStart w:id="163" w:name="_Toc184314444"/>
      <w:bookmarkEnd w:id="163"/>
      <w:bookmarkStart w:id="164" w:name="_Toc184310342"/>
      <w:bookmarkEnd w:id="164"/>
      <w:bookmarkStart w:id="165" w:name="_Toc184310291"/>
      <w:bookmarkEnd w:id="165"/>
      <w:bookmarkStart w:id="166" w:name="_Toc184312099"/>
      <w:bookmarkEnd w:id="166"/>
      <w:bookmarkStart w:id="167" w:name="_Toc184312090"/>
      <w:bookmarkEnd w:id="167"/>
      <w:bookmarkStart w:id="168" w:name="_Toc184313247"/>
      <w:bookmarkEnd w:id="168"/>
      <w:bookmarkStart w:id="169" w:name="_Toc184312138"/>
      <w:bookmarkEnd w:id="169"/>
      <w:bookmarkStart w:id="170" w:name="_Toc184314414"/>
      <w:bookmarkEnd w:id="170"/>
      <w:bookmarkStart w:id="171" w:name="_Toc184313242"/>
      <w:bookmarkEnd w:id="171"/>
      <w:bookmarkStart w:id="172" w:name="_Toc184313284"/>
      <w:bookmarkEnd w:id="172"/>
      <w:bookmarkStart w:id="173" w:name="_Toc184313301"/>
      <w:bookmarkEnd w:id="173"/>
      <w:bookmarkStart w:id="174" w:name="_Toc184308048"/>
      <w:bookmarkEnd w:id="174"/>
      <w:bookmarkStart w:id="175" w:name="_Toc184312101"/>
      <w:bookmarkEnd w:id="175"/>
      <w:bookmarkStart w:id="176" w:name="_Toc184313309"/>
      <w:bookmarkEnd w:id="176"/>
      <w:bookmarkStart w:id="177" w:name="_Toc184312125"/>
      <w:bookmarkEnd w:id="177"/>
      <w:bookmarkStart w:id="178" w:name="_Toc184313297"/>
      <w:bookmarkEnd w:id="178"/>
      <w:bookmarkStart w:id="179" w:name="_Toc184313306"/>
      <w:bookmarkEnd w:id="179"/>
      <w:bookmarkStart w:id="180" w:name="_Toc184308084"/>
      <w:bookmarkEnd w:id="180"/>
      <w:bookmarkStart w:id="181" w:name="_Toc184308072"/>
      <w:bookmarkEnd w:id="181"/>
      <w:bookmarkStart w:id="182" w:name="_Toc184313291"/>
      <w:bookmarkEnd w:id="182"/>
      <w:bookmarkStart w:id="183" w:name="_Toc184314467"/>
      <w:bookmarkEnd w:id="183"/>
      <w:bookmarkStart w:id="184" w:name="_Toc184314453"/>
      <w:bookmarkEnd w:id="184"/>
      <w:bookmarkStart w:id="185" w:name="_Toc184314471"/>
      <w:bookmarkEnd w:id="185"/>
      <w:bookmarkStart w:id="186" w:name="_Toc184313259"/>
      <w:bookmarkEnd w:id="186"/>
      <w:bookmarkStart w:id="187" w:name="_Toc184313299"/>
      <w:bookmarkEnd w:id="187"/>
      <w:bookmarkStart w:id="188" w:name="_Toc184308106"/>
      <w:bookmarkEnd w:id="188"/>
      <w:bookmarkStart w:id="189" w:name="_Toc184310333"/>
      <w:bookmarkEnd w:id="189"/>
      <w:bookmarkStart w:id="190" w:name="_Toc184308098"/>
      <w:bookmarkEnd w:id="190"/>
      <w:bookmarkStart w:id="191" w:name="_Toc184308102"/>
      <w:bookmarkEnd w:id="191"/>
      <w:bookmarkStart w:id="192" w:name="_Toc184308059"/>
      <w:bookmarkEnd w:id="192"/>
      <w:bookmarkStart w:id="193" w:name="_Toc184314426"/>
      <w:bookmarkEnd w:id="193"/>
      <w:bookmarkStart w:id="194" w:name="_Toc184308090"/>
      <w:bookmarkEnd w:id="194"/>
      <w:bookmarkStart w:id="195" w:name="_Toc184313239"/>
      <w:bookmarkEnd w:id="195"/>
      <w:bookmarkStart w:id="196" w:name="_Toc184312070"/>
      <w:bookmarkEnd w:id="196"/>
      <w:bookmarkStart w:id="197" w:name="_Toc184312113"/>
      <w:bookmarkEnd w:id="197"/>
      <w:bookmarkStart w:id="198" w:name="_Toc184313270"/>
      <w:bookmarkEnd w:id="198"/>
      <w:bookmarkStart w:id="199" w:name="_Toc184312083"/>
      <w:bookmarkEnd w:id="199"/>
      <w:bookmarkStart w:id="200" w:name="_Toc184308052"/>
      <w:bookmarkEnd w:id="200"/>
      <w:bookmarkStart w:id="201" w:name="_Toc184313271"/>
      <w:bookmarkEnd w:id="201"/>
      <w:bookmarkStart w:id="202" w:name="_Toc184312112"/>
      <w:bookmarkEnd w:id="202"/>
      <w:bookmarkStart w:id="203" w:name="_Toc184312117"/>
      <w:bookmarkEnd w:id="203"/>
      <w:bookmarkStart w:id="204" w:name="_Toc184308061"/>
      <w:bookmarkEnd w:id="204"/>
      <w:bookmarkStart w:id="205" w:name="_Toc184308086"/>
      <w:bookmarkEnd w:id="205"/>
      <w:bookmarkStart w:id="206" w:name="_Toc184308100"/>
      <w:bookmarkEnd w:id="206"/>
      <w:bookmarkStart w:id="207" w:name="_Toc184310299"/>
      <w:bookmarkEnd w:id="207"/>
      <w:bookmarkStart w:id="208" w:name="_Toc184310285"/>
      <w:bookmarkEnd w:id="208"/>
      <w:bookmarkStart w:id="209" w:name="_Toc184313277"/>
      <w:bookmarkEnd w:id="209"/>
      <w:bookmarkStart w:id="210" w:name="_Toc184312097"/>
      <w:bookmarkEnd w:id="210"/>
      <w:bookmarkStart w:id="211" w:name="_Toc184310318"/>
      <w:bookmarkEnd w:id="211"/>
      <w:bookmarkStart w:id="212" w:name="_Toc184310298"/>
      <w:bookmarkEnd w:id="212"/>
      <w:bookmarkStart w:id="213" w:name="_Toc184314434"/>
      <w:bookmarkEnd w:id="213"/>
      <w:bookmarkStart w:id="214" w:name="_Toc184313240"/>
      <w:bookmarkEnd w:id="214"/>
      <w:bookmarkStart w:id="215" w:name="_Toc184308043"/>
      <w:bookmarkEnd w:id="215"/>
      <w:bookmarkStart w:id="216" w:name="_Toc184308078"/>
      <w:bookmarkEnd w:id="216"/>
      <w:bookmarkStart w:id="217" w:name="_Toc184310281"/>
      <w:bookmarkEnd w:id="217"/>
      <w:bookmarkStart w:id="218" w:name="_Toc184308066"/>
      <w:bookmarkEnd w:id="218"/>
      <w:bookmarkStart w:id="219" w:name="_Toc184313238"/>
      <w:bookmarkEnd w:id="219"/>
      <w:bookmarkStart w:id="220" w:name="_Toc184314431"/>
      <w:bookmarkEnd w:id="220"/>
      <w:bookmarkStart w:id="221" w:name="_Toc184313287"/>
      <w:bookmarkEnd w:id="221"/>
      <w:bookmarkStart w:id="222" w:name="_Toc184314480"/>
      <w:bookmarkEnd w:id="222"/>
      <w:bookmarkStart w:id="223" w:name="_Toc184314472"/>
      <w:bookmarkEnd w:id="223"/>
      <w:bookmarkStart w:id="224" w:name="_Toc184312109"/>
      <w:bookmarkEnd w:id="224"/>
      <w:bookmarkStart w:id="225" w:name="_Toc184310280"/>
      <w:bookmarkEnd w:id="225"/>
      <w:bookmarkStart w:id="226" w:name="_Toc184310320"/>
      <w:bookmarkEnd w:id="226"/>
      <w:bookmarkStart w:id="227" w:name="_Toc184312094"/>
      <w:bookmarkEnd w:id="227"/>
      <w:bookmarkStart w:id="228" w:name="_Toc184312123"/>
      <w:bookmarkEnd w:id="228"/>
      <w:bookmarkStart w:id="229" w:name="_Toc184314430"/>
      <w:bookmarkEnd w:id="229"/>
      <w:bookmarkStart w:id="230" w:name="_Toc184308067"/>
      <w:bookmarkEnd w:id="230"/>
      <w:bookmarkStart w:id="231" w:name="_Toc184308055"/>
      <w:bookmarkEnd w:id="231"/>
      <w:bookmarkStart w:id="232" w:name="_Toc184312114"/>
      <w:bookmarkEnd w:id="232"/>
      <w:bookmarkStart w:id="233" w:name="_Toc184314459"/>
      <w:bookmarkEnd w:id="233"/>
      <w:bookmarkStart w:id="234" w:name="_Toc184308108"/>
      <w:bookmarkEnd w:id="234"/>
      <w:bookmarkStart w:id="235" w:name="_Toc184314417"/>
      <w:bookmarkEnd w:id="235"/>
      <w:bookmarkStart w:id="236" w:name="_Toc184313278"/>
      <w:bookmarkEnd w:id="236"/>
      <w:bookmarkStart w:id="237" w:name="_Toc184308103"/>
      <w:bookmarkEnd w:id="237"/>
      <w:bookmarkStart w:id="238" w:name="_Toc184314481"/>
      <w:bookmarkEnd w:id="238"/>
      <w:bookmarkStart w:id="239" w:name="_Toc184308093"/>
      <w:bookmarkEnd w:id="239"/>
      <w:bookmarkStart w:id="240" w:name="_Toc184312103"/>
      <w:bookmarkEnd w:id="240"/>
      <w:bookmarkStart w:id="241" w:name="_Toc184312073"/>
      <w:bookmarkEnd w:id="241"/>
      <w:bookmarkStart w:id="242" w:name="_Toc184312087"/>
      <w:bookmarkEnd w:id="242"/>
      <w:bookmarkStart w:id="243" w:name="_Toc184308081"/>
      <w:bookmarkEnd w:id="243"/>
      <w:bookmarkStart w:id="244" w:name="_Toc184310310"/>
      <w:bookmarkEnd w:id="244"/>
      <w:bookmarkStart w:id="245" w:name="_Toc184314462"/>
      <w:bookmarkEnd w:id="245"/>
      <w:bookmarkStart w:id="246" w:name="_Toc184308037"/>
      <w:bookmarkEnd w:id="246"/>
      <w:bookmarkStart w:id="247" w:name="_Toc184310308"/>
      <w:bookmarkEnd w:id="247"/>
      <w:bookmarkStart w:id="248" w:name="_Toc184313244"/>
      <w:bookmarkEnd w:id="248"/>
      <w:bookmarkStart w:id="249" w:name="_Toc184310341"/>
      <w:bookmarkEnd w:id="249"/>
      <w:bookmarkStart w:id="250" w:name="_Toc184314425"/>
      <w:bookmarkEnd w:id="250"/>
      <w:bookmarkStart w:id="251" w:name="_Toc184314433"/>
      <w:bookmarkEnd w:id="251"/>
      <w:bookmarkStart w:id="252" w:name="_Toc184314442"/>
      <w:bookmarkEnd w:id="252"/>
      <w:bookmarkStart w:id="253" w:name="_Toc184313251"/>
      <w:bookmarkEnd w:id="253"/>
      <w:bookmarkStart w:id="254" w:name="_Toc184314482"/>
      <w:bookmarkEnd w:id="254"/>
      <w:bookmarkStart w:id="255" w:name="_Toc184313305"/>
      <w:bookmarkEnd w:id="255"/>
      <w:bookmarkStart w:id="256" w:name="_Toc184312077"/>
      <w:bookmarkEnd w:id="256"/>
      <w:bookmarkStart w:id="257" w:name="_Toc184313256"/>
      <w:bookmarkEnd w:id="257"/>
      <w:bookmarkStart w:id="258" w:name="_Toc184313302"/>
      <w:bookmarkEnd w:id="258"/>
      <w:bookmarkStart w:id="259" w:name="_Toc184308085"/>
      <w:bookmarkEnd w:id="259"/>
      <w:bookmarkStart w:id="260" w:name="_Toc184313262"/>
      <w:bookmarkEnd w:id="260"/>
      <w:bookmarkStart w:id="261" w:name="_Toc184310328"/>
      <w:bookmarkEnd w:id="261"/>
      <w:bookmarkStart w:id="262" w:name="_Toc184308096"/>
      <w:bookmarkEnd w:id="262"/>
      <w:bookmarkStart w:id="263" w:name="_Toc184310322"/>
      <w:bookmarkEnd w:id="263"/>
      <w:bookmarkStart w:id="264" w:name="_Toc184310317"/>
      <w:bookmarkEnd w:id="264"/>
      <w:bookmarkStart w:id="265" w:name="_Toc184308077"/>
      <w:bookmarkEnd w:id="265"/>
      <w:bookmarkStart w:id="266" w:name="_Toc184314416"/>
      <w:bookmarkEnd w:id="266"/>
      <w:bookmarkStart w:id="267" w:name="_Toc184312081"/>
      <w:bookmarkEnd w:id="267"/>
      <w:bookmarkStart w:id="268" w:name="_Toc184312091"/>
      <w:bookmarkEnd w:id="268"/>
      <w:bookmarkStart w:id="269" w:name="_Toc184314476"/>
      <w:bookmarkEnd w:id="269"/>
      <w:bookmarkStart w:id="270" w:name="_Toc184314445"/>
      <w:bookmarkEnd w:id="270"/>
      <w:bookmarkStart w:id="271" w:name="_Toc184312131"/>
      <w:bookmarkEnd w:id="271"/>
      <w:bookmarkStart w:id="272" w:name="_Toc184313288"/>
      <w:bookmarkEnd w:id="272"/>
      <w:bookmarkStart w:id="273" w:name="_Toc184312069"/>
      <w:bookmarkEnd w:id="273"/>
      <w:bookmarkStart w:id="274" w:name="_Toc184308092"/>
      <w:bookmarkEnd w:id="274"/>
      <w:bookmarkStart w:id="275" w:name="_Toc184312100"/>
      <w:bookmarkEnd w:id="275"/>
      <w:bookmarkStart w:id="276" w:name="_Toc184313307"/>
      <w:bookmarkEnd w:id="276"/>
      <w:bookmarkStart w:id="277" w:name="_Toc184312133"/>
      <w:bookmarkEnd w:id="277"/>
      <w:bookmarkStart w:id="278" w:name="_Toc184308080"/>
      <w:bookmarkEnd w:id="278"/>
      <w:bookmarkStart w:id="279" w:name="_Toc184312086"/>
      <w:bookmarkEnd w:id="279"/>
      <w:bookmarkStart w:id="280" w:name="_Toc184312137"/>
      <w:bookmarkEnd w:id="280"/>
      <w:bookmarkStart w:id="281" w:name="_Toc184310296"/>
      <w:bookmarkEnd w:id="281"/>
      <w:bookmarkStart w:id="282" w:name="_Toc184310277"/>
      <w:bookmarkEnd w:id="282"/>
      <w:bookmarkStart w:id="283" w:name="_Toc184310331"/>
      <w:bookmarkEnd w:id="283"/>
      <w:bookmarkStart w:id="284" w:name="_Toc184308039"/>
      <w:bookmarkEnd w:id="284"/>
      <w:bookmarkStart w:id="285" w:name="_Toc184314443"/>
      <w:bookmarkEnd w:id="285"/>
      <w:bookmarkStart w:id="286" w:name="_Toc184313260"/>
      <w:bookmarkEnd w:id="286"/>
      <w:bookmarkStart w:id="287" w:name="_Toc184312129"/>
      <w:bookmarkEnd w:id="287"/>
      <w:bookmarkStart w:id="288" w:name="_Toc184313298"/>
      <w:bookmarkEnd w:id="288"/>
      <w:bookmarkStart w:id="289" w:name="_Toc184313279"/>
      <w:bookmarkEnd w:id="289"/>
      <w:bookmarkStart w:id="290" w:name="_Toc184310286"/>
      <w:bookmarkEnd w:id="290"/>
      <w:bookmarkStart w:id="291" w:name="_Toc184312127"/>
      <w:bookmarkEnd w:id="291"/>
      <w:bookmarkStart w:id="292" w:name="_Toc184314422"/>
      <w:bookmarkEnd w:id="292"/>
      <w:bookmarkStart w:id="293" w:name="_Toc184313265"/>
      <w:bookmarkEnd w:id="293"/>
      <w:bookmarkStart w:id="294" w:name="_Toc184308045"/>
      <w:bookmarkEnd w:id="294"/>
      <w:bookmarkStart w:id="295" w:name="_Toc184314460"/>
      <w:bookmarkEnd w:id="295"/>
      <w:bookmarkStart w:id="296" w:name="_Toc184308073"/>
      <w:bookmarkEnd w:id="296"/>
      <w:bookmarkStart w:id="297" w:name="_Toc184314436"/>
      <w:bookmarkEnd w:id="297"/>
      <w:bookmarkStart w:id="298" w:name="_Toc184313243"/>
      <w:bookmarkEnd w:id="298"/>
      <w:bookmarkStart w:id="299" w:name="_Toc184308064"/>
      <w:bookmarkEnd w:id="299"/>
      <w:bookmarkStart w:id="300" w:name="_Toc184308083"/>
      <w:bookmarkEnd w:id="300"/>
      <w:bookmarkStart w:id="301" w:name="_Toc184312105"/>
      <w:bookmarkEnd w:id="301"/>
      <w:bookmarkStart w:id="302" w:name="_Toc184313310"/>
      <w:bookmarkEnd w:id="302"/>
      <w:bookmarkStart w:id="303" w:name="_Toc184312104"/>
      <w:bookmarkEnd w:id="303"/>
      <w:bookmarkStart w:id="304" w:name="_Toc184313276"/>
      <w:bookmarkEnd w:id="304"/>
      <w:bookmarkStart w:id="305" w:name="_Toc184312068"/>
      <w:bookmarkEnd w:id="305"/>
      <w:bookmarkStart w:id="306" w:name="_Toc184310292"/>
      <w:bookmarkEnd w:id="306"/>
      <w:bookmarkStart w:id="307" w:name="_Toc184312139"/>
      <w:bookmarkEnd w:id="307"/>
      <w:bookmarkStart w:id="308" w:name="_Toc184308056"/>
      <w:bookmarkEnd w:id="308"/>
      <w:bookmarkStart w:id="309" w:name="_Toc184310302"/>
      <w:bookmarkEnd w:id="309"/>
      <w:bookmarkStart w:id="310" w:name="_Toc184308041"/>
      <w:bookmarkEnd w:id="310"/>
      <w:bookmarkStart w:id="311" w:name="_Toc184308095"/>
      <w:bookmarkEnd w:id="311"/>
      <w:bookmarkStart w:id="312" w:name="_Toc184308051"/>
      <w:bookmarkEnd w:id="312"/>
      <w:bookmarkStart w:id="313" w:name="_Toc184314418"/>
      <w:bookmarkEnd w:id="313"/>
      <w:bookmarkStart w:id="314" w:name="_Toc184313250"/>
      <w:bookmarkEnd w:id="314"/>
      <w:bookmarkStart w:id="315" w:name="_Toc184312085"/>
      <w:bookmarkEnd w:id="315"/>
      <w:bookmarkStart w:id="316" w:name="_Toc184313294"/>
      <w:bookmarkEnd w:id="316"/>
      <w:bookmarkStart w:id="317" w:name="_Toc184308089"/>
      <w:bookmarkEnd w:id="317"/>
      <w:bookmarkStart w:id="318" w:name="_Toc184313252"/>
      <w:bookmarkEnd w:id="318"/>
      <w:bookmarkStart w:id="319" w:name="_Toc184308053"/>
      <w:bookmarkEnd w:id="319"/>
      <w:bookmarkStart w:id="320" w:name="_Toc184310323"/>
      <w:bookmarkEnd w:id="320"/>
      <w:bookmarkStart w:id="321" w:name="_Toc184308082"/>
      <w:bookmarkEnd w:id="321"/>
      <w:bookmarkStart w:id="322" w:name="_Toc184310319"/>
      <w:bookmarkEnd w:id="322"/>
      <w:bookmarkStart w:id="323" w:name="_Toc184308042"/>
      <w:bookmarkEnd w:id="323"/>
      <w:bookmarkStart w:id="324" w:name="_Toc184314411"/>
      <w:bookmarkEnd w:id="324"/>
      <w:bookmarkStart w:id="325" w:name="_Toc184308046"/>
      <w:bookmarkEnd w:id="325"/>
      <w:bookmarkStart w:id="326" w:name="_Toc184314427"/>
      <w:bookmarkEnd w:id="326"/>
      <w:bookmarkStart w:id="327" w:name="_Toc184314449"/>
      <w:bookmarkEnd w:id="327"/>
      <w:bookmarkStart w:id="328" w:name="_Toc184308068"/>
      <w:bookmarkEnd w:id="328"/>
      <w:bookmarkStart w:id="329" w:name="_Toc184314463"/>
      <w:bookmarkEnd w:id="329"/>
      <w:bookmarkStart w:id="330" w:name="_Toc184313281"/>
      <w:bookmarkEnd w:id="330"/>
      <w:bookmarkStart w:id="331" w:name="_Toc184313263"/>
      <w:bookmarkEnd w:id="331"/>
      <w:bookmarkStart w:id="332" w:name="_Toc184314465"/>
      <w:bookmarkEnd w:id="332"/>
      <w:bookmarkStart w:id="333" w:name="_Toc184308036"/>
      <w:bookmarkEnd w:id="333"/>
      <w:bookmarkStart w:id="334" w:name="_Toc184314437"/>
      <w:bookmarkEnd w:id="334"/>
      <w:bookmarkStart w:id="335" w:name="_Toc184313285"/>
      <w:bookmarkEnd w:id="335"/>
      <w:bookmarkStart w:id="336" w:name="_Toc184314466"/>
      <w:bookmarkEnd w:id="336"/>
      <w:bookmarkStart w:id="337" w:name="_Toc184308063"/>
      <w:bookmarkEnd w:id="337"/>
      <w:bookmarkStart w:id="338" w:name="_Toc184313266"/>
      <w:bookmarkEnd w:id="338"/>
      <w:bookmarkStart w:id="339" w:name="_Toc184312078"/>
      <w:bookmarkEnd w:id="339"/>
      <w:bookmarkStart w:id="340" w:name="_Toc184314451"/>
      <w:bookmarkEnd w:id="340"/>
      <w:bookmarkStart w:id="341" w:name="_Toc184310289"/>
      <w:bookmarkEnd w:id="341"/>
      <w:bookmarkStart w:id="342" w:name="_Toc184308075"/>
      <w:bookmarkEnd w:id="342"/>
      <w:bookmarkStart w:id="343" w:name="_Toc184313290"/>
      <w:bookmarkEnd w:id="343"/>
      <w:bookmarkStart w:id="344" w:name="_Toc184314454"/>
      <w:bookmarkEnd w:id="344"/>
      <w:bookmarkStart w:id="345" w:name="_Toc184312092"/>
      <w:bookmarkEnd w:id="345"/>
      <w:bookmarkStart w:id="346" w:name="_Toc184314478"/>
      <w:bookmarkEnd w:id="346"/>
      <w:bookmarkStart w:id="347" w:name="_Toc184310337"/>
      <w:bookmarkEnd w:id="347"/>
      <w:bookmarkStart w:id="348" w:name="_Toc184313258"/>
      <w:bookmarkEnd w:id="348"/>
      <w:bookmarkStart w:id="349" w:name="_Toc184308050"/>
      <w:bookmarkEnd w:id="349"/>
      <w:bookmarkStart w:id="350" w:name="_Toc184310313"/>
      <w:bookmarkEnd w:id="350"/>
      <w:bookmarkStart w:id="351" w:name="_Toc184310307"/>
      <w:bookmarkEnd w:id="351"/>
      <w:bookmarkStart w:id="352" w:name="_Toc184313249"/>
      <w:bookmarkEnd w:id="352"/>
      <w:bookmarkStart w:id="353" w:name="_Toc184310284"/>
      <w:bookmarkEnd w:id="353"/>
      <w:bookmarkStart w:id="354" w:name="_Toc184314455"/>
      <w:bookmarkEnd w:id="354"/>
      <w:bookmarkStart w:id="355" w:name="_Toc184312118"/>
      <w:bookmarkEnd w:id="355"/>
      <w:bookmarkStart w:id="356" w:name="_Toc184312115"/>
      <w:bookmarkEnd w:id="356"/>
      <w:bookmarkStart w:id="357" w:name="_Toc184314457"/>
      <w:bookmarkEnd w:id="357"/>
      <w:bookmarkStart w:id="358" w:name="_Toc184308091"/>
      <w:bookmarkEnd w:id="358"/>
      <w:bookmarkStart w:id="359" w:name="_Toc184310272"/>
      <w:bookmarkEnd w:id="359"/>
      <w:bookmarkStart w:id="360" w:name="_Toc184314456"/>
      <w:bookmarkEnd w:id="360"/>
      <w:bookmarkStart w:id="361" w:name="_Toc184312079"/>
      <w:bookmarkEnd w:id="361"/>
      <w:bookmarkStart w:id="362" w:name="_Toc184312121"/>
      <w:bookmarkEnd w:id="362"/>
      <w:bookmarkStart w:id="363" w:name="_Toc184312067"/>
      <w:bookmarkEnd w:id="363"/>
      <w:bookmarkStart w:id="364" w:name="_Toc184314423"/>
      <w:bookmarkEnd w:id="364"/>
      <w:bookmarkStart w:id="365" w:name="_Toc184313268"/>
      <w:bookmarkEnd w:id="365"/>
      <w:bookmarkStart w:id="366" w:name="_Toc184310282"/>
      <w:bookmarkEnd w:id="366"/>
      <w:bookmarkStart w:id="367" w:name="_Toc184308038"/>
      <w:bookmarkEnd w:id="367"/>
      <w:bookmarkStart w:id="368" w:name="_Toc184310301"/>
      <w:bookmarkEnd w:id="368"/>
      <w:bookmarkStart w:id="369" w:name="_Toc184312111"/>
      <w:bookmarkEnd w:id="369"/>
      <w:bookmarkStart w:id="370" w:name="_Toc184312135"/>
      <w:bookmarkEnd w:id="370"/>
      <w:bookmarkStart w:id="371" w:name="_Toc184314461"/>
      <w:bookmarkEnd w:id="371"/>
      <w:bookmarkStart w:id="372" w:name="_Toc184308097"/>
      <w:bookmarkEnd w:id="372"/>
      <w:bookmarkStart w:id="373" w:name="_Toc184310309"/>
      <w:bookmarkEnd w:id="373"/>
      <w:bookmarkStart w:id="374" w:name="_Toc184312130"/>
      <w:bookmarkEnd w:id="374"/>
      <w:bookmarkStart w:id="375" w:name="_Toc184312096"/>
      <w:bookmarkEnd w:id="375"/>
      <w:bookmarkStart w:id="376" w:name="_Toc184313304"/>
      <w:bookmarkEnd w:id="376"/>
      <w:bookmarkStart w:id="377" w:name="_Toc184312102"/>
      <w:bookmarkEnd w:id="377"/>
      <w:bookmarkStart w:id="378" w:name="_Toc184313255"/>
      <w:bookmarkEnd w:id="378"/>
      <w:bookmarkStart w:id="379" w:name="_Toc184314419"/>
      <w:bookmarkEnd w:id="379"/>
      <w:bookmarkStart w:id="380" w:name="_Toc184308087"/>
      <w:bookmarkEnd w:id="380"/>
      <w:bookmarkStart w:id="381" w:name="_Toc184314435"/>
      <w:bookmarkEnd w:id="381"/>
      <w:bookmarkStart w:id="382" w:name="_Toc184313264"/>
      <w:bookmarkEnd w:id="382"/>
      <w:bookmarkStart w:id="383" w:name="_Toc184314473"/>
      <w:bookmarkEnd w:id="383"/>
      <w:bookmarkStart w:id="384" w:name="_Toc184312107"/>
      <w:bookmarkEnd w:id="384"/>
      <w:bookmarkStart w:id="385" w:name="_Toc184310315"/>
      <w:bookmarkEnd w:id="385"/>
      <w:bookmarkStart w:id="386" w:name="_Toc184314475"/>
      <w:bookmarkEnd w:id="386"/>
      <w:bookmarkStart w:id="387" w:name="_Toc184313241"/>
      <w:bookmarkEnd w:id="387"/>
      <w:bookmarkStart w:id="388" w:name="_Toc184310305"/>
      <w:bookmarkEnd w:id="388"/>
      <w:bookmarkStart w:id="389" w:name="_Toc184310336"/>
      <w:bookmarkEnd w:id="389"/>
      <w:bookmarkStart w:id="390" w:name="_Toc184310321"/>
      <w:bookmarkEnd w:id="390"/>
      <w:bookmarkStart w:id="391" w:name="_Toc184314439"/>
      <w:bookmarkEnd w:id="391"/>
      <w:bookmarkStart w:id="392" w:name="_Toc184313286"/>
      <w:bookmarkEnd w:id="392"/>
      <w:bookmarkStart w:id="393" w:name="_Toc184308069"/>
      <w:bookmarkEnd w:id="393"/>
      <w:bookmarkStart w:id="394" w:name="_Toc184310338"/>
      <w:bookmarkEnd w:id="394"/>
      <w:bookmarkStart w:id="395" w:name="_Toc184313280"/>
      <w:bookmarkEnd w:id="395"/>
      <w:bookmarkStart w:id="396" w:name="_Toc184314474"/>
      <w:bookmarkEnd w:id="396"/>
      <w:bookmarkStart w:id="397" w:name="_Toc184310293"/>
      <w:bookmarkEnd w:id="397"/>
      <w:bookmarkStart w:id="398" w:name="_Toc184310343"/>
      <w:bookmarkEnd w:id="398"/>
      <w:r>
        <w:rPr>
          <w:rFonts w:hint="eastAsia" w:ascii="仿宋" w:hAnsi="仿宋" w:eastAsia="仿宋" w:cs="仿宋"/>
          <w:b/>
          <w:color w:val="auto"/>
          <w:sz w:val="36"/>
          <w:szCs w:val="36"/>
          <w:highlight w:val="none"/>
        </w:rPr>
        <w:t>评标办法</w:t>
      </w:r>
      <w:bookmarkEnd w:id="33"/>
    </w:p>
    <w:p w14:paraId="07B1A760">
      <w:pPr>
        <w:snapToGrid w:val="0"/>
        <w:spacing w:beforeLines="50" w:afterLines="50"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评标办法前附表</w:t>
      </w:r>
    </w:p>
    <w:tbl>
      <w:tblPr>
        <w:tblStyle w:val="62"/>
        <w:tblW w:w="5113" w:type="pct"/>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212"/>
        <w:gridCol w:w="727"/>
        <w:gridCol w:w="1036"/>
        <w:gridCol w:w="2003"/>
      </w:tblGrid>
      <w:tr w14:paraId="2F6784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tcBorders>
              <w:tl2br w:val="nil"/>
              <w:tr2bl w:val="nil"/>
            </w:tcBorders>
            <w:vAlign w:val="center"/>
          </w:tcPr>
          <w:p w14:paraId="3CD0221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仿宋" w:hAnsi="仿宋" w:eastAsia="仿宋" w:cs="仿宋"/>
                <w:bCs/>
                <w:color w:val="auto"/>
                <w:sz w:val="24"/>
                <w:szCs w:val="24"/>
                <w:highlight w:val="none"/>
              </w:rPr>
            </w:pPr>
            <w:bookmarkStart w:id="399" w:name="_Toc17588"/>
            <w:r>
              <w:rPr>
                <w:rFonts w:hint="eastAsia" w:ascii="仿宋" w:hAnsi="仿宋" w:eastAsia="仿宋" w:cs="仿宋"/>
                <w:bCs/>
                <w:color w:val="auto"/>
                <w:sz w:val="24"/>
                <w:szCs w:val="24"/>
                <w:highlight w:val="none"/>
              </w:rPr>
              <w:t>序号</w:t>
            </w:r>
            <w:bookmarkEnd w:id="399"/>
          </w:p>
        </w:tc>
        <w:tc>
          <w:tcPr>
            <w:tcW w:w="2424" w:type="pct"/>
            <w:tcBorders>
              <w:tl2br w:val="nil"/>
              <w:tr2bl w:val="nil"/>
            </w:tcBorders>
            <w:vAlign w:val="center"/>
          </w:tcPr>
          <w:p w14:paraId="4D8F16F0">
            <w:pPr>
              <w:spacing w:line="360" w:lineRule="auto"/>
              <w:ind w:left="0" w:leftChars="0" w:firstLine="0" w:firstLineChars="0"/>
              <w:jc w:val="center"/>
              <w:outlineLvl w:val="0"/>
              <w:rPr>
                <w:rFonts w:hint="eastAsia" w:ascii="仿宋" w:hAnsi="仿宋" w:eastAsia="仿宋" w:cs="仿宋"/>
                <w:bCs/>
                <w:color w:val="auto"/>
                <w:sz w:val="24"/>
                <w:szCs w:val="24"/>
                <w:highlight w:val="none"/>
              </w:rPr>
            </w:pPr>
            <w:bookmarkStart w:id="400" w:name="_Toc22841"/>
            <w:r>
              <w:rPr>
                <w:rFonts w:hint="eastAsia" w:ascii="仿宋" w:hAnsi="仿宋" w:eastAsia="仿宋" w:cs="仿宋"/>
                <w:bCs/>
                <w:color w:val="auto"/>
                <w:sz w:val="24"/>
                <w:szCs w:val="24"/>
                <w:highlight w:val="none"/>
              </w:rPr>
              <w:t>评标标准</w:t>
            </w:r>
            <w:bookmarkEnd w:id="400"/>
          </w:p>
        </w:tc>
        <w:tc>
          <w:tcPr>
            <w:tcW w:w="418" w:type="pct"/>
            <w:tcBorders>
              <w:tl2br w:val="nil"/>
              <w:tr2bl w:val="nil"/>
            </w:tcBorders>
            <w:vAlign w:val="center"/>
          </w:tcPr>
          <w:p w14:paraId="01B5BFCF">
            <w:pPr>
              <w:spacing w:line="360" w:lineRule="auto"/>
              <w:jc w:val="center"/>
              <w:outlineLvl w:val="0"/>
              <w:rPr>
                <w:rFonts w:hint="eastAsia" w:ascii="仿宋" w:hAnsi="仿宋" w:eastAsia="仿宋" w:cs="仿宋"/>
                <w:bCs/>
                <w:color w:val="auto"/>
                <w:sz w:val="24"/>
                <w:szCs w:val="24"/>
                <w:highlight w:val="none"/>
              </w:rPr>
            </w:pPr>
            <w:bookmarkStart w:id="401" w:name="_Toc27932"/>
            <w:r>
              <w:rPr>
                <w:rFonts w:hint="eastAsia" w:ascii="仿宋" w:hAnsi="仿宋" w:eastAsia="仿宋" w:cs="仿宋"/>
                <w:bCs/>
                <w:color w:val="auto"/>
                <w:sz w:val="24"/>
                <w:szCs w:val="24"/>
                <w:highlight w:val="none"/>
              </w:rPr>
              <w:t>权重</w:t>
            </w:r>
            <w:bookmarkEnd w:id="401"/>
          </w:p>
        </w:tc>
        <w:tc>
          <w:tcPr>
            <w:tcW w:w="596" w:type="pct"/>
            <w:tcBorders>
              <w:tl2br w:val="nil"/>
              <w:tr2bl w:val="nil"/>
            </w:tcBorders>
            <w:vAlign w:val="center"/>
          </w:tcPr>
          <w:p w14:paraId="7CD6D9BB">
            <w:pPr>
              <w:spacing w:line="360" w:lineRule="auto"/>
              <w:jc w:val="center"/>
              <w:outlineLvl w:val="0"/>
              <w:rPr>
                <w:rFonts w:hint="eastAsia" w:ascii="仿宋" w:hAnsi="仿宋" w:eastAsia="仿宋" w:cs="仿宋"/>
                <w:bCs/>
                <w:color w:val="auto"/>
                <w:sz w:val="24"/>
                <w:szCs w:val="24"/>
                <w:highlight w:val="none"/>
              </w:rPr>
            </w:pPr>
            <w:bookmarkStart w:id="402" w:name="_Toc26704"/>
            <w:r>
              <w:rPr>
                <w:rFonts w:hint="eastAsia" w:ascii="仿宋" w:hAnsi="仿宋" w:eastAsia="仿宋" w:cs="仿宋"/>
                <w:bCs/>
                <w:color w:val="auto"/>
                <w:sz w:val="24"/>
                <w:szCs w:val="24"/>
                <w:highlight w:val="none"/>
              </w:rPr>
              <w:t>主观分/客观分属性</w:t>
            </w:r>
          </w:p>
        </w:tc>
        <w:tc>
          <w:tcPr>
            <w:tcW w:w="1152" w:type="pct"/>
            <w:tcBorders>
              <w:tl2br w:val="nil"/>
              <w:tr2bl w:val="nil"/>
            </w:tcBorders>
            <w:vAlign w:val="center"/>
          </w:tcPr>
          <w:p w14:paraId="16A682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r>
              <w:rPr>
                <w:rFonts w:hint="eastAsia" w:ascii="仿宋" w:hAnsi="仿宋" w:eastAsia="仿宋" w:cs="仿宋"/>
                <w:color w:val="auto"/>
                <w:sz w:val="24"/>
                <w:szCs w:val="24"/>
                <w:highlight w:val="none"/>
                <w:shd w:val="clear" w:color="auto" w:fill="FFFFFF"/>
              </w:rPr>
              <w:t>*</w:t>
            </w:r>
            <w:bookmarkEnd w:id="402"/>
          </w:p>
        </w:tc>
      </w:tr>
      <w:tr w14:paraId="374AFC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tcBorders>
              <w:tl2br w:val="nil"/>
              <w:tr2bl w:val="nil"/>
            </w:tcBorders>
            <w:vAlign w:val="center"/>
          </w:tcPr>
          <w:p w14:paraId="583B7D15">
            <w:pPr>
              <w:snapToGrid w:val="0"/>
              <w:spacing w:line="400" w:lineRule="exact"/>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1</w:t>
            </w:r>
          </w:p>
        </w:tc>
        <w:tc>
          <w:tcPr>
            <w:tcW w:w="2424" w:type="pct"/>
            <w:tcBorders>
              <w:tl2br w:val="nil"/>
              <w:tr2bl w:val="nil"/>
            </w:tcBorders>
            <w:vAlign w:val="center"/>
          </w:tcPr>
          <w:p w14:paraId="140155B3">
            <w:pPr>
              <w:pStyle w:val="8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投标人具有</w:t>
            </w:r>
            <w:r>
              <w:rPr>
                <w:rFonts w:hint="eastAsia" w:ascii="仿宋" w:hAnsi="仿宋" w:eastAsia="仿宋" w:cs="仿宋"/>
                <w:color w:val="auto"/>
                <w:sz w:val="24"/>
                <w:szCs w:val="24"/>
                <w:highlight w:val="none"/>
                <w:lang w:val="en-US" w:eastAsia="zh-CN"/>
              </w:rPr>
              <w:t>有效的</w:t>
            </w:r>
            <w:r>
              <w:rPr>
                <w:rFonts w:hint="eastAsia" w:ascii="仿宋" w:hAnsi="仿宋" w:eastAsia="仿宋" w:cs="仿宋"/>
                <w:color w:val="auto"/>
                <w:sz w:val="24"/>
                <w:szCs w:val="24"/>
                <w:highlight w:val="none"/>
              </w:rPr>
              <w:t>质量管理体系认证证书、环境管理体系认证证书，每</w:t>
            </w:r>
            <w:r>
              <w:rPr>
                <w:rFonts w:hint="eastAsia" w:ascii="仿宋" w:hAnsi="仿宋" w:eastAsia="仿宋" w:cs="仿宋"/>
                <w:color w:val="auto"/>
                <w:sz w:val="24"/>
                <w:szCs w:val="24"/>
                <w:highlight w:val="none"/>
                <w:lang w:val="en-US" w:eastAsia="zh-CN"/>
              </w:rPr>
              <w:t>类</w:t>
            </w:r>
            <w:r>
              <w:rPr>
                <w:rFonts w:hint="eastAsia" w:ascii="仿宋" w:hAnsi="仿宋" w:eastAsia="仿宋" w:cs="仿宋"/>
                <w:color w:val="auto"/>
                <w:sz w:val="24"/>
                <w:szCs w:val="24"/>
                <w:highlight w:val="none"/>
              </w:rPr>
              <w:t>证书得1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分，最</w:t>
            </w:r>
            <w:r>
              <w:rPr>
                <w:rFonts w:hint="eastAsia" w:ascii="仿宋" w:hAnsi="仿宋" w:eastAsia="仿宋" w:cs="仿宋"/>
                <w:color w:val="auto"/>
                <w:sz w:val="24"/>
                <w:szCs w:val="24"/>
                <w:highlight w:val="none"/>
                <w:lang w:val="en-US" w:eastAsia="zh-CN"/>
              </w:rPr>
              <w:t>多3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ar"/>
              </w:rPr>
              <w:t>提供证书复印件</w:t>
            </w:r>
            <w:r>
              <w:rPr>
                <w:rFonts w:hint="eastAsia" w:ascii="仿宋" w:hAnsi="仿宋" w:eastAsia="仿宋" w:cs="仿宋"/>
                <w:color w:val="auto"/>
                <w:kern w:val="0"/>
                <w:sz w:val="24"/>
                <w:highlight w:val="none"/>
                <w:lang w:val="en-US" w:eastAsia="zh-CN" w:bidi="ar"/>
              </w:rPr>
              <w:t>及国家认证认可平台的网站查询截图</w:t>
            </w:r>
            <w:r>
              <w:rPr>
                <w:rFonts w:hint="eastAsia" w:ascii="仿宋" w:hAnsi="仿宋" w:eastAsia="仿宋" w:cs="仿宋"/>
                <w:color w:val="auto"/>
                <w:sz w:val="24"/>
                <w:szCs w:val="24"/>
                <w:highlight w:val="none"/>
              </w:rPr>
              <w:t>。</w:t>
            </w:r>
          </w:p>
        </w:tc>
        <w:tc>
          <w:tcPr>
            <w:tcW w:w="418" w:type="pct"/>
            <w:tcBorders>
              <w:tl2br w:val="nil"/>
              <w:tr2bl w:val="nil"/>
            </w:tcBorders>
            <w:vAlign w:val="center"/>
          </w:tcPr>
          <w:p w14:paraId="75F36054">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596" w:type="pct"/>
            <w:tcBorders>
              <w:tl2br w:val="nil"/>
              <w:tr2bl w:val="nil"/>
            </w:tcBorders>
            <w:vAlign w:val="center"/>
          </w:tcPr>
          <w:p w14:paraId="4BD87FD0">
            <w:pPr>
              <w:spacing w:line="360" w:lineRule="auto"/>
              <w:jc w:val="both"/>
              <w:outlineLvl w:val="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客观分</w:t>
            </w:r>
          </w:p>
        </w:tc>
        <w:tc>
          <w:tcPr>
            <w:tcW w:w="1152" w:type="pct"/>
            <w:tcBorders>
              <w:tl2br w:val="nil"/>
              <w:tr2bl w:val="nil"/>
            </w:tcBorders>
            <w:vAlign w:val="center"/>
          </w:tcPr>
          <w:p w14:paraId="76973AC0">
            <w:pPr>
              <w:spacing w:line="360" w:lineRule="auto"/>
              <w:jc w:val="center"/>
              <w:outlineLvl w:val="0"/>
              <w:rPr>
                <w:rFonts w:hint="eastAsia" w:ascii="仿宋" w:hAnsi="仿宋" w:eastAsia="仿宋" w:cs="仿宋"/>
                <w:color w:val="auto"/>
                <w:sz w:val="24"/>
                <w:szCs w:val="24"/>
                <w:highlight w:val="none"/>
              </w:rPr>
            </w:pPr>
          </w:p>
        </w:tc>
      </w:tr>
      <w:tr w14:paraId="115D3C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tcBorders>
              <w:tl2br w:val="nil"/>
              <w:tr2bl w:val="nil"/>
            </w:tcBorders>
            <w:vAlign w:val="center"/>
          </w:tcPr>
          <w:p w14:paraId="19E855D7">
            <w:pPr>
              <w:snapToGrid w:val="0"/>
              <w:spacing w:line="400" w:lineRule="exact"/>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2</w:t>
            </w:r>
          </w:p>
        </w:tc>
        <w:tc>
          <w:tcPr>
            <w:tcW w:w="2424" w:type="pct"/>
            <w:tcBorders>
              <w:tl2br w:val="nil"/>
              <w:tr2bl w:val="nil"/>
            </w:tcBorders>
            <w:vAlign w:val="center"/>
          </w:tcPr>
          <w:p w14:paraId="39946802">
            <w:pPr>
              <w:pStyle w:val="8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业绩：</w:t>
            </w:r>
            <w:r>
              <w:rPr>
                <w:rFonts w:hint="eastAsia" w:ascii="仿宋" w:hAnsi="仿宋" w:eastAsia="仿宋" w:cs="仿宋"/>
                <w:color w:val="auto"/>
                <w:sz w:val="24"/>
                <w:szCs w:val="24"/>
                <w:highlight w:val="none"/>
                <w:lang w:eastAsia="zh-CN"/>
              </w:rPr>
              <w:t>2021年7月1日</w:t>
            </w:r>
            <w:r>
              <w:rPr>
                <w:rFonts w:hint="eastAsia" w:ascii="仿宋" w:hAnsi="仿宋" w:eastAsia="仿宋" w:cs="仿宋"/>
                <w:color w:val="auto"/>
                <w:sz w:val="24"/>
                <w:szCs w:val="24"/>
                <w:highlight w:val="none"/>
              </w:rPr>
              <w:t>以来（以合同签订时间为准）完成的同类</w:t>
            </w:r>
            <w:r>
              <w:rPr>
                <w:rFonts w:hint="eastAsia" w:ascii="仿宋" w:hAnsi="仿宋" w:eastAsia="仿宋" w:cs="仿宋"/>
                <w:color w:val="auto"/>
                <w:sz w:val="24"/>
                <w:szCs w:val="24"/>
                <w:highlight w:val="none"/>
                <w:lang w:eastAsia="zh-CN"/>
              </w:rPr>
              <w:t>产品（</w:t>
            </w:r>
            <w:r>
              <w:rPr>
                <w:rFonts w:hint="eastAsia" w:ascii="仿宋" w:hAnsi="仿宋" w:eastAsia="仿宋" w:cs="仿宋"/>
                <w:color w:val="auto"/>
                <w:sz w:val="24"/>
                <w:szCs w:val="24"/>
                <w:highlight w:val="none"/>
                <w:lang w:val="en-US" w:eastAsia="zh-CN"/>
              </w:rPr>
              <w:t>钠钙玻璃管</w:t>
            </w:r>
            <w:r>
              <w:rPr>
                <w:rFonts w:hint="eastAsia" w:ascii="仿宋" w:hAnsi="仿宋" w:eastAsia="仿宋" w:cs="仿宋"/>
                <w:color w:val="auto"/>
                <w:sz w:val="24"/>
                <w:highlight w:val="none"/>
                <w:lang w:eastAsia="zh-CN"/>
              </w:rPr>
              <w:t>套装产品</w:t>
            </w:r>
            <w:r>
              <w:rPr>
                <w:rFonts w:hint="eastAsia" w:ascii="仿宋" w:hAnsi="仿宋" w:eastAsia="仿宋" w:cs="仿宋"/>
                <w:color w:val="auto"/>
                <w:sz w:val="24"/>
                <w:szCs w:val="24"/>
                <w:highlight w:val="none"/>
                <w:lang w:val="en-US" w:eastAsia="zh-CN"/>
              </w:rPr>
              <w:t>）供货</w:t>
            </w:r>
            <w:r>
              <w:rPr>
                <w:rFonts w:hint="eastAsia" w:ascii="仿宋" w:hAnsi="仿宋" w:eastAsia="仿宋" w:cs="仿宋"/>
                <w:color w:val="auto"/>
                <w:sz w:val="24"/>
                <w:szCs w:val="24"/>
                <w:highlight w:val="none"/>
              </w:rPr>
              <w:t>项目业绩，每提供一个</w:t>
            </w:r>
            <w:r>
              <w:rPr>
                <w:rFonts w:hint="eastAsia" w:ascii="仿宋" w:hAnsi="仿宋" w:eastAsia="仿宋" w:cs="仿宋"/>
                <w:color w:val="auto"/>
                <w:sz w:val="24"/>
                <w:szCs w:val="24"/>
                <w:highlight w:val="none"/>
                <w:lang w:val="en-US" w:eastAsia="zh-CN"/>
              </w:rPr>
              <w:t>业绩</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分。提供合同复印件，同一用户不重复得分。</w:t>
            </w:r>
          </w:p>
        </w:tc>
        <w:tc>
          <w:tcPr>
            <w:tcW w:w="418" w:type="pct"/>
            <w:tcBorders>
              <w:tl2br w:val="nil"/>
              <w:tr2bl w:val="nil"/>
            </w:tcBorders>
            <w:vAlign w:val="center"/>
          </w:tcPr>
          <w:p w14:paraId="29F6215E">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596" w:type="pct"/>
            <w:tcBorders>
              <w:tl2br w:val="nil"/>
              <w:tr2bl w:val="nil"/>
            </w:tcBorders>
            <w:vAlign w:val="center"/>
          </w:tcPr>
          <w:p w14:paraId="1CBC6182">
            <w:pPr>
              <w:spacing w:line="360" w:lineRule="auto"/>
              <w:jc w:val="both"/>
              <w:outlineLvl w:val="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客观分</w:t>
            </w:r>
          </w:p>
        </w:tc>
        <w:tc>
          <w:tcPr>
            <w:tcW w:w="1152" w:type="pct"/>
            <w:tcBorders>
              <w:tl2br w:val="nil"/>
              <w:tr2bl w:val="nil"/>
            </w:tcBorders>
            <w:vAlign w:val="center"/>
          </w:tcPr>
          <w:p w14:paraId="6813A9DD">
            <w:pPr>
              <w:spacing w:line="360" w:lineRule="auto"/>
              <w:jc w:val="center"/>
              <w:outlineLvl w:val="0"/>
              <w:rPr>
                <w:rFonts w:hint="eastAsia" w:ascii="仿宋" w:hAnsi="仿宋" w:eastAsia="仿宋" w:cs="仿宋"/>
                <w:color w:val="auto"/>
                <w:sz w:val="24"/>
                <w:szCs w:val="24"/>
                <w:highlight w:val="none"/>
              </w:rPr>
            </w:pPr>
          </w:p>
        </w:tc>
      </w:tr>
      <w:tr w14:paraId="6F165E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tcBorders>
              <w:tl2br w:val="nil"/>
              <w:tr2bl w:val="nil"/>
            </w:tcBorders>
            <w:vAlign w:val="center"/>
          </w:tcPr>
          <w:p w14:paraId="328DF107">
            <w:pPr>
              <w:snapToGrid w:val="0"/>
              <w:spacing w:line="400" w:lineRule="exact"/>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3</w:t>
            </w:r>
          </w:p>
        </w:tc>
        <w:tc>
          <w:tcPr>
            <w:tcW w:w="2424" w:type="pct"/>
            <w:tcBorders>
              <w:tl2br w:val="nil"/>
              <w:tr2bl w:val="nil"/>
            </w:tcBorders>
            <w:vAlign w:val="center"/>
          </w:tcPr>
          <w:p w14:paraId="3D6C2C39">
            <w:pPr>
              <w:pStyle w:val="8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kern w:val="0"/>
                <w:sz w:val="24"/>
                <w:szCs w:val="24"/>
                <w:highlight w:val="none"/>
                <w:lang w:val="en-US" w:eastAsia="zh-CN" w:bidi="ar-SA"/>
              </w:rPr>
              <w:t>采购需求响应：投标文件根据采购文件第三部分“二、</w:t>
            </w:r>
            <w:r>
              <w:rPr>
                <w:rFonts w:hint="eastAsia" w:ascii="仿宋" w:hAnsi="仿宋" w:eastAsia="仿宋" w:cs="仿宋"/>
                <w:color w:val="auto"/>
                <w:sz w:val="24"/>
                <w:szCs w:val="24"/>
                <w:highlight w:val="none"/>
              </w:rPr>
              <w:t>产品清单及技术要求</w:t>
            </w:r>
            <w:r>
              <w:rPr>
                <w:rFonts w:hint="eastAsia" w:ascii="仿宋" w:hAnsi="仿宋" w:eastAsia="仿宋" w:cs="仿宋"/>
                <w:color w:val="auto"/>
                <w:kern w:val="0"/>
                <w:sz w:val="24"/>
                <w:szCs w:val="24"/>
                <w:highlight w:val="none"/>
                <w:lang w:val="en-US" w:eastAsia="zh-CN" w:bidi="ar-SA"/>
              </w:rPr>
              <w:t>”中“（二）技术要求”的响应情况，</w:t>
            </w:r>
            <w:r>
              <w:rPr>
                <w:rFonts w:hint="eastAsia" w:ascii="仿宋" w:hAnsi="仿宋" w:eastAsia="仿宋" w:cs="仿宋"/>
                <w:color w:val="auto"/>
                <w:sz w:val="24"/>
                <w:highlight w:val="none"/>
                <w:lang w:eastAsia="zh-CN"/>
              </w:rPr>
              <w:t>标注</w:t>
            </w:r>
            <w:r>
              <w:rPr>
                <w:rFonts w:hint="eastAsia" w:ascii="仿宋" w:hAnsi="仿宋" w:eastAsia="仿宋" w:cs="仿宋"/>
                <w:color w:val="auto"/>
                <w:sz w:val="24"/>
                <w:highlight w:val="none"/>
              </w:rPr>
              <w:t>▲条款出现负偏离的投标无效。所有</w:t>
            </w:r>
            <w:r>
              <w:rPr>
                <w:rFonts w:hint="eastAsia" w:ascii="仿宋" w:hAnsi="仿宋" w:eastAsia="仿宋" w:cs="仿宋"/>
                <w:color w:val="auto"/>
                <w:sz w:val="24"/>
                <w:highlight w:val="none"/>
                <w:lang w:eastAsia="zh-CN"/>
              </w:rPr>
              <w:t>技术要求</w:t>
            </w:r>
            <w:r>
              <w:rPr>
                <w:rFonts w:hint="eastAsia" w:ascii="仿宋" w:hAnsi="仿宋" w:eastAsia="仿宋" w:cs="仿宋"/>
                <w:color w:val="auto"/>
                <w:sz w:val="24"/>
                <w:highlight w:val="none"/>
              </w:rPr>
              <w:t>均满足</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每一项</w:t>
            </w:r>
            <w:r>
              <w:rPr>
                <w:rFonts w:hint="eastAsia" w:ascii="仿宋" w:hAnsi="仿宋" w:eastAsia="仿宋" w:cs="仿宋"/>
                <w:color w:val="auto"/>
                <w:sz w:val="24"/>
                <w:highlight w:val="none"/>
              </w:rPr>
              <w:t>（凡标有最低一级序号的指标项即为一项）</w:t>
            </w:r>
            <w:r>
              <w:rPr>
                <w:rFonts w:hint="eastAsia" w:ascii="仿宋" w:hAnsi="仿宋" w:eastAsia="仿宋" w:cs="仿宋"/>
                <w:color w:val="auto"/>
                <w:sz w:val="24"/>
                <w:highlight w:val="none"/>
                <w:lang w:eastAsia="zh-CN"/>
              </w:rPr>
              <w:t>存在</w:t>
            </w:r>
            <w:r>
              <w:rPr>
                <w:rFonts w:hint="eastAsia" w:ascii="仿宋" w:hAnsi="仿宋" w:eastAsia="仿宋" w:cs="仿宋"/>
                <w:color w:val="auto"/>
                <w:sz w:val="24"/>
                <w:highlight w:val="none"/>
              </w:rPr>
              <w:t>负偏离</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扣</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，扣完为止。</w:t>
            </w:r>
          </w:p>
          <w:p w14:paraId="024EFAA1">
            <w:pPr>
              <w:pStyle w:val="80"/>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rPr>
              <w:t>评审依据/证明材料</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color w:val="auto"/>
                <w:sz w:val="24"/>
                <w:szCs w:val="24"/>
                <w:highlight w:val="none"/>
              </w:rPr>
              <w:t>商务技术偏离表（技术要求须一对一响应）和招标文件所要求的技术支持资料或证明文件。</w:t>
            </w:r>
          </w:p>
        </w:tc>
        <w:tc>
          <w:tcPr>
            <w:tcW w:w="418" w:type="pct"/>
            <w:tcBorders>
              <w:tl2br w:val="nil"/>
              <w:tr2bl w:val="nil"/>
            </w:tcBorders>
            <w:vAlign w:val="center"/>
          </w:tcPr>
          <w:p w14:paraId="3CE848E9">
            <w:pPr>
              <w:spacing w:line="360" w:lineRule="auto"/>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28</w:t>
            </w:r>
          </w:p>
        </w:tc>
        <w:tc>
          <w:tcPr>
            <w:tcW w:w="596" w:type="pct"/>
            <w:tcBorders>
              <w:tl2br w:val="nil"/>
              <w:tr2bl w:val="nil"/>
            </w:tcBorders>
            <w:vAlign w:val="center"/>
          </w:tcPr>
          <w:p w14:paraId="4EE65347">
            <w:pPr>
              <w:spacing w:line="360" w:lineRule="auto"/>
              <w:jc w:val="both"/>
              <w:outlineLvl w:val="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客观分</w:t>
            </w:r>
          </w:p>
        </w:tc>
        <w:tc>
          <w:tcPr>
            <w:tcW w:w="1152" w:type="pct"/>
            <w:tcBorders>
              <w:tl2br w:val="nil"/>
              <w:tr2bl w:val="nil"/>
            </w:tcBorders>
            <w:vAlign w:val="center"/>
          </w:tcPr>
          <w:p w14:paraId="76230109">
            <w:pPr>
              <w:spacing w:line="360" w:lineRule="auto"/>
              <w:jc w:val="center"/>
              <w:outlineLvl w:val="0"/>
              <w:rPr>
                <w:rFonts w:hint="eastAsia" w:ascii="仿宋" w:hAnsi="仿宋" w:eastAsia="仿宋" w:cs="仿宋"/>
                <w:color w:val="auto"/>
                <w:sz w:val="24"/>
                <w:szCs w:val="24"/>
                <w:highlight w:val="none"/>
              </w:rPr>
            </w:pPr>
          </w:p>
        </w:tc>
      </w:tr>
      <w:tr w14:paraId="1E4A4C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tcBorders>
              <w:tl2br w:val="nil"/>
              <w:tr2bl w:val="nil"/>
            </w:tcBorders>
            <w:vAlign w:val="center"/>
          </w:tcPr>
          <w:p w14:paraId="70F66987">
            <w:pPr>
              <w:pStyle w:val="8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424" w:type="pct"/>
            <w:tcBorders>
              <w:tl2br w:val="nil"/>
              <w:tr2bl w:val="nil"/>
            </w:tcBorders>
            <w:vAlign w:val="center"/>
          </w:tcPr>
          <w:p w14:paraId="4F86EB25">
            <w:pPr>
              <w:pStyle w:val="8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针对投标人的各项管理制度和服务标准，管理服务模式、工作流程进行评分。管理服务模式、工作流程内容完整、合理、规范且可行的得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分；管理服务模式、工作流程内容较完整、较合理、较规范且较可行的得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分；管理服务模式、工作流程内容普通的得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分；管理服务模式、工作流程内容存在瑕疵</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管理服务模式、工作流程内容不明确、多处不足的得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分；未提供管理服务模式、工作流程得0分。</w:t>
            </w:r>
          </w:p>
        </w:tc>
        <w:tc>
          <w:tcPr>
            <w:tcW w:w="418" w:type="pct"/>
            <w:tcBorders>
              <w:tl2br w:val="nil"/>
              <w:tr2bl w:val="nil"/>
            </w:tcBorders>
            <w:vAlign w:val="center"/>
          </w:tcPr>
          <w:p w14:paraId="405D7CE6">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596" w:type="pct"/>
            <w:tcBorders>
              <w:tl2br w:val="nil"/>
              <w:tr2bl w:val="nil"/>
            </w:tcBorders>
            <w:vAlign w:val="center"/>
          </w:tcPr>
          <w:p w14:paraId="1ABFC5A3">
            <w:pPr>
              <w:spacing w:line="360" w:lineRule="auto"/>
              <w:jc w:val="both"/>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主观分</w:t>
            </w:r>
          </w:p>
        </w:tc>
        <w:tc>
          <w:tcPr>
            <w:tcW w:w="1152" w:type="pct"/>
            <w:tcBorders>
              <w:tl2br w:val="nil"/>
              <w:tr2bl w:val="nil"/>
            </w:tcBorders>
            <w:vAlign w:val="center"/>
          </w:tcPr>
          <w:p w14:paraId="2BB24D7B">
            <w:pPr>
              <w:spacing w:line="360" w:lineRule="auto"/>
              <w:jc w:val="center"/>
              <w:outlineLvl w:val="0"/>
              <w:rPr>
                <w:rFonts w:hint="eastAsia" w:ascii="仿宋" w:hAnsi="仿宋" w:eastAsia="仿宋" w:cs="仿宋"/>
                <w:color w:val="auto"/>
                <w:sz w:val="24"/>
                <w:szCs w:val="24"/>
                <w:highlight w:val="none"/>
              </w:rPr>
            </w:pPr>
          </w:p>
        </w:tc>
      </w:tr>
      <w:tr w14:paraId="11B1A6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tcBorders>
              <w:tl2br w:val="nil"/>
              <w:tr2bl w:val="nil"/>
            </w:tcBorders>
            <w:vAlign w:val="center"/>
          </w:tcPr>
          <w:p w14:paraId="3EA64185">
            <w:pPr>
              <w:pStyle w:val="8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424" w:type="pct"/>
            <w:tcBorders>
              <w:tl2br w:val="nil"/>
              <w:tr2bl w:val="nil"/>
            </w:tcBorders>
            <w:vAlign w:val="center"/>
          </w:tcPr>
          <w:p w14:paraId="55BAFEBE">
            <w:pPr>
              <w:pStyle w:val="80"/>
              <w:spacing w:line="360" w:lineRule="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根据供应商物流保障方案（包括仓库情况、运输方案、配送方案）进行评分。方案考虑周全、措施内容全面可行、重点突出的得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分；方案合理、可行得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分；方案合理措施一般得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分；方案描述笼统不清晰得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分；方案措施内容不全得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分；无方案得0分。</w:t>
            </w:r>
          </w:p>
        </w:tc>
        <w:tc>
          <w:tcPr>
            <w:tcW w:w="418" w:type="pct"/>
            <w:tcBorders>
              <w:tl2br w:val="nil"/>
              <w:tr2bl w:val="nil"/>
            </w:tcBorders>
            <w:vAlign w:val="center"/>
          </w:tcPr>
          <w:p w14:paraId="5F66DE19">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596" w:type="pct"/>
            <w:tcBorders>
              <w:tl2br w:val="nil"/>
              <w:tr2bl w:val="nil"/>
            </w:tcBorders>
            <w:vAlign w:val="center"/>
          </w:tcPr>
          <w:p w14:paraId="371D595E">
            <w:pPr>
              <w:spacing w:line="360" w:lineRule="auto"/>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1152" w:type="pct"/>
            <w:tcBorders>
              <w:tl2br w:val="nil"/>
              <w:tr2bl w:val="nil"/>
            </w:tcBorders>
            <w:vAlign w:val="center"/>
          </w:tcPr>
          <w:p w14:paraId="2B9AD1AF">
            <w:pPr>
              <w:spacing w:line="360" w:lineRule="auto"/>
              <w:jc w:val="center"/>
              <w:outlineLvl w:val="0"/>
              <w:rPr>
                <w:rFonts w:hint="eastAsia" w:ascii="仿宋" w:hAnsi="仿宋" w:eastAsia="仿宋" w:cs="仿宋"/>
                <w:color w:val="auto"/>
                <w:sz w:val="24"/>
                <w:szCs w:val="24"/>
                <w:highlight w:val="none"/>
              </w:rPr>
            </w:pPr>
          </w:p>
        </w:tc>
      </w:tr>
      <w:tr w14:paraId="6DB7DC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08" w:type="pct"/>
            <w:tcBorders>
              <w:tl2br w:val="nil"/>
              <w:tr2bl w:val="nil"/>
            </w:tcBorders>
            <w:vAlign w:val="center"/>
          </w:tcPr>
          <w:p w14:paraId="50489FAC">
            <w:pPr>
              <w:pStyle w:val="80"/>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6</w:t>
            </w:r>
          </w:p>
        </w:tc>
        <w:tc>
          <w:tcPr>
            <w:tcW w:w="2424" w:type="pct"/>
            <w:tcBorders>
              <w:tl2br w:val="nil"/>
              <w:tr2bl w:val="nil"/>
            </w:tcBorders>
            <w:vAlign w:val="center"/>
          </w:tcPr>
          <w:p w14:paraId="37ABFBF5">
            <w:pPr>
              <w:pStyle w:val="80"/>
              <w:spacing w:line="360" w:lineRule="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投标人的供应物资质量管控方案进行评分。方案内容完整、合理、规范且可行的得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分；方案内容较完整、较合理、较规范且较可行的得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分；方案内容普通的得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分；方案内容存在瑕疵的得</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方案内容不明确、多处不足的得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分；未提供方案得0分。</w:t>
            </w:r>
          </w:p>
        </w:tc>
        <w:tc>
          <w:tcPr>
            <w:tcW w:w="418" w:type="pct"/>
            <w:tcBorders>
              <w:tl2br w:val="nil"/>
              <w:tr2bl w:val="nil"/>
            </w:tcBorders>
            <w:vAlign w:val="center"/>
          </w:tcPr>
          <w:p w14:paraId="45DBC09A">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596" w:type="pct"/>
            <w:tcBorders>
              <w:tl2br w:val="nil"/>
              <w:tr2bl w:val="nil"/>
            </w:tcBorders>
            <w:vAlign w:val="center"/>
          </w:tcPr>
          <w:p w14:paraId="3CCA2AC4">
            <w:pPr>
              <w:spacing w:line="360" w:lineRule="auto"/>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1152" w:type="pct"/>
            <w:tcBorders>
              <w:tl2br w:val="nil"/>
              <w:tr2bl w:val="nil"/>
            </w:tcBorders>
            <w:vAlign w:val="center"/>
          </w:tcPr>
          <w:p w14:paraId="16F39EF8">
            <w:pPr>
              <w:jc w:val="center"/>
              <w:rPr>
                <w:rFonts w:hint="eastAsia" w:ascii="仿宋" w:hAnsi="仿宋" w:eastAsia="仿宋" w:cs="仿宋"/>
                <w:color w:val="auto"/>
                <w:sz w:val="24"/>
                <w:szCs w:val="24"/>
                <w:highlight w:val="none"/>
              </w:rPr>
            </w:pPr>
          </w:p>
        </w:tc>
      </w:tr>
      <w:tr w14:paraId="2E2C35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tcBorders>
              <w:tl2br w:val="nil"/>
              <w:tr2bl w:val="nil"/>
            </w:tcBorders>
            <w:vAlign w:val="center"/>
          </w:tcPr>
          <w:p w14:paraId="0055501B">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2424" w:type="pct"/>
            <w:tcBorders>
              <w:tl2br w:val="nil"/>
              <w:tr2bl w:val="nil"/>
            </w:tcBorders>
            <w:vAlign w:val="top"/>
          </w:tcPr>
          <w:p w14:paraId="5C9B7D8A">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投标人提供的货物售后服务方案和承诺的可行性、完整性以及承诺落实的保障措施进行评议。服务流程规范、服务承诺满足服务要求，方案完整、合理、可行性强得4分；服务流程基本规范、服务承诺基本满足服务要求，方案基本合理可行</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4"/>
                <w:highlight w:val="none"/>
              </w:rPr>
              <w:t>3分；服务流程不够规范、服务承诺部分满足服务要求得2分，方案笼统或存在一定缺漏得1分；未提供方案不得分。</w:t>
            </w:r>
          </w:p>
        </w:tc>
        <w:tc>
          <w:tcPr>
            <w:tcW w:w="418" w:type="pct"/>
            <w:tcBorders>
              <w:tl2br w:val="nil"/>
              <w:tr2bl w:val="nil"/>
            </w:tcBorders>
            <w:vAlign w:val="center"/>
          </w:tcPr>
          <w:p w14:paraId="55661C2D">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596" w:type="pct"/>
            <w:tcBorders>
              <w:tl2br w:val="nil"/>
              <w:tr2bl w:val="nil"/>
            </w:tcBorders>
            <w:vAlign w:val="center"/>
          </w:tcPr>
          <w:p w14:paraId="45A1A378">
            <w:pPr>
              <w:spacing w:line="360" w:lineRule="auto"/>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1152" w:type="pct"/>
            <w:tcBorders>
              <w:tl2br w:val="nil"/>
              <w:tr2bl w:val="nil"/>
            </w:tcBorders>
            <w:vAlign w:val="center"/>
          </w:tcPr>
          <w:p w14:paraId="008A8ECF">
            <w:pPr>
              <w:jc w:val="center"/>
              <w:rPr>
                <w:rFonts w:hint="eastAsia" w:ascii="仿宋" w:hAnsi="仿宋" w:eastAsia="仿宋" w:cs="仿宋"/>
                <w:color w:val="auto"/>
                <w:sz w:val="24"/>
                <w:szCs w:val="24"/>
                <w:highlight w:val="none"/>
              </w:rPr>
            </w:pPr>
          </w:p>
        </w:tc>
      </w:tr>
      <w:tr w14:paraId="7C5359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tcBorders>
              <w:tl2br w:val="nil"/>
              <w:tr2bl w:val="nil"/>
            </w:tcBorders>
            <w:vAlign w:val="center"/>
          </w:tcPr>
          <w:p w14:paraId="05922DF1">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2424" w:type="pct"/>
            <w:tcBorders>
              <w:tl2br w:val="nil"/>
              <w:tr2bl w:val="nil"/>
            </w:tcBorders>
            <w:vAlign w:val="center"/>
          </w:tcPr>
          <w:p w14:paraId="14B85A20">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合理化建议：根据供应商针对本项目实施提出的合理化建议进行评分。建议切实可行、贴合实际需求、有利于本项目实施的得2分；建议与项目实施内容较相符的得1分；建议与本项目相关的得0.5分；未提供得0分。</w:t>
            </w:r>
          </w:p>
        </w:tc>
        <w:tc>
          <w:tcPr>
            <w:tcW w:w="418" w:type="pct"/>
            <w:tcBorders>
              <w:tl2br w:val="nil"/>
              <w:tr2bl w:val="nil"/>
            </w:tcBorders>
            <w:vAlign w:val="center"/>
          </w:tcPr>
          <w:p w14:paraId="4BBB6113">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596" w:type="pct"/>
            <w:tcBorders>
              <w:tl2br w:val="nil"/>
              <w:tr2bl w:val="nil"/>
            </w:tcBorders>
            <w:vAlign w:val="center"/>
          </w:tcPr>
          <w:p w14:paraId="57E4F546">
            <w:pPr>
              <w:spacing w:line="360" w:lineRule="auto"/>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1152" w:type="pct"/>
            <w:tcBorders>
              <w:tl2br w:val="nil"/>
              <w:tr2bl w:val="nil"/>
            </w:tcBorders>
            <w:vAlign w:val="center"/>
          </w:tcPr>
          <w:p w14:paraId="50F37F1A">
            <w:pPr>
              <w:jc w:val="center"/>
              <w:rPr>
                <w:rFonts w:hint="eastAsia" w:ascii="仿宋" w:hAnsi="仿宋" w:eastAsia="仿宋" w:cs="仿宋"/>
                <w:color w:val="auto"/>
                <w:sz w:val="24"/>
                <w:szCs w:val="24"/>
                <w:highlight w:val="none"/>
              </w:rPr>
            </w:pPr>
          </w:p>
        </w:tc>
      </w:tr>
      <w:tr w14:paraId="454CF3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tcBorders>
              <w:tl2br w:val="nil"/>
              <w:tr2bl w:val="nil"/>
            </w:tcBorders>
            <w:vAlign w:val="center"/>
          </w:tcPr>
          <w:p w14:paraId="6703538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w:t>
            </w:r>
          </w:p>
        </w:tc>
        <w:tc>
          <w:tcPr>
            <w:tcW w:w="2424" w:type="pct"/>
            <w:tcBorders>
              <w:tl2br w:val="nil"/>
              <w:tr2bl w:val="nil"/>
            </w:tcBorders>
            <w:vAlign w:val="center"/>
          </w:tcPr>
          <w:p w14:paraId="1F962A02">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样品</w:t>
            </w:r>
          </w:p>
        </w:tc>
        <w:tc>
          <w:tcPr>
            <w:tcW w:w="418" w:type="pct"/>
            <w:tcBorders>
              <w:tl2br w:val="nil"/>
              <w:tr2bl w:val="nil"/>
            </w:tcBorders>
            <w:vAlign w:val="center"/>
          </w:tcPr>
          <w:p w14:paraId="4C18E6CD">
            <w:pPr>
              <w:jc w:val="center"/>
              <w:rPr>
                <w:rFonts w:hint="eastAsia" w:ascii="仿宋" w:hAnsi="仿宋" w:eastAsia="仿宋" w:cs="仿宋"/>
                <w:color w:val="auto"/>
                <w:sz w:val="24"/>
                <w:szCs w:val="24"/>
                <w:highlight w:val="none"/>
              </w:rPr>
            </w:pPr>
          </w:p>
        </w:tc>
        <w:tc>
          <w:tcPr>
            <w:tcW w:w="596" w:type="pct"/>
            <w:tcBorders>
              <w:tl2br w:val="nil"/>
              <w:tr2bl w:val="nil"/>
            </w:tcBorders>
            <w:vAlign w:val="center"/>
          </w:tcPr>
          <w:p w14:paraId="5246CD3C">
            <w:pPr>
              <w:jc w:val="center"/>
              <w:rPr>
                <w:rFonts w:hint="eastAsia" w:ascii="仿宋" w:hAnsi="仿宋" w:eastAsia="仿宋" w:cs="仿宋"/>
                <w:color w:val="auto"/>
                <w:sz w:val="24"/>
                <w:szCs w:val="24"/>
                <w:highlight w:val="none"/>
              </w:rPr>
            </w:pPr>
          </w:p>
        </w:tc>
        <w:tc>
          <w:tcPr>
            <w:tcW w:w="1152" w:type="pct"/>
            <w:tcBorders>
              <w:tl2br w:val="nil"/>
              <w:tr2bl w:val="nil"/>
            </w:tcBorders>
            <w:vAlign w:val="center"/>
          </w:tcPr>
          <w:p w14:paraId="026069A4">
            <w:pPr>
              <w:jc w:val="center"/>
              <w:rPr>
                <w:rFonts w:hint="eastAsia" w:ascii="仿宋" w:hAnsi="仿宋" w:eastAsia="仿宋" w:cs="仿宋"/>
                <w:color w:val="auto"/>
                <w:sz w:val="24"/>
                <w:szCs w:val="24"/>
                <w:highlight w:val="none"/>
              </w:rPr>
            </w:pPr>
          </w:p>
        </w:tc>
      </w:tr>
      <w:tr w14:paraId="689D53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tcBorders>
              <w:tl2br w:val="nil"/>
              <w:tr2bl w:val="nil"/>
            </w:tcBorders>
            <w:vAlign w:val="center"/>
          </w:tcPr>
          <w:p w14:paraId="4B37240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9.1</w:t>
            </w:r>
          </w:p>
        </w:tc>
        <w:tc>
          <w:tcPr>
            <w:tcW w:w="2424" w:type="pct"/>
            <w:tcBorders>
              <w:tl2br w:val="nil"/>
              <w:tr2bl w:val="nil"/>
            </w:tcBorders>
            <w:vAlign w:val="center"/>
          </w:tcPr>
          <w:p w14:paraId="6007DCBB">
            <w:pPr>
              <w:spacing w:line="360" w:lineRule="auto"/>
              <w:outlineLvl w:val="0"/>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样品1【</w:t>
            </w:r>
            <w:r>
              <w:rPr>
                <w:rFonts w:hint="default" w:ascii="Times New Roman" w:hAnsi="Times New Roman" w:eastAsia="仿宋" w:cs="Times New Roman"/>
                <w:color w:val="auto"/>
                <w:sz w:val="24"/>
                <w:szCs w:val="24"/>
                <w:highlight w:val="none"/>
                <w:lang w:val="en-US" w:eastAsia="zh-CN"/>
              </w:rPr>
              <w:t>钠钙玻璃管制口服液体瓶套装</w:t>
            </w:r>
            <w:r>
              <w:rPr>
                <w:rFonts w:hint="eastAsia" w:eastAsia="仿宋" w:cs="Times New Roman"/>
                <w:color w:val="auto"/>
                <w:sz w:val="24"/>
                <w:szCs w:val="24"/>
                <w:highlight w:val="none"/>
                <w:lang w:val="en-US" w:eastAsia="zh-CN"/>
              </w:rPr>
              <w:t>（B型）】</w:t>
            </w:r>
            <w:r>
              <w:rPr>
                <w:rFonts w:hint="eastAsia" w:ascii="仿宋" w:hAnsi="仿宋" w:eastAsia="仿宋" w:cs="仿宋"/>
                <w:color w:val="auto"/>
                <w:sz w:val="24"/>
                <w:szCs w:val="24"/>
                <w:highlight w:val="none"/>
                <w:lang w:val="en-US" w:eastAsia="zh-CN"/>
              </w:rPr>
              <w:t>：</w:t>
            </w:r>
          </w:p>
          <w:p w14:paraId="287CB7C3">
            <w:pPr>
              <w:numPr>
                <w:ilvl w:val="0"/>
                <w:numId w:val="9"/>
              </w:numPr>
              <w:spacing w:line="360" w:lineRule="auto"/>
              <w:outlineLvl w:val="0"/>
              <w:rPr>
                <w:rFonts w:hint="eastAsia"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钠钙玻璃管</w:t>
            </w:r>
            <w:r>
              <w:rPr>
                <w:rFonts w:hint="eastAsia" w:ascii="仿宋" w:hAnsi="仿宋" w:eastAsia="仿宋" w:cs="仿宋"/>
                <w:color w:val="auto"/>
                <w:sz w:val="24"/>
                <w:highlight w:val="none"/>
                <w:lang w:val="en-US" w:eastAsia="zh-CN"/>
              </w:rPr>
              <w:t>无色透明或棕色透明</w:t>
            </w:r>
            <w:r>
              <w:rPr>
                <w:rFonts w:hint="eastAsia" w:ascii="Times New Roman" w:hAnsi="Times New Roman" w:eastAsia="仿宋" w:cs="Times New Roman"/>
                <w:color w:val="auto"/>
                <w:sz w:val="24"/>
                <w:szCs w:val="24"/>
                <w:highlight w:val="none"/>
                <w:lang w:val="en-US" w:eastAsia="zh-CN"/>
              </w:rPr>
              <w:t>，满足采购文件要求得1分</w:t>
            </w:r>
            <w:r>
              <w:rPr>
                <w:rFonts w:hint="eastAsia" w:eastAsia="仿宋" w:cs="Times New Roman"/>
                <w:color w:val="auto"/>
                <w:sz w:val="24"/>
                <w:szCs w:val="24"/>
                <w:highlight w:val="none"/>
                <w:lang w:val="en-US" w:eastAsia="zh-CN"/>
              </w:rPr>
              <w:t>；</w:t>
            </w:r>
          </w:p>
          <w:p w14:paraId="2452F16C">
            <w:pPr>
              <w:numPr>
                <w:ilvl w:val="0"/>
                <w:numId w:val="9"/>
              </w:num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eastAsia="仿宋" w:cs="Times New Roman"/>
                <w:color w:val="auto"/>
                <w:sz w:val="24"/>
                <w:szCs w:val="24"/>
                <w:highlight w:val="none"/>
                <w:lang w:val="en-US" w:eastAsia="zh-CN"/>
              </w:rPr>
              <w:t>钠钙玻璃管材质满足采购文件要求的得1分，需</w:t>
            </w:r>
            <w:r>
              <w:rPr>
                <w:rFonts w:hint="eastAsia" w:ascii="Times New Roman" w:hAnsi="Times New Roman" w:eastAsia="仿宋" w:cs="Times New Roman"/>
                <w:color w:val="auto"/>
                <w:sz w:val="24"/>
                <w:szCs w:val="24"/>
                <w:highlight w:val="none"/>
                <w:lang w:val="en-US" w:eastAsia="zh-CN"/>
              </w:rPr>
              <w:t>提供</w:t>
            </w:r>
            <w:r>
              <w:rPr>
                <w:rFonts w:hint="eastAsia" w:eastAsia="仿宋" w:cs="Times New Roman"/>
                <w:color w:val="auto"/>
                <w:sz w:val="24"/>
                <w:szCs w:val="24"/>
                <w:highlight w:val="none"/>
                <w:lang w:val="en-US" w:eastAsia="zh-CN"/>
              </w:rPr>
              <w:t>具有CMA认证</w:t>
            </w:r>
            <w:r>
              <w:rPr>
                <w:rFonts w:hint="eastAsia" w:ascii="Times New Roman" w:hAnsi="Times New Roman" w:eastAsia="仿宋" w:cs="Times New Roman"/>
                <w:color w:val="auto"/>
                <w:sz w:val="24"/>
                <w:szCs w:val="24"/>
                <w:highlight w:val="none"/>
                <w:lang w:val="en-US" w:eastAsia="zh-CN"/>
              </w:rPr>
              <w:t>的药品包装材料检测机构出具的材料检测报告复印件，否则不得分</w:t>
            </w:r>
            <w:r>
              <w:rPr>
                <w:rFonts w:hint="eastAsia" w:ascii="仿宋" w:hAnsi="仿宋" w:eastAsia="仿宋" w:cs="仿宋"/>
                <w:color w:val="auto"/>
                <w:sz w:val="24"/>
                <w:szCs w:val="24"/>
                <w:highlight w:val="none"/>
                <w:lang w:val="en-US" w:eastAsia="zh-CN"/>
              </w:rPr>
              <w:t>。</w:t>
            </w:r>
          </w:p>
        </w:tc>
        <w:tc>
          <w:tcPr>
            <w:tcW w:w="418" w:type="pct"/>
            <w:tcBorders>
              <w:tl2br w:val="nil"/>
              <w:tr2bl w:val="nil"/>
            </w:tcBorders>
            <w:vAlign w:val="center"/>
          </w:tcPr>
          <w:p w14:paraId="0CD4E4C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596" w:type="pct"/>
            <w:tcBorders>
              <w:tl2br w:val="nil"/>
              <w:tr2bl w:val="nil"/>
            </w:tcBorders>
            <w:vAlign w:val="center"/>
          </w:tcPr>
          <w:p w14:paraId="75E59C5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152" w:type="pct"/>
            <w:tcBorders>
              <w:tl2br w:val="nil"/>
              <w:tr2bl w:val="nil"/>
            </w:tcBorders>
            <w:vAlign w:val="center"/>
          </w:tcPr>
          <w:p w14:paraId="47057B0B">
            <w:pPr>
              <w:jc w:val="center"/>
              <w:rPr>
                <w:rFonts w:hint="eastAsia" w:ascii="仿宋" w:hAnsi="仿宋" w:eastAsia="仿宋" w:cs="仿宋"/>
                <w:color w:val="auto"/>
                <w:sz w:val="24"/>
                <w:szCs w:val="24"/>
                <w:highlight w:val="none"/>
              </w:rPr>
            </w:pPr>
          </w:p>
        </w:tc>
      </w:tr>
      <w:tr w14:paraId="3EE09D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tcBorders>
              <w:tl2br w:val="nil"/>
              <w:tr2bl w:val="nil"/>
            </w:tcBorders>
            <w:vAlign w:val="center"/>
          </w:tcPr>
          <w:p w14:paraId="3D781C0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9.2</w:t>
            </w:r>
          </w:p>
        </w:tc>
        <w:tc>
          <w:tcPr>
            <w:tcW w:w="2424" w:type="pct"/>
            <w:tcBorders>
              <w:tl2br w:val="nil"/>
              <w:tr2bl w:val="nil"/>
            </w:tcBorders>
            <w:vAlign w:val="center"/>
          </w:tcPr>
          <w:p w14:paraId="0D08120A">
            <w:pPr>
              <w:spacing w:line="360" w:lineRule="auto"/>
              <w:outlineLvl w:val="0"/>
              <w:rPr>
                <w:rFonts w:hint="eastAsia" w:ascii="仿宋" w:hAnsi="仿宋" w:eastAsia="仿宋" w:cs="仿宋"/>
                <w:color w:val="auto"/>
                <w:sz w:val="24"/>
                <w:szCs w:val="24"/>
                <w:highlight w:val="none"/>
                <w:lang w:val="en-US" w:eastAsia="zh-CN"/>
              </w:rPr>
            </w:pPr>
            <w:r>
              <w:rPr>
                <w:rFonts w:hint="eastAsia" w:eastAsia="仿宋" w:cs="Times New Roman"/>
                <w:color w:val="auto"/>
                <w:sz w:val="24"/>
                <w:szCs w:val="24"/>
                <w:highlight w:val="none"/>
                <w:lang w:val="en-US" w:eastAsia="zh-CN"/>
              </w:rPr>
              <w:t>样品1【</w:t>
            </w:r>
            <w:r>
              <w:rPr>
                <w:rFonts w:hint="default" w:ascii="Times New Roman" w:hAnsi="Times New Roman" w:eastAsia="仿宋" w:cs="Times New Roman"/>
                <w:color w:val="auto"/>
                <w:sz w:val="24"/>
                <w:szCs w:val="24"/>
                <w:highlight w:val="none"/>
                <w:lang w:val="en-US" w:eastAsia="zh-CN"/>
              </w:rPr>
              <w:t>钠钙玻璃管制口服液体瓶套装</w:t>
            </w:r>
            <w:r>
              <w:rPr>
                <w:rFonts w:hint="eastAsia" w:eastAsia="仿宋" w:cs="Times New Roman"/>
                <w:color w:val="auto"/>
                <w:sz w:val="24"/>
                <w:szCs w:val="24"/>
                <w:highlight w:val="none"/>
                <w:lang w:val="en-US" w:eastAsia="zh-CN"/>
              </w:rPr>
              <w:t>（B型）】</w:t>
            </w:r>
            <w:r>
              <w:rPr>
                <w:rFonts w:hint="eastAsia" w:ascii="仿宋" w:hAnsi="仿宋" w:eastAsia="仿宋" w:cs="仿宋"/>
                <w:color w:val="auto"/>
                <w:sz w:val="24"/>
                <w:szCs w:val="24"/>
                <w:highlight w:val="none"/>
                <w:lang w:val="en-US" w:eastAsia="zh-CN"/>
              </w:rPr>
              <w:t>：</w:t>
            </w:r>
          </w:p>
          <w:p w14:paraId="17BBDD96">
            <w:pPr>
              <w:numPr>
                <w:ilvl w:val="0"/>
                <w:numId w:val="10"/>
              </w:num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组合盖清洁，无残留润滑剂</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szCs w:val="24"/>
                <w:highlight w:val="none"/>
                <w:lang w:val="en-US" w:eastAsia="zh-CN"/>
              </w:rPr>
              <w:t>满足采购文件要求得1分</w:t>
            </w:r>
            <w:r>
              <w:rPr>
                <w:rFonts w:hint="eastAsia" w:eastAsia="仿宋" w:cs="Times New Roman"/>
                <w:color w:val="auto"/>
                <w:sz w:val="24"/>
                <w:szCs w:val="24"/>
                <w:highlight w:val="none"/>
                <w:lang w:val="en-US" w:eastAsia="zh-CN"/>
              </w:rPr>
              <w:t>；</w:t>
            </w:r>
          </w:p>
          <w:p w14:paraId="2EC504FA">
            <w:pPr>
              <w:numPr>
                <w:ilvl w:val="0"/>
                <w:numId w:val="10"/>
              </w:num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组合盖</w:t>
            </w:r>
            <w:r>
              <w:rPr>
                <w:rFonts w:hint="eastAsia" w:eastAsia="仿宋" w:cs="Times New Roman"/>
                <w:color w:val="auto"/>
                <w:sz w:val="24"/>
                <w:szCs w:val="24"/>
                <w:highlight w:val="none"/>
                <w:lang w:val="en-US" w:eastAsia="zh-CN"/>
              </w:rPr>
              <w:t>材质满足采购文件要求的得1分，需</w:t>
            </w:r>
            <w:r>
              <w:rPr>
                <w:rFonts w:hint="eastAsia" w:ascii="Times New Roman" w:hAnsi="Times New Roman" w:eastAsia="仿宋" w:cs="Times New Roman"/>
                <w:color w:val="auto"/>
                <w:sz w:val="24"/>
                <w:szCs w:val="24"/>
                <w:highlight w:val="none"/>
                <w:lang w:val="en-US" w:eastAsia="zh-CN"/>
              </w:rPr>
              <w:t>提供</w:t>
            </w:r>
            <w:r>
              <w:rPr>
                <w:rFonts w:hint="eastAsia" w:eastAsia="仿宋" w:cs="Times New Roman"/>
                <w:color w:val="auto"/>
                <w:sz w:val="24"/>
                <w:szCs w:val="24"/>
                <w:highlight w:val="none"/>
                <w:lang w:val="en-US" w:eastAsia="zh-CN"/>
              </w:rPr>
              <w:t>具有CMA认证</w:t>
            </w:r>
            <w:r>
              <w:rPr>
                <w:rFonts w:hint="eastAsia" w:ascii="Times New Roman" w:hAnsi="Times New Roman" w:eastAsia="仿宋" w:cs="Times New Roman"/>
                <w:color w:val="auto"/>
                <w:sz w:val="24"/>
                <w:szCs w:val="24"/>
                <w:highlight w:val="none"/>
                <w:lang w:val="en-US" w:eastAsia="zh-CN"/>
              </w:rPr>
              <w:t>的药品包装材料检测机构出具的材料检测报告复印件，否则不得分</w:t>
            </w:r>
            <w:r>
              <w:rPr>
                <w:rFonts w:hint="eastAsia" w:ascii="仿宋" w:hAnsi="仿宋" w:eastAsia="仿宋" w:cs="仿宋"/>
                <w:color w:val="auto"/>
                <w:sz w:val="24"/>
                <w:szCs w:val="24"/>
                <w:highlight w:val="none"/>
                <w:lang w:val="en-US" w:eastAsia="zh-CN"/>
              </w:rPr>
              <w:t>。</w:t>
            </w:r>
          </w:p>
        </w:tc>
        <w:tc>
          <w:tcPr>
            <w:tcW w:w="418" w:type="pct"/>
            <w:tcBorders>
              <w:tl2br w:val="nil"/>
              <w:tr2bl w:val="nil"/>
            </w:tcBorders>
            <w:vAlign w:val="center"/>
          </w:tcPr>
          <w:p w14:paraId="4B563983">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596" w:type="pct"/>
            <w:tcBorders>
              <w:tl2br w:val="nil"/>
              <w:tr2bl w:val="nil"/>
            </w:tcBorders>
            <w:vAlign w:val="center"/>
          </w:tcPr>
          <w:p w14:paraId="66254CF4">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客观分</w:t>
            </w:r>
          </w:p>
        </w:tc>
        <w:tc>
          <w:tcPr>
            <w:tcW w:w="1152" w:type="pct"/>
            <w:tcBorders>
              <w:tl2br w:val="nil"/>
              <w:tr2bl w:val="nil"/>
            </w:tcBorders>
            <w:vAlign w:val="center"/>
          </w:tcPr>
          <w:p w14:paraId="1DA97A15">
            <w:pPr>
              <w:jc w:val="center"/>
              <w:rPr>
                <w:rFonts w:hint="eastAsia" w:ascii="仿宋" w:hAnsi="仿宋" w:eastAsia="仿宋" w:cs="仿宋"/>
                <w:color w:val="auto"/>
                <w:sz w:val="24"/>
                <w:szCs w:val="24"/>
                <w:highlight w:val="none"/>
              </w:rPr>
            </w:pPr>
          </w:p>
        </w:tc>
      </w:tr>
      <w:tr w14:paraId="6B0DA9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tcBorders>
              <w:tl2br w:val="nil"/>
              <w:tr2bl w:val="nil"/>
            </w:tcBorders>
            <w:vAlign w:val="center"/>
          </w:tcPr>
          <w:p w14:paraId="66CC27E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9.3</w:t>
            </w:r>
          </w:p>
        </w:tc>
        <w:tc>
          <w:tcPr>
            <w:tcW w:w="2424" w:type="pct"/>
            <w:tcBorders>
              <w:tl2br w:val="nil"/>
              <w:tr2bl w:val="nil"/>
            </w:tcBorders>
            <w:vAlign w:val="center"/>
          </w:tcPr>
          <w:p w14:paraId="58C9BE02">
            <w:pPr>
              <w:spacing w:line="360" w:lineRule="auto"/>
              <w:outlineLvl w:val="0"/>
              <w:rPr>
                <w:rFonts w:ascii="仿宋" w:hAnsi="仿宋" w:eastAsia="仿宋" w:cs="仿宋"/>
                <w:b w:val="0"/>
                <w:bCs w:val="0"/>
                <w:color w:val="auto"/>
                <w:sz w:val="24"/>
                <w:szCs w:val="24"/>
                <w:highlight w:val="none"/>
                <w:lang w:val="en-US"/>
              </w:rPr>
            </w:pPr>
            <w:r>
              <w:rPr>
                <w:rFonts w:hint="eastAsia" w:eastAsia="仿宋" w:cs="Times New Roman"/>
                <w:color w:val="auto"/>
                <w:sz w:val="24"/>
                <w:szCs w:val="24"/>
                <w:highlight w:val="none"/>
                <w:lang w:val="en-US" w:eastAsia="zh-CN"/>
              </w:rPr>
              <w:t>样品1【</w:t>
            </w:r>
            <w:r>
              <w:rPr>
                <w:rFonts w:hint="default" w:ascii="Times New Roman" w:hAnsi="Times New Roman" w:eastAsia="仿宋" w:cs="Times New Roman"/>
                <w:color w:val="auto"/>
                <w:sz w:val="24"/>
                <w:szCs w:val="24"/>
                <w:highlight w:val="none"/>
                <w:lang w:val="en-US" w:eastAsia="zh-CN"/>
              </w:rPr>
              <w:t>钠钙玻璃管制口服液体瓶套装</w:t>
            </w:r>
            <w:r>
              <w:rPr>
                <w:rFonts w:hint="eastAsia" w:eastAsia="仿宋" w:cs="Times New Roman"/>
                <w:color w:val="auto"/>
                <w:sz w:val="24"/>
                <w:szCs w:val="24"/>
                <w:highlight w:val="none"/>
                <w:lang w:val="en-US" w:eastAsia="zh-CN"/>
              </w:rPr>
              <w:t>（B型）】</w:t>
            </w:r>
            <w:r>
              <w:rPr>
                <w:rFonts w:hint="eastAsia" w:ascii="仿宋" w:hAnsi="仿宋" w:eastAsia="仿宋" w:cs="仿宋"/>
                <w:color w:val="auto"/>
                <w:sz w:val="24"/>
                <w:szCs w:val="24"/>
                <w:highlight w:val="none"/>
                <w:lang w:val="en-US" w:eastAsia="zh-CN"/>
              </w:rPr>
              <w:t>：</w:t>
            </w:r>
          </w:p>
          <w:p w14:paraId="1206F875">
            <w:pPr>
              <w:numPr>
                <w:ilvl w:val="0"/>
                <w:numId w:val="11"/>
              </w:numPr>
              <w:spacing w:line="360" w:lineRule="auto"/>
              <w:outlineLvl w:val="0"/>
              <w:rPr>
                <w:rFonts w:hint="eastAsia" w:ascii="仿宋" w:hAnsi="仿宋" w:eastAsia="仿宋" w:cs="仿宋"/>
                <w:color w:val="auto"/>
                <w:sz w:val="24"/>
                <w:szCs w:val="24"/>
                <w:highlight w:val="none"/>
                <w:lang w:val="en-US" w:eastAsia="zh-CN"/>
              </w:rPr>
            </w:pPr>
            <w:r>
              <w:rPr>
                <w:rFonts w:ascii="仿宋" w:hAnsi="仿宋" w:eastAsia="仿宋" w:cs="仿宋"/>
                <w:b w:val="0"/>
                <w:bCs w:val="0"/>
                <w:color w:val="auto"/>
                <w:sz w:val="24"/>
                <w:szCs w:val="24"/>
                <w:highlight w:val="none"/>
                <w:lang w:val="en-US"/>
              </w:rPr>
              <w:t>胶塞颜色均匀一致，无嗅、无异味、无异物，表面光滑</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szCs w:val="24"/>
                <w:highlight w:val="none"/>
                <w:lang w:val="en-US" w:eastAsia="zh-CN"/>
              </w:rPr>
              <w:t>满足采购文件要求得1分；</w:t>
            </w:r>
          </w:p>
          <w:p w14:paraId="7AB718A1">
            <w:pPr>
              <w:numPr>
                <w:ilvl w:val="0"/>
                <w:numId w:val="11"/>
              </w:numPr>
              <w:spacing w:line="360" w:lineRule="auto"/>
              <w:outlineLvl w:val="0"/>
              <w:rPr>
                <w:rFonts w:hint="eastAsia" w:ascii="仿宋" w:hAnsi="仿宋" w:eastAsia="仿宋" w:cs="仿宋"/>
                <w:color w:val="auto"/>
                <w:kern w:val="2"/>
                <w:sz w:val="24"/>
                <w:szCs w:val="24"/>
                <w:highlight w:val="none"/>
                <w:lang w:val="en-US" w:eastAsia="zh-CN" w:bidi="ar-SA"/>
              </w:rPr>
            </w:pPr>
            <w:r>
              <w:rPr>
                <w:rFonts w:ascii="仿宋" w:hAnsi="仿宋" w:eastAsia="仿宋" w:cs="仿宋"/>
                <w:b w:val="0"/>
                <w:bCs w:val="0"/>
                <w:color w:val="auto"/>
                <w:sz w:val="24"/>
                <w:szCs w:val="24"/>
                <w:highlight w:val="none"/>
                <w:lang w:val="en-US"/>
              </w:rPr>
              <w:t>胶塞</w:t>
            </w:r>
            <w:r>
              <w:rPr>
                <w:rFonts w:hint="eastAsia" w:eastAsia="仿宋" w:cs="Times New Roman"/>
                <w:color w:val="auto"/>
                <w:sz w:val="24"/>
                <w:szCs w:val="24"/>
                <w:highlight w:val="none"/>
                <w:lang w:val="en-US" w:eastAsia="zh-CN"/>
              </w:rPr>
              <w:t>材质满足采购文件要求的得1分，需</w:t>
            </w:r>
            <w:r>
              <w:rPr>
                <w:rFonts w:hint="eastAsia" w:ascii="Times New Roman" w:hAnsi="Times New Roman" w:eastAsia="仿宋" w:cs="Times New Roman"/>
                <w:color w:val="auto"/>
                <w:sz w:val="24"/>
                <w:szCs w:val="24"/>
                <w:highlight w:val="none"/>
                <w:lang w:val="en-US" w:eastAsia="zh-CN"/>
              </w:rPr>
              <w:t>提供</w:t>
            </w:r>
            <w:r>
              <w:rPr>
                <w:rFonts w:hint="eastAsia" w:eastAsia="仿宋" w:cs="Times New Roman"/>
                <w:color w:val="auto"/>
                <w:sz w:val="24"/>
                <w:szCs w:val="24"/>
                <w:highlight w:val="none"/>
                <w:lang w:val="en-US" w:eastAsia="zh-CN"/>
              </w:rPr>
              <w:t>具有CMA认证</w:t>
            </w:r>
            <w:r>
              <w:rPr>
                <w:rFonts w:hint="eastAsia" w:ascii="Times New Roman" w:hAnsi="Times New Roman" w:eastAsia="仿宋" w:cs="Times New Roman"/>
                <w:color w:val="auto"/>
                <w:sz w:val="24"/>
                <w:szCs w:val="24"/>
                <w:highlight w:val="none"/>
                <w:lang w:val="en-US" w:eastAsia="zh-CN"/>
              </w:rPr>
              <w:t>的药品包装材料检测机构出具的材料检测报告复印件，否则不得分</w:t>
            </w:r>
            <w:r>
              <w:rPr>
                <w:rFonts w:hint="eastAsia" w:ascii="仿宋" w:hAnsi="仿宋" w:eastAsia="仿宋" w:cs="仿宋"/>
                <w:color w:val="auto"/>
                <w:sz w:val="24"/>
                <w:szCs w:val="24"/>
                <w:highlight w:val="none"/>
                <w:lang w:val="en-US" w:eastAsia="zh-CN"/>
              </w:rPr>
              <w:t>。</w:t>
            </w:r>
          </w:p>
        </w:tc>
        <w:tc>
          <w:tcPr>
            <w:tcW w:w="418" w:type="pct"/>
            <w:tcBorders>
              <w:tl2br w:val="nil"/>
              <w:tr2bl w:val="nil"/>
            </w:tcBorders>
            <w:vAlign w:val="center"/>
          </w:tcPr>
          <w:p w14:paraId="4863FDCA">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596" w:type="pct"/>
            <w:tcBorders>
              <w:tl2br w:val="nil"/>
              <w:tr2bl w:val="nil"/>
            </w:tcBorders>
            <w:vAlign w:val="center"/>
          </w:tcPr>
          <w:p w14:paraId="489FDE1C">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客观分</w:t>
            </w:r>
          </w:p>
        </w:tc>
        <w:tc>
          <w:tcPr>
            <w:tcW w:w="1152" w:type="pct"/>
            <w:tcBorders>
              <w:tl2br w:val="nil"/>
              <w:tr2bl w:val="nil"/>
            </w:tcBorders>
            <w:vAlign w:val="center"/>
          </w:tcPr>
          <w:p w14:paraId="6D2A5DA3">
            <w:pPr>
              <w:jc w:val="center"/>
              <w:rPr>
                <w:rFonts w:hint="eastAsia" w:ascii="仿宋" w:hAnsi="仿宋" w:eastAsia="仿宋" w:cs="仿宋"/>
                <w:color w:val="auto"/>
                <w:sz w:val="24"/>
                <w:szCs w:val="24"/>
                <w:highlight w:val="none"/>
              </w:rPr>
            </w:pPr>
          </w:p>
        </w:tc>
      </w:tr>
      <w:tr w14:paraId="4450D2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tcBorders>
              <w:tl2br w:val="nil"/>
              <w:tr2bl w:val="nil"/>
            </w:tcBorders>
            <w:vAlign w:val="center"/>
          </w:tcPr>
          <w:p w14:paraId="1EA1DA1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9.4</w:t>
            </w:r>
          </w:p>
        </w:tc>
        <w:tc>
          <w:tcPr>
            <w:tcW w:w="2424" w:type="pct"/>
            <w:tcBorders>
              <w:tl2br w:val="nil"/>
              <w:tr2bl w:val="nil"/>
            </w:tcBorders>
            <w:vAlign w:val="center"/>
          </w:tcPr>
          <w:p w14:paraId="3340BA20">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样品1【</w:t>
            </w:r>
            <w:r>
              <w:rPr>
                <w:rFonts w:hint="default" w:ascii="仿宋" w:hAnsi="仿宋" w:eastAsia="仿宋" w:cs="仿宋"/>
                <w:color w:val="auto"/>
                <w:sz w:val="24"/>
                <w:szCs w:val="24"/>
                <w:highlight w:val="none"/>
                <w:lang w:val="en-US" w:eastAsia="zh-CN"/>
              </w:rPr>
              <w:t>钠钙玻璃管制口服液体瓶套装</w:t>
            </w:r>
            <w:r>
              <w:rPr>
                <w:rFonts w:hint="eastAsia" w:ascii="仿宋" w:hAnsi="仿宋" w:eastAsia="仿宋" w:cs="仿宋"/>
                <w:color w:val="auto"/>
                <w:sz w:val="24"/>
                <w:szCs w:val="24"/>
                <w:highlight w:val="none"/>
                <w:lang w:val="en-US" w:eastAsia="zh-CN"/>
              </w:rPr>
              <w:t>（B型）】：制作工艺精良得1.5分；制作工艺普通得0.5分；制作工艺欠缺，外形有瑕疵及未提供不得分。</w:t>
            </w:r>
          </w:p>
        </w:tc>
        <w:tc>
          <w:tcPr>
            <w:tcW w:w="418" w:type="pct"/>
            <w:tcBorders>
              <w:tl2br w:val="nil"/>
              <w:tr2bl w:val="nil"/>
            </w:tcBorders>
            <w:vAlign w:val="center"/>
          </w:tcPr>
          <w:p w14:paraId="447A8077">
            <w:pPr>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w:t>
            </w:r>
          </w:p>
        </w:tc>
        <w:tc>
          <w:tcPr>
            <w:tcW w:w="596" w:type="pct"/>
            <w:tcBorders>
              <w:tl2br w:val="nil"/>
              <w:tr2bl w:val="nil"/>
            </w:tcBorders>
            <w:vAlign w:val="center"/>
          </w:tcPr>
          <w:p w14:paraId="03A90267">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1152" w:type="pct"/>
            <w:tcBorders>
              <w:tl2br w:val="nil"/>
              <w:tr2bl w:val="nil"/>
            </w:tcBorders>
            <w:vAlign w:val="center"/>
          </w:tcPr>
          <w:p w14:paraId="16E1D24C">
            <w:pPr>
              <w:jc w:val="center"/>
              <w:rPr>
                <w:rFonts w:hint="eastAsia" w:ascii="仿宋" w:hAnsi="仿宋" w:eastAsia="仿宋" w:cs="仿宋"/>
                <w:color w:val="auto"/>
                <w:sz w:val="24"/>
                <w:szCs w:val="24"/>
                <w:highlight w:val="none"/>
              </w:rPr>
            </w:pPr>
          </w:p>
        </w:tc>
      </w:tr>
      <w:tr w14:paraId="2CDA6A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tcBorders>
              <w:tl2br w:val="nil"/>
              <w:tr2bl w:val="nil"/>
            </w:tcBorders>
            <w:vAlign w:val="center"/>
          </w:tcPr>
          <w:p w14:paraId="2B5FA3F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9.5</w:t>
            </w:r>
          </w:p>
        </w:tc>
        <w:tc>
          <w:tcPr>
            <w:tcW w:w="2424" w:type="pct"/>
            <w:tcBorders>
              <w:tl2br w:val="nil"/>
              <w:tr2bl w:val="nil"/>
            </w:tcBorders>
            <w:vAlign w:val="center"/>
          </w:tcPr>
          <w:p w14:paraId="6D17CE70">
            <w:pPr>
              <w:spacing w:line="360" w:lineRule="auto"/>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样品2【</w:t>
            </w:r>
            <w:r>
              <w:rPr>
                <w:rFonts w:hint="default" w:ascii="仿宋" w:hAnsi="仿宋" w:eastAsia="仿宋" w:cs="仿宋"/>
                <w:color w:val="auto"/>
                <w:sz w:val="24"/>
                <w:szCs w:val="24"/>
                <w:highlight w:val="none"/>
                <w:lang w:val="en-US" w:eastAsia="zh-CN"/>
              </w:rPr>
              <w:t>钠钙玻璃管制口服液体瓶套装</w:t>
            </w:r>
            <w:r>
              <w:rPr>
                <w:rFonts w:hint="eastAsia" w:ascii="仿宋" w:hAnsi="仿宋" w:eastAsia="仿宋" w:cs="仿宋"/>
                <w:color w:val="auto"/>
                <w:sz w:val="24"/>
                <w:szCs w:val="24"/>
                <w:highlight w:val="none"/>
                <w:lang w:val="en-US" w:eastAsia="zh-CN"/>
              </w:rPr>
              <w:t>（C型）】：</w:t>
            </w:r>
          </w:p>
          <w:p w14:paraId="58A0C04B">
            <w:pPr>
              <w:numPr>
                <w:ilvl w:val="0"/>
                <w:numId w:val="12"/>
              </w:numPr>
              <w:spacing w:line="360" w:lineRule="auto"/>
              <w:outlineLvl w:val="0"/>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钠钙玻璃管</w:t>
            </w:r>
            <w:r>
              <w:rPr>
                <w:rFonts w:hint="eastAsia" w:ascii="仿宋" w:hAnsi="仿宋" w:eastAsia="仿宋" w:cs="仿宋"/>
                <w:color w:val="auto"/>
                <w:sz w:val="24"/>
                <w:szCs w:val="24"/>
                <w:highlight w:val="none"/>
                <w:lang w:val="en-US" w:eastAsia="zh-CN"/>
              </w:rPr>
              <w:t>无色透明或棕色透明，满足采购文件要求得1分</w:t>
            </w:r>
            <w:r>
              <w:rPr>
                <w:rFonts w:hint="eastAsia" w:eastAsia="仿宋" w:cs="Times New Roman"/>
                <w:color w:val="auto"/>
                <w:sz w:val="24"/>
                <w:szCs w:val="24"/>
                <w:highlight w:val="none"/>
                <w:lang w:val="en-US" w:eastAsia="zh-CN"/>
              </w:rPr>
              <w:t>；</w:t>
            </w:r>
          </w:p>
          <w:p w14:paraId="15976CD0">
            <w:pPr>
              <w:numPr>
                <w:ilvl w:val="0"/>
                <w:numId w:val="12"/>
              </w:numPr>
              <w:spacing w:line="360" w:lineRule="auto"/>
              <w:outlineLvl w:val="0"/>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sz w:val="24"/>
                <w:szCs w:val="24"/>
                <w:highlight w:val="none"/>
                <w:lang w:val="en-US" w:eastAsia="zh-CN"/>
              </w:rPr>
              <w:t>钠钙玻璃管</w:t>
            </w:r>
            <w:r>
              <w:rPr>
                <w:rFonts w:hint="eastAsia" w:eastAsia="仿宋" w:cs="Times New Roman"/>
                <w:color w:val="auto"/>
                <w:sz w:val="24"/>
                <w:szCs w:val="24"/>
                <w:highlight w:val="none"/>
                <w:lang w:val="en-US" w:eastAsia="zh-CN"/>
              </w:rPr>
              <w:t>材质满足采购文件要求的得1分，需</w:t>
            </w:r>
            <w:r>
              <w:rPr>
                <w:rFonts w:hint="eastAsia" w:ascii="Times New Roman" w:hAnsi="Times New Roman" w:eastAsia="仿宋" w:cs="Times New Roman"/>
                <w:color w:val="auto"/>
                <w:sz w:val="24"/>
                <w:szCs w:val="24"/>
                <w:highlight w:val="none"/>
                <w:lang w:val="en-US" w:eastAsia="zh-CN"/>
              </w:rPr>
              <w:t>提供</w:t>
            </w:r>
            <w:r>
              <w:rPr>
                <w:rFonts w:hint="eastAsia" w:eastAsia="仿宋" w:cs="Times New Roman"/>
                <w:color w:val="auto"/>
                <w:sz w:val="24"/>
                <w:szCs w:val="24"/>
                <w:highlight w:val="none"/>
                <w:lang w:val="en-US" w:eastAsia="zh-CN"/>
              </w:rPr>
              <w:t>具有CMA认证</w:t>
            </w:r>
            <w:r>
              <w:rPr>
                <w:rFonts w:hint="eastAsia" w:ascii="Times New Roman" w:hAnsi="Times New Roman" w:eastAsia="仿宋" w:cs="Times New Roman"/>
                <w:color w:val="auto"/>
                <w:sz w:val="24"/>
                <w:szCs w:val="24"/>
                <w:highlight w:val="none"/>
                <w:lang w:val="en-US" w:eastAsia="zh-CN"/>
              </w:rPr>
              <w:t>的药品包装材料检测机构出具的材料检测报告复印件，否则不得分</w:t>
            </w:r>
            <w:r>
              <w:rPr>
                <w:rFonts w:hint="eastAsia" w:ascii="仿宋" w:hAnsi="仿宋" w:eastAsia="仿宋" w:cs="仿宋"/>
                <w:color w:val="auto"/>
                <w:sz w:val="24"/>
                <w:szCs w:val="24"/>
                <w:highlight w:val="none"/>
                <w:lang w:val="en-US" w:eastAsia="zh-CN"/>
              </w:rPr>
              <w:t>。</w:t>
            </w:r>
          </w:p>
        </w:tc>
        <w:tc>
          <w:tcPr>
            <w:tcW w:w="418" w:type="pct"/>
            <w:tcBorders>
              <w:tl2br w:val="nil"/>
              <w:tr2bl w:val="nil"/>
            </w:tcBorders>
            <w:vAlign w:val="center"/>
          </w:tcPr>
          <w:p w14:paraId="11819423">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596" w:type="pct"/>
            <w:tcBorders>
              <w:tl2br w:val="nil"/>
              <w:tr2bl w:val="nil"/>
            </w:tcBorders>
            <w:vAlign w:val="center"/>
          </w:tcPr>
          <w:p w14:paraId="3898E1F9">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客观分</w:t>
            </w:r>
          </w:p>
        </w:tc>
        <w:tc>
          <w:tcPr>
            <w:tcW w:w="1152" w:type="pct"/>
            <w:tcBorders>
              <w:tl2br w:val="nil"/>
              <w:tr2bl w:val="nil"/>
            </w:tcBorders>
            <w:vAlign w:val="center"/>
          </w:tcPr>
          <w:p w14:paraId="36EE175B">
            <w:pPr>
              <w:jc w:val="center"/>
              <w:rPr>
                <w:rFonts w:hint="eastAsia" w:ascii="仿宋" w:hAnsi="仿宋" w:eastAsia="仿宋" w:cs="仿宋"/>
                <w:color w:val="auto"/>
                <w:sz w:val="24"/>
                <w:szCs w:val="24"/>
                <w:highlight w:val="none"/>
              </w:rPr>
            </w:pPr>
          </w:p>
        </w:tc>
      </w:tr>
      <w:tr w14:paraId="7C5486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tcBorders>
              <w:tl2br w:val="nil"/>
              <w:tr2bl w:val="nil"/>
            </w:tcBorders>
            <w:vAlign w:val="center"/>
          </w:tcPr>
          <w:p w14:paraId="0A818FB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9.6</w:t>
            </w:r>
          </w:p>
        </w:tc>
        <w:tc>
          <w:tcPr>
            <w:tcW w:w="2424" w:type="pct"/>
            <w:tcBorders>
              <w:tl2br w:val="nil"/>
              <w:tr2bl w:val="nil"/>
            </w:tcBorders>
            <w:vAlign w:val="center"/>
          </w:tcPr>
          <w:p w14:paraId="6EAB9FB7">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样品2【</w:t>
            </w:r>
            <w:r>
              <w:rPr>
                <w:rFonts w:hint="default" w:ascii="仿宋" w:hAnsi="仿宋" w:eastAsia="仿宋" w:cs="仿宋"/>
                <w:color w:val="auto"/>
                <w:sz w:val="24"/>
                <w:szCs w:val="24"/>
                <w:highlight w:val="none"/>
                <w:lang w:val="en-US" w:eastAsia="zh-CN"/>
              </w:rPr>
              <w:t>钠钙玻璃管制口服液体瓶套装</w:t>
            </w:r>
            <w:r>
              <w:rPr>
                <w:rFonts w:hint="eastAsia" w:ascii="仿宋" w:hAnsi="仿宋" w:eastAsia="仿宋" w:cs="仿宋"/>
                <w:color w:val="auto"/>
                <w:sz w:val="24"/>
                <w:szCs w:val="24"/>
                <w:highlight w:val="none"/>
                <w:lang w:val="en-US" w:eastAsia="zh-CN"/>
              </w:rPr>
              <w:t>（C型）】：</w:t>
            </w:r>
          </w:p>
          <w:p w14:paraId="6F446FA0">
            <w:pPr>
              <w:numPr>
                <w:ilvl w:val="0"/>
                <w:numId w:val="13"/>
              </w:numPr>
              <w:spacing w:line="360" w:lineRule="auto"/>
              <w:outlineLvl w:val="0"/>
              <w:rPr>
                <w:rFonts w:hint="eastAsia" w:eastAsia="仿宋" w:cs="Times New Roman"/>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铝盖清洁，无残留润滑剂，满足采购文件要求得1分</w:t>
            </w:r>
            <w:r>
              <w:rPr>
                <w:rFonts w:hint="eastAsia" w:eastAsia="仿宋" w:cs="Times New Roman"/>
                <w:color w:val="auto"/>
                <w:sz w:val="24"/>
                <w:szCs w:val="24"/>
                <w:highlight w:val="none"/>
                <w:lang w:val="en-US" w:eastAsia="zh-CN"/>
              </w:rPr>
              <w:t>；</w:t>
            </w:r>
          </w:p>
          <w:p w14:paraId="778ACC50">
            <w:pPr>
              <w:numPr>
                <w:ilvl w:val="0"/>
                <w:numId w:val="13"/>
              </w:numPr>
              <w:spacing w:line="360" w:lineRule="auto"/>
              <w:outlineLvl w:val="0"/>
              <w:rPr>
                <w:rFonts w:hint="eastAsia" w:ascii="Times New Roman" w:hAnsi="Times New Roman" w:eastAsia="仿宋" w:cs="Times New Roman"/>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铝盖</w:t>
            </w:r>
            <w:r>
              <w:rPr>
                <w:rFonts w:hint="eastAsia" w:eastAsia="仿宋" w:cs="Times New Roman"/>
                <w:color w:val="auto"/>
                <w:sz w:val="24"/>
                <w:szCs w:val="24"/>
                <w:highlight w:val="none"/>
                <w:lang w:val="en-US" w:eastAsia="zh-CN"/>
              </w:rPr>
              <w:t>材质满足采购文件要求的得1分，需</w:t>
            </w:r>
            <w:r>
              <w:rPr>
                <w:rFonts w:hint="eastAsia" w:ascii="Times New Roman" w:hAnsi="Times New Roman" w:eastAsia="仿宋" w:cs="Times New Roman"/>
                <w:color w:val="auto"/>
                <w:sz w:val="24"/>
                <w:szCs w:val="24"/>
                <w:highlight w:val="none"/>
                <w:lang w:val="en-US" w:eastAsia="zh-CN"/>
              </w:rPr>
              <w:t>提供</w:t>
            </w:r>
            <w:r>
              <w:rPr>
                <w:rFonts w:hint="eastAsia" w:eastAsia="仿宋" w:cs="Times New Roman"/>
                <w:color w:val="auto"/>
                <w:sz w:val="24"/>
                <w:szCs w:val="24"/>
                <w:highlight w:val="none"/>
                <w:lang w:val="en-US" w:eastAsia="zh-CN"/>
              </w:rPr>
              <w:t>具有CMA认证</w:t>
            </w:r>
            <w:r>
              <w:rPr>
                <w:rFonts w:hint="eastAsia" w:ascii="Times New Roman" w:hAnsi="Times New Roman" w:eastAsia="仿宋" w:cs="Times New Roman"/>
                <w:color w:val="auto"/>
                <w:sz w:val="24"/>
                <w:szCs w:val="24"/>
                <w:highlight w:val="none"/>
                <w:lang w:val="en-US" w:eastAsia="zh-CN"/>
              </w:rPr>
              <w:t>的药品包装材料检测机构出具的材料检测报告复印件，否则不得分</w:t>
            </w:r>
            <w:r>
              <w:rPr>
                <w:rFonts w:hint="eastAsia" w:ascii="仿宋" w:hAnsi="仿宋" w:eastAsia="仿宋" w:cs="仿宋"/>
                <w:color w:val="auto"/>
                <w:sz w:val="24"/>
                <w:szCs w:val="24"/>
                <w:highlight w:val="none"/>
                <w:lang w:val="en-US" w:eastAsia="zh-CN"/>
              </w:rPr>
              <w:t>。</w:t>
            </w:r>
          </w:p>
        </w:tc>
        <w:tc>
          <w:tcPr>
            <w:tcW w:w="418" w:type="pct"/>
            <w:tcBorders>
              <w:tl2br w:val="nil"/>
              <w:tr2bl w:val="nil"/>
            </w:tcBorders>
            <w:vAlign w:val="center"/>
          </w:tcPr>
          <w:p w14:paraId="7F1DCAC8">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596" w:type="pct"/>
            <w:tcBorders>
              <w:tl2br w:val="nil"/>
              <w:tr2bl w:val="nil"/>
            </w:tcBorders>
            <w:vAlign w:val="center"/>
          </w:tcPr>
          <w:p w14:paraId="481CB7FE">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客观分</w:t>
            </w:r>
          </w:p>
        </w:tc>
        <w:tc>
          <w:tcPr>
            <w:tcW w:w="1152" w:type="pct"/>
            <w:tcBorders>
              <w:tl2br w:val="nil"/>
              <w:tr2bl w:val="nil"/>
            </w:tcBorders>
            <w:vAlign w:val="center"/>
          </w:tcPr>
          <w:p w14:paraId="61717922">
            <w:pPr>
              <w:jc w:val="center"/>
              <w:rPr>
                <w:rFonts w:hint="eastAsia" w:ascii="仿宋" w:hAnsi="仿宋" w:eastAsia="仿宋" w:cs="仿宋"/>
                <w:color w:val="auto"/>
                <w:sz w:val="24"/>
                <w:szCs w:val="24"/>
                <w:highlight w:val="none"/>
              </w:rPr>
            </w:pPr>
          </w:p>
        </w:tc>
      </w:tr>
      <w:tr w14:paraId="57B6B3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tcBorders>
              <w:tl2br w:val="nil"/>
              <w:tr2bl w:val="nil"/>
            </w:tcBorders>
            <w:vAlign w:val="center"/>
          </w:tcPr>
          <w:p w14:paraId="5BD686C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9.7</w:t>
            </w:r>
          </w:p>
        </w:tc>
        <w:tc>
          <w:tcPr>
            <w:tcW w:w="2424" w:type="pct"/>
            <w:tcBorders>
              <w:tl2br w:val="nil"/>
              <w:tr2bl w:val="nil"/>
            </w:tcBorders>
            <w:vAlign w:val="center"/>
          </w:tcPr>
          <w:p w14:paraId="34D8C683">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样品2【</w:t>
            </w:r>
            <w:r>
              <w:rPr>
                <w:rFonts w:hint="default" w:ascii="仿宋" w:hAnsi="仿宋" w:eastAsia="仿宋" w:cs="仿宋"/>
                <w:color w:val="auto"/>
                <w:sz w:val="24"/>
                <w:szCs w:val="24"/>
                <w:highlight w:val="none"/>
                <w:lang w:val="en-US" w:eastAsia="zh-CN"/>
              </w:rPr>
              <w:t>钠钙玻璃管制口服液体瓶套装</w:t>
            </w:r>
            <w:r>
              <w:rPr>
                <w:rFonts w:hint="eastAsia" w:ascii="仿宋" w:hAnsi="仿宋" w:eastAsia="仿宋" w:cs="仿宋"/>
                <w:color w:val="auto"/>
                <w:sz w:val="24"/>
                <w:szCs w:val="24"/>
                <w:highlight w:val="none"/>
                <w:lang w:val="en-US" w:eastAsia="zh-CN"/>
              </w:rPr>
              <w:t>（C型）】：</w:t>
            </w:r>
          </w:p>
          <w:p w14:paraId="76DD1E9D">
            <w:pPr>
              <w:numPr>
                <w:ilvl w:val="0"/>
                <w:numId w:val="14"/>
              </w:num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胶塞清洁，无残留润滑剂，满足采购文件要求得1分；</w:t>
            </w:r>
          </w:p>
          <w:p w14:paraId="7357A81A">
            <w:pPr>
              <w:numPr>
                <w:ilvl w:val="0"/>
                <w:numId w:val="14"/>
              </w:num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胶塞</w:t>
            </w:r>
            <w:r>
              <w:rPr>
                <w:rFonts w:hint="eastAsia" w:eastAsia="仿宋" w:cs="Times New Roman"/>
                <w:color w:val="auto"/>
                <w:sz w:val="24"/>
                <w:szCs w:val="24"/>
                <w:highlight w:val="none"/>
                <w:lang w:val="en-US" w:eastAsia="zh-CN"/>
              </w:rPr>
              <w:t>材质满足采购文件要求的得1分，需</w:t>
            </w:r>
            <w:r>
              <w:rPr>
                <w:rFonts w:hint="eastAsia" w:ascii="Times New Roman" w:hAnsi="Times New Roman" w:eastAsia="仿宋" w:cs="Times New Roman"/>
                <w:color w:val="auto"/>
                <w:sz w:val="24"/>
                <w:szCs w:val="24"/>
                <w:highlight w:val="none"/>
                <w:lang w:val="en-US" w:eastAsia="zh-CN"/>
              </w:rPr>
              <w:t>提供</w:t>
            </w:r>
            <w:r>
              <w:rPr>
                <w:rFonts w:hint="eastAsia" w:eastAsia="仿宋" w:cs="Times New Roman"/>
                <w:color w:val="auto"/>
                <w:sz w:val="24"/>
                <w:szCs w:val="24"/>
                <w:highlight w:val="none"/>
                <w:lang w:val="en-US" w:eastAsia="zh-CN"/>
              </w:rPr>
              <w:t>具有CMA认证</w:t>
            </w:r>
            <w:r>
              <w:rPr>
                <w:rFonts w:hint="eastAsia" w:ascii="Times New Roman" w:hAnsi="Times New Roman" w:eastAsia="仿宋" w:cs="Times New Roman"/>
                <w:color w:val="auto"/>
                <w:sz w:val="24"/>
                <w:szCs w:val="24"/>
                <w:highlight w:val="none"/>
                <w:lang w:val="en-US" w:eastAsia="zh-CN"/>
              </w:rPr>
              <w:t>的药品包装材料检测机构出具的材料检测报告复印件，否则不得分</w:t>
            </w:r>
            <w:r>
              <w:rPr>
                <w:rFonts w:hint="eastAsia" w:ascii="仿宋" w:hAnsi="仿宋" w:eastAsia="仿宋" w:cs="仿宋"/>
                <w:color w:val="auto"/>
                <w:sz w:val="24"/>
                <w:szCs w:val="24"/>
                <w:highlight w:val="none"/>
                <w:lang w:val="en-US" w:eastAsia="zh-CN"/>
              </w:rPr>
              <w:t>。</w:t>
            </w:r>
          </w:p>
        </w:tc>
        <w:tc>
          <w:tcPr>
            <w:tcW w:w="418" w:type="pct"/>
            <w:tcBorders>
              <w:tl2br w:val="nil"/>
              <w:tr2bl w:val="nil"/>
            </w:tcBorders>
            <w:vAlign w:val="center"/>
          </w:tcPr>
          <w:p w14:paraId="20E40585">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596" w:type="pct"/>
            <w:tcBorders>
              <w:tl2br w:val="nil"/>
              <w:tr2bl w:val="nil"/>
            </w:tcBorders>
            <w:vAlign w:val="center"/>
          </w:tcPr>
          <w:p w14:paraId="1C33330B">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客观分</w:t>
            </w:r>
          </w:p>
        </w:tc>
        <w:tc>
          <w:tcPr>
            <w:tcW w:w="1152" w:type="pct"/>
            <w:tcBorders>
              <w:tl2br w:val="nil"/>
              <w:tr2bl w:val="nil"/>
            </w:tcBorders>
            <w:vAlign w:val="center"/>
          </w:tcPr>
          <w:p w14:paraId="4C3B5C1E">
            <w:pPr>
              <w:jc w:val="center"/>
              <w:rPr>
                <w:rFonts w:hint="eastAsia" w:ascii="仿宋" w:hAnsi="仿宋" w:eastAsia="仿宋" w:cs="仿宋"/>
                <w:color w:val="auto"/>
                <w:sz w:val="24"/>
                <w:szCs w:val="24"/>
                <w:highlight w:val="none"/>
              </w:rPr>
            </w:pPr>
          </w:p>
        </w:tc>
      </w:tr>
      <w:tr w14:paraId="705248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tcBorders>
              <w:tl2br w:val="nil"/>
              <w:tr2bl w:val="nil"/>
            </w:tcBorders>
            <w:vAlign w:val="center"/>
          </w:tcPr>
          <w:p w14:paraId="47BE8B8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9.8</w:t>
            </w:r>
          </w:p>
        </w:tc>
        <w:tc>
          <w:tcPr>
            <w:tcW w:w="2424" w:type="pct"/>
            <w:tcBorders>
              <w:tl2br w:val="nil"/>
              <w:tr2bl w:val="nil"/>
            </w:tcBorders>
            <w:vAlign w:val="center"/>
          </w:tcPr>
          <w:p w14:paraId="50967BC0">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样品2【</w:t>
            </w:r>
            <w:r>
              <w:rPr>
                <w:rFonts w:hint="default" w:ascii="仿宋" w:hAnsi="仿宋" w:eastAsia="仿宋" w:cs="仿宋"/>
                <w:color w:val="auto"/>
                <w:sz w:val="24"/>
                <w:szCs w:val="24"/>
                <w:highlight w:val="none"/>
                <w:lang w:val="en-US" w:eastAsia="zh-CN"/>
              </w:rPr>
              <w:t>钠钙玻璃管制口服液体瓶套装</w:t>
            </w:r>
            <w:r>
              <w:rPr>
                <w:rFonts w:hint="eastAsia" w:ascii="仿宋" w:hAnsi="仿宋" w:eastAsia="仿宋" w:cs="仿宋"/>
                <w:color w:val="auto"/>
                <w:sz w:val="24"/>
                <w:szCs w:val="24"/>
                <w:highlight w:val="none"/>
                <w:lang w:val="en-US" w:eastAsia="zh-CN"/>
              </w:rPr>
              <w:t>（C型）】：制作工艺精良得1.5分；制作工艺普通得0.5分；制作工艺欠缺，外形有瑕疵得或未提供不得分。</w:t>
            </w:r>
          </w:p>
        </w:tc>
        <w:tc>
          <w:tcPr>
            <w:tcW w:w="418" w:type="pct"/>
            <w:tcBorders>
              <w:tl2br w:val="nil"/>
              <w:tr2bl w:val="nil"/>
            </w:tcBorders>
            <w:vAlign w:val="center"/>
          </w:tcPr>
          <w:p w14:paraId="0D442EF4">
            <w:pPr>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w:t>
            </w:r>
          </w:p>
        </w:tc>
        <w:tc>
          <w:tcPr>
            <w:tcW w:w="596" w:type="pct"/>
            <w:tcBorders>
              <w:tl2br w:val="nil"/>
              <w:tr2bl w:val="nil"/>
            </w:tcBorders>
            <w:vAlign w:val="center"/>
          </w:tcPr>
          <w:p w14:paraId="628D1702">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1152" w:type="pct"/>
            <w:tcBorders>
              <w:tl2br w:val="nil"/>
              <w:tr2bl w:val="nil"/>
            </w:tcBorders>
            <w:vAlign w:val="center"/>
          </w:tcPr>
          <w:p w14:paraId="4862BD67">
            <w:pPr>
              <w:jc w:val="center"/>
              <w:rPr>
                <w:rFonts w:hint="eastAsia" w:ascii="仿宋" w:hAnsi="仿宋" w:eastAsia="仿宋" w:cs="仿宋"/>
                <w:color w:val="auto"/>
                <w:sz w:val="24"/>
                <w:szCs w:val="24"/>
                <w:highlight w:val="none"/>
              </w:rPr>
            </w:pPr>
          </w:p>
        </w:tc>
      </w:tr>
      <w:tr w14:paraId="2C51E7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tcBorders>
              <w:tl2br w:val="nil"/>
              <w:tr2bl w:val="nil"/>
            </w:tcBorders>
            <w:shd w:val="clear" w:color="auto" w:fill="auto"/>
            <w:vAlign w:val="center"/>
          </w:tcPr>
          <w:p w14:paraId="1B2BF2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10</w:t>
            </w:r>
          </w:p>
        </w:tc>
        <w:tc>
          <w:tcPr>
            <w:tcW w:w="2424" w:type="pct"/>
            <w:tcBorders>
              <w:tl2br w:val="nil"/>
              <w:tr2bl w:val="nil"/>
            </w:tcBorders>
            <w:shd w:val="clear" w:color="auto" w:fill="auto"/>
            <w:vAlign w:val="center"/>
          </w:tcPr>
          <w:p w14:paraId="4CA0AC6A">
            <w:pPr>
              <w:keepNext w:val="0"/>
              <w:keepLines w:val="0"/>
              <w:suppressLineNumbers w:val="0"/>
              <w:spacing w:before="0" w:beforeAutospacing="0" w:after="0" w:afterAutospacing="0" w:line="360" w:lineRule="auto"/>
              <w:ind w:left="0" w:leftChars="0" w:right="0" w:rightChars="0"/>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投标产品节能性、环保性评价</w:t>
            </w:r>
          </w:p>
        </w:tc>
        <w:tc>
          <w:tcPr>
            <w:tcW w:w="418" w:type="pct"/>
            <w:tcBorders>
              <w:tl2br w:val="nil"/>
              <w:tr2bl w:val="nil"/>
            </w:tcBorders>
            <w:shd w:val="clear" w:color="auto" w:fill="auto"/>
            <w:vAlign w:val="center"/>
          </w:tcPr>
          <w:p w14:paraId="439596E4">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p>
        </w:tc>
        <w:tc>
          <w:tcPr>
            <w:tcW w:w="596" w:type="pct"/>
            <w:tcBorders>
              <w:tl2br w:val="nil"/>
              <w:tr2bl w:val="nil"/>
            </w:tcBorders>
            <w:shd w:val="clear" w:color="auto" w:fill="auto"/>
            <w:vAlign w:val="center"/>
          </w:tcPr>
          <w:p w14:paraId="1C7FBED3">
            <w:pPr>
              <w:keepNext w:val="0"/>
              <w:keepLines w:val="0"/>
              <w:suppressLineNumbers w:val="0"/>
              <w:spacing w:before="0" w:beforeAutospacing="0" w:after="0" w:afterAutospacing="0" w:line="360" w:lineRule="auto"/>
              <w:ind w:left="0" w:leftChars="0" w:right="0" w:rightChars="0"/>
              <w:jc w:val="both"/>
              <w:outlineLvl w:val="0"/>
              <w:rPr>
                <w:rFonts w:hint="eastAsia" w:ascii="仿宋" w:hAnsi="仿宋" w:eastAsia="仿宋" w:cs="仿宋"/>
                <w:bCs/>
                <w:color w:val="auto"/>
                <w:kern w:val="2"/>
                <w:sz w:val="24"/>
                <w:szCs w:val="24"/>
                <w:highlight w:val="none"/>
                <w:lang w:val="en-US" w:eastAsia="zh-CN" w:bidi="ar-SA"/>
              </w:rPr>
            </w:pPr>
          </w:p>
        </w:tc>
        <w:tc>
          <w:tcPr>
            <w:tcW w:w="1152" w:type="pct"/>
            <w:tcBorders>
              <w:tl2br w:val="nil"/>
              <w:tr2bl w:val="nil"/>
            </w:tcBorders>
            <w:vAlign w:val="center"/>
          </w:tcPr>
          <w:p w14:paraId="18D9186E">
            <w:pPr>
              <w:jc w:val="center"/>
              <w:rPr>
                <w:rFonts w:hint="eastAsia" w:ascii="仿宋" w:hAnsi="仿宋" w:eastAsia="仿宋" w:cs="仿宋"/>
                <w:color w:val="auto"/>
                <w:sz w:val="24"/>
                <w:szCs w:val="24"/>
                <w:highlight w:val="none"/>
              </w:rPr>
            </w:pPr>
          </w:p>
        </w:tc>
      </w:tr>
      <w:tr w14:paraId="643336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tcBorders>
              <w:tl2br w:val="nil"/>
              <w:tr2bl w:val="nil"/>
            </w:tcBorders>
            <w:shd w:val="clear" w:color="auto" w:fill="auto"/>
            <w:vAlign w:val="center"/>
          </w:tcPr>
          <w:p w14:paraId="0F4142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10.1</w:t>
            </w:r>
          </w:p>
        </w:tc>
        <w:tc>
          <w:tcPr>
            <w:tcW w:w="2424" w:type="pct"/>
            <w:tcBorders>
              <w:tl2br w:val="nil"/>
              <w:tr2bl w:val="nil"/>
            </w:tcBorders>
            <w:shd w:val="clear" w:color="auto" w:fill="auto"/>
            <w:vAlign w:val="center"/>
          </w:tcPr>
          <w:p w14:paraId="40C7414F">
            <w:pPr>
              <w:keepNext w:val="0"/>
              <w:keepLines w:val="0"/>
              <w:suppressLineNumbers w:val="0"/>
              <w:spacing w:before="0" w:beforeAutospacing="0" w:after="0" w:afterAutospacing="0" w:line="360" w:lineRule="auto"/>
              <w:ind w:left="0" w:leftChars="0" w:right="0" w:rightChars="0"/>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投标产品取得有效的节能产品认证证书的，每个产品0.5分，最多得1分（列入强制采购节能产品清单目录的产品不计分）证明材料：提供国家确定的认证机构出具的、处于有效期之内的认证证书复印件</w:t>
            </w:r>
          </w:p>
        </w:tc>
        <w:tc>
          <w:tcPr>
            <w:tcW w:w="418" w:type="pct"/>
            <w:tcBorders>
              <w:tl2br w:val="nil"/>
              <w:tr2bl w:val="nil"/>
            </w:tcBorders>
            <w:shd w:val="clear" w:color="auto" w:fill="auto"/>
            <w:vAlign w:val="center"/>
          </w:tcPr>
          <w:p w14:paraId="6DBD423F">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596" w:type="pct"/>
            <w:tcBorders>
              <w:tl2br w:val="nil"/>
              <w:tr2bl w:val="nil"/>
            </w:tcBorders>
            <w:shd w:val="clear" w:color="auto" w:fill="auto"/>
            <w:vAlign w:val="center"/>
          </w:tcPr>
          <w:p w14:paraId="36076333">
            <w:pPr>
              <w:keepNext w:val="0"/>
              <w:keepLines w:val="0"/>
              <w:suppressLineNumbers w:val="0"/>
              <w:spacing w:before="0" w:beforeAutospacing="0" w:after="0" w:afterAutospacing="0" w:line="360" w:lineRule="auto"/>
              <w:ind w:left="0" w:leftChars="0" w:right="0" w:right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客观分</w:t>
            </w:r>
          </w:p>
        </w:tc>
        <w:tc>
          <w:tcPr>
            <w:tcW w:w="1152" w:type="pct"/>
            <w:tcBorders>
              <w:tl2br w:val="nil"/>
              <w:tr2bl w:val="nil"/>
            </w:tcBorders>
            <w:vAlign w:val="center"/>
          </w:tcPr>
          <w:p w14:paraId="526A7A02">
            <w:pPr>
              <w:jc w:val="center"/>
              <w:rPr>
                <w:rFonts w:hint="eastAsia" w:ascii="仿宋" w:hAnsi="仿宋" w:eastAsia="仿宋" w:cs="仿宋"/>
                <w:color w:val="auto"/>
                <w:sz w:val="24"/>
                <w:szCs w:val="24"/>
                <w:highlight w:val="none"/>
              </w:rPr>
            </w:pPr>
          </w:p>
        </w:tc>
      </w:tr>
      <w:tr w14:paraId="0143DE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tcBorders>
              <w:tl2br w:val="nil"/>
              <w:tr2bl w:val="nil"/>
            </w:tcBorders>
            <w:shd w:val="clear" w:color="auto" w:fill="auto"/>
            <w:vAlign w:val="center"/>
          </w:tcPr>
          <w:p w14:paraId="6C263A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center"/>
              <w:textAlignment w:val="auto"/>
              <w:outlineLvl w:val="0"/>
              <w:rPr>
                <w:rFonts w:hint="eastAsia" w:ascii="仿宋" w:hAnsi="仿宋" w:eastAsia="仿宋" w:cs="仿宋"/>
                <w:bCs/>
                <w:color w:val="auto"/>
                <w:kern w:val="2"/>
                <w:sz w:val="24"/>
                <w:szCs w:val="24"/>
                <w:highlight w:val="none"/>
                <w:lang w:val="en-US" w:eastAsia="zh-CN" w:bidi="ar-SA"/>
              </w:rPr>
            </w:pPr>
            <w:bookmarkStart w:id="435" w:name="_GoBack" w:colFirst="1" w:colLast="1"/>
            <w:r>
              <w:rPr>
                <w:rFonts w:hint="eastAsia" w:ascii="仿宋" w:hAnsi="仿宋" w:eastAsia="仿宋" w:cs="仿宋"/>
                <w:bCs/>
                <w:color w:val="auto"/>
                <w:sz w:val="24"/>
                <w:szCs w:val="24"/>
                <w:highlight w:val="none"/>
                <w:lang w:val="en-US" w:eastAsia="zh-CN"/>
              </w:rPr>
              <w:t>10.2</w:t>
            </w:r>
          </w:p>
        </w:tc>
        <w:tc>
          <w:tcPr>
            <w:tcW w:w="2424" w:type="pct"/>
            <w:tcBorders>
              <w:tl2br w:val="nil"/>
              <w:tr2bl w:val="nil"/>
            </w:tcBorders>
            <w:shd w:val="clear" w:color="auto" w:fill="auto"/>
            <w:vAlign w:val="center"/>
          </w:tcPr>
          <w:p w14:paraId="05743B1B">
            <w:pPr>
              <w:keepNext w:val="0"/>
              <w:keepLines w:val="0"/>
              <w:suppressLineNumbers w:val="0"/>
              <w:spacing w:before="0" w:beforeAutospacing="0" w:after="0" w:afterAutospacing="0" w:line="360" w:lineRule="auto"/>
              <w:ind w:left="0" w:leftChars="0" w:right="0" w:rightChars="0"/>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投标产品取得有效的环境标志产品认证证书的，每个产品得0.5分，最多得1分。</w:t>
            </w:r>
          </w:p>
          <w:p w14:paraId="231D6115">
            <w:pPr>
              <w:keepNext w:val="0"/>
              <w:keepLines w:val="0"/>
              <w:suppressLineNumbers w:val="0"/>
              <w:spacing w:before="0" w:beforeAutospacing="0" w:after="0" w:afterAutospacing="0" w:line="360" w:lineRule="auto"/>
              <w:ind w:left="0" w:leftChars="0" w:right="0" w:rightChars="0"/>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证明材料：提供国家确定的认证机构出具的、处于有效期之内的认证证书复印件</w:t>
            </w:r>
          </w:p>
        </w:tc>
        <w:tc>
          <w:tcPr>
            <w:tcW w:w="418" w:type="pct"/>
            <w:tcBorders>
              <w:tl2br w:val="nil"/>
              <w:tr2bl w:val="nil"/>
            </w:tcBorders>
            <w:shd w:val="clear" w:color="auto" w:fill="auto"/>
            <w:vAlign w:val="center"/>
          </w:tcPr>
          <w:p w14:paraId="46AAB597">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596" w:type="pct"/>
            <w:tcBorders>
              <w:tl2br w:val="nil"/>
              <w:tr2bl w:val="nil"/>
            </w:tcBorders>
            <w:shd w:val="clear" w:color="auto" w:fill="auto"/>
            <w:vAlign w:val="center"/>
          </w:tcPr>
          <w:p w14:paraId="1C49C07B">
            <w:pPr>
              <w:keepNext w:val="0"/>
              <w:keepLines w:val="0"/>
              <w:suppressLineNumbers w:val="0"/>
              <w:spacing w:before="0" w:beforeAutospacing="0" w:after="0" w:afterAutospacing="0" w:line="360" w:lineRule="auto"/>
              <w:ind w:left="0" w:leftChars="0" w:right="0" w:right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客观分</w:t>
            </w:r>
          </w:p>
        </w:tc>
        <w:tc>
          <w:tcPr>
            <w:tcW w:w="1152" w:type="pct"/>
            <w:tcBorders>
              <w:tl2br w:val="nil"/>
              <w:tr2bl w:val="nil"/>
            </w:tcBorders>
            <w:vAlign w:val="center"/>
          </w:tcPr>
          <w:p w14:paraId="2A264006">
            <w:pPr>
              <w:jc w:val="center"/>
              <w:rPr>
                <w:rFonts w:hint="eastAsia" w:ascii="仿宋" w:hAnsi="仿宋" w:eastAsia="仿宋" w:cs="仿宋"/>
                <w:color w:val="auto"/>
                <w:sz w:val="24"/>
                <w:szCs w:val="24"/>
                <w:highlight w:val="none"/>
              </w:rPr>
            </w:pPr>
          </w:p>
        </w:tc>
      </w:tr>
      <w:bookmarkEnd w:id="435"/>
      <w:tr w14:paraId="475ECA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tcBorders>
              <w:tl2br w:val="nil"/>
              <w:tr2bl w:val="nil"/>
            </w:tcBorders>
            <w:vAlign w:val="center"/>
          </w:tcPr>
          <w:p w14:paraId="40DBB062">
            <w:pPr>
              <w:spacing w:line="360" w:lineRule="auto"/>
              <w:ind w:firstLine="240" w:firstLineChars="100"/>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2424" w:type="pct"/>
            <w:tcBorders>
              <w:tl2br w:val="nil"/>
              <w:tr2bl w:val="nil"/>
            </w:tcBorders>
            <w:shd w:val="clear" w:color="auto" w:fill="auto"/>
            <w:vAlign w:val="center"/>
          </w:tcPr>
          <w:p w14:paraId="3DC46B21">
            <w:pPr>
              <w:widowControl/>
              <w:spacing w:line="360" w:lineRule="auto"/>
              <w:jc w:val="left"/>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有效投标报价的最低价作为评标基准价，其最低报价为满分；按［投标报价1得分=（评标基准价/投标报价）*30］的计算公式计算。</w:t>
            </w:r>
          </w:p>
          <w:p w14:paraId="29DFF677">
            <w:pPr>
              <w:widowControl/>
              <w:spacing w:line="360" w:lineRule="auto"/>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bCs/>
                <w:color w:val="auto"/>
                <w:sz w:val="24"/>
                <w:szCs w:val="24"/>
                <w:highlight w:val="none"/>
                <w:lang w:val="zh-CN"/>
              </w:rPr>
              <w:t>落实政府采购政策说明：本项目</w:t>
            </w:r>
            <w:r>
              <w:rPr>
                <w:rFonts w:hint="eastAsia" w:ascii="仿宋" w:hAnsi="仿宋" w:eastAsia="仿宋" w:cs="仿宋"/>
                <w:b/>
                <w:bCs/>
                <w:color w:val="auto"/>
                <w:sz w:val="24"/>
                <w:szCs w:val="24"/>
                <w:highlight w:val="none"/>
              </w:rPr>
              <w:t>专门</w:t>
            </w:r>
            <w:r>
              <w:rPr>
                <w:rFonts w:hint="eastAsia" w:ascii="仿宋" w:hAnsi="仿宋" w:eastAsia="仿宋" w:cs="仿宋"/>
                <w:b/>
                <w:bCs/>
                <w:color w:val="auto"/>
                <w:sz w:val="24"/>
                <w:szCs w:val="24"/>
                <w:highlight w:val="none"/>
                <w:lang w:val="zh-CN"/>
              </w:rPr>
              <w:t>面向</w:t>
            </w:r>
            <w:r>
              <w:rPr>
                <w:rFonts w:hint="eastAsia" w:ascii="仿宋" w:hAnsi="仿宋" w:eastAsia="仿宋" w:cs="仿宋"/>
                <w:b/>
                <w:bCs/>
                <w:color w:val="auto"/>
                <w:sz w:val="24"/>
                <w:szCs w:val="24"/>
                <w:highlight w:val="none"/>
              </w:rPr>
              <w:t>中小</w:t>
            </w:r>
            <w:r>
              <w:rPr>
                <w:rFonts w:hint="eastAsia" w:ascii="仿宋" w:hAnsi="仿宋" w:eastAsia="仿宋" w:cs="仿宋"/>
                <w:b/>
                <w:bCs/>
                <w:color w:val="auto"/>
                <w:sz w:val="24"/>
                <w:szCs w:val="24"/>
                <w:highlight w:val="none"/>
                <w:lang w:val="zh-CN"/>
              </w:rPr>
              <w:t>企业采购，</w:t>
            </w:r>
            <w:r>
              <w:rPr>
                <w:rFonts w:hint="eastAsia" w:ascii="仿宋" w:hAnsi="仿宋" w:eastAsia="仿宋" w:cs="仿宋"/>
                <w:b/>
                <w:bCs/>
                <w:color w:val="auto"/>
                <w:sz w:val="24"/>
                <w:szCs w:val="24"/>
                <w:highlight w:val="none"/>
              </w:rPr>
              <w:t>小微企业</w:t>
            </w:r>
            <w:r>
              <w:rPr>
                <w:rFonts w:hint="eastAsia" w:ascii="仿宋" w:hAnsi="仿宋" w:eastAsia="仿宋" w:cs="仿宋"/>
                <w:b/>
                <w:bCs/>
                <w:color w:val="auto"/>
                <w:sz w:val="24"/>
                <w:szCs w:val="24"/>
                <w:highlight w:val="none"/>
                <w:lang w:val="zh-CN"/>
              </w:rPr>
              <w:t>不进行价格扣除或价格分加分</w:t>
            </w:r>
            <w:r>
              <w:rPr>
                <w:rFonts w:hint="eastAsia" w:ascii="仿宋" w:hAnsi="仿宋" w:eastAsia="仿宋" w:cs="仿宋"/>
                <w:color w:val="auto"/>
                <w:sz w:val="24"/>
                <w:szCs w:val="24"/>
                <w:highlight w:val="none"/>
              </w:rPr>
              <w:t>。</w:t>
            </w:r>
          </w:p>
        </w:tc>
        <w:tc>
          <w:tcPr>
            <w:tcW w:w="418" w:type="pct"/>
            <w:tcBorders>
              <w:tl2br w:val="nil"/>
              <w:tr2bl w:val="nil"/>
            </w:tcBorders>
            <w:shd w:val="clear" w:color="auto" w:fill="auto"/>
            <w:vAlign w:val="center"/>
          </w:tcPr>
          <w:p w14:paraId="23262B1C">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30</w:t>
            </w:r>
          </w:p>
        </w:tc>
        <w:tc>
          <w:tcPr>
            <w:tcW w:w="596" w:type="pct"/>
            <w:tcBorders>
              <w:tl2br w:val="nil"/>
              <w:tr2bl w:val="nil"/>
            </w:tcBorders>
            <w:vAlign w:val="center"/>
          </w:tcPr>
          <w:p w14:paraId="57DF1BFC">
            <w:pPr>
              <w:spacing w:line="360" w:lineRule="auto"/>
              <w:jc w:val="both"/>
              <w:outlineLvl w:val="0"/>
              <w:rPr>
                <w:rFonts w:hint="eastAsia" w:ascii="仿宋" w:hAnsi="仿宋" w:eastAsia="仿宋" w:cs="仿宋"/>
                <w:bCs/>
                <w:color w:val="auto"/>
                <w:kern w:val="2"/>
                <w:sz w:val="24"/>
                <w:szCs w:val="24"/>
                <w:highlight w:val="none"/>
                <w:lang w:val="en-US" w:eastAsia="zh-CN" w:bidi="ar-SA"/>
              </w:rPr>
            </w:pPr>
            <w:bookmarkStart w:id="403" w:name="_Toc19432"/>
            <w:r>
              <w:rPr>
                <w:rFonts w:hint="eastAsia" w:ascii="仿宋" w:hAnsi="仿宋" w:eastAsia="仿宋" w:cs="仿宋"/>
                <w:bCs/>
                <w:color w:val="auto"/>
                <w:sz w:val="24"/>
                <w:szCs w:val="24"/>
                <w:highlight w:val="none"/>
                <w:lang w:val="en-US" w:eastAsia="zh-CN"/>
              </w:rPr>
              <w:t>客观分</w:t>
            </w:r>
          </w:p>
          <w:bookmarkEnd w:id="403"/>
        </w:tc>
        <w:tc>
          <w:tcPr>
            <w:tcW w:w="1152" w:type="pct"/>
            <w:tcBorders>
              <w:tl2br w:val="nil"/>
              <w:tr2bl w:val="nil"/>
            </w:tcBorders>
            <w:vAlign w:val="center"/>
          </w:tcPr>
          <w:p w14:paraId="232D7F1A">
            <w:pPr>
              <w:spacing w:line="360" w:lineRule="auto"/>
              <w:jc w:val="center"/>
              <w:outlineLvl w:val="0"/>
              <w:rPr>
                <w:rFonts w:hint="eastAsia" w:ascii="仿宋" w:hAnsi="仿宋" w:eastAsia="仿宋" w:cs="仿宋"/>
                <w:color w:val="auto"/>
                <w:sz w:val="24"/>
                <w:szCs w:val="24"/>
                <w:highlight w:val="none"/>
              </w:rPr>
            </w:pPr>
          </w:p>
        </w:tc>
      </w:tr>
    </w:tbl>
    <w:p w14:paraId="24B99354">
      <w:pPr>
        <w:pStyle w:val="50"/>
        <w:rPr>
          <w:rFonts w:hint="eastAsia" w:ascii="仿宋" w:hAnsi="仿宋" w:eastAsia="仿宋" w:cs="仿宋"/>
          <w:b/>
          <w:color w:val="auto"/>
          <w:sz w:val="28"/>
          <w:szCs w:val="28"/>
          <w:highlight w:val="none"/>
        </w:rPr>
      </w:pPr>
    </w:p>
    <w:p w14:paraId="55013B46">
      <w:pPr>
        <w:snapToGrid w:val="0"/>
        <w:spacing w:line="360" w:lineRule="auto"/>
        <w:rPr>
          <w:rFonts w:ascii="仿宋" w:hAnsi="仿宋" w:eastAsia="仿宋" w:cs="仿宋"/>
          <w:color w:val="auto"/>
          <w:sz w:val="20"/>
          <w:szCs w:val="20"/>
          <w:highlight w:val="none"/>
          <w:shd w:val="clear" w:color="auto" w:fill="FFFFFF"/>
        </w:rPr>
      </w:pPr>
    </w:p>
    <w:p w14:paraId="0941C213">
      <w:pPr>
        <w:snapToGrid w:val="0"/>
        <w:spacing w:line="360" w:lineRule="auto"/>
        <w:rPr>
          <w:rFonts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10876451">
      <w:pPr>
        <w:rPr>
          <w:rFonts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235BEDD3">
      <w:pPr>
        <w:numPr>
          <w:ilvl w:val="0"/>
          <w:numId w:val="15"/>
        </w:numPr>
        <w:snapToGrid w:val="0"/>
        <w:spacing w:line="360" w:lineRule="auto"/>
        <w:ind w:firstLine="0"/>
        <w:jc w:val="left"/>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评标方法</w:t>
      </w:r>
    </w:p>
    <w:p w14:paraId="42F51410">
      <w:pPr>
        <w:numPr>
          <w:ilvl w:val="255"/>
          <w:numId w:val="0"/>
        </w:numPr>
        <w:tabs>
          <w:tab w:val="left" w:pos="210"/>
        </w:tabs>
        <w:snapToGrid w:val="0"/>
        <w:spacing w:line="360" w:lineRule="auto"/>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2459A938">
      <w:pPr>
        <w:numPr>
          <w:ilvl w:val="0"/>
          <w:numId w:val="15"/>
        </w:numPr>
        <w:snapToGrid w:val="0"/>
        <w:spacing w:line="360" w:lineRule="auto"/>
        <w:ind w:firstLine="0"/>
        <w:jc w:val="left"/>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评标标准</w:t>
      </w:r>
    </w:p>
    <w:p w14:paraId="2DFAC9D4">
      <w:pPr>
        <w:numPr>
          <w:ilvl w:val="255"/>
          <w:numId w:val="0"/>
        </w:numPr>
        <w:tabs>
          <w:tab w:val="left" w:pos="210"/>
        </w:tabs>
        <w:snapToGrid w:val="0"/>
        <w:spacing w:line="360" w:lineRule="auto"/>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评标标准：</w:t>
      </w:r>
      <w:r>
        <w:rPr>
          <w:rFonts w:hint="eastAsia" w:ascii="仿宋" w:hAnsi="仿宋" w:eastAsia="仿宋" w:cs="仿宋"/>
          <w:color w:val="auto"/>
          <w:kern w:val="0"/>
          <w:sz w:val="24"/>
          <w:highlight w:val="none"/>
        </w:rPr>
        <w:t>见评标办法前附表。</w:t>
      </w:r>
    </w:p>
    <w:p w14:paraId="5447CA12">
      <w:pPr>
        <w:numPr>
          <w:ilvl w:val="0"/>
          <w:numId w:val="15"/>
        </w:numPr>
        <w:snapToGrid w:val="0"/>
        <w:spacing w:line="360" w:lineRule="auto"/>
        <w:ind w:firstLine="0"/>
        <w:jc w:val="left"/>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评标程序</w:t>
      </w:r>
    </w:p>
    <w:p w14:paraId="4BB745A2">
      <w:pPr>
        <w:numPr>
          <w:ilvl w:val="1"/>
          <w:numId w:val="16"/>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E3EA717">
      <w:pPr>
        <w:numPr>
          <w:ilvl w:val="1"/>
          <w:numId w:val="16"/>
        </w:numPr>
        <w:snapToGrid w:val="0"/>
        <w:spacing w:line="360" w:lineRule="auto"/>
        <w:ind w:left="0" w:firstLine="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4BAC9E5D">
      <w:pPr>
        <w:numPr>
          <w:ilvl w:val="1"/>
          <w:numId w:val="16"/>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67ACBD20">
      <w:pPr>
        <w:numPr>
          <w:ilvl w:val="255"/>
          <w:numId w:val="0"/>
        </w:numPr>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4A51DB62">
      <w:pPr>
        <w:numPr>
          <w:ilvl w:val="1"/>
          <w:numId w:val="16"/>
        </w:numPr>
        <w:snapToGrid w:val="0"/>
        <w:spacing w:line="360" w:lineRule="auto"/>
        <w:ind w:left="0" w:firstLine="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报价评审。</w:t>
      </w:r>
    </w:p>
    <w:p w14:paraId="53B2D4D1">
      <w:pPr>
        <w:numPr>
          <w:ilvl w:val="2"/>
          <w:numId w:val="16"/>
        </w:numPr>
        <w:snapToGrid w:val="0"/>
        <w:spacing w:line="360" w:lineRule="auto"/>
        <w:ind w:left="0" w:firstLine="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投标文件报价出现前后不一致的，按照下列规定修正：</w:t>
      </w:r>
    </w:p>
    <w:p w14:paraId="4A79657B">
      <w:pPr>
        <w:numPr>
          <w:ilvl w:val="3"/>
          <w:numId w:val="16"/>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投标文件中开标一览表(报价表)内容与投标文件中相应内容不一致的，以开标一览表(报价表)为准;</w:t>
      </w:r>
    </w:p>
    <w:p w14:paraId="46F754A1">
      <w:pPr>
        <w:numPr>
          <w:ilvl w:val="3"/>
          <w:numId w:val="16"/>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大写金额和小写金额不一致的，以大写金额为准;</w:t>
      </w:r>
    </w:p>
    <w:p w14:paraId="02C0FBC3">
      <w:pPr>
        <w:numPr>
          <w:ilvl w:val="3"/>
          <w:numId w:val="16"/>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单价金额小数点或者百分比有明显错位的，以开标一览表的总价为准，并修改单价;</w:t>
      </w:r>
    </w:p>
    <w:p w14:paraId="3B0816FF">
      <w:pPr>
        <w:numPr>
          <w:ilvl w:val="3"/>
          <w:numId w:val="16"/>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总价金额与按单价汇总金额不一致的，以单价金额计算结果为准。</w:t>
      </w:r>
    </w:p>
    <w:p w14:paraId="66ECCBB7">
      <w:pPr>
        <w:numPr>
          <w:ilvl w:val="3"/>
          <w:numId w:val="16"/>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3A555E6B">
      <w:pPr>
        <w:numPr>
          <w:ilvl w:val="2"/>
          <w:numId w:val="16"/>
        </w:numPr>
        <w:snapToGrid w:val="0"/>
        <w:spacing w:line="360" w:lineRule="auto"/>
        <w:ind w:left="0" w:firstLine="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投标文件出现不是唯一的、有选择性投标报价的，投标无效。</w:t>
      </w:r>
    </w:p>
    <w:p w14:paraId="391D68B3">
      <w:pPr>
        <w:numPr>
          <w:ilvl w:val="2"/>
          <w:numId w:val="16"/>
        </w:numPr>
        <w:snapToGrid w:val="0"/>
        <w:spacing w:line="360" w:lineRule="auto"/>
        <w:ind w:left="0" w:firstLine="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投标报价超过招标文件中规定的预算金额或者最高限价的，投标无效。</w:t>
      </w:r>
    </w:p>
    <w:p w14:paraId="3F270A76">
      <w:pPr>
        <w:numPr>
          <w:ilvl w:val="2"/>
          <w:numId w:val="16"/>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F1157F2">
      <w:pPr>
        <w:numPr>
          <w:ilvl w:val="2"/>
          <w:numId w:val="16"/>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kern w:val="0"/>
          <w:sz w:val="24"/>
          <w:highlight w:val="none"/>
        </w:rPr>
        <w:t>10%</w:t>
      </w:r>
      <w:r>
        <w:rPr>
          <w:rFonts w:hint="eastAsia" w:ascii="仿宋" w:hAnsi="仿宋" w:eastAsia="仿宋" w:cs="仿宋"/>
          <w:color w:val="auto"/>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kern w:val="0"/>
          <w:sz w:val="24"/>
          <w:highlight w:val="none"/>
        </w:rPr>
        <w:t>4%</w:t>
      </w:r>
      <w:r>
        <w:rPr>
          <w:rFonts w:hint="eastAsia" w:ascii="仿宋" w:hAnsi="仿宋" w:eastAsia="仿宋" w:cs="仿宋"/>
          <w:color w:val="auto"/>
          <w:kern w:val="0"/>
          <w:sz w:val="24"/>
          <w:highlight w:val="none"/>
        </w:rPr>
        <w:t>的扣除，用扣除后的价格参加评审。组成联合体或者接受分包的小微企业与联合体内其他企业、分包企业之间存在直接控股、管理关系的，不享受价格扣除优惠政策。</w:t>
      </w:r>
    </w:p>
    <w:p w14:paraId="64747E38">
      <w:pPr>
        <w:numPr>
          <w:ilvl w:val="1"/>
          <w:numId w:val="16"/>
        </w:numPr>
        <w:snapToGrid w:val="0"/>
        <w:spacing w:line="360" w:lineRule="auto"/>
        <w:ind w:left="0" w:firstLine="0"/>
        <w:jc w:val="left"/>
        <w:rPr>
          <w:rFonts w:ascii="仿宋" w:hAnsi="仿宋" w:eastAsia="仿宋" w:cs="仿宋"/>
          <w:b w:val="0"/>
          <w:bCs w:val="0"/>
          <w:color w:val="auto"/>
          <w:kern w:val="0"/>
          <w:sz w:val="24"/>
          <w:highlight w:val="none"/>
        </w:rPr>
      </w:pPr>
      <w:r>
        <w:rPr>
          <w:rFonts w:hint="eastAsia" w:ascii="仿宋" w:hAnsi="仿宋" w:eastAsia="仿宋" w:cs="仿宋"/>
          <w:b/>
          <w:bCs/>
          <w:color w:val="auto"/>
          <w:kern w:val="0"/>
          <w:sz w:val="24"/>
          <w:highlight w:val="none"/>
        </w:rPr>
        <w:t>排序与推荐。</w:t>
      </w:r>
      <w:r>
        <w:rPr>
          <w:rFonts w:hint="eastAsia" w:ascii="仿宋" w:hAnsi="仿宋" w:eastAsia="仿宋" w:cs="仿宋"/>
          <w:b w:val="0"/>
          <w:bCs w:val="0"/>
          <w:color w:val="auto"/>
          <w:kern w:val="0"/>
          <w:sz w:val="24"/>
          <w:highlight w:val="none"/>
        </w:rPr>
        <w:t>采用综合评分法的，评标结果按评审后得分由高到低顺序排列。得分相同的，按投标报价由低到高顺序排列。得分且投标报价相同的并列。</w:t>
      </w:r>
      <w:r>
        <w:rPr>
          <w:rFonts w:hint="eastAsia" w:ascii="仿宋" w:hAnsi="仿宋" w:eastAsia="仿宋" w:cs="仿宋"/>
          <w:b/>
          <w:bCs/>
          <w:color w:val="auto"/>
          <w:kern w:val="0"/>
          <w:sz w:val="24"/>
          <w:highlight w:val="none"/>
          <w:lang w:eastAsia="zh-CN"/>
        </w:rPr>
        <w:t>采购文件中未特别说明的，评标委员会推荐的中标候选人数量为</w:t>
      </w:r>
      <w:r>
        <w:rPr>
          <w:rFonts w:hint="eastAsia" w:ascii="仿宋" w:hAnsi="仿宋" w:eastAsia="仿宋" w:cs="仿宋"/>
          <w:b/>
          <w:bCs/>
          <w:color w:val="auto"/>
          <w:kern w:val="0"/>
          <w:sz w:val="24"/>
          <w:highlight w:val="none"/>
          <w:lang w:val="en-US" w:eastAsia="zh-CN"/>
        </w:rPr>
        <w:t>1名</w:t>
      </w:r>
      <w:r>
        <w:rPr>
          <w:rFonts w:hint="eastAsia" w:ascii="仿宋" w:hAnsi="仿宋" w:eastAsia="仿宋" w:cs="仿宋"/>
          <w:b w:val="0"/>
          <w:bCs w:val="0"/>
          <w:color w:val="auto"/>
          <w:kern w:val="0"/>
          <w:sz w:val="24"/>
          <w:highlight w:val="none"/>
        </w:rPr>
        <w:t>。</w:t>
      </w:r>
    </w:p>
    <w:p w14:paraId="411CDA36">
      <w:pPr>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190675C">
      <w:pPr>
        <w:numPr>
          <w:ilvl w:val="1"/>
          <w:numId w:val="16"/>
        </w:numPr>
        <w:snapToGrid w:val="0"/>
        <w:spacing w:line="360" w:lineRule="auto"/>
        <w:ind w:left="0" w:firstLine="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评分时保留小数点后1位小数，计算评分值时保留小数点后2位小数。</w:t>
      </w:r>
    </w:p>
    <w:p w14:paraId="4967C4BC">
      <w:pPr>
        <w:numPr>
          <w:ilvl w:val="1"/>
          <w:numId w:val="16"/>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E269B35">
      <w:pPr>
        <w:numPr>
          <w:ilvl w:val="0"/>
          <w:numId w:val="15"/>
        </w:numPr>
        <w:snapToGrid w:val="0"/>
        <w:spacing w:line="360" w:lineRule="auto"/>
        <w:ind w:firstLine="0"/>
        <w:jc w:val="left"/>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评标中的其他事项</w:t>
      </w:r>
    </w:p>
    <w:p w14:paraId="2B6D901E">
      <w:pPr>
        <w:numPr>
          <w:ilvl w:val="1"/>
          <w:numId w:val="17"/>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投标人澄清、说明或者补正。</w:t>
      </w:r>
      <w:r>
        <w:rPr>
          <w:rFonts w:hint="eastAsia" w:ascii="仿宋" w:hAnsi="仿宋" w:eastAsia="仿宋" w:cs="仿宋"/>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00B47A9">
      <w:pPr>
        <w:numPr>
          <w:ilvl w:val="1"/>
          <w:numId w:val="17"/>
        </w:numPr>
        <w:tabs>
          <w:tab w:val="left" w:pos="21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投标无效。有下列情况之一的，投标无效：</w:t>
      </w:r>
    </w:p>
    <w:p w14:paraId="443B9777">
      <w:pPr>
        <w:numPr>
          <w:ilvl w:val="2"/>
          <w:numId w:val="17"/>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投标人不具备招标文件中规定的资格要求的（投标人未提供有效的资格文件的，视为投标人不具备招标文件中规定的资格要求）；</w:t>
      </w:r>
    </w:p>
    <w:p w14:paraId="0CF0AE5A">
      <w:pPr>
        <w:numPr>
          <w:ilvl w:val="2"/>
          <w:numId w:val="17"/>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投标文件未按照招标文件要求签署、盖章的；</w:t>
      </w:r>
    </w:p>
    <w:p w14:paraId="05C41207">
      <w:pPr>
        <w:numPr>
          <w:ilvl w:val="2"/>
          <w:numId w:val="17"/>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采购人拟采购的产品属于政府强制采购的节能产品品目清单范围的，投标人未按招标文件要求提供国家确定的认证机构出具的、处于有效期之内的节能产品认证证书的；</w:t>
      </w:r>
    </w:p>
    <w:p w14:paraId="4C173BFC">
      <w:pPr>
        <w:numPr>
          <w:ilvl w:val="2"/>
          <w:numId w:val="17"/>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投标文件含有采购人不能接受的附加条件的；</w:t>
      </w:r>
    </w:p>
    <w:p w14:paraId="06FDE9C7">
      <w:pPr>
        <w:numPr>
          <w:ilvl w:val="2"/>
          <w:numId w:val="17"/>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投标文件中承诺的投标有效期少于招标文件中载明的投标有效期的；</w:t>
      </w:r>
    </w:p>
    <w:p w14:paraId="3B9E4C5A">
      <w:pPr>
        <w:numPr>
          <w:ilvl w:val="2"/>
          <w:numId w:val="17"/>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投标文件出现不是唯一的、有选择性投标报价的;</w:t>
      </w:r>
    </w:p>
    <w:p w14:paraId="7E344B40">
      <w:pPr>
        <w:numPr>
          <w:ilvl w:val="2"/>
          <w:numId w:val="17"/>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投标报价超过招标文件中规定的预算金额或者最高限价的;</w:t>
      </w:r>
    </w:p>
    <w:p w14:paraId="0ACE45F3">
      <w:pPr>
        <w:numPr>
          <w:ilvl w:val="2"/>
          <w:numId w:val="17"/>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70DA85EA">
      <w:pPr>
        <w:numPr>
          <w:ilvl w:val="2"/>
          <w:numId w:val="17"/>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投标人对根据修正原则修正后的报价不确认的；</w:t>
      </w:r>
    </w:p>
    <w:p w14:paraId="6ABD333D">
      <w:pPr>
        <w:numPr>
          <w:ilvl w:val="2"/>
          <w:numId w:val="17"/>
        </w:numPr>
        <w:tabs>
          <w:tab w:val="left" w:pos="210"/>
          <w:tab w:val="left" w:pos="840"/>
          <w:tab w:val="left" w:pos="1050"/>
          <w:tab w:val="left" w:pos="126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投标人提供虚假材料投标的；</w:t>
      </w:r>
    </w:p>
    <w:p w14:paraId="01391CEC">
      <w:pPr>
        <w:numPr>
          <w:ilvl w:val="2"/>
          <w:numId w:val="17"/>
        </w:numPr>
        <w:tabs>
          <w:tab w:val="left" w:pos="210"/>
          <w:tab w:val="left" w:pos="840"/>
          <w:tab w:val="left" w:pos="1050"/>
          <w:tab w:val="left" w:pos="126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投标人有恶意串通、妨碍其他投标人的竞争行为、损害采购人或者其他投标人的合法权益情形的；</w:t>
      </w:r>
    </w:p>
    <w:p w14:paraId="57AEFCD4">
      <w:pPr>
        <w:pStyle w:val="20"/>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同一标项下出现下列情况，供应商不能作出合理解释的，投标无效：</w:t>
      </w:r>
    </w:p>
    <w:p w14:paraId="0AEBD40E">
      <w:pPr>
        <w:pStyle w:val="20"/>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不同供应商的电子投标（响应）文件上传计算机的</w:t>
      </w:r>
      <w:r>
        <w:rPr>
          <w:rFonts w:hint="eastAsia" w:ascii="仿宋" w:hAnsi="仿宋" w:eastAsia="仿宋" w:cs="仿宋"/>
          <w:b/>
          <w:bCs/>
          <w:color w:val="auto"/>
          <w:highlight w:val="none"/>
          <w:lang w:val="en-US" w:eastAsia="zh-CN"/>
        </w:rPr>
        <w:t>IP地址、</w:t>
      </w:r>
      <w:r>
        <w:rPr>
          <w:rFonts w:hint="eastAsia" w:ascii="仿宋" w:hAnsi="仿宋" w:eastAsia="仿宋" w:cs="仿宋"/>
          <w:b/>
          <w:bCs/>
          <w:color w:val="auto"/>
          <w:highlight w:val="none"/>
        </w:rPr>
        <w:t>网卡MAC地址、CPU序列号和硬盘序列号等硬件信息相同的；</w:t>
      </w:r>
    </w:p>
    <w:p w14:paraId="751C0D22">
      <w:pPr>
        <w:pStyle w:val="20"/>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上传的电子投标（响应）文件若出现使用本项目其他投标（响应）供应商的数字证书加密的，或者加盖本项目其他投标（响应）供应商的电子印章的；</w:t>
      </w:r>
    </w:p>
    <w:p w14:paraId="3AD6848D">
      <w:pPr>
        <w:pStyle w:val="20"/>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不同供应商的投标（响应）文件的内容存在三处（含）以上错误一致；</w:t>
      </w:r>
    </w:p>
    <w:p w14:paraId="32FF0BC0">
      <w:pPr>
        <w:pStyle w:val="20"/>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不同供应商联系人为同一人或不同联系人的联系电话一致。</w:t>
      </w:r>
    </w:p>
    <w:p w14:paraId="4FE761A3">
      <w:pPr>
        <w:numPr>
          <w:ilvl w:val="2"/>
          <w:numId w:val="17"/>
        </w:numPr>
        <w:tabs>
          <w:tab w:val="left" w:pos="210"/>
          <w:tab w:val="left" w:pos="840"/>
          <w:tab w:val="left" w:pos="1050"/>
          <w:tab w:val="left" w:pos="126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投标人仅提交备份投标文件，没有在电子交易平台传输递交投标文件的，投标无效；</w:t>
      </w:r>
    </w:p>
    <w:p w14:paraId="216B0D4B">
      <w:pPr>
        <w:numPr>
          <w:ilvl w:val="2"/>
          <w:numId w:val="17"/>
        </w:numPr>
        <w:tabs>
          <w:tab w:val="left" w:pos="210"/>
          <w:tab w:val="left" w:pos="840"/>
          <w:tab w:val="left" w:pos="1050"/>
          <w:tab w:val="left" w:pos="126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投标文件不满足招标文件的其它实质性要求的；</w:t>
      </w:r>
    </w:p>
    <w:p w14:paraId="295B5C66">
      <w:pPr>
        <w:numPr>
          <w:ilvl w:val="2"/>
          <w:numId w:val="17"/>
        </w:numPr>
        <w:tabs>
          <w:tab w:val="left" w:pos="210"/>
          <w:tab w:val="left" w:pos="840"/>
          <w:tab w:val="left" w:pos="1050"/>
          <w:tab w:val="left" w:pos="126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法律、法规、规章（适用本市的）及省级以上规范性文件（适用本市的）规定的其他无效情形。</w:t>
      </w:r>
    </w:p>
    <w:p w14:paraId="65A7DA18">
      <w:pPr>
        <w:numPr>
          <w:ilvl w:val="0"/>
          <w:numId w:val="17"/>
        </w:numPr>
        <w:tabs>
          <w:tab w:val="left" w:pos="210"/>
          <w:tab w:val="clear" w:pos="399"/>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废标。</w:t>
      </w:r>
      <w:r>
        <w:rPr>
          <w:rFonts w:hint="eastAsia" w:ascii="仿宋" w:hAnsi="仿宋" w:eastAsia="仿宋" w:cs="仿宋"/>
          <w:color w:val="auto"/>
          <w:kern w:val="0"/>
          <w:sz w:val="24"/>
          <w:highlight w:val="none"/>
        </w:rPr>
        <w:t>根据《中华人民共和国政府采购法》第三十六条之规定，在采购中，出现下列情形之一的，应予废标：</w:t>
      </w:r>
    </w:p>
    <w:p w14:paraId="5DE42BD9">
      <w:pPr>
        <w:numPr>
          <w:ilvl w:val="1"/>
          <w:numId w:val="17"/>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符合专业条件的供应商或者对招标文件作实质响应的供应商不足3家的；</w:t>
      </w:r>
    </w:p>
    <w:p w14:paraId="09D3606C">
      <w:pPr>
        <w:numPr>
          <w:ilvl w:val="1"/>
          <w:numId w:val="17"/>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出现影响采购公正的违法、违规行为的；</w:t>
      </w:r>
    </w:p>
    <w:p w14:paraId="2C216E61">
      <w:pPr>
        <w:numPr>
          <w:ilvl w:val="1"/>
          <w:numId w:val="17"/>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投标人的报价均超过了采购预算，采购人不能支付的；</w:t>
      </w:r>
    </w:p>
    <w:p w14:paraId="5B3F93C7">
      <w:pPr>
        <w:numPr>
          <w:ilvl w:val="1"/>
          <w:numId w:val="17"/>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因重大变故，采购任务取消的。</w:t>
      </w:r>
    </w:p>
    <w:p w14:paraId="1AD446C7">
      <w:pPr>
        <w:pStyle w:val="24"/>
        <w:snapToGrid w:val="0"/>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04FD28E3">
      <w:pPr>
        <w:numPr>
          <w:ilvl w:val="0"/>
          <w:numId w:val="17"/>
        </w:numPr>
        <w:tabs>
          <w:tab w:val="left" w:pos="210"/>
          <w:tab w:val="clear" w:pos="399"/>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修改招标文件，重新组织采购活动。</w:t>
      </w:r>
      <w:r>
        <w:rPr>
          <w:rFonts w:hint="eastAsia" w:ascii="仿宋" w:hAnsi="仿宋" w:eastAsia="仿宋" w:cs="仿宋"/>
          <w:color w:val="auto"/>
          <w:kern w:val="0"/>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A56FDA8">
      <w:pPr>
        <w:numPr>
          <w:ilvl w:val="0"/>
          <w:numId w:val="17"/>
        </w:numPr>
        <w:tabs>
          <w:tab w:val="left" w:pos="210"/>
          <w:tab w:val="clear" w:pos="399"/>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重新开展采购。</w:t>
      </w:r>
      <w:r>
        <w:rPr>
          <w:rFonts w:hint="eastAsia" w:ascii="仿宋" w:hAnsi="仿宋" w:eastAsia="仿宋" w:cs="仿宋"/>
          <w:color w:val="auto"/>
          <w:kern w:val="0"/>
          <w:sz w:val="24"/>
          <w:highlight w:val="none"/>
        </w:rPr>
        <w:t>有政府采购法第七十一条、第七十二条规定的违法行为之一，影响或者可能影响中标、成交结果的，依照下列规定处理：</w:t>
      </w:r>
    </w:p>
    <w:p w14:paraId="628E3169">
      <w:pPr>
        <w:numPr>
          <w:ilvl w:val="1"/>
          <w:numId w:val="19"/>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未确定中标或者中标人的，终止本次政府采购活动，重新开展政府采购活动。</w:t>
      </w:r>
    </w:p>
    <w:p w14:paraId="23A97F8F">
      <w:pPr>
        <w:numPr>
          <w:ilvl w:val="1"/>
          <w:numId w:val="19"/>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14:paraId="2CC6BE32">
      <w:pPr>
        <w:numPr>
          <w:ilvl w:val="1"/>
          <w:numId w:val="19"/>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政府采购合同已签订但尚未履行的，撤销合同，从合格的中标或者成交候选人中另行确定中标或者中标人；没有合格的中标或者成交候选人的，重新开展政府采购活动。</w:t>
      </w:r>
    </w:p>
    <w:p w14:paraId="59917DC1">
      <w:pPr>
        <w:numPr>
          <w:ilvl w:val="1"/>
          <w:numId w:val="19"/>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政府采购合同已经履行，给采购人、供应商造成损失的，由责任人承担赔偿责任。</w:t>
      </w:r>
    </w:p>
    <w:p w14:paraId="3EACF43B">
      <w:pPr>
        <w:numPr>
          <w:ilvl w:val="1"/>
          <w:numId w:val="19"/>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政府采购当事人有其他违反政府采购法或者政府采购法实施条例等法律法规规定的行为，经改正后仍然影响或者可能影响中标、成交结果或者依法被认定为中标、成交无效的，依照7.1-7.4规定处理。</w:t>
      </w:r>
    </w:p>
    <w:p w14:paraId="6DBEAE3B">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r>
        <w:rPr>
          <w:rFonts w:hint="eastAsia" w:ascii="仿宋" w:hAnsi="仿宋" w:eastAsia="仿宋" w:cs="仿宋"/>
          <w:b/>
          <w:color w:val="auto"/>
          <w:sz w:val="36"/>
          <w:szCs w:val="36"/>
          <w:highlight w:val="none"/>
        </w:rPr>
        <w:t>第五部分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拟签订的合同文本</w:t>
      </w:r>
    </w:p>
    <w:p w14:paraId="556FE523">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14:paraId="0A89F507">
      <w:pPr>
        <w:spacing w:line="480" w:lineRule="auto"/>
        <w:jc w:val="center"/>
        <w:rPr>
          <w:rFonts w:ascii="仿宋" w:hAnsi="仿宋" w:eastAsia="仿宋" w:cs="仿宋"/>
          <w:b/>
          <w:color w:val="auto"/>
          <w:sz w:val="28"/>
          <w:szCs w:val="28"/>
          <w:highlight w:val="none"/>
        </w:rPr>
      </w:pPr>
    </w:p>
    <w:p w14:paraId="2209115A">
      <w:pPr>
        <w:spacing w:line="480" w:lineRule="auto"/>
        <w:jc w:val="center"/>
        <w:rPr>
          <w:rFonts w:ascii="仿宋" w:hAnsi="仿宋" w:eastAsia="仿宋" w:cs="仿宋"/>
          <w:b/>
          <w:color w:val="auto"/>
          <w:sz w:val="24"/>
          <w:highlight w:val="none"/>
        </w:rPr>
      </w:pPr>
    </w:p>
    <w:p w14:paraId="2344E668">
      <w:pPr>
        <w:pStyle w:val="24"/>
        <w:rPr>
          <w:rFonts w:ascii="仿宋" w:hAnsi="仿宋" w:eastAsia="仿宋" w:cs="仿宋"/>
          <w:color w:val="auto"/>
          <w:highlight w:val="none"/>
        </w:rPr>
      </w:pPr>
    </w:p>
    <w:p w14:paraId="60E72E1D">
      <w:pPr>
        <w:spacing w:line="480" w:lineRule="auto"/>
        <w:jc w:val="center"/>
        <w:rPr>
          <w:rFonts w:ascii="仿宋" w:hAnsi="仿宋" w:eastAsia="仿宋" w:cs="仿宋"/>
          <w:b/>
          <w:color w:val="auto"/>
          <w:sz w:val="24"/>
          <w:highlight w:val="none"/>
        </w:rPr>
      </w:pPr>
    </w:p>
    <w:p w14:paraId="3960345B">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405400BE">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34F814CD">
      <w:pPr>
        <w:pStyle w:val="700"/>
        <w:rPr>
          <w:rFonts w:ascii="仿宋" w:hAnsi="仿宋" w:eastAsia="仿宋" w:cs="仿宋"/>
          <w:color w:val="auto"/>
          <w:szCs w:val="24"/>
          <w:highlight w:val="none"/>
        </w:rPr>
      </w:pPr>
    </w:p>
    <w:p w14:paraId="63ACA791">
      <w:pPr>
        <w:pStyle w:val="700"/>
        <w:rPr>
          <w:rFonts w:ascii="仿宋" w:hAnsi="仿宋" w:eastAsia="仿宋" w:cs="仿宋"/>
          <w:color w:val="auto"/>
          <w:szCs w:val="24"/>
          <w:highlight w:val="none"/>
        </w:rPr>
      </w:pPr>
    </w:p>
    <w:p w14:paraId="62EA98D8">
      <w:pPr>
        <w:pStyle w:val="700"/>
        <w:jc w:val="center"/>
        <w:rPr>
          <w:rFonts w:ascii="仿宋" w:hAnsi="仿宋" w:eastAsia="仿宋" w:cs="仿宋"/>
          <w:color w:val="auto"/>
          <w:szCs w:val="24"/>
          <w:highlight w:val="none"/>
        </w:rPr>
      </w:pPr>
    </w:p>
    <w:p w14:paraId="012555B7">
      <w:pPr>
        <w:rPr>
          <w:rFonts w:ascii="仿宋" w:hAnsi="仿宋" w:eastAsia="仿宋" w:cs="仿宋"/>
          <w:b/>
          <w:color w:val="auto"/>
          <w:highlight w:val="none"/>
        </w:rPr>
      </w:pPr>
      <w:r>
        <w:rPr>
          <w:rFonts w:hint="eastAsia" w:ascii="仿宋" w:hAnsi="仿宋" w:eastAsia="仿宋" w:cs="仿宋"/>
          <w:b/>
          <w:color w:val="auto"/>
          <w:highlight w:val="none"/>
        </w:rPr>
        <w:br w:type="page"/>
      </w:r>
    </w:p>
    <w:p w14:paraId="153F4BC3">
      <w:pPr>
        <w:snapToGrid w:val="0"/>
        <w:spacing w:beforeLines="50" w:afterLines="50" w:line="360" w:lineRule="auto"/>
        <w:jc w:val="center"/>
        <w:outlineLvl w:val="1"/>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第一部分 合同书</w:t>
      </w:r>
    </w:p>
    <w:p w14:paraId="34C3C930">
      <w:pPr>
        <w:pStyle w:val="700"/>
        <w:rPr>
          <w:rFonts w:ascii="仿宋" w:hAnsi="仿宋" w:eastAsia="仿宋" w:cs="仿宋"/>
          <w:color w:val="auto"/>
          <w:szCs w:val="24"/>
          <w:highlight w:val="none"/>
        </w:rPr>
      </w:pPr>
    </w:p>
    <w:p w14:paraId="27C3FB80">
      <w:pPr>
        <w:pStyle w:val="700"/>
        <w:rPr>
          <w:rFonts w:ascii="仿宋" w:hAnsi="仿宋" w:eastAsia="仿宋" w:cs="仿宋"/>
          <w:color w:val="auto"/>
          <w:szCs w:val="24"/>
          <w:highlight w:val="none"/>
        </w:rPr>
      </w:pPr>
    </w:p>
    <w:p w14:paraId="45A8F3D1">
      <w:pPr>
        <w:spacing w:before="120" w:line="22" w:lineRule="atLeast"/>
        <w:rPr>
          <w:rFonts w:ascii="仿宋" w:hAnsi="仿宋" w:eastAsia="仿宋" w:cs="仿宋"/>
          <w:color w:val="auto"/>
          <w:sz w:val="24"/>
          <w:highlight w:val="none"/>
        </w:rPr>
      </w:pPr>
    </w:p>
    <w:p w14:paraId="785265A2">
      <w:pPr>
        <w:spacing w:before="120" w:line="22" w:lineRule="atLeast"/>
        <w:ind w:left="960"/>
        <w:rPr>
          <w:rFonts w:ascii="仿宋" w:hAnsi="仿宋" w:eastAsia="仿宋" w:cs="仿宋"/>
          <w:color w:val="auto"/>
          <w:sz w:val="24"/>
          <w:highlight w:val="none"/>
        </w:rPr>
      </w:pPr>
    </w:p>
    <w:p w14:paraId="4BE542C9">
      <w:pPr>
        <w:spacing w:before="120" w:line="22" w:lineRule="atLeast"/>
        <w:ind w:left="960"/>
        <w:rPr>
          <w:rFonts w:ascii="仿宋" w:hAnsi="仿宋" w:eastAsia="仿宋" w:cs="仿宋"/>
          <w:color w:val="auto"/>
          <w:sz w:val="24"/>
          <w:highlight w:val="none"/>
        </w:rPr>
      </w:pPr>
    </w:p>
    <w:p w14:paraId="3ECE6583">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p w14:paraId="2BFE8C33">
      <w:pPr>
        <w:pStyle w:val="597"/>
        <w:spacing w:before="120" w:line="22" w:lineRule="atLeast"/>
        <w:rPr>
          <w:rFonts w:ascii="仿宋" w:hAnsi="仿宋" w:eastAsia="仿宋" w:cs="仿宋"/>
          <w:color w:val="auto"/>
          <w:szCs w:val="24"/>
          <w:highlight w:val="none"/>
        </w:rPr>
      </w:pPr>
    </w:p>
    <w:p w14:paraId="5BC210C1">
      <w:pPr>
        <w:pStyle w:val="597"/>
        <w:spacing w:before="120" w:line="22" w:lineRule="atLeast"/>
        <w:rPr>
          <w:rFonts w:ascii="仿宋" w:hAnsi="仿宋" w:eastAsia="仿宋" w:cs="仿宋"/>
          <w:color w:val="auto"/>
          <w:szCs w:val="24"/>
          <w:highlight w:val="none"/>
        </w:rPr>
      </w:pPr>
    </w:p>
    <w:p w14:paraId="2848FAC1">
      <w:pPr>
        <w:rPr>
          <w:rFonts w:ascii="仿宋" w:hAnsi="仿宋" w:eastAsia="仿宋" w:cs="仿宋"/>
          <w:color w:val="auto"/>
          <w:sz w:val="24"/>
          <w:highlight w:val="none"/>
        </w:rPr>
      </w:pPr>
    </w:p>
    <w:p w14:paraId="32310DAB">
      <w:pPr>
        <w:spacing w:before="120" w:line="22" w:lineRule="atLeast"/>
        <w:ind w:left="960"/>
        <w:rPr>
          <w:rFonts w:ascii="仿宋" w:hAnsi="仿宋" w:eastAsia="仿宋" w:cs="仿宋"/>
          <w:color w:val="auto"/>
          <w:sz w:val="24"/>
          <w:highlight w:val="none"/>
        </w:rPr>
      </w:pPr>
    </w:p>
    <w:p w14:paraId="33F51EE3">
      <w:pPr>
        <w:spacing w:before="120" w:line="22" w:lineRule="atLeast"/>
        <w:ind w:left="960"/>
        <w:rPr>
          <w:rFonts w:ascii="仿宋" w:hAnsi="仿宋" w:eastAsia="仿宋" w:cs="仿宋"/>
          <w:color w:val="auto"/>
          <w:sz w:val="24"/>
          <w:highlight w:val="none"/>
        </w:rPr>
      </w:pPr>
    </w:p>
    <w:p w14:paraId="3154B10E">
      <w:pPr>
        <w:spacing w:before="120" w:line="22" w:lineRule="atLeast"/>
        <w:ind w:left="960"/>
        <w:rPr>
          <w:rFonts w:ascii="仿宋" w:hAnsi="仿宋" w:eastAsia="仿宋" w:cs="仿宋"/>
          <w:color w:val="auto"/>
          <w:sz w:val="24"/>
          <w:highlight w:val="none"/>
        </w:rPr>
      </w:pPr>
    </w:p>
    <w:p w14:paraId="2018726B">
      <w:pPr>
        <w:spacing w:before="120" w:line="22" w:lineRule="atLeast"/>
        <w:ind w:left="960"/>
        <w:rPr>
          <w:rFonts w:ascii="仿宋" w:hAnsi="仿宋" w:eastAsia="仿宋" w:cs="仿宋"/>
          <w:color w:val="auto"/>
          <w:sz w:val="24"/>
          <w:highlight w:val="none"/>
        </w:rPr>
      </w:pPr>
    </w:p>
    <w:p w14:paraId="0A535DD8">
      <w:pPr>
        <w:spacing w:before="120" w:line="22" w:lineRule="atLeast"/>
        <w:ind w:left="960"/>
        <w:rPr>
          <w:rFonts w:ascii="仿宋" w:hAnsi="仿宋" w:eastAsia="仿宋" w:cs="仿宋"/>
          <w:color w:val="auto"/>
          <w:sz w:val="24"/>
          <w:highlight w:val="none"/>
        </w:rPr>
      </w:pPr>
    </w:p>
    <w:p w14:paraId="187844C1">
      <w:pPr>
        <w:spacing w:before="120" w:line="22" w:lineRule="atLeast"/>
        <w:ind w:left="960"/>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lang w:val="en-US" w:eastAsia="zh-CN"/>
        </w:rPr>
        <w:t>杭州市第三人民医院</w:t>
      </w:r>
    </w:p>
    <w:p w14:paraId="0605ED77">
      <w:pPr>
        <w:spacing w:before="120" w:line="22" w:lineRule="atLeast"/>
        <w:rPr>
          <w:rFonts w:ascii="仿宋" w:hAnsi="仿宋" w:eastAsia="仿宋" w:cs="仿宋"/>
          <w:color w:val="auto"/>
          <w:sz w:val="24"/>
          <w:highlight w:val="none"/>
        </w:rPr>
      </w:pPr>
    </w:p>
    <w:p w14:paraId="034666EA">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p>
    <w:p w14:paraId="3B8CD841">
      <w:pPr>
        <w:spacing w:before="120" w:line="22" w:lineRule="atLeast"/>
        <w:rPr>
          <w:rFonts w:ascii="仿宋" w:hAnsi="仿宋" w:eastAsia="仿宋" w:cs="仿宋"/>
          <w:color w:val="auto"/>
          <w:sz w:val="24"/>
          <w:highlight w:val="none"/>
        </w:rPr>
      </w:pPr>
    </w:p>
    <w:p w14:paraId="2B119837">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p>
    <w:p w14:paraId="1DA154A4">
      <w:pPr>
        <w:spacing w:before="120" w:line="22" w:lineRule="atLeast"/>
        <w:rPr>
          <w:rFonts w:ascii="仿宋" w:hAnsi="仿宋" w:eastAsia="仿宋" w:cs="仿宋"/>
          <w:color w:val="auto"/>
          <w:sz w:val="24"/>
          <w:highlight w:val="none"/>
        </w:rPr>
      </w:pPr>
    </w:p>
    <w:p w14:paraId="33136B17">
      <w:pPr>
        <w:spacing w:before="120" w:line="22" w:lineRule="atLeast"/>
        <w:ind w:firstLine="960" w:firstLineChars="400"/>
        <w:rPr>
          <w:rFonts w:ascii="仿宋" w:hAnsi="仿宋" w:eastAsia="仿宋" w:cs="仿宋"/>
          <w:color w:val="auto"/>
          <w:sz w:val="24"/>
          <w:highlight w:val="none"/>
        </w:rPr>
      </w:pPr>
    </w:p>
    <w:p w14:paraId="6DA4F869">
      <w:pPr>
        <w:spacing w:before="120" w:line="22" w:lineRule="atLeast"/>
        <w:ind w:firstLine="960" w:firstLineChars="400"/>
        <w:rPr>
          <w:rFonts w:ascii="仿宋" w:hAnsi="仿宋" w:eastAsia="仿宋" w:cs="仿宋"/>
          <w:color w:val="auto"/>
          <w:sz w:val="24"/>
          <w:highlight w:val="none"/>
        </w:rPr>
      </w:pPr>
    </w:p>
    <w:p w14:paraId="1FE7AC4A">
      <w:pPr>
        <w:spacing w:before="120" w:line="22" w:lineRule="atLeast"/>
        <w:ind w:firstLine="960" w:firstLineChars="400"/>
        <w:rPr>
          <w:rFonts w:ascii="仿宋" w:hAnsi="仿宋" w:eastAsia="仿宋" w:cs="仿宋"/>
          <w:color w:val="auto"/>
          <w:sz w:val="24"/>
          <w:highlight w:val="none"/>
        </w:rPr>
      </w:pPr>
    </w:p>
    <w:p w14:paraId="18E622D6">
      <w:pPr>
        <w:spacing w:before="120" w:line="22" w:lineRule="atLeast"/>
        <w:ind w:firstLine="960" w:firstLineChars="400"/>
        <w:rPr>
          <w:rFonts w:ascii="仿宋" w:hAnsi="仿宋" w:eastAsia="仿宋" w:cs="仿宋"/>
          <w:color w:val="auto"/>
          <w:sz w:val="24"/>
          <w:highlight w:val="none"/>
        </w:rPr>
      </w:pPr>
    </w:p>
    <w:p w14:paraId="0A09B211">
      <w:pPr>
        <w:spacing w:before="120" w:line="22" w:lineRule="atLeast"/>
        <w:ind w:firstLine="960" w:firstLineChars="400"/>
        <w:rPr>
          <w:rFonts w:ascii="仿宋" w:hAnsi="仿宋" w:eastAsia="仿宋" w:cs="仿宋"/>
          <w:color w:val="auto"/>
          <w:sz w:val="24"/>
          <w:highlight w:val="none"/>
        </w:rPr>
      </w:pPr>
    </w:p>
    <w:p w14:paraId="4E28447A">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签订日期：年月日</w:t>
      </w:r>
    </w:p>
    <w:p w14:paraId="06D02C41">
      <w:pPr>
        <w:widowControl/>
        <w:jc w:val="left"/>
        <w:rPr>
          <w:rFonts w:ascii="仿宋" w:hAnsi="仿宋" w:eastAsia="仿宋" w:cs="仿宋"/>
          <w:color w:val="auto"/>
          <w:kern w:val="0"/>
          <w:sz w:val="24"/>
          <w:highlight w:val="none"/>
        </w:rPr>
        <w:sectPr>
          <w:footerReference r:id="rId8" w:type="default"/>
          <w:pgSz w:w="11907" w:h="16840"/>
          <w:pgMar w:top="1474" w:right="1814" w:bottom="1474" w:left="1814" w:header="851" w:footer="851" w:gutter="0"/>
          <w:cols w:space="720" w:num="1"/>
        </w:sectPr>
      </w:pPr>
    </w:p>
    <w:p w14:paraId="01139380">
      <w:pPr>
        <w:snapToGrid w:val="0"/>
        <w:spacing w:line="360" w:lineRule="auto"/>
        <w:ind w:firstLine="480" w:firstLineChars="200"/>
        <w:rPr>
          <w:rFonts w:ascii="仿宋" w:hAnsi="仿宋" w:eastAsia="仿宋" w:cs="仿宋"/>
          <w:color w:val="auto"/>
          <w:sz w:val="24"/>
          <w:highlight w:val="none"/>
          <w:u w:val="single"/>
          <w:lang w:val="zh-CN"/>
        </w:rPr>
      </w:pPr>
    </w:p>
    <w:bookmarkEnd w:id="29"/>
    <w:p w14:paraId="34DDCD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bookmarkStart w:id="404" w:name="第五部分"/>
      <w:bookmarkStart w:id="405" w:name="_Toc86217003"/>
      <w:bookmarkStart w:id="406" w:name="_Toc12455"/>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年</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月</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日</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lang w:eastAsia="zh-CN"/>
        </w:rPr>
        <w:t>杭州市第三人民医院</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公开招标</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对</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为该项目中标供应商。现于中标通知书发出之日起三十日内，按照采购文件确定的事项签订本合同。</w:t>
      </w:r>
    </w:p>
    <w:p w14:paraId="130607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lang w:eastAsia="zh-CN"/>
        </w:rPr>
        <w:t>杭州市第三人民医院</w:t>
      </w:r>
      <w:r>
        <w:rPr>
          <w:rFonts w:ascii="仿宋" w:hAnsi="仿宋" w:eastAsia="仿宋"/>
          <w:color w:val="auto"/>
          <w:sz w:val="24"/>
          <w:highlight w:val="none"/>
          <w:u w:val="single"/>
        </w:rPr>
        <w:t xml:space="preserve">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14:paraId="59F56F50">
      <w:pPr>
        <w:pStyle w:val="24"/>
        <w:rPr>
          <w:color w:val="auto"/>
          <w:highlight w:val="none"/>
        </w:rPr>
      </w:pPr>
    </w:p>
    <w:p w14:paraId="1353A32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ascii="仿宋" w:hAnsi="仿宋" w:eastAsia="仿宋"/>
          <w:b/>
          <w:color w:val="auto"/>
          <w:sz w:val="24"/>
          <w:highlight w:val="none"/>
        </w:rPr>
      </w:pPr>
      <w:bookmarkStart w:id="407" w:name="_Toc3029"/>
      <w:bookmarkStart w:id="408" w:name="_Toc24059"/>
      <w:bookmarkStart w:id="409" w:name="_Toc2232"/>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bookmarkEnd w:id="407"/>
      <w:bookmarkEnd w:id="408"/>
      <w:bookmarkEnd w:id="409"/>
    </w:p>
    <w:p w14:paraId="18A190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5F157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14:paraId="0D92D9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中标通知书；</w:t>
      </w:r>
    </w:p>
    <w:p w14:paraId="3839B3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w:t>
      </w:r>
      <w:r>
        <w:rPr>
          <w:rFonts w:hint="eastAsia" w:ascii="仿宋" w:hAnsi="仿宋" w:eastAsia="仿宋"/>
          <w:color w:val="auto"/>
          <w:sz w:val="24"/>
          <w:highlight w:val="none"/>
          <w:lang w:eastAsia="zh-CN"/>
        </w:rPr>
        <w:t>或者响应</w:t>
      </w:r>
      <w:r>
        <w:rPr>
          <w:rFonts w:hint="eastAsia" w:ascii="仿宋" w:hAnsi="仿宋" w:eastAsia="仿宋"/>
          <w:color w:val="auto"/>
          <w:sz w:val="24"/>
          <w:highlight w:val="none"/>
        </w:rPr>
        <w:t>文件（含澄清或者说明文件）；</w:t>
      </w:r>
    </w:p>
    <w:p w14:paraId="74E169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rPr>
      </w:pPr>
      <w:r>
        <w:rPr>
          <w:rFonts w:hint="eastAsia" w:ascii="仿宋" w:hAnsi="仿宋" w:eastAsia="仿宋"/>
          <w:color w:val="auto"/>
          <w:sz w:val="24"/>
          <w:highlight w:val="none"/>
        </w:rPr>
        <w:t xml:space="preserve">1.1.4 </w:t>
      </w:r>
      <w:r>
        <w:rPr>
          <w:rFonts w:hint="eastAsia" w:ascii="仿宋" w:hAnsi="仿宋" w:eastAsia="仿宋"/>
          <w:color w:val="auto"/>
          <w:sz w:val="24"/>
          <w:highlight w:val="none"/>
          <w:lang w:eastAsia="zh-CN"/>
        </w:rPr>
        <w:t>招标</w:t>
      </w:r>
      <w:r>
        <w:rPr>
          <w:rFonts w:hint="eastAsia" w:ascii="仿宋" w:hAnsi="仿宋" w:eastAsia="仿宋"/>
          <w:color w:val="auto"/>
          <w:sz w:val="24"/>
          <w:highlight w:val="none"/>
        </w:rPr>
        <w:t>文件（含澄清或者修改文件）；</w:t>
      </w:r>
    </w:p>
    <w:p w14:paraId="76B032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1.1.5 </w:t>
      </w:r>
      <w:r>
        <w:rPr>
          <w:rFonts w:hint="eastAsia" w:ascii="仿宋" w:hAnsi="仿宋" w:eastAsia="仿宋"/>
          <w:color w:val="auto"/>
          <w:sz w:val="24"/>
          <w:highlight w:val="none"/>
        </w:rPr>
        <w:t>其他相关采购文件。</w:t>
      </w:r>
    </w:p>
    <w:p w14:paraId="772E1DA0">
      <w:pPr>
        <w:bidi w:val="0"/>
        <w:rPr>
          <w:color w:val="auto"/>
          <w:highlight w:val="none"/>
        </w:rPr>
      </w:pPr>
      <w:bookmarkStart w:id="410" w:name="_Toc21295"/>
      <w:bookmarkStart w:id="411" w:name="_Toc24300"/>
      <w:bookmarkStart w:id="412" w:name="_Toc27126"/>
    </w:p>
    <w:p w14:paraId="34A657E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1.2 货物</w:t>
      </w:r>
      <w:bookmarkEnd w:id="410"/>
      <w:bookmarkEnd w:id="411"/>
      <w:bookmarkEnd w:id="412"/>
    </w:p>
    <w:p w14:paraId="13F491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olor w:val="auto"/>
          <w:sz w:val="24"/>
          <w:highlight w:val="none"/>
        </w:rPr>
      </w:pPr>
      <w:r>
        <w:rPr>
          <w:rFonts w:ascii="仿宋" w:hAnsi="仿宋" w:eastAsia="仿宋"/>
          <w:color w:val="auto"/>
          <w:sz w:val="24"/>
          <w:highlight w:val="none"/>
        </w:rPr>
        <w:t xml:space="preserve">1.2.1 </w:t>
      </w:r>
      <w:r>
        <w:rPr>
          <w:rFonts w:hint="eastAsia" w:ascii="仿宋" w:hAnsi="仿宋" w:eastAsia="仿宋"/>
          <w:color w:val="auto"/>
          <w:sz w:val="24"/>
          <w:highlight w:val="none"/>
        </w:rPr>
        <w:t>货物名称、</w:t>
      </w:r>
      <w:r>
        <w:rPr>
          <w:rFonts w:hint="eastAsia" w:ascii="仿宋" w:hAnsi="仿宋" w:eastAsia="仿宋"/>
          <w:color w:val="auto"/>
          <w:sz w:val="24"/>
          <w:highlight w:val="none"/>
          <w:lang w:val="en-US" w:eastAsia="zh-CN"/>
        </w:rPr>
        <w:t>材质</w:t>
      </w:r>
      <w:r>
        <w:rPr>
          <w:rFonts w:hint="eastAsia" w:ascii="仿宋" w:hAnsi="仿宋" w:eastAsia="仿宋"/>
          <w:color w:val="auto"/>
          <w:sz w:val="24"/>
          <w:highlight w:val="none"/>
        </w:rPr>
        <w:t>、规格型号</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数量</w:t>
      </w:r>
      <w:r>
        <w:rPr>
          <w:rFonts w:hint="eastAsia" w:ascii="仿宋" w:hAnsi="仿宋" w:eastAsia="仿宋"/>
          <w:color w:val="auto"/>
          <w:sz w:val="24"/>
          <w:highlight w:val="none"/>
        </w:rPr>
        <w:t>：</w:t>
      </w:r>
      <w:r>
        <w:rPr>
          <w:rFonts w:hint="eastAsia" w:ascii="仿宋" w:hAnsi="仿宋" w:eastAsia="仿宋"/>
          <w:color w:val="auto"/>
          <w:sz w:val="24"/>
          <w:highlight w:val="none"/>
          <w:u w:val="single"/>
          <w:lang w:val="en-US" w:eastAsia="zh-CN"/>
        </w:rPr>
        <w:t>详见如下产品清单</w:t>
      </w:r>
      <w:r>
        <w:rPr>
          <w:rFonts w:hint="eastAsia" w:ascii="仿宋" w:hAnsi="仿宋" w:eastAsia="仿宋"/>
          <w:color w:val="auto"/>
          <w:sz w:val="24"/>
          <w:highlight w:val="none"/>
        </w:rPr>
        <w:t>；</w:t>
      </w:r>
    </w:p>
    <w:p w14:paraId="2A56F2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产品清单：</w:t>
      </w:r>
    </w:p>
    <w:tbl>
      <w:tblPr>
        <w:tblStyle w:val="62"/>
        <w:tblW w:w="797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9"/>
        <w:gridCol w:w="2202"/>
        <w:gridCol w:w="2516"/>
        <w:gridCol w:w="1169"/>
        <w:gridCol w:w="1520"/>
      </w:tblGrid>
      <w:tr w14:paraId="321F18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tcBorders>
              <w:top w:val="double" w:color="auto" w:sz="4" w:space="0"/>
              <w:left w:val="doub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14:paraId="32E76062">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序号</w:t>
            </w:r>
          </w:p>
        </w:tc>
        <w:tc>
          <w:tcPr>
            <w:tcW w:w="2202" w:type="dxa"/>
            <w:tcBorders>
              <w:top w:val="doub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14:paraId="24854221">
            <w:pPr>
              <w:keepNext w:val="0"/>
              <w:keepLines w:val="0"/>
              <w:widowControl/>
              <w:suppressLineNumbers w:val="0"/>
              <w:spacing w:before="0" w:beforeLines="0" w:beforeAutospacing="0" w:after="0" w:afterLines="0" w:afterAutospacing="0" w:line="360" w:lineRule="auto"/>
              <w:ind w:left="0" w:right="0"/>
              <w:jc w:val="center"/>
              <w:textAlignment w:val="bottom"/>
              <w:rPr>
                <w:rFonts w:hint="default"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货物名称</w:t>
            </w:r>
          </w:p>
        </w:tc>
        <w:tc>
          <w:tcPr>
            <w:tcW w:w="2516" w:type="dxa"/>
            <w:tcBorders>
              <w:top w:val="doub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14:paraId="5CCB223E">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材质</w:t>
            </w:r>
          </w:p>
        </w:tc>
        <w:tc>
          <w:tcPr>
            <w:tcW w:w="1169" w:type="dxa"/>
            <w:tcBorders>
              <w:top w:val="doub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14:paraId="5DE24718">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规格</w:t>
            </w:r>
            <w:r>
              <w:rPr>
                <w:rFonts w:hint="eastAsia" w:ascii="仿宋" w:hAnsi="仿宋" w:eastAsia="仿宋" w:cs="仿宋"/>
                <w:color w:val="auto"/>
                <w:kern w:val="0"/>
                <w:sz w:val="21"/>
                <w:szCs w:val="21"/>
                <w:highlight w:val="none"/>
                <w:lang w:val="en-US" w:eastAsia="zh-CN" w:bidi="ar"/>
              </w:rPr>
              <w:t>型号</w:t>
            </w:r>
          </w:p>
        </w:tc>
        <w:tc>
          <w:tcPr>
            <w:tcW w:w="1520" w:type="dxa"/>
            <w:tcBorders>
              <w:top w:val="double" w:color="auto" w:sz="4" w:space="0"/>
              <w:left w:val="single" w:color="auto" w:sz="4" w:space="0"/>
              <w:bottom w:val="single" w:color="auto" w:sz="4" w:space="0"/>
              <w:right w:val="double" w:color="auto" w:sz="4" w:space="0"/>
              <w:tl2br w:val="nil"/>
              <w:tr2bl w:val="nil"/>
            </w:tcBorders>
            <w:shd w:val="clear" w:color="auto" w:fill="FFFFFF"/>
            <w:noWrap/>
            <w:tcMar>
              <w:top w:w="15" w:type="dxa"/>
              <w:left w:w="15" w:type="dxa"/>
              <w:right w:w="15" w:type="dxa"/>
            </w:tcMar>
            <w:vAlign w:val="center"/>
          </w:tcPr>
          <w:p w14:paraId="7DA8E98B">
            <w:pPr>
              <w:keepNext w:val="0"/>
              <w:keepLines w:val="0"/>
              <w:suppressLineNumbers w:val="0"/>
              <w:spacing w:before="0" w:beforeLines="0" w:beforeAutospacing="0" w:after="0" w:afterLines="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预估</w:t>
            </w:r>
            <w:r>
              <w:rPr>
                <w:rFonts w:hint="eastAsia" w:ascii="仿宋" w:hAnsi="仿宋" w:eastAsia="仿宋" w:cs="仿宋"/>
                <w:color w:val="auto"/>
                <w:sz w:val="21"/>
                <w:szCs w:val="21"/>
                <w:highlight w:val="none"/>
              </w:rPr>
              <w:t>数量</w:t>
            </w:r>
          </w:p>
        </w:tc>
      </w:tr>
      <w:tr w14:paraId="33BFC3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569" w:type="dxa"/>
            <w:tcBorders>
              <w:top w:val="single" w:color="auto" w:sz="4" w:space="0"/>
              <w:left w:val="doub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14:paraId="53872ED2">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1</w:t>
            </w:r>
          </w:p>
        </w:tc>
        <w:tc>
          <w:tcPr>
            <w:tcW w:w="2202"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14:paraId="3E7BA278">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bidi="ar"/>
              </w:rPr>
            </w:pPr>
            <w:r>
              <w:rPr>
                <w:rFonts w:hint="eastAsia" w:eastAsia="仿宋"/>
                <w:color w:val="auto"/>
                <w:sz w:val="24"/>
                <w:szCs w:val="24"/>
                <w:highlight w:val="none"/>
              </w:rPr>
              <w:t>钠钙玻璃管制口服液体瓶套装（B型）</w:t>
            </w:r>
          </w:p>
        </w:tc>
        <w:tc>
          <w:tcPr>
            <w:tcW w:w="2516"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14:paraId="033E2297">
            <w:pPr>
              <w:keepNext w:val="0"/>
              <w:keepLines w:val="0"/>
              <w:suppressLineNumbers w:val="0"/>
              <w:spacing w:before="0" w:beforeAutospacing="0" w:after="0" w:afterAutospacing="0"/>
              <w:ind w:left="0" w:right="0"/>
              <w:jc w:val="left"/>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钠钙玻璃管制口服液体瓶（10 ml）+口服液用溴化丁基橡胶塞+口服液瓶用铝塑组合盖+聚丙烯饮用吸管</w:t>
            </w:r>
          </w:p>
        </w:tc>
        <w:tc>
          <w:tcPr>
            <w:tcW w:w="11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14:paraId="70EBE627">
            <w:pPr>
              <w:keepNext w:val="0"/>
              <w:keepLines w:val="0"/>
              <w:widowControl/>
              <w:suppressLineNumbers w:val="0"/>
              <w:spacing w:before="0" w:beforeAutospacing="0" w:after="0" w:afterAutospacing="0" w:line="360" w:lineRule="auto"/>
              <w:ind w:left="0" w:right="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 xml:space="preserve">10 </w:t>
            </w:r>
            <w:r>
              <w:rPr>
                <w:rFonts w:hint="eastAsia" w:ascii="仿宋" w:hAnsi="仿宋" w:eastAsia="仿宋" w:cs="仿宋"/>
                <w:color w:val="auto"/>
                <w:kern w:val="0"/>
                <w:sz w:val="21"/>
                <w:szCs w:val="21"/>
                <w:highlight w:val="none"/>
                <w:lang w:bidi="ar"/>
              </w:rPr>
              <w:t>ml</w:t>
            </w:r>
          </w:p>
        </w:tc>
        <w:tc>
          <w:tcPr>
            <w:tcW w:w="1520" w:type="dxa"/>
            <w:tcBorders>
              <w:top w:val="single" w:color="auto" w:sz="4" w:space="0"/>
              <w:left w:val="single" w:color="auto" w:sz="4" w:space="0"/>
              <w:bottom w:val="single" w:color="auto" w:sz="4" w:space="0"/>
              <w:right w:val="double" w:color="auto" w:sz="4" w:space="0"/>
              <w:tl2br w:val="nil"/>
              <w:tr2bl w:val="nil"/>
            </w:tcBorders>
            <w:shd w:val="clear" w:color="auto" w:fill="FFFFFF"/>
            <w:noWrap/>
            <w:tcMar>
              <w:top w:w="15" w:type="dxa"/>
              <w:left w:w="15" w:type="dxa"/>
              <w:right w:w="15" w:type="dxa"/>
            </w:tcMar>
            <w:vAlign w:val="center"/>
          </w:tcPr>
          <w:p w14:paraId="3FB3A9AE">
            <w:pPr>
              <w:pStyle w:val="6"/>
              <w:ind w:left="0" w:leftChars="0" w:firstLine="0" w:firstLineChars="0"/>
              <w:jc w:val="center"/>
              <w:rPr>
                <w:rFonts w:hint="default"/>
                <w:color w:val="auto"/>
                <w:highlight w:val="none"/>
                <w:lang w:val="en-US" w:eastAsia="zh-CN"/>
              </w:rPr>
            </w:pPr>
            <w:r>
              <w:rPr>
                <w:rFonts w:hint="eastAsia" w:ascii="仿宋" w:hAnsi="仿宋" w:eastAsia="仿宋" w:cs="仿宋"/>
                <w:snapToGrid/>
                <w:color w:val="auto"/>
                <w:kern w:val="0"/>
                <w:sz w:val="21"/>
                <w:szCs w:val="21"/>
                <w:highlight w:val="none"/>
                <w:lang w:val="en-US" w:eastAsia="zh-CN" w:bidi="ar"/>
              </w:rPr>
              <w:t>278万套</w:t>
            </w:r>
          </w:p>
        </w:tc>
      </w:tr>
      <w:tr w14:paraId="4979C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tcBorders>
              <w:top w:val="single" w:color="auto" w:sz="4" w:space="0"/>
              <w:left w:val="doub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14:paraId="15E64854">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w:t>
            </w:r>
          </w:p>
        </w:tc>
        <w:tc>
          <w:tcPr>
            <w:tcW w:w="2202"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14:paraId="2B74E20E">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bidi="ar"/>
              </w:rPr>
            </w:pPr>
            <w:r>
              <w:rPr>
                <w:rFonts w:hint="eastAsia" w:eastAsia="仿宋"/>
                <w:color w:val="auto"/>
                <w:sz w:val="24"/>
                <w:szCs w:val="24"/>
                <w:highlight w:val="none"/>
              </w:rPr>
              <w:t>钠钙玻璃管制口服液体瓶套装（C型）</w:t>
            </w:r>
          </w:p>
        </w:tc>
        <w:tc>
          <w:tcPr>
            <w:tcW w:w="2516"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14:paraId="2F7C03D6">
            <w:pPr>
              <w:keepNext w:val="0"/>
              <w:keepLines w:val="0"/>
              <w:suppressLineNumbers w:val="0"/>
              <w:spacing w:before="0" w:beforeAutospacing="0" w:after="0" w:afterAutospacing="0"/>
              <w:ind w:left="0" w:right="0"/>
              <w:jc w:val="left"/>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钠钙玻璃管制口服液体瓶（10 ml）+口服液瓶用易刺铝盖+口服制剂用硅橡胶胶塞+聚丙烯饮用吸管</w:t>
            </w:r>
          </w:p>
        </w:tc>
        <w:tc>
          <w:tcPr>
            <w:tcW w:w="11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14:paraId="6E30C02D">
            <w:pPr>
              <w:keepNext w:val="0"/>
              <w:keepLines w:val="0"/>
              <w:widowControl/>
              <w:suppressLineNumbers w:val="0"/>
              <w:spacing w:before="0" w:beforeAutospacing="0" w:after="0" w:afterAutospacing="0" w:line="360" w:lineRule="auto"/>
              <w:ind w:left="0" w:right="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w:t>
            </w:r>
            <w:r>
              <w:rPr>
                <w:rFonts w:hint="eastAsia" w:ascii="仿宋" w:hAnsi="仿宋" w:eastAsia="仿宋" w:cs="仿宋"/>
                <w:color w:val="auto"/>
                <w:kern w:val="0"/>
                <w:sz w:val="21"/>
                <w:szCs w:val="21"/>
                <w:highlight w:val="none"/>
                <w:lang w:bidi="ar"/>
              </w:rPr>
              <w:t>0</w:t>
            </w:r>
            <w:r>
              <w:rPr>
                <w:rFonts w:hint="eastAsia" w:ascii="仿宋" w:hAnsi="仿宋" w:eastAsia="仿宋" w:cs="仿宋"/>
                <w:color w:val="auto"/>
                <w:kern w:val="0"/>
                <w:sz w:val="21"/>
                <w:szCs w:val="21"/>
                <w:highlight w:val="none"/>
                <w:lang w:val="en-US" w:eastAsia="zh-CN" w:bidi="ar"/>
              </w:rPr>
              <w:t xml:space="preserve"> </w:t>
            </w:r>
            <w:r>
              <w:rPr>
                <w:rFonts w:hint="eastAsia" w:ascii="仿宋" w:hAnsi="仿宋" w:eastAsia="仿宋" w:cs="仿宋"/>
                <w:color w:val="auto"/>
                <w:kern w:val="0"/>
                <w:sz w:val="21"/>
                <w:szCs w:val="21"/>
                <w:highlight w:val="none"/>
                <w:lang w:bidi="ar"/>
              </w:rPr>
              <w:t>ml</w:t>
            </w:r>
          </w:p>
        </w:tc>
        <w:tc>
          <w:tcPr>
            <w:tcW w:w="1520" w:type="dxa"/>
            <w:tcBorders>
              <w:top w:val="single" w:color="auto" w:sz="4" w:space="0"/>
              <w:left w:val="single" w:color="auto" w:sz="4" w:space="0"/>
              <w:bottom w:val="single" w:color="auto" w:sz="4" w:space="0"/>
              <w:right w:val="double" w:color="auto" w:sz="4" w:space="0"/>
              <w:tl2br w:val="nil"/>
              <w:tr2bl w:val="nil"/>
            </w:tcBorders>
            <w:shd w:val="clear" w:color="auto" w:fill="FFFFFF"/>
            <w:noWrap/>
            <w:tcMar>
              <w:top w:w="15" w:type="dxa"/>
              <w:left w:w="15" w:type="dxa"/>
              <w:right w:w="15" w:type="dxa"/>
            </w:tcMar>
            <w:vAlign w:val="center"/>
          </w:tcPr>
          <w:p w14:paraId="76F8F630">
            <w:pPr>
              <w:pStyle w:val="6"/>
              <w:ind w:left="0" w:leftChars="0" w:firstLine="0" w:firstLineChars="0"/>
              <w:jc w:val="center"/>
              <w:rPr>
                <w:rFonts w:hint="default"/>
                <w:color w:val="auto"/>
                <w:highlight w:val="none"/>
                <w:lang w:val="en-US" w:eastAsia="zh-CN"/>
              </w:rPr>
            </w:pPr>
            <w:r>
              <w:rPr>
                <w:rFonts w:hint="eastAsia" w:ascii="仿宋" w:hAnsi="仿宋" w:eastAsia="仿宋" w:cs="仿宋"/>
                <w:snapToGrid/>
                <w:color w:val="auto"/>
                <w:kern w:val="0"/>
                <w:sz w:val="21"/>
                <w:szCs w:val="21"/>
                <w:highlight w:val="none"/>
                <w:lang w:val="en-US" w:eastAsia="zh-CN" w:bidi="ar"/>
              </w:rPr>
              <w:t>600万套</w:t>
            </w:r>
          </w:p>
        </w:tc>
      </w:tr>
    </w:tbl>
    <w:p w14:paraId="3A80995D">
      <w:pPr>
        <w:bidi w:val="0"/>
        <w:rPr>
          <w:color w:val="auto"/>
          <w:highlight w:val="none"/>
        </w:rPr>
      </w:pPr>
      <w:bookmarkStart w:id="413" w:name="_Toc21631"/>
      <w:bookmarkStart w:id="414" w:name="_Toc21551"/>
      <w:bookmarkStart w:id="415" w:name="_Toc23292"/>
    </w:p>
    <w:p w14:paraId="26D03BF1">
      <w:pPr>
        <w:adjustRightInd/>
        <w:spacing w:line="360" w:lineRule="auto"/>
        <w:ind w:firstLine="480" w:firstLineChars="200"/>
        <w:jc w:val="both"/>
        <w:rPr>
          <w:rFonts w:hint="default" w:ascii="Times New Roman" w:hAnsi="Times New Roman" w:eastAsia="仿宋" w:cs="Times New Roman"/>
          <w:color w:val="auto"/>
          <w:sz w:val="24"/>
          <w:szCs w:val="24"/>
          <w:highlight w:val="none"/>
          <w:lang w:val="en-US" w:eastAsia="zh-CN"/>
        </w:rPr>
      </w:pPr>
      <w:r>
        <w:rPr>
          <w:rFonts w:ascii="仿宋" w:hAnsi="仿宋" w:eastAsia="仿宋"/>
          <w:color w:val="auto"/>
          <w:sz w:val="24"/>
          <w:highlight w:val="none"/>
        </w:rPr>
        <w:t>1.2.</w:t>
      </w:r>
      <w:r>
        <w:rPr>
          <w:rFonts w:hint="eastAsia" w:ascii="仿宋" w:hAnsi="仿宋" w:eastAsia="仿宋"/>
          <w:color w:val="auto"/>
          <w:sz w:val="24"/>
          <w:highlight w:val="none"/>
          <w:lang w:val="en-US" w:eastAsia="zh-CN"/>
        </w:rPr>
        <w:t>2</w:t>
      </w:r>
      <w:r>
        <w:rPr>
          <w:rFonts w:ascii="仿宋" w:hAnsi="仿宋" w:eastAsia="仿宋"/>
          <w:color w:val="auto"/>
          <w:sz w:val="24"/>
          <w:highlight w:val="none"/>
        </w:rPr>
        <w:t xml:space="preserve"> </w:t>
      </w:r>
      <w:r>
        <w:rPr>
          <w:rFonts w:hint="eastAsia" w:ascii="仿宋" w:hAnsi="仿宋" w:eastAsia="仿宋"/>
          <w:color w:val="auto"/>
          <w:sz w:val="24"/>
          <w:highlight w:val="none"/>
        </w:rPr>
        <w:t>货物质量：</w:t>
      </w:r>
      <w:r>
        <w:rPr>
          <w:rFonts w:hint="eastAsia" w:ascii="仿宋" w:hAnsi="仿宋" w:eastAsia="仿宋"/>
          <w:color w:val="auto"/>
          <w:sz w:val="24"/>
          <w:highlight w:val="none"/>
          <w:lang w:val="en-US" w:eastAsia="zh-CN"/>
        </w:rPr>
        <w:t>要求药包材在</w:t>
      </w:r>
      <w:r>
        <w:rPr>
          <w:rFonts w:hint="eastAsia" w:ascii="仿宋" w:hAnsi="仿宋" w:eastAsia="仿宋" w:cs="仿宋"/>
          <w:color w:val="auto"/>
          <w:sz w:val="24"/>
          <w:highlight w:val="none"/>
          <w:u w:val="single"/>
          <w:lang w:val="en-US" w:eastAsia="zh-CN"/>
        </w:rPr>
        <w:t>国家食品药品监督管理局药品审评中心（https://www.cde.org.cn/）原辅包登记平台具备登记号，且</w:t>
      </w:r>
      <w:r>
        <w:rPr>
          <w:rFonts w:hint="eastAsia" w:ascii="仿宋" w:hAnsi="仿宋" w:eastAsia="仿宋" w:cs="仿宋"/>
          <w:color w:val="auto"/>
          <w:sz w:val="24"/>
          <w:highlight w:val="none"/>
          <w:u w:val="single"/>
        </w:rPr>
        <w:t>与制剂共同审评审批结果</w:t>
      </w:r>
      <w:r>
        <w:rPr>
          <w:rFonts w:hint="eastAsia" w:ascii="仿宋" w:hAnsi="仿宋" w:eastAsia="仿宋" w:cs="仿宋"/>
          <w:color w:val="auto"/>
          <w:sz w:val="24"/>
          <w:highlight w:val="none"/>
          <w:u w:val="single"/>
          <w:lang w:val="en-US" w:eastAsia="zh-CN"/>
        </w:rPr>
        <w:t>为“A”</w:t>
      </w:r>
      <w:r>
        <w:rPr>
          <w:rFonts w:hint="eastAsia" w:eastAsia="仿宋" w:cs="Times New Roman"/>
          <w:color w:val="auto"/>
          <w:sz w:val="24"/>
          <w:highlight w:val="none"/>
          <w:u w:val="single"/>
          <w:lang w:eastAsia="zh-CN"/>
        </w:rPr>
        <w:t>。</w:t>
      </w:r>
      <w:r>
        <w:rPr>
          <w:rFonts w:hint="eastAsia" w:eastAsia="仿宋" w:cs="Times New Roman"/>
          <w:color w:val="auto"/>
          <w:sz w:val="24"/>
          <w:highlight w:val="none"/>
          <w:u w:val="single"/>
          <w:lang w:val="en-US" w:eastAsia="zh-CN"/>
        </w:rPr>
        <w:t>技术要求：</w:t>
      </w:r>
      <w:r>
        <w:rPr>
          <w:rFonts w:hint="default" w:ascii="Times New Roman" w:hAnsi="Times New Roman" w:eastAsia="仿宋" w:cs="Times New Roman"/>
          <w:color w:val="auto"/>
          <w:sz w:val="24"/>
          <w:szCs w:val="24"/>
          <w:highlight w:val="none"/>
          <w:u w:val="single"/>
          <w:lang w:val="en-US" w:eastAsia="zh-CN"/>
        </w:rPr>
        <w:t>钠钙玻璃管制口服液体瓶在自然光线明亮处，正视目测</w:t>
      </w:r>
      <w:r>
        <w:rPr>
          <w:rFonts w:hint="eastAsia" w:eastAsia="仿宋" w:cs="Times New Roman"/>
          <w:color w:val="auto"/>
          <w:sz w:val="24"/>
          <w:szCs w:val="24"/>
          <w:highlight w:val="none"/>
          <w:u w:val="single"/>
          <w:lang w:val="en-US" w:eastAsia="zh-CN"/>
        </w:rPr>
        <w:t>，</w:t>
      </w:r>
      <w:r>
        <w:rPr>
          <w:rFonts w:hint="default" w:ascii="Times New Roman" w:hAnsi="Times New Roman" w:eastAsia="仿宋" w:cs="Times New Roman"/>
          <w:color w:val="auto"/>
          <w:sz w:val="24"/>
          <w:szCs w:val="24"/>
          <w:highlight w:val="none"/>
          <w:u w:val="single"/>
          <w:lang w:val="en-US" w:eastAsia="zh-CN"/>
        </w:rPr>
        <w:t>应无色透明或棕色透明；表面应光洁、平整，不应有明显的玻璃缺陷；任何部位不得有裂纹。</w:t>
      </w:r>
      <w:r>
        <w:rPr>
          <w:rFonts w:hint="eastAsia" w:ascii="仿宋" w:hAnsi="仿宋" w:eastAsia="仿宋" w:cs="仿宋"/>
          <w:color w:val="auto"/>
          <w:sz w:val="24"/>
          <w:szCs w:val="24"/>
          <w:highlight w:val="none"/>
          <w:u w:val="single"/>
          <w:lang w:val="en-US" w:eastAsia="zh-CN"/>
        </w:rPr>
        <w:t>铝塑组合盖（含口服液用溴化丁基橡胶塞），在自然光线明亮处目测，应清洁，无残留润滑剂、毛刺、损伤和注塑飞边，塑料件应与铝件完整结合。</w:t>
      </w:r>
      <w:r>
        <w:rPr>
          <w:rFonts w:hint="default" w:ascii="Times New Roman" w:hAnsi="Times New Roman" w:eastAsia="仿宋" w:cs="Times New Roman"/>
          <w:color w:val="auto"/>
          <w:sz w:val="24"/>
          <w:szCs w:val="24"/>
          <w:highlight w:val="none"/>
          <w:u w:val="single"/>
          <w:lang w:val="en-US" w:eastAsia="zh-CN"/>
        </w:rPr>
        <w:t>易刺铝盖</w:t>
      </w:r>
      <w:r>
        <w:rPr>
          <w:rFonts w:hint="eastAsia" w:eastAsia="仿宋" w:cs="Times New Roman"/>
          <w:color w:val="auto"/>
          <w:sz w:val="24"/>
          <w:szCs w:val="24"/>
          <w:highlight w:val="none"/>
          <w:u w:val="single"/>
          <w:lang w:val="en-US" w:eastAsia="zh-CN"/>
        </w:rPr>
        <w:t>（含</w:t>
      </w:r>
      <w:r>
        <w:rPr>
          <w:rFonts w:hint="eastAsia" w:ascii="仿宋" w:hAnsi="仿宋" w:eastAsia="仿宋" w:cs="仿宋"/>
          <w:color w:val="auto"/>
          <w:sz w:val="24"/>
          <w:szCs w:val="24"/>
          <w:highlight w:val="none"/>
          <w:u w:val="single"/>
          <w:lang w:val="en-US" w:eastAsia="zh-CN"/>
        </w:rPr>
        <w:t>口服制剂用硅橡胶胶塞</w:t>
      </w:r>
      <w:r>
        <w:rPr>
          <w:rFonts w:hint="eastAsia" w:eastAsia="仿宋" w:cs="Times New Roman"/>
          <w:color w:val="auto"/>
          <w:sz w:val="24"/>
          <w:szCs w:val="24"/>
          <w:highlight w:val="none"/>
          <w:u w:val="single"/>
          <w:lang w:val="en-US" w:eastAsia="zh-CN"/>
        </w:rPr>
        <w:t>），</w:t>
      </w:r>
      <w:r>
        <w:rPr>
          <w:rFonts w:hint="default" w:ascii="Times New Roman" w:hAnsi="Times New Roman" w:eastAsia="仿宋" w:cs="Times New Roman"/>
          <w:color w:val="auto"/>
          <w:sz w:val="24"/>
          <w:szCs w:val="24"/>
          <w:highlight w:val="none"/>
          <w:u w:val="single"/>
          <w:lang w:val="en-US" w:eastAsia="zh-CN"/>
        </w:rPr>
        <w:t>在自然光线明亮处目测，铝盖内外应清洁光亮，不染有异物。铝盖表面文字、图案清晰，色泽基本一致。铝盖表面碰伤面积小于2mm</w:t>
      </w:r>
      <w:r>
        <w:rPr>
          <w:rFonts w:hint="default" w:ascii="Times New Roman" w:hAnsi="Times New Roman" w:eastAsia="仿宋" w:cs="Times New Roman"/>
          <w:color w:val="auto"/>
          <w:sz w:val="24"/>
          <w:szCs w:val="24"/>
          <w:highlight w:val="none"/>
          <w:u w:val="single"/>
          <w:vertAlign w:val="superscript"/>
          <w:lang w:val="en-US" w:eastAsia="zh-CN"/>
        </w:rPr>
        <w:t>2</w:t>
      </w:r>
      <w:r>
        <w:rPr>
          <w:rFonts w:hint="default" w:ascii="Times New Roman" w:hAnsi="Times New Roman" w:eastAsia="仿宋" w:cs="Times New Roman"/>
          <w:color w:val="auto"/>
          <w:sz w:val="24"/>
          <w:szCs w:val="24"/>
          <w:highlight w:val="none"/>
          <w:u w:val="single"/>
          <w:lang w:val="en-US" w:eastAsia="zh-CN"/>
        </w:rPr>
        <w:t>。</w:t>
      </w:r>
    </w:p>
    <w:p w14:paraId="784AD2C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1.3 价款</w:t>
      </w:r>
      <w:bookmarkEnd w:id="413"/>
      <w:bookmarkEnd w:id="414"/>
      <w:bookmarkEnd w:id="415"/>
    </w:p>
    <w:p w14:paraId="425F6A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rPr>
      </w:pPr>
      <w:r>
        <w:rPr>
          <w:rFonts w:hint="eastAsia" w:ascii="仿宋" w:hAnsi="仿宋" w:eastAsia="仿宋"/>
          <w:color w:val="auto"/>
          <w:sz w:val="24"/>
          <w:highlight w:val="none"/>
        </w:rPr>
        <w:t>本合同总价</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合同上限金额</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14:paraId="117D9B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62"/>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gridCol w:w="2552"/>
      </w:tblGrid>
      <w:tr w14:paraId="7AB2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98B21A9">
            <w:pPr>
              <w:pStyle w:val="322"/>
              <w:spacing w:line="5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43134C7">
            <w:pPr>
              <w:pStyle w:val="322"/>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B73A467">
            <w:pPr>
              <w:pStyle w:val="322"/>
              <w:spacing w:line="560" w:lineRule="exact"/>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单价（元）</w:t>
            </w:r>
          </w:p>
        </w:tc>
        <w:tc>
          <w:tcPr>
            <w:tcW w:w="2552" w:type="dxa"/>
            <w:tcBorders>
              <w:top w:val="single" w:color="auto" w:sz="4" w:space="0"/>
              <w:left w:val="single" w:color="auto" w:sz="4" w:space="0"/>
              <w:bottom w:val="single" w:color="auto" w:sz="4" w:space="0"/>
              <w:right w:val="single" w:color="auto" w:sz="4" w:space="0"/>
            </w:tcBorders>
            <w:vAlign w:val="center"/>
          </w:tcPr>
          <w:p w14:paraId="427E3B55">
            <w:pPr>
              <w:pStyle w:val="322"/>
              <w:spacing w:line="560" w:lineRule="exact"/>
              <w:jc w:val="center"/>
              <w:rPr>
                <w:rFonts w:hint="eastAsia" w:ascii="仿宋" w:hAnsi="仿宋" w:eastAsia="仿宋"/>
                <w:color w:val="auto"/>
                <w:sz w:val="24"/>
                <w:szCs w:val="24"/>
                <w:highlight w:val="none"/>
                <w:lang w:eastAsia="zh-CN"/>
              </w:rPr>
            </w:pPr>
            <w:r>
              <w:rPr>
                <w:rFonts w:hint="default" w:ascii="仿宋" w:hAnsi="仿宋" w:eastAsia="仿宋"/>
                <w:color w:val="auto"/>
                <w:sz w:val="24"/>
                <w:szCs w:val="24"/>
                <w:highlight w:val="none"/>
                <w:lang w:val="en-US"/>
              </w:rPr>
              <w:t>分项价格</w:t>
            </w:r>
          </w:p>
        </w:tc>
      </w:tr>
      <w:tr w14:paraId="7148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E5EECC9">
            <w:pPr>
              <w:pStyle w:val="322"/>
              <w:spacing w:line="560" w:lineRule="exact"/>
              <w:ind w:firstLine="200"/>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vAlign w:val="center"/>
          </w:tcPr>
          <w:p w14:paraId="110C70B6">
            <w:pPr>
              <w:spacing w:beforeLines="0" w:afterLines="0"/>
              <w:jc w:val="center"/>
              <w:rPr>
                <w:rFonts w:hint="eastAsia" w:ascii="仿宋" w:hAnsi="仿宋" w:eastAsia="仿宋" w:cs="仿宋"/>
                <w:color w:val="auto"/>
                <w:kern w:val="2"/>
                <w:sz w:val="24"/>
                <w:szCs w:val="24"/>
                <w:highlight w:val="none"/>
                <w:lang w:val="en-US" w:eastAsia="zh-CN" w:bidi="ar-SA"/>
              </w:rPr>
            </w:pPr>
            <w:r>
              <w:rPr>
                <w:rFonts w:hint="eastAsia" w:eastAsia="仿宋"/>
                <w:color w:val="auto"/>
                <w:sz w:val="24"/>
                <w:szCs w:val="24"/>
                <w:highlight w:val="none"/>
              </w:rPr>
              <w:t>钠钙玻璃管制口服液体瓶套装（B型）</w:t>
            </w:r>
          </w:p>
        </w:tc>
        <w:tc>
          <w:tcPr>
            <w:tcW w:w="2552" w:type="dxa"/>
            <w:tcBorders>
              <w:top w:val="single" w:color="auto" w:sz="4" w:space="0"/>
              <w:left w:val="single" w:color="auto" w:sz="4" w:space="0"/>
              <w:bottom w:val="single" w:color="auto" w:sz="4" w:space="0"/>
              <w:right w:val="single" w:color="auto" w:sz="4" w:space="0"/>
            </w:tcBorders>
            <w:vAlign w:val="center"/>
          </w:tcPr>
          <w:p w14:paraId="122AF463">
            <w:pPr>
              <w:spacing w:beforeLines="0" w:afterLines="0"/>
              <w:ind w:firstLine="720" w:firstLineChars="300"/>
              <w:rPr>
                <w:rFonts w:hint="default" w:ascii="仿宋" w:hAnsi="仿宋" w:eastAsia="仿宋" w:cs="仿宋"/>
                <w:color w:val="auto"/>
                <w:kern w:val="2"/>
                <w:sz w:val="24"/>
                <w:szCs w:val="24"/>
                <w:highlight w:val="none"/>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14:paraId="4479E4DF">
            <w:pPr>
              <w:spacing w:beforeLines="0" w:afterLines="0"/>
              <w:ind w:firstLine="720" w:firstLineChars="300"/>
              <w:rPr>
                <w:rFonts w:hint="default" w:ascii="仿宋" w:hAnsi="仿宋" w:eastAsia="仿宋" w:cs="仿宋"/>
                <w:color w:val="auto"/>
                <w:kern w:val="2"/>
                <w:sz w:val="24"/>
                <w:szCs w:val="24"/>
                <w:highlight w:val="none"/>
                <w:lang w:val="en-US" w:eastAsia="zh-CN" w:bidi="ar-SA"/>
              </w:rPr>
            </w:pPr>
          </w:p>
        </w:tc>
      </w:tr>
      <w:tr w14:paraId="776E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83760F6">
            <w:pPr>
              <w:pStyle w:val="322"/>
              <w:spacing w:line="560" w:lineRule="exact"/>
              <w:ind w:firstLine="200"/>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vAlign w:val="center"/>
          </w:tcPr>
          <w:p w14:paraId="7AA2D639">
            <w:pPr>
              <w:spacing w:beforeLines="0" w:afterLines="0"/>
              <w:jc w:val="center"/>
              <w:rPr>
                <w:rFonts w:hint="eastAsia" w:ascii="仿宋" w:hAnsi="仿宋" w:eastAsia="仿宋" w:cs="仿宋"/>
                <w:color w:val="auto"/>
                <w:kern w:val="2"/>
                <w:sz w:val="24"/>
                <w:szCs w:val="24"/>
                <w:highlight w:val="none"/>
                <w:lang w:val="en-US" w:eastAsia="zh-CN" w:bidi="ar-SA"/>
              </w:rPr>
            </w:pPr>
            <w:r>
              <w:rPr>
                <w:rFonts w:hint="eastAsia" w:eastAsia="仿宋"/>
                <w:color w:val="auto"/>
                <w:sz w:val="24"/>
                <w:szCs w:val="24"/>
                <w:highlight w:val="none"/>
              </w:rPr>
              <w:t>钠钙玻璃管制口服液体瓶套装（C型）</w:t>
            </w:r>
          </w:p>
        </w:tc>
        <w:tc>
          <w:tcPr>
            <w:tcW w:w="2552" w:type="dxa"/>
            <w:tcBorders>
              <w:top w:val="single" w:color="auto" w:sz="4" w:space="0"/>
              <w:left w:val="single" w:color="auto" w:sz="4" w:space="0"/>
              <w:bottom w:val="single" w:color="auto" w:sz="4" w:space="0"/>
              <w:right w:val="single" w:color="auto" w:sz="4" w:space="0"/>
            </w:tcBorders>
            <w:vAlign w:val="center"/>
          </w:tcPr>
          <w:p w14:paraId="14B2A9C2">
            <w:pPr>
              <w:spacing w:beforeLines="0" w:afterLines="0"/>
              <w:jc w:val="center"/>
              <w:rPr>
                <w:rFonts w:hint="default" w:ascii="仿宋" w:hAnsi="仿宋" w:eastAsia="仿宋" w:cs="仿宋"/>
                <w:color w:val="auto"/>
                <w:kern w:val="2"/>
                <w:sz w:val="24"/>
                <w:szCs w:val="24"/>
                <w:highlight w:val="none"/>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14:paraId="413DE262">
            <w:pPr>
              <w:spacing w:beforeLines="0" w:afterLines="0"/>
              <w:jc w:val="center"/>
              <w:rPr>
                <w:rFonts w:hint="default" w:ascii="仿宋" w:hAnsi="仿宋" w:eastAsia="仿宋" w:cs="仿宋"/>
                <w:color w:val="auto"/>
                <w:kern w:val="2"/>
                <w:sz w:val="24"/>
                <w:szCs w:val="24"/>
                <w:highlight w:val="none"/>
                <w:lang w:val="en-US" w:eastAsia="zh-CN" w:bidi="ar-SA"/>
              </w:rPr>
            </w:pPr>
          </w:p>
        </w:tc>
      </w:tr>
      <w:tr w14:paraId="4EE8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AEA55D7">
            <w:pPr>
              <w:pStyle w:val="322"/>
              <w:spacing w:line="560" w:lineRule="exact"/>
              <w:ind w:firstLine="200"/>
              <w:jc w:val="center"/>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总价</w:t>
            </w:r>
          </w:p>
        </w:tc>
        <w:tc>
          <w:tcPr>
            <w:tcW w:w="5104" w:type="dxa"/>
            <w:gridSpan w:val="2"/>
            <w:tcBorders>
              <w:top w:val="single" w:color="auto" w:sz="4" w:space="0"/>
              <w:left w:val="single" w:color="auto" w:sz="4" w:space="0"/>
              <w:bottom w:val="single" w:color="auto" w:sz="4" w:space="0"/>
              <w:right w:val="single" w:color="auto" w:sz="4" w:space="0"/>
            </w:tcBorders>
            <w:vAlign w:val="center"/>
          </w:tcPr>
          <w:p w14:paraId="4A23A17B">
            <w:pPr>
              <w:pStyle w:val="322"/>
              <w:spacing w:line="560" w:lineRule="exact"/>
              <w:ind w:firstLine="200"/>
              <w:jc w:val="center"/>
              <w:rPr>
                <w:rFonts w:ascii="仿宋" w:hAnsi="仿宋" w:eastAsia="仿宋"/>
                <w:color w:val="auto"/>
                <w:sz w:val="24"/>
                <w:szCs w:val="24"/>
                <w:highlight w:val="none"/>
              </w:rPr>
            </w:pPr>
          </w:p>
        </w:tc>
      </w:tr>
    </w:tbl>
    <w:p w14:paraId="77586800">
      <w:pPr>
        <w:bidi w:val="0"/>
        <w:rPr>
          <w:color w:val="auto"/>
          <w:highlight w:val="none"/>
        </w:rPr>
      </w:pPr>
      <w:bookmarkStart w:id="416" w:name="_Toc1814"/>
      <w:bookmarkStart w:id="417" w:name="_Toc10340"/>
      <w:bookmarkStart w:id="418" w:name="_Toc22618"/>
    </w:p>
    <w:bookmarkEnd w:id="416"/>
    <w:bookmarkEnd w:id="417"/>
    <w:bookmarkEnd w:id="418"/>
    <w:p w14:paraId="41B610E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价格中</w:t>
      </w:r>
      <w:r>
        <w:rPr>
          <w:rFonts w:hint="eastAsia" w:ascii="仿宋" w:hAnsi="仿宋" w:eastAsia="仿宋" w:cs="仿宋"/>
          <w:color w:val="auto"/>
          <w:sz w:val="24"/>
          <w:szCs w:val="24"/>
          <w:highlight w:val="none"/>
        </w:rPr>
        <w:t>均已包括了为实施和完成合同所需的制作、</w:t>
      </w:r>
      <w:r>
        <w:rPr>
          <w:rFonts w:hint="eastAsia" w:ascii="仿宋" w:hAnsi="仿宋" w:eastAsia="仿宋" w:cs="仿宋"/>
          <w:color w:val="auto"/>
          <w:sz w:val="24"/>
          <w:szCs w:val="24"/>
          <w:highlight w:val="none"/>
          <w:lang w:val="en-US" w:eastAsia="zh-CN"/>
        </w:rPr>
        <w:t>开模、包装、</w:t>
      </w:r>
      <w:r>
        <w:rPr>
          <w:rFonts w:hint="eastAsia" w:ascii="仿宋" w:hAnsi="仿宋" w:eastAsia="仿宋" w:cs="仿宋"/>
          <w:color w:val="auto"/>
          <w:sz w:val="24"/>
          <w:szCs w:val="24"/>
          <w:highlight w:val="none"/>
        </w:rPr>
        <w:t>运输、验收、材料、售后服务、管理、保险、利润、税金、政策性调价、市场变化以及合同明示的所有责任、义务和风险等所需的一切费用。因</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报价漏算少计，中标后不予追加。</w:t>
      </w:r>
      <w:r>
        <w:rPr>
          <w:rFonts w:hint="eastAsia" w:ascii="仿宋" w:hAnsi="仿宋" w:eastAsia="仿宋" w:cs="仿宋"/>
          <w:color w:val="auto"/>
          <w:sz w:val="24"/>
          <w:highlight w:val="none"/>
        </w:rPr>
        <w:t>除</w:t>
      </w:r>
      <w:r>
        <w:rPr>
          <w:rFonts w:hint="eastAsia" w:ascii="仿宋" w:hAnsi="仿宋" w:eastAsia="仿宋" w:cs="仿宋"/>
          <w:color w:val="auto"/>
          <w:sz w:val="24"/>
          <w:highlight w:val="none"/>
          <w:lang w:val="en-US" w:eastAsia="zh-CN"/>
        </w:rPr>
        <w:t>按照上述单价和实际采购数量结算的费用</w:t>
      </w:r>
      <w:r>
        <w:rPr>
          <w:rFonts w:hint="eastAsia" w:ascii="仿宋" w:hAnsi="仿宋" w:eastAsia="仿宋" w:cs="仿宋"/>
          <w:color w:val="auto"/>
          <w:sz w:val="24"/>
          <w:highlight w:val="none"/>
        </w:rPr>
        <w:t>外，甲方无需再行向乙方支付任何其他费用。</w:t>
      </w:r>
    </w:p>
    <w:p w14:paraId="0796119A">
      <w:pPr>
        <w:spacing w:line="360" w:lineRule="auto"/>
        <w:ind w:firstLine="480" w:firstLineChars="200"/>
        <w:rPr>
          <w:rFonts w:hint="default" w:ascii="仿宋" w:hAnsi="仿宋" w:eastAsia="仿宋" w:cs="仿宋"/>
          <w:color w:val="auto"/>
          <w:sz w:val="24"/>
          <w:szCs w:val="24"/>
          <w:highlight w:val="none"/>
          <w:lang w:val="en-US" w:eastAsia="zh-CN"/>
        </w:rPr>
      </w:pPr>
    </w:p>
    <w:p w14:paraId="4E8AFC1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1.</w:t>
      </w:r>
      <w:r>
        <w:rPr>
          <w:rFonts w:hint="eastAsia" w:ascii="仿宋" w:hAnsi="仿宋" w:eastAsia="仿宋"/>
          <w:b/>
          <w:color w:val="auto"/>
          <w:sz w:val="24"/>
          <w:highlight w:val="none"/>
          <w:lang w:val="en-US" w:eastAsia="zh-CN"/>
        </w:rPr>
        <w:t>4</w:t>
      </w:r>
      <w:r>
        <w:rPr>
          <w:rFonts w:hint="eastAsia" w:ascii="仿宋" w:hAnsi="仿宋" w:eastAsia="仿宋"/>
          <w:b/>
          <w:color w:val="auto"/>
          <w:sz w:val="24"/>
          <w:highlight w:val="none"/>
        </w:rPr>
        <w:t>预付款</w:t>
      </w:r>
    </w:p>
    <w:p w14:paraId="630847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甲方</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lang w:val="en-US" w:eastAsia="zh-CN"/>
        </w:rPr>
        <w:t>（是/否）需要支付预付款。若需要支付预付款的，则：</w:t>
      </w:r>
    </w:p>
    <w:p w14:paraId="36F707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1.4.1预付款比例、支付方式、时间详见</w:t>
      </w:r>
      <w:r>
        <w:rPr>
          <w:rFonts w:hint="eastAsia" w:ascii="仿宋" w:hAnsi="仿宋" w:eastAsia="仿宋"/>
          <w:color w:val="auto"/>
          <w:sz w:val="24"/>
          <w:highlight w:val="none"/>
          <w:u w:val="single"/>
          <w:lang w:val="en-US" w:eastAsia="zh-CN"/>
        </w:rPr>
        <w:t xml:space="preserve">    </w:t>
      </w:r>
      <w:r>
        <w:rPr>
          <w:rFonts w:hint="eastAsia" w:ascii="仿宋" w:hAnsi="仿宋" w:eastAsia="仿宋"/>
          <w:i/>
          <w:iCs/>
          <w:color w:val="auto"/>
          <w:sz w:val="24"/>
          <w:highlight w:val="none"/>
          <w:u w:val="single"/>
          <w:lang w:val="en-US" w:eastAsia="zh-CN"/>
        </w:rPr>
        <w:t xml:space="preserve">合同专用条款  </w:t>
      </w:r>
      <w:r>
        <w:rPr>
          <w:rFonts w:hint="eastAsia" w:ascii="仿宋" w:hAnsi="仿宋" w:eastAsia="仿宋"/>
          <w:color w:val="auto"/>
          <w:sz w:val="24"/>
          <w:highlight w:val="none"/>
          <w:lang w:val="en-US" w:eastAsia="zh-CN"/>
        </w:rPr>
        <w:t>；</w:t>
      </w:r>
    </w:p>
    <w:p w14:paraId="138A18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1.4.2预付款的扣回方式详见</w:t>
      </w:r>
      <w:r>
        <w:rPr>
          <w:rFonts w:hint="eastAsia" w:ascii="仿宋" w:hAnsi="仿宋" w:eastAsia="仿宋"/>
          <w:color w:val="auto"/>
          <w:sz w:val="24"/>
          <w:highlight w:val="none"/>
          <w:u w:val="single"/>
          <w:lang w:val="en-US" w:eastAsia="zh-CN"/>
        </w:rPr>
        <w:t xml:space="preserve">    </w:t>
      </w:r>
      <w:r>
        <w:rPr>
          <w:rFonts w:hint="eastAsia" w:ascii="仿宋" w:hAnsi="仿宋" w:eastAsia="仿宋"/>
          <w:i/>
          <w:iCs/>
          <w:color w:val="auto"/>
          <w:sz w:val="24"/>
          <w:highlight w:val="none"/>
          <w:u w:val="single"/>
          <w:lang w:val="en-US" w:eastAsia="zh-CN"/>
        </w:rPr>
        <w:t>合同专用条款</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lang w:val="en-US" w:eastAsia="zh-CN"/>
        </w:rPr>
        <w:t>；</w:t>
      </w:r>
    </w:p>
    <w:p w14:paraId="3410C3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1.4.3预付款的担保措施详见</w:t>
      </w:r>
      <w:r>
        <w:rPr>
          <w:rFonts w:hint="eastAsia" w:ascii="仿宋" w:hAnsi="仿宋" w:eastAsia="仿宋"/>
          <w:color w:val="auto"/>
          <w:sz w:val="24"/>
          <w:highlight w:val="none"/>
          <w:u w:val="single"/>
          <w:lang w:val="en-US" w:eastAsia="zh-CN"/>
        </w:rPr>
        <w:t xml:space="preserve">    </w:t>
      </w:r>
      <w:r>
        <w:rPr>
          <w:rFonts w:hint="eastAsia" w:ascii="仿宋" w:hAnsi="仿宋" w:eastAsia="仿宋"/>
          <w:i/>
          <w:iCs/>
          <w:color w:val="auto"/>
          <w:sz w:val="24"/>
          <w:highlight w:val="none"/>
          <w:u w:val="single"/>
          <w:lang w:val="en-US" w:eastAsia="zh-CN"/>
        </w:rPr>
        <w:t>合同专用条款</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lang w:val="en-US" w:eastAsia="zh-CN"/>
        </w:rPr>
        <w:t>。</w:t>
      </w:r>
    </w:p>
    <w:p w14:paraId="085420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val="en-US" w:eastAsia="zh-CN"/>
        </w:rPr>
      </w:pPr>
    </w:p>
    <w:p w14:paraId="00038DC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default" w:ascii="仿宋" w:hAnsi="仿宋" w:eastAsia="仿宋"/>
          <w:b/>
          <w:color w:val="auto"/>
          <w:sz w:val="24"/>
          <w:highlight w:val="none"/>
          <w:lang w:val="en-US" w:eastAsia="zh-CN"/>
        </w:rPr>
      </w:pPr>
      <w:r>
        <w:rPr>
          <w:rFonts w:hint="eastAsia" w:ascii="仿宋" w:hAnsi="仿宋" w:eastAsia="仿宋"/>
          <w:b/>
          <w:color w:val="auto"/>
          <w:sz w:val="24"/>
          <w:highlight w:val="none"/>
        </w:rPr>
        <w:t>1.</w:t>
      </w:r>
      <w:r>
        <w:rPr>
          <w:rFonts w:hint="eastAsia" w:ascii="仿宋" w:hAnsi="仿宋" w:eastAsia="仿宋"/>
          <w:b/>
          <w:color w:val="auto"/>
          <w:sz w:val="24"/>
          <w:highlight w:val="none"/>
          <w:lang w:val="en-US" w:eastAsia="zh-CN"/>
        </w:rPr>
        <w:t>5</w:t>
      </w:r>
      <w:r>
        <w:rPr>
          <w:rFonts w:hint="eastAsia" w:ascii="仿宋" w:hAnsi="仿宋" w:eastAsia="仿宋"/>
          <w:b/>
          <w:color w:val="auto"/>
          <w:sz w:val="24"/>
          <w:highlight w:val="none"/>
        </w:rPr>
        <w:t>资金支付</w:t>
      </w:r>
    </w:p>
    <w:p w14:paraId="3A3F9C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1.5.1甲方应严格履行合同约定的时间及时组织验收，验收合格后，凭乙方开具的发票及随货同行单进行单据入库，并按照合同的支付约定将对应费用汇至乙方指定的账户。甲方不得以机构变动、人员更替、政策调整、单位放假等为由延迟付款。</w:t>
      </w:r>
    </w:p>
    <w:p w14:paraId="5B331CD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color w:val="auto"/>
          <w:highlight w:val="none"/>
          <w:lang w:val="en-US" w:eastAsia="zh-CN"/>
        </w:rPr>
      </w:pPr>
      <w:r>
        <w:rPr>
          <w:rFonts w:hint="eastAsia" w:ascii="仿宋" w:hAnsi="仿宋" w:eastAsia="仿宋" w:cs="Times New Roman"/>
          <w:b/>
          <w:color w:val="auto"/>
          <w:sz w:val="24"/>
          <w:highlight w:val="none"/>
          <w:lang w:val="en-US" w:eastAsia="zh-CN"/>
        </w:rPr>
        <w:t xml:space="preserve">1.5.2 </w:t>
      </w:r>
      <w:r>
        <w:rPr>
          <w:rFonts w:hint="eastAsia" w:ascii="仿宋" w:hAnsi="仿宋" w:eastAsia="仿宋"/>
          <w:color w:val="auto"/>
          <w:sz w:val="24"/>
          <w:highlight w:val="none"/>
          <w:lang w:val="en-US" w:eastAsia="zh-CN"/>
        </w:rPr>
        <w:t>资金支付的方式、时间和条件详见</w:t>
      </w:r>
      <w:r>
        <w:rPr>
          <w:rFonts w:hint="eastAsia" w:ascii="仿宋" w:hAnsi="仿宋" w:eastAsia="仿宋"/>
          <w:i/>
          <w:iCs/>
          <w:color w:val="auto"/>
          <w:sz w:val="24"/>
          <w:highlight w:val="none"/>
          <w:u w:val="single"/>
          <w:lang w:val="en-US" w:eastAsia="zh-CN"/>
        </w:rPr>
        <w:t>合同专用条款</w:t>
      </w:r>
      <w:r>
        <w:rPr>
          <w:rFonts w:hint="eastAsia" w:ascii="仿宋" w:hAnsi="仿宋" w:eastAsia="仿宋"/>
          <w:color w:val="auto"/>
          <w:sz w:val="24"/>
          <w:highlight w:val="none"/>
          <w:lang w:val="en-US" w:eastAsia="zh-CN"/>
        </w:rPr>
        <w:t>。</w:t>
      </w:r>
    </w:p>
    <w:p w14:paraId="7E334730">
      <w:pPr>
        <w:pStyle w:val="6"/>
        <w:ind w:left="0" w:leftChars="0" w:firstLine="480" w:firstLineChars="200"/>
        <w:rPr>
          <w:rFonts w:hint="default"/>
          <w:color w:val="auto"/>
          <w:highlight w:val="none"/>
          <w:lang w:val="en-US" w:eastAsia="zh-CN"/>
        </w:rPr>
      </w:pPr>
      <w:r>
        <w:rPr>
          <w:rFonts w:hint="eastAsia" w:ascii="仿宋" w:hAnsi="仿宋" w:eastAsia="仿宋"/>
          <w:color w:val="auto"/>
          <w:sz w:val="24"/>
          <w:highlight w:val="none"/>
          <w:lang w:val="en-US" w:eastAsia="zh-CN"/>
        </w:rPr>
        <w:t>1.6 交货和验收</w:t>
      </w:r>
    </w:p>
    <w:p w14:paraId="797B925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 xml:space="preserve">1.6.1 </w:t>
      </w:r>
      <w:r>
        <w:rPr>
          <w:rFonts w:hint="eastAsia" w:ascii="仿宋" w:hAnsi="仿宋" w:eastAsia="仿宋" w:cs="Times New Roman"/>
          <w:color w:val="auto"/>
          <w:sz w:val="24"/>
          <w:highlight w:val="none"/>
        </w:rPr>
        <w:t>货物交付期限：甲乙双方签订合同后，</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rPr>
        <w:t>需求确定之日起30个工作日内，</w:t>
      </w:r>
      <w:r>
        <w:rPr>
          <w:rFonts w:hint="eastAsia" w:ascii="仿宋" w:hAnsi="仿宋" w:eastAsia="仿宋" w:cs="Times New Roman"/>
          <w:color w:val="auto"/>
          <w:sz w:val="24"/>
          <w:highlight w:val="none"/>
          <w:lang w:val="en-US" w:eastAsia="zh-CN"/>
        </w:rPr>
        <w:t>乙方</w:t>
      </w:r>
      <w:r>
        <w:rPr>
          <w:rFonts w:hint="eastAsia" w:ascii="仿宋" w:hAnsi="仿宋" w:eastAsia="仿宋" w:cs="Times New Roman"/>
          <w:color w:val="auto"/>
          <w:sz w:val="24"/>
          <w:highlight w:val="none"/>
        </w:rPr>
        <w:t>将根据订单约定数量生产备货，根据</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rPr>
        <w:t>书面通知数量按批次进行供货，</w:t>
      </w:r>
      <w:r>
        <w:rPr>
          <w:rFonts w:hint="eastAsia" w:ascii="仿宋" w:hAnsi="仿宋" w:eastAsia="仿宋" w:cs="Times New Roman"/>
          <w:color w:val="auto"/>
          <w:sz w:val="24"/>
          <w:highlight w:val="none"/>
          <w:lang w:val="en-US" w:eastAsia="zh-CN"/>
        </w:rPr>
        <w:t>乙方</w:t>
      </w:r>
      <w:r>
        <w:rPr>
          <w:rFonts w:hint="eastAsia" w:ascii="仿宋" w:hAnsi="仿宋" w:eastAsia="仿宋" w:cs="Times New Roman"/>
          <w:color w:val="auto"/>
          <w:sz w:val="24"/>
          <w:highlight w:val="none"/>
        </w:rPr>
        <w:t>接到</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rPr>
        <w:t>通知后10个工作日内交付使用（应急货物24小时内到货），同时提交产品相关的资料，包括送货单等送货单和检验报告等，并通过</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rPr>
        <w:t>验收。</w:t>
      </w:r>
      <w:r>
        <w:rPr>
          <w:rFonts w:hint="eastAsia" w:ascii="仿宋" w:hAnsi="仿宋" w:eastAsia="仿宋" w:cs="Times New Roman"/>
          <w:color w:val="auto"/>
          <w:sz w:val="24"/>
          <w:highlight w:val="none"/>
          <w:lang w:val="en-US" w:eastAsia="zh-CN"/>
        </w:rPr>
        <w:t>未发货产品乙方代为保管，直至发完</w:t>
      </w:r>
      <w:r>
        <w:rPr>
          <w:rFonts w:hint="eastAsia" w:ascii="仿宋" w:hAnsi="仿宋" w:eastAsia="仿宋" w:cs="Times New Roman"/>
          <w:color w:val="auto"/>
          <w:sz w:val="24"/>
          <w:highlight w:val="none"/>
        </w:rPr>
        <w:t>。</w:t>
      </w:r>
    </w:p>
    <w:p w14:paraId="7A22510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w:t>
      </w:r>
      <w:r>
        <w:rPr>
          <w:rFonts w:hint="eastAsia" w:ascii="仿宋" w:hAnsi="仿宋" w:eastAsia="仿宋" w:cs="Times New Roman"/>
          <w:color w:val="auto"/>
          <w:sz w:val="24"/>
          <w:highlight w:val="none"/>
          <w:lang w:val="en-US" w:eastAsia="zh-CN"/>
        </w:rPr>
        <w:t xml:space="preserve">6.2 </w:t>
      </w:r>
      <w:r>
        <w:rPr>
          <w:rFonts w:hint="eastAsia" w:ascii="仿宋" w:hAnsi="仿宋" w:eastAsia="仿宋" w:cs="Times New Roman"/>
          <w:color w:val="auto"/>
          <w:sz w:val="24"/>
          <w:highlight w:val="none"/>
        </w:rPr>
        <w:t>交货地点：</w:t>
      </w:r>
      <w:r>
        <w:rPr>
          <w:rFonts w:hint="eastAsia" w:ascii="仿宋" w:hAnsi="仿宋" w:eastAsia="仿宋" w:cs="Times New Roman"/>
          <w:color w:val="auto"/>
          <w:sz w:val="24"/>
          <w:highlight w:val="none"/>
          <w:u w:val="none"/>
        </w:rPr>
        <w:t>甲方指定地点</w:t>
      </w:r>
      <w:r>
        <w:rPr>
          <w:rFonts w:hint="eastAsia" w:ascii="仿宋" w:hAnsi="仿宋" w:eastAsia="仿宋" w:cs="Times New Roman"/>
          <w:color w:val="auto"/>
          <w:sz w:val="24"/>
          <w:highlight w:val="none"/>
        </w:rPr>
        <w:t>。</w:t>
      </w:r>
    </w:p>
    <w:p w14:paraId="1DD79F3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w:t>
      </w:r>
      <w:r>
        <w:rPr>
          <w:rFonts w:hint="eastAsia" w:ascii="仿宋" w:hAnsi="仿宋" w:eastAsia="仿宋" w:cs="Times New Roman"/>
          <w:color w:val="auto"/>
          <w:sz w:val="24"/>
          <w:highlight w:val="none"/>
          <w:lang w:val="en-US" w:eastAsia="zh-CN"/>
        </w:rPr>
        <w:t>6</w:t>
      </w:r>
      <w:r>
        <w:rPr>
          <w:rFonts w:hint="eastAsia" w:ascii="仿宋" w:hAnsi="仿宋" w:eastAsia="仿宋" w:cs="Times New Roman"/>
          <w:color w:val="auto"/>
          <w:sz w:val="24"/>
          <w:highlight w:val="none"/>
        </w:rPr>
        <w:t>.</w:t>
      </w:r>
      <w:r>
        <w:rPr>
          <w:rFonts w:hint="eastAsia" w:ascii="仿宋" w:hAnsi="仿宋" w:eastAsia="仿宋" w:cs="Times New Roman"/>
          <w:color w:val="auto"/>
          <w:sz w:val="24"/>
          <w:highlight w:val="none"/>
          <w:lang w:val="en-US" w:eastAsia="zh-CN"/>
        </w:rPr>
        <w:t xml:space="preserve">3 </w:t>
      </w:r>
      <w:r>
        <w:rPr>
          <w:rFonts w:hint="eastAsia" w:ascii="仿宋" w:hAnsi="仿宋" w:eastAsia="仿宋" w:cs="Times New Roman"/>
          <w:color w:val="auto"/>
          <w:sz w:val="24"/>
          <w:highlight w:val="none"/>
        </w:rPr>
        <w:t>运输方式及保险：到达甲方指定交付地点</w:t>
      </w:r>
      <w:r>
        <w:rPr>
          <w:rFonts w:hint="eastAsia" w:ascii="仿宋" w:hAnsi="仿宋" w:eastAsia="仿宋" w:cs="Times New Roman"/>
          <w:color w:val="auto"/>
          <w:sz w:val="24"/>
          <w:highlight w:val="none"/>
          <w:lang w:val="en-US" w:eastAsia="zh-CN"/>
        </w:rPr>
        <w:t>且通过甲方验收合格并入库</w:t>
      </w:r>
      <w:r>
        <w:rPr>
          <w:rFonts w:hint="eastAsia" w:ascii="仿宋" w:hAnsi="仿宋" w:eastAsia="仿宋" w:cs="Times New Roman"/>
          <w:color w:val="auto"/>
          <w:sz w:val="24"/>
          <w:highlight w:val="none"/>
        </w:rPr>
        <w:t>之前的产品运输、照看、监护保管、存储、保险、损失、变质、污染等一切相关</w:t>
      </w:r>
      <w:r>
        <w:rPr>
          <w:rFonts w:hint="eastAsia" w:ascii="仿宋" w:hAnsi="仿宋" w:eastAsia="仿宋" w:cs="Times New Roman"/>
          <w:color w:val="auto"/>
          <w:sz w:val="24"/>
          <w:highlight w:val="none"/>
          <w:lang w:val="en-US" w:eastAsia="zh-CN"/>
        </w:rPr>
        <w:t>风险和</w:t>
      </w:r>
      <w:r>
        <w:rPr>
          <w:rFonts w:hint="eastAsia" w:ascii="仿宋" w:hAnsi="仿宋" w:eastAsia="仿宋" w:cs="Times New Roman"/>
          <w:color w:val="auto"/>
          <w:sz w:val="24"/>
          <w:highlight w:val="none"/>
        </w:rPr>
        <w:t>费用由乙方承担。</w:t>
      </w:r>
    </w:p>
    <w:p w14:paraId="5120340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 xml:space="preserve">1.6.4 </w:t>
      </w:r>
      <w:r>
        <w:rPr>
          <w:rFonts w:hint="eastAsia" w:ascii="仿宋" w:hAnsi="仿宋" w:eastAsia="仿宋" w:cs="Times New Roman"/>
          <w:color w:val="auto"/>
          <w:sz w:val="24"/>
          <w:highlight w:val="none"/>
        </w:rPr>
        <w:t>每批次产品交付至</w:t>
      </w:r>
      <w:r>
        <w:rPr>
          <w:rFonts w:hint="default" w:ascii="仿宋" w:hAnsi="仿宋" w:eastAsia="仿宋" w:cs="Times New Roman"/>
          <w:color w:val="auto"/>
          <w:sz w:val="24"/>
          <w:highlight w:val="none"/>
          <w:lang w:val="en-US"/>
        </w:rPr>
        <w:t>甲方</w:t>
      </w:r>
      <w:r>
        <w:rPr>
          <w:rFonts w:hint="eastAsia" w:ascii="仿宋" w:hAnsi="仿宋" w:eastAsia="仿宋" w:cs="Times New Roman"/>
          <w:color w:val="auto"/>
          <w:sz w:val="24"/>
          <w:highlight w:val="none"/>
        </w:rPr>
        <w:t>指定的地点后</w:t>
      </w:r>
      <w:r>
        <w:rPr>
          <w:rFonts w:hint="eastAsia" w:ascii="仿宋" w:hAnsi="仿宋" w:eastAsia="仿宋" w:cs="Times New Roman"/>
          <w:color w:val="auto"/>
          <w:sz w:val="24"/>
          <w:highlight w:val="none"/>
          <w:lang w:val="en-US" w:eastAsia="zh-CN"/>
        </w:rPr>
        <w:t>20</w:t>
      </w:r>
      <w:r>
        <w:rPr>
          <w:rFonts w:hint="eastAsia" w:ascii="仿宋" w:hAnsi="仿宋" w:eastAsia="仿宋" w:cs="Times New Roman"/>
          <w:color w:val="auto"/>
          <w:sz w:val="24"/>
          <w:highlight w:val="none"/>
        </w:rPr>
        <w:t>个工作日内，甲方</w:t>
      </w:r>
      <w:r>
        <w:rPr>
          <w:rFonts w:hint="eastAsia" w:ascii="仿宋" w:hAnsi="仿宋" w:eastAsia="仿宋" w:cs="Times New Roman"/>
          <w:color w:val="auto"/>
          <w:sz w:val="24"/>
          <w:highlight w:val="none"/>
          <w:lang w:val="en-US" w:eastAsia="zh-CN"/>
        </w:rPr>
        <w:t>应</w:t>
      </w:r>
      <w:r>
        <w:rPr>
          <w:rFonts w:hint="eastAsia" w:ascii="仿宋" w:hAnsi="仿宋" w:eastAsia="仿宋" w:cs="Times New Roman"/>
          <w:color w:val="auto"/>
          <w:sz w:val="24"/>
          <w:highlight w:val="none"/>
        </w:rPr>
        <w:t>验收完毕。</w:t>
      </w:r>
    </w:p>
    <w:p w14:paraId="678A652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olor w:val="auto"/>
          <w:sz w:val="24"/>
          <w:highlight w:val="none"/>
          <w:lang w:val="en-US" w:eastAsia="zh-CN"/>
        </w:rPr>
      </w:pPr>
      <w:r>
        <w:rPr>
          <w:rFonts w:hint="eastAsia" w:ascii="仿宋" w:hAnsi="仿宋" w:eastAsia="仿宋" w:cs="Times New Roman"/>
          <w:color w:val="auto"/>
          <w:sz w:val="24"/>
          <w:highlight w:val="none"/>
          <w:lang w:val="en-US" w:eastAsia="zh-CN"/>
        </w:rPr>
        <w:t xml:space="preserve">1.6.5 </w:t>
      </w:r>
      <w:r>
        <w:rPr>
          <w:rFonts w:hint="eastAsia" w:ascii="仿宋" w:hAnsi="仿宋" w:eastAsia="仿宋" w:cs="Times New Roman"/>
          <w:color w:val="auto"/>
          <w:sz w:val="24"/>
          <w:highlight w:val="none"/>
        </w:rPr>
        <w:t>验收标准：产品外形、包装完好</w:t>
      </w:r>
      <w:r>
        <w:rPr>
          <w:rFonts w:hint="eastAsia" w:ascii="仿宋" w:hAnsi="仿宋" w:eastAsia="仿宋" w:cs="Times New Roman"/>
          <w:color w:val="auto"/>
          <w:sz w:val="24"/>
          <w:highlight w:val="none"/>
          <w:lang w:val="en-US" w:eastAsia="zh-CN"/>
        </w:rPr>
        <w:t>无损</w:t>
      </w:r>
      <w:r>
        <w:rPr>
          <w:rFonts w:hint="eastAsia" w:ascii="仿宋" w:hAnsi="仿宋" w:eastAsia="仿宋" w:cs="Times New Roman"/>
          <w:color w:val="auto"/>
          <w:sz w:val="24"/>
          <w:highlight w:val="none"/>
        </w:rPr>
        <w:t>、数量正确</w:t>
      </w:r>
      <w:r>
        <w:rPr>
          <w:rFonts w:hint="eastAsia" w:ascii="仿宋" w:hAnsi="仿宋" w:eastAsia="仿宋" w:cs="Times New Roman"/>
          <w:color w:val="auto"/>
          <w:sz w:val="24"/>
          <w:highlight w:val="none"/>
          <w:lang w:val="en-US" w:eastAsia="zh-CN"/>
        </w:rPr>
        <w:t>且产品的随货同行单</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相应的检测报告、发票</w:t>
      </w:r>
      <w:r>
        <w:rPr>
          <w:rFonts w:hint="eastAsia" w:ascii="仿宋" w:hAnsi="仿宋" w:eastAsia="仿宋" w:cs="Times New Roman"/>
          <w:color w:val="auto"/>
          <w:sz w:val="24"/>
          <w:highlight w:val="none"/>
          <w:lang w:val="en-US" w:eastAsia="zh-CN"/>
        </w:rPr>
        <w:t>齐全</w:t>
      </w:r>
      <w:r>
        <w:rPr>
          <w:rFonts w:hint="eastAsia" w:ascii="仿宋" w:hAnsi="仿宋" w:eastAsia="仿宋" w:cs="Times New Roman"/>
          <w:color w:val="auto"/>
          <w:sz w:val="24"/>
          <w:highlight w:val="none"/>
        </w:rPr>
        <w:t>；产品符合甲方要求的规格、性能、技术指标等相关技术及质量标准并满足</w:t>
      </w:r>
      <w:r>
        <w:rPr>
          <w:rFonts w:hint="eastAsia" w:ascii="仿宋" w:hAnsi="仿宋" w:eastAsia="仿宋" w:cs="Times New Roman"/>
          <w:color w:val="auto"/>
          <w:sz w:val="24"/>
          <w:highlight w:val="none"/>
          <w:lang w:val="en-US" w:eastAsia="zh-CN"/>
        </w:rPr>
        <w:t>甲方要求</w:t>
      </w:r>
      <w:r>
        <w:rPr>
          <w:rFonts w:hint="eastAsia" w:ascii="仿宋" w:hAnsi="仿宋" w:eastAsia="仿宋" w:cs="Times New Roman"/>
          <w:color w:val="auto"/>
          <w:sz w:val="24"/>
          <w:highlight w:val="none"/>
        </w:rPr>
        <w:t>。</w:t>
      </w:r>
      <w:r>
        <w:rPr>
          <w:rFonts w:hint="eastAsia" w:ascii="仿宋" w:hAnsi="仿宋" w:eastAsia="仿宋" w:cs="仿宋"/>
          <w:color w:val="auto"/>
          <w:sz w:val="24"/>
          <w:szCs w:val="24"/>
          <w:highlight w:val="none"/>
        </w:rPr>
        <w:t>验收中发现达不到验收标准或合同规定的，</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必须</w:t>
      </w:r>
      <w:r>
        <w:rPr>
          <w:rFonts w:hint="eastAsia" w:ascii="仿宋" w:hAnsi="仿宋" w:eastAsia="仿宋" w:cs="仿宋"/>
          <w:color w:val="auto"/>
          <w:sz w:val="24"/>
          <w:szCs w:val="24"/>
          <w:highlight w:val="none"/>
          <w:lang w:val="en-US" w:eastAsia="zh-CN"/>
        </w:rPr>
        <w:t>免费无条件</w:t>
      </w:r>
      <w:r>
        <w:rPr>
          <w:rFonts w:hint="eastAsia" w:ascii="仿宋" w:hAnsi="仿宋" w:eastAsia="仿宋" w:cs="仿宋"/>
          <w:color w:val="auto"/>
          <w:sz w:val="24"/>
          <w:szCs w:val="24"/>
          <w:highlight w:val="none"/>
        </w:rPr>
        <w:t>配合直至</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验收通过，并且赔偿由此给</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造成的损失。如</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交付的货物（服务）存在数量短缺、交付不符、假冒伪劣或质量瑕疵等情形，</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当场验收产品时发现的，有权决定拒绝收货或立即要求退换货。如</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收货后发现上述瑕疵的，则于</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发现之日起十五个工作日内向</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的指定联系人提出异议，</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应按照</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异议要求立即退换货或承担违约责任。</w:t>
      </w:r>
    </w:p>
    <w:p w14:paraId="223BFB4F">
      <w:pPr>
        <w:snapToGrid w:val="0"/>
        <w:spacing w:line="360" w:lineRule="auto"/>
        <w:ind w:firstLine="480" w:firstLineChars="200"/>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1.6.6产品验收合格并实际入库的，视为该货物所有权转移，但验收合格不免除乙方对产品的瑕疵担保义务，乙方仍应对产品的质量负责。</w:t>
      </w:r>
    </w:p>
    <w:p w14:paraId="0081A181">
      <w:pPr>
        <w:bidi w:val="0"/>
        <w:rPr>
          <w:rFonts w:eastAsia="宋体"/>
          <w:color w:val="auto"/>
          <w:highlight w:val="none"/>
        </w:rPr>
      </w:pPr>
    </w:p>
    <w:p w14:paraId="3E2CBD9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1.</w:t>
      </w:r>
      <w:r>
        <w:rPr>
          <w:rFonts w:hint="eastAsia" w:ascii="仿宋" w:hAnsi="仿宋" w:eastAsia="仿宋"/>
          <w:b/>
          <w:color w:val="auto"/>
          <w:sz w:val="24"/>
          <w:highlight w:val="none"/>
          <w:lang w:val="en-US" w:eastAsia="zh-CN"/>
        </w:rPr>
        <w:t>7</w:t>
      </w:r>
      <w:r>
        <w:rPr>
          <w:rFonts w:hint="eastAsia" w:ascii="仿宋" w:hAnsi="仿宋" w:eastAsia="仿宋"/>
          <w:b/>
          <w:color w:val="auto"/>
          <w:sz w:val="24"/>
          <w:highlight w:val="none"/>
        </w:rPr>
        <w:t xml:space="preserve"> 违约责任</w:t>
      </w:r>
    </w:p>
    <w:p w14:paraId="70A25A16">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lang w:val="en-US" w:eastAsia="zh-CN"/>
        </w:rPr>
        <w:t>7</w:t>
      </w:r>
      <w:r>
        <w:rPr>
          <w:rFonts w:ascii="仿宋" w:hAnsi="仿宋" w:eastAsia="仿宋"/>
          <w:color w:val="auto"/>
          <w:sz w:val="24"/>
          <w:highlight w:val="none"/>
        </w:rPr>
        <w:t xml:space="preserve">.1 </w:t>
      </w:r>
      <w:r>
        <w:rPr>
          <w:rFonts w:hint="eastAsia" w:ascii="仿宋" w:hAnsi="仿宋" w:eastAsia="仿宋"/>
          <w:color w:val="auto"/>
          <w:sz w:val="24"/>
          <w:highlight w:val="none"/>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逾期超过30日的，乙方应另行向甲方支付该货物</w:t>
      </w:r>
      <w:r>
        <w:rPr>
          <w:rFonts w:hint="eastAsia" w:ascii="仿宋" w:hAnsi="仿宋" w:eastAsia="仿宋"/>
          <w:color w:val="auto"/>
          <w:sz w:val="24"/>
          <w:highlight w:val="none"/>
        </w:rPr>
        <w:t>涉及的订单总金额的</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0%</w:t>
      </w:r>
      <w:r>
        <w:rPr>
          <w:rFonts w:ascii="仿宋" w:hAnsi="仿宋" w:eastAsia="仿宋"/>
          <w:color w:val="auto"/>
          <w:sz w:val="24"/>
          <w:highlight w:val="none"/>
        </w:rPr>
        <w:t>，同时，</w:t>
      </w:r>
      <w:r>
        <w:rPr>
          <w:rFonts w:hint="eastAsia" w:ascii="仿宋" w:hAnsi="仿宋" w:eastAsia="仿宋"/>
          <w:color w:val="auto"/>
          <w:sz w:val="24"/>
          <w:highlight w:val="none"/>
          <w:lang w:val="en-US" w:eastAsia="zh-CN"/>
        </w:rPr>
        <w:t>甲方有权</w:t>
      </w:r>
      <w:r>
        <w:rPr>
          <w:rFonts w:ascii="仿宋" w:hAnsi="仿宋" w:eastAsia="仿宋"/>
          <w:color w:val="auto"/>
          <w:sz w:val="24"/>
          <w:highlight w:val="none"/>
        </w:rPr>
        <w:t>书面通知乙方解除本合同</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如前述违约金不足以弥补甲方由此产生的全部损失</w:t>
      </w:r>
      <w:r>
        <w:rPr>
          <w:rFonts w:hint="eastAsia" w:ascii="仿宋" w:hAnsi="仿宋" w:eastAsia="仿宋" w:cs="Times New Roman"/>
          <w:color w:val="auto"/>
          <w:sz w:val="24"/>
          <w:highlight w:val="none"/>
          <w:lang w:val="en-US" w:eastAsia="zh-CN"/>
        </w:rPr>
        <w:t>（该损失包括但不限于直接损失、间接损失以及甲方因维权而产生的诉讼费、律师费、保全费、保全担保费、公证费、鉴定费和执行费等一切损失）</w:t>
      </w:r>
      <w:r>
        <w:rPr>
          <w:rFonts w:hint="eastAsia" w:ascii="仿宋" w:hAnsi="仿宋" w:eastAsia="仿宋"/>
          <w:color w:val="auto"/>
          <w:sz w:val="24"/>
          <w:highlight w:val="none"/>
          <w:lang w:val="en-US" w:eastAsia="zh-CN"/>
        </w:rPr>
        <w:t>，乙方应予全额补足；</w:t>
      </w:r>
    </w:p>
    <w:p w14:paraId="1256E6B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lang w:val="en-US" w:eastAsia="zh-CN"/>
        </w:rPr>
        <w:t>7</w:t>
      </w:r>
      <w:r>
        <w:rPr>
          <w:rFonts w:ascii="仿宋" w:hAnsi="仿宋" w:eastAsia="仿宋"/>
          <w:color w:val="auto"/>
          <w:sz w:val="24"/>
          <w:highlight w:val="none"/>
        </w:rPr>
        <w:t xml:space="preserve">.2 </w:t>
      </w:r>
      <w:r>
        <w:rPr>
          <w:rFonts w:hint="eastAsia" w:ascii="仿宋" w:hAnsi="仿宋" w:eastAsia="仿宋"/>
          <w:color w:val="auto"/>
          <w:sz w:val="24"/>
          <w:highlight w:val="none"/>
        </w:rPr>
        <w:t>除不可抗力外，如果甲方没有按照本合同约定的付款方式付款，那么乙方可要求甲方支付违约金，违约金按每迟延付款一日的应付而未付款的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%计算，最高限额为本合同总价的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%；迟延付款的违约金计算数额达到前述最高限额之日起，乙方有权在要求甲方支付违约金的同时，书面通知甲方解除本合同；</w:t>
      </w:r>
    </w:p>
    <w:p w14:paraId="7B27C4C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lang w:val="en-US" w:eastAsia="zh-CN"/>
        </w:rPr>
        <w:t>7</w:t>
      </w:r>
      <w:r>
        <w:rPr>
          <w:rFonts w:ascii="仿宋" w:hAnsi="仿宋" w:eastAsia="仿宋"/>
          <w:color w:val="auto"/>
          <w:sz w:val="24"/>
          <w:highlight w:val="none"/>
        </w:rPr>
        <w:t xml:space="preserve">.3 </w:t>
      </w:r>
      <w:r>
        <w:rPr>
          <w:rFonts w:hint="eastAsia" w:ascii="仿宋" w:hAnsi="仿宋" w:eastAsia="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708717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lang w:val="en-US" w:eastAsia="zh-CN"/>
        </w:rPr>
        <w:t>7</w:t>
      </w:r>
      <w:r>
        <w:rPr>
          <w:rFonts w:ascii="仿宋" w:hAnsi="仿宋" w:eastAsia="仿宋"/>
          <w:color w:val="auto"/>
          <w:sz w:val="24"/>
          <w:highlight w:val="none"/>
        </w:rPr>
        <w:t xml:space="preserve">.4 </w:t>
      </w:r>
      <w:r>
        <w:rPr>
          <w:rFonts w:hint="eastAsia" w:ascii="仿宋" w:hAnsi="仿宋" w:eastAsia="仿宋"/>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96336F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lang w:val="en-US" w:eastAsia="zh-CN"/>
        </w:rPr>
        <w:t>7</w:t>
      </w:r>
      <w:r>
        <w:rPr>
          <w:rFonts w:ascii="仿宋" w:hAnsi="仿宋" w:eastAsia="仿宋"/>
          <w:color w:val="auto"/>
          <w:sz w:val="24"/>
          <w:highlight w:val="none"/>
        </w:rPr>
        <w:t>.</w:t>
      </w:r>
      <w:r>
        <w:rPr>
          <w:rFonts w:hint="eastAsia" w:ascii="仿宋" w:hAnsi="仿宋" w:eastAsia="仿宋"/>
          <w:color w:val="auto"/>
          <w:sz w:val="24"/>
          <w:highlight w:val="none"/>
          <w:lang w:val="en-US" w:eastAsia="zh-CN"/>
        </w:rPr>
        <w:t>5</w:t>
      </w:r>
      <w:r>
        <w:rPr>
          <w:rFonts w:ascii="仿宋" w:hAnsi="仿宋" w:eastAsia="仿宋"/>
          <w:color w:val="auto"/>
          <w:sz w:val="24"/>
          <w:highlight w:val="none"/>
        </w:rPr>
        <w:t xml:space="preserve"> </w:t>
      </w:r>
      <w:r>
        <w:rPr>
          <w:rFonts w:hint="eastAsia" w:ascii="仿宋" w:hAnsi="仿宋" w:eastAsia="仿宋"/>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22C7506A">
      <w:pPr>
        <w:keepNext w:val="0"/>
        <w:keepLines w:val="0"/>
        <w:pageBreakBefore w:val="0"/>
        <w:kinsoku/>
        <w:wordWrap/>
        <w:overflowPunct/>
        <w:topLinePunct w:val="0"/>
        <w:autoSpaceDE/>
        <w:autoSpaceDN/>
        <w:bidi w:val="0"/>
        <w:adjustRightInd w:val="0"/>
        <w:snapToGrid w:val="0"/>
        <w:spacing w:line="360" w:lineRule="auto"/>
        <w:ind w:left="-420" w:leftChars="-200" w:right="-420" w:rightChars="-200" w:firstLine="960" w:firstLineChars="400"/>
        <w:textAlignment w:val="auto"/>
        <w:rPr>
          <w:rFonts w:hint="eastAsia" w:eastAsia="宋体"/>
          <w:color w:val="auto"/>
          <w:highlight w:val="none"/>
        </w:rPr>
      </w:pPr>
      <w:r>
        <w:rPr>
          <w:rFonts w:hint="eastAsia" w:ascii="仿宋" w:hAnsi="仿宋" w:eastAsia="仿宋"/>
          <w:color w:val="auto"/>
          <w:sz w:val="24"/>
          <w:highlight w:val="none"/>
        </w:rPr>
        <w:t>1.</w:t>
      </w: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违约责任</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另有约定的，从其约定。</w:t>
      </w:r>
    </w:p>
    <w:p w14:paraId="1AB14BEE">
      <w:pPr>
        <w:bidi w:val="0"/>
        <w:rPr>
          <w:rFonts w:eastAsia="宋体"/>
          <w:color w:val="auto"/>
          <w:highlight w:val="none"/>
        </w:rPr>
      </w:pPr>
    </w:p>
    <w:p w14:paraId="348E0466">
      <w:pPr>
        <w:widowControl/>
        <w:adjustRightInd w:val="0"/>
        <w:snapToGrid w:val="0"/>
        <w:spacing w:line="480" w:lineRule="exact"/>
        <w:ind w:left="0" w:leftChars="0" w:firstLine="482" w:firstLineChars="200"/>
        <w:jc w:val="both"/>
        <w:rPr>
          <w:rFonts w:hint="eastAsia" w:ascii="仿宋" w:hAnsi="仿宋" w:eastAsia="仿宋" w:cs="Times New Roman"/>
          <w:b/>
          <w:snapToGrid/>
          <w:color w:val="auto"/>
          <w:kern w:val="2"/>
          <w:sz w:val="24"/>
          <w:szCs w:val="24"/>
          <w:highlight w:val="none"/>
          <w:lang w:val="en-US" w:eastAsia="zh-CN" w:bidi="ar-SA"/>
        </w:rPr>
      </w:pPr>
      <w:r>
        <w:rPr>
          <w:rFonts w:hint="eastAsia" w:ascii="仿宋" w:hAnsi="仿宋" w:eastAsia="仿宋" w:cs="Times New Roman"/>
          <w:b/>
          <w:snapToGrid/>
          <w:color w:val="auto"/>
          <w:kern w:val="2"/>
          <w:sz w:val="24"/>
          <w:szCs w:val="24"/>
          <w:highlight w:val="none"/>
          <w:lang w:val="en-US" w:eastAsia="zh-CN" w:bidi="ar-SA"/>
        </w:rPr>
        <w:t>1.8 其他约定</w:t>
      </w:r>
    </w:p>
    <w:p w14:paraId="54834451">
      <w:pPr>
        <w:widowControl/>
        <w:adjustRightInd w:val="0"/>
        <w:snapToGrid w:val="0"/>
        <w:spacing w:line="480" w:lineRule="exact"/>
        <w:ind w:left="0" w:leftChars="0" w:firstLine="480" w:firstLineChars="200"/>
        <w:jc w:val="both"/>
        <w:rPr>
          <w:rFonts w:hint="eastAsia" w:ascii="仿宋" w:hAnsi="仿宋" w:eastAsia="仿宋" w:cs="Times New Roman"/>
          <w:b w:val="0"/>
          <w:bCs/>
          <w:snapToGrid/>
          <w:color w:val="auto"/>
          <w:kern w:val="2"/>
          <w:sz w:val="24"/>
          <w:szCs w:val="24"/>
          <w:highlight w:val="none"/>
          <w:lang w:val="en-US" w:eastAsia="zh-CN" w:bidi="ar-SA"/>
        </w:rPr>
      </w:pPr>
      <w:r>
        <w:rPr>
          <w:rFonts w:hint="eastAsia" w:ascii="仿宋" w:hAnsi="仿宋" w:eastAsia="仿宋" w:cs="Times New Roman"/>
          <w:b w:val="0"/>
          <w:bCs/>
          <w:snapToGrid/>
          <w:color w:val="auto"/>
          <w:kern w:val="2"/>
          <w:sz w:val="24"/>
          <w:szCs w:val="24"/>
          <w:highlight w:val="none"/>
          <w:lang w:val="en-US" w:eastAsia="zh-CN" w:bidi="ar-SA"/>
        </w:rPr>
        <w:t>1.8.1 甲方因根据需要对乙方提供产品进行包材委托检验、稳定性试验等技术性验证工作，支出费用由乙方负责，验证通过后方能供货，如验证不合格，不予采购，所造成的损失由乙方承担，采购合同终止。</w:t>
      </w:r>
    </w:p>
    <w:p w14:paraId="7A86C382">
      <w:pPr>
        <w:widowControl/>
        <w:adjustRightInd w:val="0"/>
        <w:snapToGrid w:val="0"/>
        <w:spacing w:line="480" w:lineRule="exact"/>
        <w:ind w:left="0" w:leftChars="0" w:firstLine="480" w:firstLineChars="200"/>
        <w:jc w:val="both"/>
        <w:rPr>
          <w:rFonts w:hint="default" w:ascii="仿宋" w:hAnsi="仿宋" w:eastAsia="仿宋" w:cs="Times New Roman"/>
          <w:b w:val="0"/>
          <w:bCs/>
          <w:snapToGrid/>
          <w:color w:val="auto"/>
          <w:kern w:val="2"/>
          <w:sz w:val="24"/>
          <w:szCs w:val="24"/>
          <w:highlight w:val="none"/>
          <w:lang w:val="en-US" w:eastAsia="zh-CN" w:bidi="ar-SA"/>
        </w:rPr>
      </w:pPr>
      <w:r>
        <w:rPr>
          <w:rFonts w:hint="eastAsia" w:ascii="仿宋" w:hAnsi="仿宋" w:eastAsia="仿宋" w:cs="Times New Roman"/>
          <w:b w:val="0"/>
          <w:bCs/>
          <w:snapToGrid/>
          <w:color w:val="auto"/>
          <w:kern w:val="2"/>
          <w:sz w:val="24"/>
          <w:szCs w:val="24"/>
          <w:highlight w:val="none"/>
          <w:lang w:val="en-US" w:eastAsia="zh-CN" w:bidi="ar-SA"/>
        </w:rPr>
        <w:t>1.8.2不同生产厂家药包材验证要求：根据《浙江省医疗机构制剂注册管理细则》要求及参照《已上市化学药品药学变更研究技术指导原则（试行）》规定，药包材产地变更需进行相关验证工作，如甲方根据需要进行验证，所涉及的包材委托检验、稳定性试验等技术性工作，支出费用由乙方负责，验证通过后方能供货，如验证不合格，不予采购，所造成的损失由乙方承担，采购合同终止。</w:t>
      </w:r>
    </w:p>
    <w:p w14:paraId="7834A42E">
      <w:pPr>
        <w:widowControl/>
        <w:adjustRightInd w:val="0"/>
        <w:snapToGrid w:val="0"/>
        <w:spacing w:line="480" w:lineRule="exact"/>
        <w:ind w:left="0" w:leftChars="0" w:firstLine="480" w:firstLineChars="200"/>
        <w:jc w:val="both"/>
        <w:rPr>
          <w:rFonts w:hint="default" w:ascii="仿宋" w:hAnsi="仿宋" w:eastAsia="仿宋" w:cs="Times New Roman"/>
          <w:b w:val="0"/>
          <w:bCs/>
          <w:snapToGrid/>
          <w:color w:val="auto"/>
          <w:kern w:val="2"/>
          <w:sz w:val="24"/>
          <w:szCs w:val="24"/>
          <w:highlight w:val="none"/>
          <w:lang w:val="en-US" w:eastAsia="zh-CN" w:bidi="ar-SA"/>
        </w:rPr>
      </w:pPr>
    </w:p>
    <w:p w14:paraId="45E500C8">
      <w:pPr>
        <w:widowControl/>
        <w:adjustRightInd w:val="0"/>
        <w:snapToGrid w:val="0"/>
        <w:spacing w:line="480" w:lineRule="exact"/>
        <w:ind w:left="0" w:leftChars="0" w:firstLine="480" w:firstLineChars="200"/>
        <w:jc w:val="both"/>
        <w:rPr>
          <w:rFonts w:hint="eastAsia" w:ascii="仿宋" w:hAnsi="仿宋" w:eastAsia="仿宋" w:cs="Times New Roman"/>
          <w:b w:val="0"/>
          <w:bCs/>
          <w:snapToGrid/>
          <w:color w:val="auto"/>
          <w:kern w:val="2"/>
          <w:sz w:val="24"/>
          <w:szCs w:val="24"/>
          <w:highlight w:val="none"/>
          <w:lang w:val="en-US" w:eastAsia="zh-CN" w:bidi="ar-SA"/>
        </w:rPr>
      </w:pPr>
      <w:r>
        <w:rPr>
          <w:rFonts w:hint="eastAsia" w:ascii="仿宋" w:hAnsi="仿宋" w:eastAsia="仿宋" w:cs="Times New Roman"/>
          <w:b w:val="0"/>
          <w:bCs/>
          <w:snapToGrid/>
          <w:color w:val="auto"/>
          <w:kern w:val="2"/>
          <w:sz w:val="24"/>
          <w:szCs w:val="24"/>
          <w:highlight w:val="none"/>
          <w:lang w:val="en-US" w:eastAsia="zh-CN" w:bidi="ar-SA"/>
        </w:rPr>
        <w:t>1.8.3乙方每年提供一次具有CMA认证的药包材检测机构出具的全检报告单。</w:t>
      </w:r>
    </w:p>
    <w:p w14:paraId="6FBAA97E">
      <w:pPr>
        <w:widowControl/>
        <w:adjustRightInd w:val="0"/>
        <w:snapToGrid w:val="0"/>
        <w:spacing w:line="480" w:lineRule="exact"/>
        <w:ind w:left="0" w:leftChars="0" w:firstLine="480" w:firstLineChars="200"/>
        <w:jc w:val="both"/>
        <w:rPr>
          <w:rFonts w:hint="default" w:ascii="仿宋" w:hAnsi="仿宋" w:eastAsia="仿宋" w:cs="Times New Roman"/>
          <w:b w:val="0"/>
          <w:bCs/>
          <w:snapToGrid/>
          <w:color w:val="auto"/>
          <w:kern w:val="2"/>
          <w:sz w:val="24"/>
          <w:szCs w:val="24"/>
          <w:highlight w:val="none"/>
          <w:lang w:val="en-US" w:eastAsia="zh-CN" w:bidi="ar-SA"/>
        </w:rPr>
      </w:pPr>
      <w:r>
        <w:rPr>
          <w:rFonts w:hint="eastAsia" w:ascii="仿宋" w:hAnsi="仿宋" w:eastAsia="仿宋" w:cs="Times New Roman"/>
          <w:b w:val="0"/>
          <w:bCs/>
          <w:snapToGrid/>
          <w:color w:val="auto"/>
          <w:kern w:val="2"/>
          <w:sz w:val="24"/>
          <w:szCs w:val="24"/>
          <w:highlight w:val="none"/>
          <w:lang w:val="en-US" w:eastAsia="zh-CN" w:bidi="ar-SA"/>
        </w:rPr>
        <w:t>1.8.4 售后服务要求：</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需在</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小时内响应</w:t>
      </w:r>
      <w:r>
        <w:rPr>
          <w:rFonts w:hint="eastAsia" w:ascii="仿宋" w:hAnsi="仿宋" w:eastAsia="仿宋" w:cs="仿宋"/>
          <w:color w:val="auto"/>
          <w:sz w:val="24"/>
          <w:szCs w:val="24"/>
          <w:highlight w:val="none"/>
          <w:lang w:val="en-US" w:eastAsia="zh-CN"/>
        </w:rPr>
        <w:t>甲方的需求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小时解决问题和</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提出的合理要求。</w:t>
      </w:r>
    </w:p>
    <w:p w14:paraId="1CEEC653">
      <w:pPr>
        <w:bidi w:val="0"/>
        <w:rPr>
          <w:rFonts w:eastAsia="宋体"/>
          <w:color w:val="auto"/>
          <w:highlight w:val="none"/>
        </w:rPr>
      </w:pPr>
      <w:bookmarkStart w:id="419" w:name="_Toc16021"/>
      <w:bookmarkStart w:id="420" w:name="_Toc15583"/>
      <w:bookmarkStart w:id="421" w:name="_Toc28375"/>
    </w:p>
    <w:p w14:paraId="6E63EC8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1.</w:t>
      </w:r>
      <w:r>
        <w:rPr>
          <w:rFonts w:hint="eastAsia" w:ascii="仿宋" w:hAnsi="仿宋" w:eastAsia="仿宋"/>
          <w:b/>
          <w:color w:val="auto"/>
          <w:sz w:val="24"/>
          <w:highlight w:val="none"/>
          <w:lang w:val="en-US" w:eastAsia="zh-CN"/>
        </w:rPr>
        <w:t xml:space="preserve">9 </w:t>
      </w:r>
      <w:r>
        <w:rPr>
          <w:rFonts w:hint="eastAsia" w:ascii="仿宋" w:hAnsi="仿宋" w:eastAsia="仿宋"/>
          <w:b/>
          <w:color w:val="auto"/>
          <w:sz w:val="24"/>
          <w:highlight w:val="none"/>
        </w:rPr>
        <w:t>合同争议的解决</w:t>
      </w:r>
      <w:bookmarkEnd w:id="419"/>
      <w:bookmarkEnd w:id="420"/>
      <w:bookmarkEnd w:id="421"/>
    </w:p>
    <w:p w14:paraId="78AF09D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rPr>
      </w:pPr>
      <w:r>
        <w:rPr>
          <w:rFonts w:hint="eastAsia" w:ascii="仿宋" w:hAnsi="仿宋" w:eastAsia="仿宋"/>
          <w:color w:val="auto"/>
          <w:sz w:val="24"/>
          <w:highlight w:val="none"/>
        </w:rPr>
        <w:t>本合同履行过程中发生的任何争议，双方当事人均可通过和解或者调解解决；不愿和解、调解或者和解、调解不成的，可以选择以下</w:t>
      </w:r>
      <w:r>
        <w:rPr>
          <w:rFonts w:hint="eastAsia" w:ascii="仿宋" w:hAnsi="仿宋" w:eastAsia="仿宋"/>
          <w:color w:val="auto"/>
          <w:sz w:val="24"/>
          <w:highlight w:val="none"/>
          <w:u w:val="single"/>
          <w:lang w:val="en-US" w:eastAsia="zh-CN"/>
        </w:rPr>
        <w:t>第1.9.2</w:t>
      </w:r>
      <w:r>
        <w:rPr>
          <w:rFonts w:hint="eastAsia" w:ascii="仿宋" w:hAnsi="仿宋" w:eastAsia="仿宋"/>
          <w:color w:val="auto"/>
          <w:sz w:val="24"/>
          <w:highlight w:val="none"/>
        </w:rPr>
        <w:t>条款规定的方式解决：</w:t>
      </w:r>
    </w:p>
    <w:p w14:paraId="4E7AFCCC">
      <w:pPr>
        <w:keepNext w:val="0"/>
        <w:keepLines w:val="0"/>
        <w:pageBreakBefore w:val="0"/>
        <w:kinsoku/>
        <w:wordWrap/>
        <w:overflowPunct/>
        <w:topLinePunct w:val="0"/>
        <w:autoSpaceDE/>
        <w:autoSpaceDN/>
        <w:bidi w:val="0"/>
        <w:adjustRightInd w:val="0"/>
        <w:snapToGrid w:val="0"/>
        <w:spacing w:line="360" w:lineRule="auto"/>
        <w:ind w:left="-420" w:leftChars="-200" w:right="-420" w:rightChars="-200" w:firstLine="960" w:firstLineChars="400"/>
        <w:textAlignment w:val="auto"/>
        <w:rPr>
          <w:rFonts w:hint="eastAsia" w:ascii="仿宋" w:hAnsi="仿宋" w:eastAsia="仿宋"/>
          <w:color w:val="auto"/>
          <w:sz w:val="24"/>
          <w:highlight w:val="none"/>
        </w:rPr>
      </w:pPr>
      <w:r>
        <w:rPr>
          <w:rFonts w:hint="eastAsia" w:ascii="仿宋" w:hAnsi="仿宋" w:eastAsia="仿宋"/>
          <w:color w:val="auto"/>
          <w:sz w:val="24"/>
          <w:highlight w:val="none"/>
        </w:rPr>
        <w:t>1.</w:t>
      </w:r>
      <w:r>
        <w:rPr>
          <w:rFonts w:hint="eastAsia" w:ascii="仿宋" w:hAnsi="仿宋" w:eastAsia="仿宋"/>
          <w:color w:val="auto"/>
          <w:sz w:val="24"/>
          <w:highlight w:val="none"/>
          <w:lang w:val="en-US" w:eastAsia="zh-CN"/>
        </w:rPr>
        <w:t>9</w:t>
      </w:r>
      <w:r>
        <w:rPr>
          <w:rFonts w:hint="eastAsia" w:ascii="仿宋" w:hAnsi="仿宋" w:eastAsia="仿宋"/>
          <w:color w:val="auto"/>
          <w:sz w:val="24"/>
          <w:highlight w:val="none"/>
        </w:rPr>
        <w:t>.1 将争议提交</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仲裁委员会依申请仲裁时其现行有效的仲裁规则</w:t>
      </w:r>
    </w:p>
    <w:p w14:paraId="159A630B">
      <w:pPr>
        <w:keepNext w:val="0"/>
        <w:keepLines w:val="0"/>
        <w:pageBreakBefore w:val="0"/>
        <w:kinsoku/>
        <w:wordWrap/>
        <w:overflowPunct/>
        <w:topLinePunct w:val="0"/>
        <w:autoSpaceDE/>
        <w:autoSpaceDN/>
        <w:bidi w:val="0"/>
        <w:adjustRightInd w:val="0"/>
        <w:snapToGrid w:val="0"/>
        <w:spacing w:line="360" w:lineRule="auto"/>
        <w:ind w:left="-420" w:leftChars="-200" w:right="-420" w:rightChars="-200" w:firstLine="960" w:firstLineChars="400"/>
        <w:textAlignment w:val="auto"/>
        <w:rPr>
          <w:rFonts w:hint="eastAsia" w:ascii="仿宋" w:hAnsi="仿宋" w:eastAsia="仿宋"/>
          <w:color w:val="auto"/>
          <w:sz w:val="24"/>
          <w:highlight w:val="none"/>
        </w:rPr>
      </w:pPr>
      <w:r>
        <w:rPr>
          <w:rFonts w:hint="eastAsia" w:ascii="仿宋" w:hAnsi="仿宋" w:eastAsia="仿宋"/>
          <w:color w:val="auto"/>
          <w:sz w:val="24"/>
          <w:highlight w:val="none"/>
        </w:rPr>
        <w:t>裁决；</w:t>
      </w:r>
    </w:p>
    <w:p w14:paraId="71FB9CF3">
      <w:pPr>
        <w:keepNext w:val="0"/>
        <w:keepLines w:val="0"/>
        <w:pageBreakBefore w:val="0"/>
        <w:kinsoku/>
        <w:wordWrap/>
        <w:overflowPunct/>
        <w:topLinePunct w:val="0"/>
        <w:autoSpaceDE/>
        <w:autoSpaceDN/>
        <w:bidi w:val="0"/>
        <w:adjustRightInd w:val="0"/>
        <w:snapToGrid w:val="0"/>
        <w:spacing w:line="360" w:lineRule="auto"/>
        <w:ind w:left="-420" w:leftChars="-200" w:right="-420" w:rightChars="-200" w:firstLine="960" w:firstLineChars="400"/>
        <w:textAlignment w:val="auto"/>
        <w:rPr>
          <w:rFonts w:hint="eastAsia" w:ascii="仿宋" w:hAnsi="仿宋" w:eastAsia="仿宋"/>
          <w:b/>
          <w:color w:val="auto"/>
          <w:sz w:val="24"/>
          <w:highlight w:val="none"/>
          <w:lang w:val="en-US" w:eastAsia="zh-CN"/>
        </w:rPr>
      </w:pPr>
      <w:r>
        <w:rPr>
          <w:rFonts w:hint="eastAsia" w:ascii="仿宋" w:hAnsi="仿宋" w:eastAsia="仿宋"/>
          <w:color w:val="auto"/>
          <w:sz w:val="24"/>
          <w:highlight w:val="none"/>
        </w:rPr>
        <w:t>1.</w:t>
      </w:r>
      <w:r>
        <w:rPr>
          <w:rFonts w:hint="eastAsia" w:ascii="仿宋" w:hAnsi="仿宋" w:eastAsia="仿宋"/>
          <w:color w:val="auto"/>
          <w:sz w:val="24"/>
          <w:highlight w:val="none"/>
          <w:lang w:val="en-US" w:eastAsia="zh-CN"/>
        </w:rPr>
        <w:t>9</w:t>
      </w:r>
      <w:r>
        <w:rPr>
          <w:rFonts w:hint="eastAsia" w:ascii="仿宋" w:hAnsi="仿宋" w:eastAsia="仿宋"/>
          <w:color w:val="auto"/>
          <w:sz w:val="24"/>
          <w:highlight w:val="none"/>
        </w:rPr>
        <w:t>.2 向</w:t>
      </w:r>
      <w:r>
        <w:rPr>
          <w:rFonts w:hint="eastAsia" w:ascii="仿宋" w:hAnsi="仿宋" w:eastAsia="仿宋"/>
          <w:i/>
          <w:iCs/>
          <w:color w:val="auto"/>
          <w:sz w:val="24"/>
          <w:highlight w:val="none"/>
          <w:u w:val="single"/>
        </w:rPr>
        <w:t>向甲方所在地</w:t>
      </w:r>
      <w:r>
        <w:rPr>
          <w:rFonts w:hint="eastAsia" w:ascii="仿宋" w:hAnsi="仿宋" w:eastAsia="仿宋"/>
          <w:color w:val="auto"/>
          <w:sz w:val="24"/>
          <w:highlight w:val="none"/>
        </w:rPr>
        <w:t>人民法院起诉。</w:t>
      </w:r>
      <w:bookmarkStart w:id="422" w:name="_Toc7245"/>
      <w:bookmarkStart w:id="423" w:name="_Toc11173"/>
      <w:bookmarkStart w:id="424" w:name="_Toc15322"/>
    </w:p>
    <w:p w14:paraId="28C4C600">
      <w:pPr>
        <w:keepNext w:val="0"/>
        <w:keepLines w:val="0"/>
        <w:pageBreakBefore w:val="0"/>
        <w:widowControl w:val="0"/>
        <w:kinsoku/>
        <w:wordWrap/>
        <w:overflowPunct/>
        <w:topLinePunct w:val="0"/>
        <w:autoSpaceDE/>
        <w:autoSpaceDN/>
        <w:bidi w:val="0"/>
        <w:adjustRightInd w:val="0"/>
        <w:snapToGrid w:val="0"/>
        <w:spacing w:line="360" w:lineRule="auto"/>
        <w:ind w:left="479" w:leftChars="228" w:firstLine="0" w:firstLineChars="0"/>
        <w:textAlignment w:val="auto"/>
        <w:outlineLvl w:val="1"/>
        <w:rPr>
          <w:rFonts w:hint="default" w:ascii="仿宋" w:hAnsi="仿宋" w:eastAsia="仿宋"/>
          <w:b/>
          <w:color w:val="auto"/>
          <w:sz w:val="24"/>
          <w:highlight w:val="none"/>
          <w:lang w:val="en-US" w:eastAsia="zh-CN"/>
        </w:rPr>
      </w:pPr>
      <w:r>
        <w:rPr>
          <w:rFonts w:hint="eastAsia" w:ascii="仿宋" w:hAnsi="仿宋" w:eastAsia="仿宋"/>
          <w:b/>
          <w:color w:val="auto"/>
          <w:sz w:val="24"/>
          <w:highlight w:val="none"/>
          <w:lang w:val="en-US" w:eastAsia="zh-CN"/>
        </w:rPr>
        <w:br w:type="textWrapping"/>
      </w:r>
      <w:r>
        <w:rPr>
          <w:rFonts w:hint="eastAsia" w:ascii="仿宋" w:hAnsi="仿宋" w:eastAsia="仿宋"/>
          <w:b/>
          <w:color w:val="auto"/>
          <w:sz w:val="24"/>
          <w:highlight w:val="none"/>
          <w:lang w:val="en-US" w:eastAsia="zh-CN"/>
        </w:rPr>
        <w:t>2</w:t>
      </w:r>
      <w:r>
        <w:rPr>
          <w:rFonts w:hint="eastAsia" w:ascii="仿宋" w:hAnsi="仿宋" w:eastAsia="仿宋"/>
          <w:b/>
          <w:color w:val="auto"/>
          <w:sz w:val="24"/>
          <w:highlight w:val="none"/>
        </w:rPr>
        <w:t>.</w:t>
      </w:r>
      <w:r>
        <w:rPr>
          <w:rFonts w:hint="eastAsia" w:ascii="仿宋" w:hAnsi="仿宋" w:eastAsia="仿宋"/>
          <w:b/>
          <w:color w:val="auto"/>
          <w:sz w:val="24"/>
          <w:highlight w:val="none"/>
          <w:lang w:val="en-US" w:eastAsia="zh-CN"/>
        </w:rPr>
        <w:t>0</w:t>
      </w:r>
      <w:r>
        <w:rPr>
          <w:rFonts w:hint="eastAsia" w:ascii="仿宋" w:hAnsi="仿宋" w:eastAsia="仿宋"/>
          <w:b/>
          <w:color w:val="auto"/>
          <w:sz w:val="24"/>
          <w:highlight w:val="none"/>
        </w:rPr>
        <w:t xml:space="preserve"> 合同生效</w:t>
      </w:r>
      <w:bookmarkEnd w:id="422"/>
      <w:bookmarkEnd w:id="423"/>
      <w:bookmarkEnd w:id="424"/>
      <w:r>
        <w:rPr>
          <w:rFonts w:hint="eastAsia" w:ascii="仿宋" w:hAnsi="仿宋" w:eastAsia="仿宋"/>
          <w:b/>
          <w:color w:val="auto"/>
          <w:sz w:val="24"/>
          <w:highlight w:val="none"/>
          <w:lang w:val="en-US" w:eastAsia="zh-CN"/>
        </w:rPr>
        <w:t>及期限</w:t>
      </w:r>
    </w:p>
    <w:p w14:paraId="6E63CD9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u w:val="single"/>
          <w:lang w:eastAsia="zh-CN"/>
        </w:rPr>
      </w:pPr>
      <w:r>
        <w:rPr>
          <w:rFonts w:hint="eastAsia" w:ascii="仿宋" w:hAnsi="仿宋" w:eastAsia="仿宋"/>
          <w:color w:val="auto"/>
          <w:sz w:val="24"/>
          <w:highlight w:val="none"/>
        </w:rPr>
        <w:t>本合同自双方</w:t>
      </w:r>
      <w:r>
        <w:rPr>
          <w:rFonts w:hint="eastAsia" w:ascii="仿宋" w:hAnsi="仿宋" w:eastAsia="仿宋"/>
          <w:color w:val="auto"/>
          <w:sz w:val="24"/>
          <w:highlight w:val="none"/>
          <w:lang w:val="en-US" w:eastAsia="zh-CN"/>
        </w:rPr>
        <w:t>法定代表人或授权代表签字并加</w:t>
      </w:r>
      <w:r>
        <w:rPr>
          <w:rFonts w:hint="eastAsia" w:ascii="仿宋" w:hAnsi="仿宋" w:eastAsia="仿宋"/>
          <w:color w:val="auto"/>
          <w:sz w:val="24"/>
          <w:highlight w:val="none"/>
        </w:rPr>
        <w:t>盖</w:t>
      </w:r>
      <w:r>
        <w:rPr>
          <w:rFonts w:hint="eastAsia" w:ascii="仿宋" w:hAnsi="仿宋" w:eastAsia="仿宋"/>
          <w:color w:val="auto"/>
          <w:sz w:val="24"/>
          <w:highlight w:val="none"/>
          <w:lang w:val="en-US" w:eastAsia="zh-CN"/>
        </w:rPr>
        <w:t>单位公</w:t>
      </w:r>
      <w:r>
        <w:rPr>
          <w:rFonts w:hint="eastAsia" w:ascii="仿宋" w:hAnsi="仿宋" w:eastAsia="仿宋"/>
          <w:color w:val="auto"/>
          <w:sz w:val="24"/>
          <w:highlight w:val="none"/>
        </w:rPr>
        <w:t>章</w:t>
      </w:r>
      <w:r>
        <w:rPr>
          <w:rFonts w:hint="eastAsia" w:ascii="仿宋" w:hAnsi="仿宋" w:eastAsia="仿宋"/>
          <w:color w:val="auto"/>
          <w:sz w:val="24"/>
          <w:highlight w:val="none"/>
          <w:lang w:val="en-US" w:eastAsia="zh-CN"/>
        </w:rPr>
        <w:t>之日起</w:t>
      </w:r>
      <w:r>
        <w:rPr>
          <w:rFonts w:hint="eastAsia" w:ascii="仿宋" w:hAnsi="仿宋" w:eastAsia="仿宋"/>
          <w:color w:val="auto"/>
          <w:sz w:val="24"/>
          <w:highlight w:val="none"/>
        </w:rPr>
        <w:t>生效</w:t>
      </w:r>
      <w:r>
        <w:rPr>
          <w:rFonts w:hint="eastAsia" w:ascii="仿宋" w:hAnsi="仿宋" w:eastAsia="仿宋"/>
          <w:color w:val="auto"/>
          <w:sz w:val="24"/>
          <w:highlight w:val="none"/>
          <w:lang w:eastAsia="zh-CN"/>
        </w:rPr>
        <w:t>，服务期为</w:t>
      </w:r>
      <w:r>
        <w:rPr>
          <w:rFonts w:hint="eastAsia" w:ascii="仿宋" w:hAnsi="仿宋" w:eastAsia="仿宋"/>
          <w:color w:val="auto"/>
          <w:sz w:val="24"/>
          <w:highlight w:val="none"/>
          <w:u w:val="single"/>
          <w:lang w:eastAsia="zh-CN"/>
        </w:rPr>
        <w:t xml:space="preserve">     </w:t>
      </w:r>
    </w:p>
    <w:p w14:paraId="3F81AF3F">
      <w:pPr>
        <w:pageBreakBefore w:val="0"/>
        <w:widowControl w:val="0"/>
        <w:tabs>
          <w:tab w:val="left" w:pos="4140"/>
        </w:tabs>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color w:val="auto"/>
          <w:sz w:val="21"/>
          <w:szCs w:val="21"/>
          <w:highlight w:val="none"/>
        </w:rPr>
      </w:pPr>
      <w:r>
        <w:rPr>
          <w:rFonts w:hint="eastAsia" w:ascii="仿宋" w:hAnsi="仿宋" w:eastAsia="仿宋"/>
          <w:color w:val="auto"/>
          <w:sz w:val="24"/>
          <w:highlight w:val="none"/>
          <w:lang w:eastAsia="zh-CN"/>
        </w:rPr>
        <w:t>年，</w:t>
      </w:r>
      <w:r>
        <w:rPr>
          <w:rFonts w:hint="eastAsia" w:ascii="仿宋" w:hAnsi="仿宋" w:eastAsia="仿宋"/>
          <w:color w:val="auto"/>
          <w:sz w:val="24"/>
          <w:highlight w:val="none"/>
          <w:lang w:val="en-US" w:eastAsia="zh-CN"/>
        </w:rPr>
        <w:t>自    年    月    日至    年    月    日止</w:t>
      </w:r>
      <w:bookmarkStart w:id="425" w:name="OLE_LINK3"/>
      <w:r>
        <w:rPr>
          <w:rFonts w:hint="eastAsia" w:ascii="仿宋" w:hAnsi="仿宋" w:eastAsia="仿宋" w:cs="Times New Roman"/>
          <w:color w:val="auto"/>
          <w:sz w:val="24"/>
          <w:szCs w:val="24"/>
          <w:highlight w:val="none"/>
          <w:lang w:val="en-US" w:eastAsia="zh-CN"/>
        </w:rPr>
        <w:t>或如合同期内采购总金额已达中标总价，合同自动终止，以二者中的先到时间为准。</w:t>
      </w:r>
    </w:p>
    <w:bookmarkEnd w:id="425"/>
    <w:p w14:paraId="577EEB13">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b/>
          <w:color w:val="auto"/>
          <w:sz w:val="24"/>
          <w:highlight w:val="none"/>
          <w:lang w:eastAsia="zh-CN"/>
        </w:rPr>
      </w:pPr>
      <w:r>
        <w:rPr>
          <w:rFonts w:hint="eastAsia" w:ascii="仿宋" w:hAnsi="仿宋" w:eastAsia="仿宋"/>
          <w:color w:val="auto"/>
          <w:sz w:val="24"/>
          <w:highlight w:val="none"/>
          <w:lang w:eastAsia="zh-CN"/>
        </w:rPr>
        <w:t>。</w:t>
      </w:r>
    </w:p>
    <w:p w14:paraId="51F2E18B">
      <w:pPr>
        <w:autoSpaceDE w:val="0"/>
        <w:autoSpaceDN w:val="0"/>
        <w:spacing w:line="560" w:lineRule="exact"/>
        <w:rPr>
          <w:rFonts w:ascii="仿宋" w:hAnsi="仿宋" w:eastAsia="仿宋"/>
          <w:color w:val="auto"/>
          <w:sz w:val="24"/>
          <w:highlight w:val="none"/>
          <w:lang w:val="zh-CN"/>
        </w:rPr>
      </w:pPr>
    </w:p>
    <w:p w14:paraId="5E676162">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lang w:val="zh-CN"/>
        </w:rPr>
      </w:pPr>
      <w:r>
        <w:rPr>
          <w:rFonts w:hint="eastAsia" w:ascii="仿宋" w:hAnsi="仿宋" w:eastAsia="仿宋"/>
          <w:b/>
          <w:color w:val="auto"/>
          <w:sz w:val="24"/>
          <w:highlight w:val="none"/>
          <w:lang w:val="zh-CN"/>
        </w:rPr>
        <w:t>甲方</w:t>
      </w:r>
      <w:r>
        <w:rPr>
          <w:rFonts w:hint="eastAsia" w:ascii="仿宋" w:hAnsi="仿宋" w:eastAsia="仿宋"/>
          <w:color w:val="auto"/>
          <w:sz w:val="24"/>
          <w:highlight w:val="none"/>
          <w:lang w:val="zh-CN"/>
        </w:rPr>
        <w:t>：</w:t>
      </w:r>
      <w:r>
        <w:rPr>
          <w:rFonts w:ascii="仿宋" w:hAnsi="仿宋" w:eastAsia="仿宋"/>
          <w:color w:val="auto"/>
          <w:sz w:val="24"/>
          <w:highlight w:val="none"/>
          <w:lang w:val="zh-CN"/>
        </w:rPr>
        <w:t xml:space="preserve">                             </w:t>
      </w:r>
      <w:r>
        <w:rPr>
          <w:rFonts w:ascii="仿宋" w:hAnsi="仿宋" w:eastAsia="仿宋"/>
          <w:b/>
          <w:color w:val="auto"/>
          <w:sz w:val="24"/>
          <w:highlight w:val="none"/>
          <w:lang w:val="zh-CN"/>
        </w:rPr>
        <w:t xml:space="preserve">      乙方</w:t>
      </w:r>
      <w:r>
        <w:rPr>
          <w:rFonts w:hint="eastAsia" w:ascii="仿宋" w:hAnsi="仿宋" w:eastAsia="仿宋"/>
          <w:color w:val="auto"/>
          <w:sz w:val="24"/>
          <w:highlight w:val="none"/>
          <w:lang w:val="zh-CN"/>
        </w:rPr>
        <w:t>：</w:t>
      </w:r>
    </w:p>
    <w:p w14:paraId="7837DEBD">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lang w:val="zh-CN"/>
        </w:rPr>
      </w:pPr>
      <w:r>
        <w:rPr>
          <w:rFonts w:hint="eastAsia" w:ascii="仿宋" w:hAnsi="仿宋" w:eastAsia="仿宋"/>
          <w:color w:val="auto"/>
          <w:sz w:val="24"/>
          <w:highlight w:val="none"/>
          <w:lang w:val="zh-CN"/>
        </w:rPr>
        <w:t>统一社会信用代码：</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统一社会信用代码：</w:t>
      </w:r>
    </w:p>
    <w:p w14:paraId="1C8AB578">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lang w:val="zh-CN"/>
        </w:rPr>
      </w:pPr>
    </w:p>
    <w:p w14:paraId="761F623F">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lang w:val="zh-CN"/>
        </w:rPr>
      </w:pPr>
      <w:r>
        <w:rPr>
          <w:rFonts w:hint="eastAsia" w:ascii="仿宋" w:hAnsi="仿宋" w:eastAsia="仿宋"/>
          <w:color w:val="auto"/>
          <w:sz w:val="24"/>
          <w:highlight w:val="none"/>
          <w:lang w:val="en-US" w:eastAsia="zh-CN"/>
        </w:rPr>
        <w:t>地址</w:t>
      </w:r>
      <w:r>
        <w:rPr>
          <w:rFonts w:hint="eastAsia" w:ascii="仿宋" w:hAnsi="仿宋" w:eastAsia="仿宋"/>
          <w:color w:val="auto"/>
          <w:sz w:val="24"/>
          <w:highlight w:val="none"/>
          <w:lang w:val="zh-CN"/>
        </w:rPr>
        <w:t>：</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en-US" w:eastAsia="zh-CN"/>
        </w:rPr>
        <w:t>地址</w:t>
      </w:r>
      <w:r>
        <w:rPr>
          <w:rFonts w:hint="eastAsia" w:ascii="仿宋" w:hAnsi="仿宋" w:eastAsia="仿宋"/>
          <w:color w:val="auto"/>
          <w:sz w:val="24"/>
          <w:highlight w:val="none"/>
          <w:lang w:val="zh-CN"/>
        </w:rPr>
        <w:t>：</w:t>
      </w:r>
    </w:p>
    <w:p w14:paraId="68D165F8">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lang w:val="zh-CN"/>
        </w:rPr>
      </w:pPr>
      <w:r>
        <w:rPr>
          <w:rFonts w:hint="eastAsia" w:ascii="仿宋" w:hAnsi="仿宋" w:eastAsia="仿宋"/>
          <w:color w:val="auto"/>
          <w:sz w:val="24"/>
          <w:highlight w:val="none"/>
          <w:lang w:val="zh-CN"/>
        </w:rPr>
        <w:t>法定代表人或</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法定代表人</w:t>
      </w:r>
    </w:p>
    <w:p w14:paraId="7B1B8805">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lang w:val="zh-CN"/>
        </w:rPr>
      </w:pPr>
      <w:r>
        <w:rPr>
          <w:rFonts w:hint="eastAsia" w:ascii="仿宋" w:hAnsi="仿宋" w:eastAsia="仿宋"/>
          <w:color w:val="auto"/>
          <w:sz w:val="24"/>
          <w:highlight w:val="none"/>
          <w:lang w:val="zh-CN"/>
        </w:rPr>
        <w:t>授权代表（签字）：</w:t>
      </w:r>
      <w:r>
        <w:rPr>
          <w:rFonts w:ascii="仿宋" w:hAnsi="仿宋" w:eastAsia="仿宋"/>
          <w:color w:val="auto"/>
          <w:sz w:val="24"/>
          <w:highlight w:val="none"/>
          <w:lang w:val="zh-CN"/>
        </w:rPr>
        <w:t xml:space="preserve">                        或授权代表（签字）: </w:t>
      </w:r>
    </w:p>
    <w:p w14:paraId="217992AF">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lang w:val="zh-CN"/>
        </w:rPr>
      </w:pPr>
      <w:r>
        <w:rPr>
          <w:rFonts w:hint="eastAsia" w:ascii="仿宋" w:hAnsi="仿宋" w:eastAsia="仿宋"/>
          <w:color w:val="auto"/>
          <w:sz w:val="24"/>
          <w:highlight w:val="none"/>
          <w:lang w:val="zh-CN"/>
        </w:rPr>
        <w:t>联系人：</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联系人：</w:t>
      </w:r>
    </w:p>
    <w:p w14:paraId="7FCFCB3D">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rPr>
      </w:pPr>
      <w:r>
        <w:rPr>
          <w:rFonts w:hint="eastAsia" w:ascii="仿宋" w:hAnsi="仿宋" w:eastAsia="仿宋"/>
          <w:color w:val="auto"/>
          <w:sz w:val="24"/>
          <w:highlight w:val="none"/>
        </w:rPr>
        <w:t>开户银行：</w:t>
      </w:r>
      <w:r>
        <w:rPr>
          <w:rFonts w:ascii="仿宋" w:hAnsi="仿宋" w:eastAsia="仿宋"/>
          <w:color w:val="auto"/>
          <w:sz w:val="24"/>
          <w:highlight w:val="none"/>
        </w:rPr>
        <w:t xml:space="preserve">                               开户银行： </w:t>
      </w:r>
    </w:p>
    <w:p w14:paraId="62A7B04F">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rPr>
      </w:pPr>
      <w:r>
        <w:rPr>
          <w:rFonts w:hint="eastAsia" w:ascii="仿宋" w:hAnsi="仿宋" w:eastAsia="仿宋"/>
          <w:color w:val="auto"/>
          <w:sz w:val="24"/>
          <w:highlight w:val="none"/>
        </w:rPr>
        <w:t>开户名称：</w:t>
      </w:r>
      <w:r>
        <w:rPr>
          <w:rFonts w:ascii="仿宋" w:hAnsi="仿宋" w:eastAsia="仿宋"/>
          <w:color w:val="auto"/>
          <w:sz w:val="24"/>
          <w:highlight w:val="none"/>
        </w:rPr>
        <w:t xml:space="preserve">                               开户名称： </w:t>
      </w:r>
    </w:p>
    <w:p w14:paraId="306C8199">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rPr>
      </w:pPr>
      <w:r>
        <w:rPr>
          <w:rFonts w:hint="eastAsia" w:ascii="仿宋" w:hAnsi="仿宋" w:eastAsia="仿宋"/>
          <w:color w:val="auto"/>
          <w:sz w:val="24"/>
          <w:highlight w:val="none"/>
        </w:rPr>
        <w:t>开户账号：</w:t>
      </w:r>
      <w:r>
        <w:rPr>
          <w:rFonts w:ascii="仿宋" w:hAnsi="仿宋" w:eastAsia="仿宋"/>
          <w:color w:val="auto"/>
          <w:sz w:val="24"/>
          <w:highlight w:val="none"/>
          <w:lang w:val="zh-CN"/>
        </w:rPr>
        <w:t xml:space="preserve">                               </w:t>
      </w:r>
      <w:r>
        <w:rPr>
          <w:rFonts w:hint="eastAsia" w:ascii="仿宋" w:hAnsi="仿宋" w:eastAsia="仿宋"/>
          <w:color w:val="auto"/>
          <w:sz w:val="24"/>
          <w:highlight w:val="none"/>
        </w:rPr>
        <w:t>开户账号：</w:t>
      </w:r>
    </w:p>
    <w:p w14:paraId="50481213">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jc w:val="left"/>
        <w:textAlignment w:val="auto"/>
        <w:outlineLvl w:val="9"/>
        <w:rPr>
          <w:rFonts w:hint="eastAsia"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br w:type="page"/>
      </w:r>
    </w:p>
    <w:p w14:paraId="55ACD145">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jc w:val="center"/>
        <w:textAlignment w:val="auto"/>
        <w:outlineLvl w:val="0"/>
        <w:rPr>
          <w:rFonts w:hint="eastAsia"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第二部分 合同一般条款</w:t>
      </w:r>
    </w:p>
    <w:p w14:paraId="030B204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2.1 定义</w:t>
      </w:r>
    </w:p>
    <w:p w14:paraId="665810E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本合同中的下列词语应按以下内容进行解释：</w:t>
      </w:r>
    </w:p>
    <w:p w14:paraId="65EE2EC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2.1.1 </w:t>
      </w:r>
      <w:r>
        <w:rPr>
          <w:rFonts w:hint="eastAsia" w:ascii="仿宋" w:hAnsi="仿宋" w:eastAsia="仿宋"/>
          <w:color w:val="auto"/>
          <w:sz w:val="24"/>
          <w:highlight w:val="none"/>
        </w:rPr>
        <w:t>“合同”系指采购人和中标供应商签订的载明双方当事人所达成的协议，并包括所有的附件、附录和构成合同的其他文件。</w:t>
      </w:r>
    </w:p>
    <w:p w14:paraId="482AD12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2.1.2 </w:t>
      </w:r>
      <w:r>
        <w:rPr>
          <w:rFonts w:hint="eastAsia" w:ascii="仿宋" w:hAnsi="仿宋" w:eastAsia="仿宋"/>
          <w:color w:val="auto"/>
          <w:sz w:val="24"/>
          <w:highlight w:val="none"/>
        </w:rPr>
        <w:t>“合同价”系指根据合同约定，中标供应商在完全履行合同义务后，采购人应支付给中标供应商的价格。</w:t>
      </w:r>
    </w:p>
    <w:p w14:paraId="2053A98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2.1.3 </w:t>
      </w:r>
      <w:r>
        <w:rPr>
          <w:rFonts w:hint="eastAsia" w:ascii="仿宋" w:hAnsi="仿宋" w:eastAsia="仿宋"/>
          <w:color w:val="auto"/>
          <w:sz w:val="24"/>
          <w:highlight w:val="none"/>
        </w:rPr>
        <w:t>“货物”系指中标供应商根据合同约定应向采购人交付的一切各种形态和种类的物品，包括原材料、燃料、设备、机械、仪表、备件、计算机软件、产品等，并包括工具、手册等其他相关资料。</w:t>
      </w:r>
    </w:p>
    <w:p w14:paraId="1808109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2.1.4 </w:t>
      </w:r>
      <w:r>
        <w:rPr>
          <w:rFonts w:hint="eastAsia" w:ascii="仿宋" w:hAnsi="仿宋" w:eastAsia="仿宋"/>
          <w:color w:val="auto"/>
          <w:sz w:val="24"/>
          <w:highlight w:val="none"/>
        </w:rPr>
        <w:t>“甲方”系指与中标供应商签署合同的采购人；采购人委托采购代理机构代表其与乙方签订合同的，采购人的授权委托书作为合同附件。</w:t>
      </w:r>
    </w:p>
    <w:p w14:paraId="7E6835B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2.1.5 </w:t>
      </w:r>
      <w:r>
        <w:rPr>
          <w:rFonts w:hint="eastAsia" w:ascii="仿宋" w:hAnsi="仿宋" w:eastAsia="仿宋"/>
          <w:color w:val="auto"/>
          <w:sz w:val="24"/>
          <w:highlight w:val="none"/>
        </w:rPr>
        <w:t>“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83F591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2.1.6 </w:t>
      </w:r>
      <w:r>
        <w:rPr>
          <w:rFonts w:hint="eastAsia" w:ascii="仿宋" w:hAnsi="仿宋" w:eastAsia="仿宋"/>
          <w:color w:val="auto"/>
          <w:sz w:val="24"/>
          <w:highlight w:val="none"/>
        </w:rPr>
        <w:t>“现场”系指合同约定货物将要运至或者安装的地点。</w:t>
      </w:r>
    </w:p>
    <w:p w14:paraId="017313F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2.2 技术规范</w:t>
      </w:r>
    </w:p>
    <w:p w14:paraId="709BDF4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货物所应遵守的技术规范应与采购文件规定的技术规范和技术规范附件</w:t>
      </w:r>
      <w:r>
        <w:rPr>
          <w:rFonts w:ascii="仿宋" w:hAnsi="仿宋" w:eastAsia="仿宋"/>
          <w:color w:val="auto"/>
          <w:sz w:val="24"/>
          <w:highlight w:val="none"/>
        </w:rPr>
        <w:t>(如果有的话)及其技术规范偏差表(如果被甲方接受的话)相一致；如果采购文件中没有技术规范的相应说明，那么应以国家有关部门最新颁布的相应标准和规范为准。</w:t>
      </w:r>
    </w:p>
    <w:p w14:paraId="12B9579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2.3 知识产权</w:t>
      </w:r>
    </w:p>
    <w:p w14:paraId="09A5538A">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ascii="仿宋" w:hAnsi="仿宋" w:eastAsia="仿宋"/>
          <w:color w:val="auto"/>
          <w:sz w:val="24"/>
          <w:highlight w:val="none"/>
        </w:rPr>
      </w:pPr>
      <w:r>
        <w:rPr>
          <w:rFonts w:ascii="仿宋" w:hAnsi="仿宋" w:eastAsia="仿宋"/>
          <w:color w:val="auto"/>
          <w:sz w:val="24"/>
          <w:highlight w:val="none"/>
        </w:rPr>
        <w:t xml:space="preserve">2.3.1 </w:t>
      </w:r>
      <w:r>
        <w:rPr>
          <w:rFonts w:hint="eastAsia" w:ascii="仿宋" w:hAnsi="仿宋" w:eastAsia="仿宋"/>
          <w:color w:val="auto"/>
          <w:sz w:val="24"/>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42F58F0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2.3.2具有知识产权的计算机软件等货物的知识产权归属，详见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3792884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2.4 包装和装运</w:t>
      </w:r>
    </w:p>
    <w:p w14:paraId="7D0F91C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2.4.1除</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另有约定外</w:t>
      </w:r>
      <w:r>
        <w:rPr>
          <w:rFonts w:ascii="仿宋" w:hAnsi="仿宋" w:eastAsia="仿宋"/>
          <w:color w:val="auto"/>
          <w:sz w:val="24"/>
          <w:highlight w:val="none"/>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w:t>
      </w:r>
      <w:r>
        <w:rPr>
          <w:rFonts w:hint="eastAsia" w:ascii="仿宋" w:hAnsi="仿宋" w:eastAsia="仿宋"/>
          <w:color w:val="auto"/>
          <w:sz w:val="24"/>
          <w:highlight w:val="none"/>
          <w:lang w:val="en-US" w:eastAsia="zh-CN"/>
        </w:rPr>
        <w:t>甲方指定仓库</w:t>
      </w:r>
      <w:r>
        <w:rPr>
          <w:rFonts w:ascii="仿宋" w:hAnsi="仿宋" w:eastAsia="仿宋"/>
          <w:color w:val="auto"/>
          <w:sz w:val="24"/>
          <w:highlight w:val="none"/>
        </w:rPr>
        <w:t>。由于包装不善所引起的货物锈蚀、损坏和损失等一切风险均由乙方承担。</w:t>
      </w:r>
    </w:p>
    <w:p w14:paraId="37645F3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43C44F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2.4.</w:t>
      </w:r>
      <w:r>
        <w:rPr>
          <w:rFonts w:hint="eastAsia" w:ascii="仿宋" w:hAnsi="仿宋" w:eastAsia="仿宋"/>
          <w:color w:val="auto"/>
          <w:sz w:val="24"/>
          <w:highlight w:val="none"/>
          <w:lang w:val="en-US" w:eastAsia="zh-CN"/>
        </w:rPr>
        <w:t>3</w:t>
      </w:r>
      <w:r>
        <w:rPr>
          <w:rFonts w:ascii="仿宋" w:hAnsi="仿宋" w:eastAsia="仿宋"/>
          <w:color w:val="auto"/>
          <w:sz w:val="24"/>
          <w:highlight w:val="none"/>
        </w:rPr>
        <w:t xml:space="preserve"> </w:t>
      </w:r>
      <w:r>
        <w:rPr>
          <w:rFonts w:hint="eastAsia" w:ascii="仿宋" w:hAnsi="仿宋" w:eastAsia="仿宋"/>
          <w:color w:val="auto"/>
          <w:sz w:val="24"/>
          <w:highlight w:val="none"/>
        </w:rPr>
        <w:t>装运货物的要求和通知，详见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03F6D13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2.5 履约检查和问题反馈</w:t>
      </w:r>
    </w:p>
    <w:p w14:paraId="3EEA65B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2.5.1</w:t>
      </w:r>
      <w:r>
        <w:rPr>
          <w:rFonts w:hint="eastAsia" w:ascii="仿宋" w:hAnsi="仿宋" w:eastAsia="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17DD843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2.5.2 </w:t>
      </w:r>
      <w:r>
        <w:rPr>
          <w:rFonts w:hint="eastAsia" w:ascii="仿宋" w:hAnsi="仿宋" w:eastAsia="仿宋"/>
          <w:color w:val="auto"/>
          <w:sz w:val="24"/>
          <w:highlight w:val="none"/>
        </w:rPr>
        <w:t>合同履行期间，甲方有权将履行过程中出现的问题反馈给乙方，双方当事人应以书面形式约定需要完善和改进的内容。</w:t>
      </w:r>
    </w:p>
    <w:p w14:paraId="264CAFD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2.6 技术资料和保密义务</w:t>
      </w:r>
    </w:p>
    <w:p w14:paraId="376F91A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2.6.1 </w:t>
      </w:r>
      <w:r>
        <w:rPr>
          <w:rFonts w:hint="eastAsia" w:ascii="仿宋" w:hAnsi="仿宋" w:eastAsia="仿宋"/>
          <w:color w:val="auto"/>
          <w:sz w:val="24"/>
          <w:highlight w:val="none"/>
          <w:lang w:val="en-US" w:eastAsia="zh-CN"/>
        </w:rPr>
        <w:t>甲</w:t>
      </w:r>
      <w:r>
        <w:rPr>
          <w:rFonts w:hint="eastAsia" w:ascii="仿宋" w:hAnsi="仿宋" w:eastAsia="仿宋"/>
          <w:color w:val="auto"/>
          <w:sz w:val="24"/>
          <w:highlight w:val="none"/>
        </w:rPr>
        <w:t>方有权依据合同约定和项目需要，向</w:t>
      </w:r>
      <w:r>
        <w:rPr>
          <w:rFonts w:hint="eastAsia" w:ascii="仿宋" w:hAnsi="仿宋" w:eastAsia="仿宋"/>
          <w:color w:val="auto"/>
          <w:sz w:val="24"/>
          <w:highlight w:val="none"/>
          <w:lang w:val="en-US" w:eastAsia="zh-CN"/>
        </w:rPr>
        <w:t>乙</w:t>
      </w:r>
      <w:r>
        <w:rPr>
          <w:rFonts w:hint="eastAsia" w:ascii="仿宋" w:hAnsi="仿宋" w:eastAsia="仿宋"/>
          <w:color w:val="auto"/>
          <w:sz w:val="24"/>
          <w:highlight w:val="none"/>
        </w:rPr>
        <w:t>方了解有关情况，调阅有关资料等，</w:t>
      </w:r>
      <w:r>
        <w:rPr>
          <w:rFonts w:hint="eastAsia" w:ascii="仿宋" w:hAnsi="仿宋" w:eastAsia="仿宋"/>
          <w:color w:val="auto"/>
          <w:sz w:val="24"/>
          <w:highlight w:val="none"/>
          <w:lang w:val="en-US" w:eastAsia="zh-CN"/>
        </w:rPr>
        <w:t>乙</w:t>
      </w:r>
      <w:r>
        <w:rPr>
          <w:rFonts w:hint="eastAsia" w:ascii="仿宋" w:hAnsi="仿宋" w:eastAsia="仿宋"/>
          <w:color w:val="auto"/>
          <w:sz w:val="24"/>
          <w:highlight w:val="none"/>
        </w:rPr>
        <w:t>方应予积极配合；</w:t>
      </w:r>
    </w:p>
    <w:p w14:paraId="1EEE87B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2.6.2 </w:t>
      </w:r>
      <w:r>
        <w:rPr>
          <w:rFonts w:hint="eastAsia" w:ascii="仿宋" w:hAnsi="仿宋" w:eastAsia="仿宋"/>
          <w:color w:val="auto"/>
          <w:sz w:val="24"/>
          <w:highlight w:val="none"/>
          <w:lang w:val="en-US" w:eastAsia="zh-CN"/>
        </w:rPr>
        <w:t>甲</w:t>
      </w:r>
      <w:r>
        <w:rPr>
          <w:rFonts w:hint="eastAsia" w:ascii="仿宋" w:hAnsi="仿宋" w:eastAsia="仿宋"/>
          <w:color w:val="auto"/>
          <w:sz w:val="24"/>
          <w:highlight w:val="none"/>
        </w:rPr>
        <w:t>方有义务妥善保管和保护由</w:t>
      </w:r>
      <w:r>
        <w:rPr>
          <w:rFonts w:hint="eastAsia" w:ascii="仿宋" w:hAnsi="仿宋" w:eastAsia="仿宋"/>
          <w:color w:val="auto"/>
          <w:sz w:val="24"/>
          <w:highlight w:val="none"/>
          <w:lang w:val="en-US" w:eastAsia="zh-CN"/>
        </w:rPr>
        <w:t>乙</w:t>
      </w:r>
      <w:r>
        <w:rPr>
          <w:rFonts w:hint="eastAsia" w:ascii="仿宋" w:hAnsi="仿宋" w:eastAsia="仿宋"/>
          <w:color w:val="auto"/>
          <w:sz w:val="24"/>
          <w:highlight w:val="none"/>
        </w:rPr>
        <w:t>方提供的前款信息和资料等；</w:t>
      </w:r>
    </w:p>
    <w:p w14:paraId="38D4243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2.6.3 </w:t>
      </w:r>
      <w:r>
        <w:rPr>
          <w:rFonts w:hint="eastAsia" w:ascii="仿宋" w:hAnsi="仿宋" w:eastAsia="仿宋"/>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01A5BB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lang w:val="en-US" w:eastAsia="zh-CN"/>
        </w:rPr>
      </w:pPr>
      <w:r>
        <w:rPr>
          <w:rFonts w:hint="eastAsia" w:ascii="仿宋" w:hAnsi="仿宋" w:eastAsia="仿宋"/>
          <w:b/>
          <w:color w:val="auto"/>
          <w:sz w:val="24"/>
          <w:highlight w:val="none"/>
        </w:rPr>
        <w:t>2.7 质量保证</w:t>
      </w:r>
      <w:r>
        <w:rPr>
          <w:rFonts w:hint="eastAsia" w:ascii="仿宋" w:hAnsi="仿宋" w:eastAsia="仿宋"/>
          <w:b/>
          <w:color w:val="auto"/>
          <w:sz w:val="24"/>
          <w:highlight w:val="none"/>
          <w:lang w:val="en-US" w:eastAsia="zh-CN"/>
        </w:rPr>
        <w:t>条款</w:t>
      </w:r>
    </w:p>
    <w:p w14:paraId="080A873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2.7.1</w:t>
      </w:r>
      <w:r>
        <w:rPr>
          <w:rFonts w:hint="eastAsia" w:ascii="仿宋" w:hAnsi="仿宋" w:eastAsia="仿宋" w:cs="Times New Roman"/>
          <w:color w:val="auto"/>
          <w:sz w:val="24"/>
          <w:highlight w:val="none"/>
        </w:rPr>
        <w:t>产品包装质量：</w:t>
      </w:r>
    </w:p>
    <w:p w14:paraId="2179E80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（1）货物的包装由乙方提供，乙方（□回收/■不回收）包装物。</w:t>
      </w:r>
    </w:p>
    <w:p w14:paraId="70688ED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（2）乙方向甲方提供的产品，应采用专业的标准保护措施进行包装，包装应符合国家及</w:t>
      </w:r>
      <w:r>
        <w:rPr>
          <w:rFonts w:hint="eastAsia" w:ascii="仿宋" w:hAnsi="仿宋" w:eastAsia="仿宋" w:cs="Times New Roman"/>
          <w:color w:val="auto"/>
          <w:sz w:val="24"/>
          <w:highlight w:val="none"/>
          <w:lang w:val="en-US" w:eastAsia="zh-CN"/>
        </w:rPr>
        <w:t>浙江省</w:t>
      </w:r>
      <w:r>
        <w:rPr>
          <w:rFonts w:hint="eastAsia" w:ascii="仿宋" w:hAnsi="仿宋" w:eastAsia="仿宋" w:cs="Times New Roman"/>
          <w:color w:val="auto"/>
          <w:sz w:val="24"/>
          <w:highlight w:val="none"/>
        </w:rPr>
        <w:t>相关法律法规等的规定，并符合国家、地方及行业标准，使包装适应于远距离运输、防潮、防震、防锈和防粗暴装卸，确保产品安全无损运抵现场。</w:t>
      </w:r>
    </w:p>
    <w:p w14:paraId="2DA9BF0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2.7.2</w:t>
      </w:r>
      <w:r>
        <w:rPr>
          <w:rFonts w:hint="eastAsia" w:ascii="仿宋" w:hAnsi="仿宋" w:eastAsia="仿宋" w:cs="Times New Roman"/>
          <w:color w:val="auto"/>
          <w:sz w:val="24"/>
          <w:highlight w:val="none"/>
        </w:rPr>
        <w:t>产品质量标准：</w:t>
      </w:r>
    </w:p>
    <w:p w14:paraId="76EA191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（1）乙方按甲方要求，设计、生产符合相关的法律法规规定及相关主管部门要求的产品。图案版权归甲方所有。乙方不得将合同产品出售赠与其他单位个人。</w:t>
      </w:r>
    </w:p>
    <w:p w14:paraId="6A507D5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（2）乙方按甲方要求提供图样，生产前应与甲方确认最终版方案。</w:t>
      </w:r>
    </w:p>
    <w:p w14:paraId="152E6DA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（3）乙方保证所交付产品的所有部件无任何材料和工艺上的质量问题。</w:t>
      </w:r>
    </w:p>
    <w:p w14:paraId="51B9F0F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（4）乙方生产过程中的残次品应妥善处理，不得流入市场。</w:t>
      </w:r>
    </w:p>
    <w:p w14:paraId="004BA85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2.8 货物的风险负担</w:t>
      </w:r>
    </w:p>
    <w:p w14:paraId="2399B17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b/>
          <w:color w:val="auto"/>
          <w:sz w:val="24"/>
          <w:highlight w:val="none"/>
        </w:rPr>
      </w:pPr>
      <w:r>
        <w:rPr>
          <w:rFonts w:hint="eastAsia" w:ascii="仿宋" w:hAnsi="仿宋" w:eastAsia="仿宋"/>
          <w:color w:val="auto"/>
          <w:sz w:val="24"/>
          <w:highlight w:val="none"/>
        </w:rPr>
        <w:t>货物或者在途货物或者交付给第一承运人后的货物毁损、灭失的风险负担详见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06B9CD3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2.9 延迟交货</w:t>
      </w:r>
    </w:p>
    <w:p w14:paraId="5EA48DE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97BD13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2.10 合同变更</w:t>
      </w:r>
    </w:p>
    <w:p w14:paraId="3B5E09E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8DF608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2.11 合同转让和分包</w:t>
      </w:r>
    </w:p>
    <w:p w14:paraId="5F434D9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226B2D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2.11.2乙方采取分包方式履行合同的，甲方可直接向分包供应商支付款项。</w:t>
      </w:r>
    </w:p>
    <w:p w14:paraId="4ED9E17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2.12 不可抗力</w:t>
      </w:r>
    </w:p>
    <w:p w14:paraId="652788E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2.12.1如果任何一方遭遇法律规定的不可抗力，致使合同履行受阻时，履行合同的期限应予延长，延长的期限应相当于不可抗力所影响的时间；</w:t>
      </w:r>
    </w:p>
    <w:p w14:paraId="313C23B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2.12.2 </w:t>
      </w:r>
      <w:r>
        <w:rPr>
          <w:rFonts w:hint="eastAsia" w:ascii="仿宋" w:hAnsi="仿宋" w:eastAsia="仿宋"/>
          <w:color w:val="auto"/>
          <w:sz w:val="24"/>
          <w:highlight w:val="none"/>
        </w:rPr>
        <w:t>因不可抗力致使不能实现合同目的的，当事人可以解除合同；</w:t>
      </w:r>
    </w:p>
    <w:p w14:paraId="4C5CBDE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2.12.3 </w:t>
      </w:r>
      <w:r>
        <w:rPr>
          <w:rFonts w:hint="eastAsia" w:ascii="仿宋" w:hAnsi="仿宋" w:eastAsia="仿宋"/>
          <w:color w:val="auto"/>
          <w:sz w:val="24"/>
          <w:highlight w:val="none"/>
        </w:rPr>
        <w:t>因不可抗力致使合同有变更必要的，双方当事人应在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约定时间内以书面形式变更合同；</w:t>
      </w:r>
    </w:p>
    <w:p w14:paraId="6EC4BE4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2.12.4受不可抗力影响的一方在不可抗力发生后，应在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约定时间内以书面形式通知对方当事人，并在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约定时间内，将有关部门出具的证明文件送达对方当事人。</w:t>
      </w:r>
    </w:p>
    <w:p w14:paraId="3582E06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2.13 税费</w:t>
      </w:r>
    </w:p>
    <w:p w14:paraId="50976D2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与合同有关的一切税费，均按照中华人民共和国法律的相关规定。</w:t>
      </w:r>
    </w:p>
    <w:p w14:paraId="1EBAE7C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2.14乙方破产</w:t>
      </w:r>
    </w:p>
    <w:p w14:paraId="2AF4FC9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4C40F6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2.15 合同中止、终止</w:t>
      </w:r>
    </w:p>
    <w:p w14:paraId="6694497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2.15.1 </w:t>
      </w:r>
      <w:r>
        <w:rPr>
          <w:rFonts w:hint="eastAsia" w:ascii="仿宋" w:hAnsi="仿宋" w:eastAsia="仿宋"/>
          <w:color w:val="auto"/>
          <w:sz w:val="24"/>
          <w:highlight w:val="none"/>
        </w:rPr>
        <w:t>双方当事人不得擅自中止或者终止合同；</w:t>
      </w:r>
    </w:p>
    <w:p w14:paraId="6193CB3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076F8DF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2.16检验和验收</w:t>
      </w:r>
    </w:p>
    <w:p w14:paraId="588A2050">
      <w:pPr>
        <w:keepNext w:val="0"/>
        <w:keepLines w:val="0"/>
        <w:pageBreakBefore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2.16.1货物交付前，乙方应对货物的质量、数量等方面进行详细、全面的检验，并向甲方出具证明货物符合合同约定的文件；货物交付时，乙方在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约定时间内组织验收。</w:t>
      </w:r>
    </w:p>
    <w:p w14:paraId="2E6A93FE">
      <w:pPr>
        <w:keepNext w:val="0"/>
        <w:keepLines w:val="0"/>
        <w:pageBreakBefore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w:t>
      </w:r>
    </w:p>
    <w:p w14:paraId="4EF13856">
      <w:pPr>
        <w:keepNext w:val="0"/>
        <w:keepLines w:val="0"/>
        <w:pageBreakBefore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2.16.3 </w:t>
      </w:r>
      <w:r>
        <w:rPr>
          <w:rFonts w:hint="eastAsia" w:ascii="仿宋" w:hAnsi="仿宋" w:eastAsia="仿宋"/>
          <w:color w:val="auto"/>
          <w:sz w:val="24"/>
          <w:highlight w:val="none"/>
        </w:rPr>
        <w:t>检验和验收标准、程序等具体内容的效力详见</w:t>
      </w:r>
      <w:r>
        <w:rPr>
          <w:rFonts w:hint="eastAsia"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p w14:paraId="00DB638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2.17 通知和送达</w:t>
      </w:r>
    </w:p>
    <w:p w14:paraId="7CF46BD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2.17.1</w:t>
      </w:r>
      <w:r>
        <w:rPr>
          <w:rFonts w:hint="eastAsia" w:ascii="仿宋" w:hAnsi="仿宋" w:eastAsia="仿宋"/>
          <w:color w:val="auto"/>
          <w:sz w:val="24"/>
          <w:highlight w:val="none"/>
        </w:rPr>
        <w:t>任何一方因履行合同而以合同第一部分尾部所列明的传真或电子邮件</w:t>
      </w: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发出的所有通知、文件、材料，均视为已向对方当事人送达；任何一方变更上述送达方式或者地址的，应于</w:t>
      </w:r>
      <w:r>
        <w:rPr>
          <w:rFonts w:hint="eastAsia"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p>
    <w:p w14:paraId="1EA1140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p>
    <w:p w14:paraId="7A70111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2.18 计量单位</w:t>
      </w:r>
    </w:p>
    <w:p w14:paraId="63320D3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除技术规范中另有规定外</w:t>
      </w:r>
      <w:r>
        <w:rPr>
          <w:rFonts w:ascii="仿宋" w:hAnsi="仿宋" w:eastAsia="仿宋"/>
          <w:color w:val="auto"/>
          <w:sz w:val="24"/>
          <w:highlight w:val="none"/>
        </w:rPr>
        <w:t>,合同的计量单位均使用国家法定计量单位。</w:t>
      </w:r>
    </w:p>
    <w:p w14:paraId="61AB8E7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2.19 合同使用的文字和适用的法律</w:t>
      </w:r>
    </w:p>
    <w:p w14:paraId="435F407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2.19.1 </w:t>
      </w:r>
      <w:r>
        <w:rPr>
          <w:rFonts w:hint="eastAsia" w:ascii="仿宋" w:hAnsi="仿宋" w:eastAsia="仿宋"/>
          <w:color w:val="auto"/>
          <w:sz w:val="24"/>
          <w:highlight w:val="none"/>
        </w:rPr>
        <w:t>合同使用汉语书就、变更和解释；</w:t>
      </w:r>
    </w:p>
    <w:p w14:paraId="163E2D0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2.19.2 </w:t>
      </w:r>
      <w:r>
        <w:rPr>
          <w:rFonts w:hint="eastAsia" w:ascii="仿宋" w:hAnsi="仿宋" w:eastAsia="仿宋"/>
          <w:color w:val="auto"/>
          <w:sz w:val="24"/>
          <w:highlight w:val="none"/>
        </w:rPr>
        <w:t>合同适用中华人民共和国法律。</w:t>
      </w:r>
    </w:p>
    <w:p w14:paraId="313DB22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2.2</w:t>
      </w:r>
      <w:r>
        <w:rPr>
          <w:rFonts w:hint="eastAsia" w:ascii="仿宋" w:hAnsi="仿宋" w:eastAsia="仿宋"/>
          <w:b/>
          <w:color w:val="auto"/>
          <w:sz w:val="24"/>
          <w:highlight w:val="none"/>
          <w:lang w:val="en-US" w:eastAsia="zh-CN"/>
        </w:rPr>
        <w:t>0</w:t>
      </w:r>
      <w:r>
        <w:rPr>
          <w:rFonts w:hint="eastAsia" w:ascii="仿宋" w:hAnsi="仿宋" w:eastAsia="仿宋"/>
          <w:b/>
          <w:color w:val="auto"/>
          <w:sz w:val="24"/>
          <w:highlight w:val="none"/>
        </w:rPr>
        <w:t>合同份数</w:t>
      </w:r>
    </w:p>
    <w:p w14:paraId="70A182B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合同份数按</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规定，每份均具有同等法律效力。</w:t>
      </w:r>
    </w:p>
    <w:p w14:paraId="1837E4CA">
      <w:pPr>
        <w:rPr>
          <w:rFonts w:hint="eastAsia" w:ascii="仿宋" w:hAnsi="仿宋" w:eastAsia="仿宋"/>
          <w:b/>
          <w:color w:val="auto"/>
          <w:szCs w:val="24"/>
          <w:highlight w:val="none"/>
        </w:rPr>
      </w:pPr>
      <w:r>
        <w:rPr>
          <w:rFonts w:hint="eastAsia" w:ascii="仿宋" w:hAnsi="仿宋" w:eastAsia="仿宋"/>
          <w:b/>
          <w:color w:val="auto"/>
          <w:szCs w:val="24"/>
          <w:highlight w:val="none"/>
        </w:rPr>
        <w:br w:type="page"/>
      </w:r>
    </w:p>
    <w:p w14:paraId="31B98650">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jc w:val="center"/>
        <w:textAlignment w:val="auto"/>
        <w:outlineLvl w:val="0"/>
        <w:rPr>
          <w:rFonts w:hint="eastAsia"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第三部分  合同专用条款</w:t>
      </w:r>
    </w:p>
    <w:p w14:paraId="2993369C">
      <w:pPr>
        <w:keepNext w:val="0"/>
        <w:keepLines w:val="0"/>
        <w:pageBreakBefore w:val="0"/>
        <w:widowControl w:val="0"/>
        <w:kinsoku/>
        <w:wordWrap/>
        <w:overflowPunct/>
        <w:topLinePunct w:val="0"/>
        <w:autoSpaceDE/>
        <w:autoSpaceDN/>
        <w:bidi w:val="0"/>
        <w:adjustRightInd w:val="0"/>
        <w:snapToGrid w:val="0"/>
        <w:spacing w:line="360" w:lineRule="auto"/>
        <w:ind w:left="-420" w:leftChars="-200" w:right="-420" w:rightChars="-200" w:firstLine="480" w:firstLineChars="200"/>
        <w:textAlignment w:val="auto"/>
        <w:rPr>
          <w:rFonts w:eastAsia="宋体"/>
          <w:color w:val="auto"/>
          <w:highlight w:val="none"/>
        </w:rPr>
      </w:pPr>
      <w:r>
        <w:rPr>
          <w:rFonts w:hint="eastAsia" w:ascii="仿宋" w:hAnsi="仿宋" w:eastAsia="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3AF0A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030F3AAA">
            <w:pPr>
              <w:keepNext w:val="0"/>
              <w:keepLines w:val="0"/>
              <w:suppressLineNumbers w:val="0"/>
              <w:spacing w:before="0" w:beforeAutospacing="0" w:after="0" w:afterAutospacing="0" w:line="360" w:lineRule="auto"/>
              <w:ind w:left="0" w:right="0"/>
              <w:jc w:val="center"/>
              <w:rPr>
                <w:rFonts w:hint="default" w:ascii="仿宋_GB2312" w:hAnsi="楷体" w:eastAsia="仿宋_GB2312"/>
                <w:b/>
                <w:color w:val="auto"/>
                <w:sz w:val="24"/>
                <w:highlight w:val="none"/>
              </w:rPr>
            </w:pPr>
            <w:r>
              <w:rPr>
                <w:rFonts w:hint="eastAsia" w:ascii="仿宋_GB2312" w:hAnsi="楷体" w:eastAsia="仿宋_GB2312"/>
                <w:b/>
                <w:color w:val="auto"/>
                <w:sz w:val="24"/>
                <w:highlight w:val="none"/>
              </w:rPr>
              <w:t>条款号</w:t>
            </w:r>
          </w:p>
        </w:tc>
        <w:tc>
          <w:tcPr>
            <w:tcW w:w="4533" w:type="pct"/>
            <w:vAlign w:val="center"/>
          </w:tcPr>
          <w:p w14:paraId="6204C7A0">
            <w:pPr>
              <w:keepNext w:val="0"/>
              <w:keepLines w:val="0"/>
              <w:suppressLineNumbers w:val="0"/>
              <w:spacing w:before="0" w:beforeAutospacing="0" w:after="0" w:afterAutospacing="0" w:line="360" w:lineRule="auto"/>
              <w:ind w:left="0" w:right="0"/>
              <w:jc w:val="center"/>
              <w:rPr>
                <w:rFonts w:hint="default" w:ascii="仿宋_GB2312" w:hAnsi="楷体" w:eastAsia="仿宋_GB2312"/>
                <w:b/>
                <w:color w:val="auto"/>
                <w:sz w:val="24"/>
                <w:highlight w:val="none"/>
              </w:rPr>
            </w:pPr>
            <w:r>
              <w:rPr>
                <w:rFonts w:hint="eastAsia" w:ascii="仿宋_GB2312" w:hAnsi="楷体" w:eastAsia="仿宋_GB2312"/>
                <w:b/>
                <w:color w:val="auto"/>
                <w:sz w:val="24"/>
                <w:highlight w:val="none"/>
              </w:rPr>
              <w:t>约定内容</w:t>
            </w:r>
          </w:p>
        </w:tc>
      </w:tr>
      <w:tr w14:paraId="40F99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89F4BC8">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rPr>
            </w:pPr>
            <w:r>
              <w:rPr>
                <w:rFonts w:hint="default" w:ascii="仿宋" w:hAnsi="仿宋" w:eastAsia="仿宋"/>
                <w:color w:val="auto"/>
                <w:sz w:val="24"/>
                <w:highlight w:val="none"/>
              </w:rPr>
              <w:t>1.</w:t>
            </w:r>
            <w:r>
              <w:rPr>
                <w:rFonts w:hint="eastAsia" w:ascii="仿宋" w:hAnsi="仿宋" w:eastAsia="仿宋"/>
                <w:color w:val="auto"/>
                <w:sz w:val="24"/>
                <w:highlight w:val="none"/>
                <w:lang w:val="en-US" w:eastAsia="zh-CN"/>
              </w:rPr>
              <w:t>4</w:t>
            </w:r>
            <w:r>
              <w:rPr>
                <w:rFonts w:hint="default" w:ascii="仿宋" w:hAnsi="仿宋" w:eastAsia="仿宋"/>
                <w:color w:val="auto"/>
                <w:sz w:val="24"/>
                <w:highlight w:val="none"/>
              </w:rPr>
              <w:t xml:space="preserve">.1 </w:t>
            </w:r>
          </w:p>
        </w:tc>
        <w:tc>
          <w:tcPr>
            <w:tcW w:w="4533" w:type="pct"/>
            <w:vAlign w:val="center"/>
          </w:tcPr>
          <w:p w14:paraId="189A2619">
            <w:pPr>
              <w:keepNext w:val="0"/>
              <w:keepLines w:val="0"/>
              <w:suppressLineNumbers w:val="0"/>
              <w:spacing w:before="0" w:beforeAutospacing="0" w:after="0" w:afterAutospacing="0" w:line="360" w:lineRule="auto"/>
              <w:ind w:left="0" w:right="0"/>
              <w:rPr>
                <w:rFonts w:hint="eastAsia" w:ascii="仿宋" w:hAnsi="仿宋" w:eastAsia="仿宋"/>
                <w:color w:val="auto"/>
                <w:sz w:val="24"/>
                <w:highlight w:val="none"/>
                <w:lang w:val="en-US" w:eastAsia="zh-CN"/>
              </w:rPr>
            </w:pPr>
            <w:r>
              <w:rPr>
                <w:rFonts w:hint="eastAsia" w:ascii="仿宋" w:hAnsi="仿宋" w:eastAsia="仿宋"/>
                <w:color w:val="auto"/>
                <w:sz w:val="24"/>
                <w:highlight w:val="none"/>
              </w:rPr>
              <w:t>预付款比例、支付方式、时间: 合同生效以及具备实施条件后5个工作日内支付中标金额的40%，如乙方明确表示甲方不需支付预付款的，甲方则不予支付。</w:t>
            </w:r>
          </w:p>
        </w:tc>
      </w:tr>
      <w:tr w14:paraId="713D3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62AF29C">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rPr>
            </w:pPr>
            <w:r>
              <w:rPr>
                <w:rFonts w:hint="default" w:ascii="仿宋" w:hAnsi="仿宋" w:eastAsia="仿宋"/>
                <w:color w:val="auto"/>
                <w:sz w:val="24"/>
                <w:highlight w:val="none"/>
              </w:rPr>
              <w:t>1.</w:t>
            </w:r>
            <w:r>
              <w:rPr>
                <w:rFonts w:hint="eastAsia" w:ascii="仿宋" w:hAnsi="仿宋" w:eastAsia="仿宋"/>
                <w:color w:val="auto"/>
                <w:sz w:val="24"/>
                <w:highlight w:val="none"/>
                <w:lang w:val="en-US" w:eastAsia="zh-CN"/>
              </w:rPr>
              <w:t>4</w:t>
            </w:r>
            <w:r>
              <w:rPr>
                <w:rFonts w:hint="default" w:ascii="仿宋" w:hAnsi="仿宋" w:eastAsia="仿宋"/>
                <w:color w:val="auto"/>
                <w:sz w:val="24"/>
                <w:highlight w:val="none"/>
              </w:rPr>
              <w:t>.2</w:t>
            </w:r>
          </w:p>
        </w:tc>
        <w:tc>
          <w:tcPr>
            <w:tcW w:w="4533" w:type="pct"/>
            <w:vAlign w:val="center"/>
          </w:tcPr>
          <w:p w14:paraId="3598D830">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rPr>
            </w:pPr>
            <w:r>
              <w:rPr>
                <w:rFonts w:hint="eastAsia" w:ascii="仿宋" w:hAnsi="仿宋" w:eastAsia="仿宋" w:cs="仿宋"/>
                <w:color w:val="auto"/>
                <w:sz w:val="24"/>
                <w:szCs w:val="24"/>
                <w:highlight w:val="none"/>
                <w:lang w:val="en-US" w:eastAsia="zh-CN"/>
              </w:rPr>
              <w:t>（如有预付款）在第一个月度结算款中进行抵扣，第一个月度货款不足抵扣，在第二月度付款中继续抵扣。</w:t>
            </w:r>
          </w:p>
        </w:tc>
      </w:tr>
      <w:tr w14:paraId="79A53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764F748">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rPr>
            </w:pPr>
            <w:r>
              <w:rPr>
                <w:rFonts w:hint="default" w:ascii="仿宋" w:hAnsi="仿宋" w:eastAsia="仿宋"/>
                <w:color w:val="auto"/>
                <w:sz w:val="24"/>
                <w:highlight w:val="none"/>
              </w:rPr>
              <w:t>1.</w:t>
            </w:r>
            <w:r>
              <w:rPr>
                <w:rFonts w:hint="eastAsia" w:ascii="仿宋" w:hAnsi="仿宋" w:eastAsia="仿宋"/>
                <w:color w:val="auto"/>
                <w:sz w:val="24"/>
                <w:highlight w:val="none"/>
                <w:lang w:val="en-US" w:eastAsia="zh-CN"/>
              </w:rPr>
              <w:t>4</w:t>
            </w:r>
            <w:r>
              <w:rPr>
                <w:rFonts w:hint="default" w:ascii="仿宋" w:hAnsi="仿宋" w:eastAsia="仿宋"/>
                <w:color w:val="auto"/>
                <w:sz w:val="24"/>
                <w:highlight w:val="none"/>
              </w:rPr>
              <w:t xml:space="preserve">.3 </w:t>
            </w:r>
          </w:p>
        </w:tc>
        <w:tc>
          <w:tcPr>
            <w:tcW w:w="4533" w:type="pct"/>
            <w:vAlign w:val="center"/>
          </w:tcPr>
          <w:p w14:paraId="4D08AE40">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rPr>
            </w:pPr>
            <w:r>
              <w:rPr>
                <w:rFonts w:hint="eastAsia" w:ascii="仿宋" w:hAnsi="仿宋" w:eastAsia="仿宋"/>
                <w:color w:val="auto"/>
                <w:sz w:val="24"/>
                <w:highlight w:val="none"/>
                <w:lang w:val="en-US" w:eastAsia="zh-CN"/>
              </w:rPr>
              <w:t>不涉及</w:t>
            </w:r>
          </w:p>
        </w:tc>
      </w:tr>
      <w:tr w14:paraId="0DA8A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9700BE3">
            <w:pPr>
              <w:keepNext w:val="0"/>
              <w:keepLines w:val="0"/>
              <w:suppressLineNumbers w:val="0"/>
              <w:spacing w:before="0" w:beforeAutospacing="0" w:after="0" w:afterAutospacing="0" w:line="360" w:lineRule="auto"/>
              <w:ind w:left="0" w:right="0"/>
              <w:rPr>
                <w:rFonts w:hint="eastAsia" w:ascii="仿宋" w:hAnsi="仿宋" w:eastAsia="仿宋"/>
                <w:color w:val="auto"/>
                <w:sz w:val="24"/>
                <w:highlight w:val="none"/>
                <w:lang w:eastAsia="zh-CN"/>
              </w:rPr>
            </w:pPr>
            <w:r>
              <w:rPr>
                <w:rFonts w:hint="eastAsia" w:ascii="仿宋" w:hAnsi="仿宋" w:eastAsia="仿宋"/>
                <w:color w:val="auto"/>
                <w:sz w:val="24"/>
                <w:highlight w:val="none"/>
              </w:rPr>
              <w:t>1.</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2</w:t>
            </w:r>
          </w:p>
        </w:tc>
        <w:tc>
          <w:tcPr>
            <w:tcW w:w="4533" w:type="pct"/>
            <w:vAlign w:val="center"/>
          </w:tcPr>
          <w:p w14:paraId="62BBC275">
            <w:pPr>
              <w:keepNext w:val="0"/>
              <w:keepLines w:val="0"/>
              <w:suppressLineNumbers w:val="0"/>
              <w:spacing w:before="0" w:beforeAutospacing="0" w:after="0" w:afterAutospacing="0" w:line="360" w:lineRule="auto"/>
              <w:ind w:left="0" w:right="0" w:firstLine="0" w:firstLineChars="0"/>
              <w:rPr>
                <w:rFonts w:hint="default"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1.5.2.1费用结算及支付：</w:t>
            </w:r>
            <w:r>
              <w:rPr>
                <w:rFonts w:hint="eastAsia" w:ascii="仿宋" w:hAnsi="仿宋" w:eastAsia="仿宋" w:cs="仿宋"/>
                <w:color w:val="auto"/>
                <w:sz w:val="24"/>
                <w:szCs w:val="24"/>
                <w:highlight w:val="none"/>
                <w:lang w:val="en-US" w:eastAsia="zh-CN"/>
              </w:rPr>
              <w:t>甲方根据每月实际采购数量进行结算。乙方提供</w:t>
            </w:r>
            <w:r>
              <w:rPr>
                <w:rFonts w:hint="eastAsia" w:ascii="仿宋" w:hAnsi="仿宋" w:eastAsia="仿宋" w:cs="仿宋"/>
                <w:color w:val="auto"/>
                <w:sz w:val="24"/>
                <w:szCs w:val="24"/>
                <w:highlight w:val="none"/>
              </w:rPr>
              <w:t>结算清单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经双方核对无误后</w:t>
            </w:r>
            <w:r>
              <w:rPr>
                <w:rFonts w:hint="eastAsia" w:ascii="仿宋" w:hAnsi="仿宋" w:eastAsia="仿宋" w:cs="仿宋"/>
                <w:color w:val="auto"/>
                <w:sz w:val="24"/>
                <w:szCs w:val="24"/>
                <w:highlight w:val="none"/>
              </w:rPr>
              <w:t>开具正式合格</w:t>
            </w:r>
            <w:r>
              <w:rPr>
                <w:rFonts w:hint="eastAsia" w:ascii="仿宋" w:hAnsi="仿宋" w:eastAsia="仿宋" w:cs="仿宋"/>
                <w:color w:val="auto"/>
                <w:sz w:val="24"/>
                <w:szCs w:val="24"/>
                <w:highlight w:val="none"/>
                <w:lang w:val="en-US" w:eastAsia="zh-CN"/>
              </w:rPr>
              <w:t>有效</w:t>
            </w:r>
            <w:r>
              <w:rPr>
                <w:rFonts w:hint="eastAsia" w:ascii="仿宋" w:hAnsi="仿宋" w:eastAsia="仿宋" w:cs="仿宋"/>
                <w:color w:val="auto"/>
                <w:sz w:val="24"/>
                <w:szCs w:val="24"/>
                <w:highlight w:val="none"/>
              </w:rPr>
              <w:t>发票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方可</w:t>
            </w:r>
            <w:r>
              <w:rPr>
                <w:rFonts w:hint="eastAsia" w:ascii="仿宋" w:hAnsi="仿宋" w:eastAsia="仿宋" w:cs="仿宋"/>
                <w:color w:val="auto"/>
                <w:sz w:val="24"/>
                <w:szCs w:val="24"/>
                <w:highlight w:val="none"/>
              </w:rPr>
              <w:t>进行入库，入库后</w:t>
            </w:r>
            <w:r>
              <w:rPr>
                <w:rFonts w:hint="eastAsia" w:ascii="仿宋" w:hAnsi="仿宋" w:eastAsia="仿宋" w:cs="仿宋"/>
                <w:color w:val="auto"/>
                <w:sz w:val="24"/>
                <w:szCs w:val="24"/>
                <w:highlight w:val="none"/>
                <w:lang w:val="en-US" w:eastAsia="zh-CN"/>
              </w:rPr>
              <w:t>付款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承诺其开具发票的形式与内容真实、合法、准确、完整、有效，不开具或开具不合格发票的，</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有权延迟支付应付款项且不承担违约责任，直至</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开具合格的经</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审核无误的发票，在此期间</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仍应按照合同的约定履行合同的义务。</w:t>
            </w:r>
          </w:p>
          <w:p w14:paraId="3197F127">
            <w:pPr>
              <w:keepNext w:val="0"/>
              <w:keepLines w:val="0"/>
              <w:suppressLineNumbers w:val="0"/>
              <w:spacing w:before="0" w:beforeAutospacing="0" w:after="0" w:afterAutospacing="0" w:line="360" w:lineRule="auto"/>
              <w:ind w:left="0" w:right="0"/>
              <w:rPr>
                <w:rFonts w:hint="eastAsia" w:ascii="仿宋" w:hAnsi="仿宋" w:eastAsia="仿宋"/>
                <w:color w:val="auto"/>
                <w:sz w:val="24"/>
                <w:highlight w:val="none"/>
                <w:lang w:val="en-US" w:eastAsia="zh-CN"/>
              </w:rPr>
            </w:pPr>
            <w:r>
              <w:rPr>
                <w:rFonts w:hint="eastAsia" w:ascii="仿宋" w:hAnsi="仿宋" w:eastAsia="仿宋" w:cs="Times New Roman"/>
                <w:color w:val="auto"/>
                <w:sz w:val="24"/>
                <w:highlight w:val="none"/>
                <w:lang w:val="en-US" w:eastAsia="zh-CN"/>
              </w:rPr>
              <w:t>1.5.2.2</w:t>
            </w:r>
            <w:r>
              <w:rPr>
                <w:rFonts w:hint="eastAsia" w:ascii="仿宋" w:hAnsi="仿宋" w:eastAsia="仿宋"/>
                <w:color w:val="auto"/>
                <w:sz w:val="24"/>
                <w:highlight w:val="none"/>
                <w:lang w:val="en-US" w:eastAsia="zh-CN"/>
              </w:rPr>
              <w:t>乙方承诺其开具发票的形式与内容真实、合法、准确、完整、有效，不开具或开具不合格发票的，甲方有权延迟支付对应款项且不承担违约责任，直至乙方开具合格的经甲方审核无误的发票，在此期间乙方仍应按照合同的约定履行合同的义务。</w:t>
            </w:r>
          </w:p>
          <w:p w14:paraId="63A75FA2">
            <w:pPr>
              <w:keepNext w:val="0"/>
              <w:keepLines w:val="0"/>
              <w:suppressLineNumbers w:val="0"/>
              <w:spacing w:before="0" w:beforeAutospacing="0" w:after="0" w:afterAutospacing="0" w:line="360" w:lineRule="auto"/>
              <w:ind w:left="0" w:right="0"/>
              <w:rPr>
                <w:rFonts w:hint="eastAsia" w:ascii="仿宋" w:hAnsi="仿宋" w:eastAsia="仿宋"/>
                <w:color w:val="auto"/>
                <w:sz w:val="24"/>
                <w:highlight w:val="none"/>
                <w:lang w:val="en-US" w:eastAsia="zh-CN"/>
              </w:rPr>
            </w:pPr>
            <w:r>
              <w:rPr>
                <w:rFonts w:hint="eastAsia" w:ascii="仿宋" w:hAnsi="仿宋" w:eastAsia="仿宋" w:cs="Times New Roman"/>
                <w:color w:val="auto"/>
                <w:sz w:val="24"/>
                <w:highlight w:val="none"/>
                <w:lang w:val="en-US" w:eastAsia="zh-CN"/>
              </w:rPr>
              <w:t>1.5.2.3</w:t>
            </w:r>
            <w:r>
              <w:rPr>
                <w:rFonts w:hint="eastAsia" w:ascii="仿宋" w:hAnsi="仿宋" w:eastAsia="仿宋"/>
                <w:color w:val="auto"/>
                <w:sz w:val="24"/>
                <w:highlight w:val="none"/>
                <w:lang w:val="en-US" w:eastAsia="zh-CN"/>
              </w:rPr>
              <w:t>在甲方支付费用前，双方对本合同的履行或部分履行存有争议的，甲方有权中止支付对应款项且不构成违约；待争议解决后，按双方协商结果支付。</w:t>
            </w:r>
          </w:p>
          <w:p w14:paraId="39A2DC30">
            <w:pPr>
              <w:spacing w:line="360" w:lineRule="auto"/>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1.5.2.4</w:t>
            </w:r>
            <w:r>
              <w:rPr>
                <w:rFonts w:hint="eastAsia" w:ascii="仿宋" w:hAnsi="仿宋" w:eastAsia="仿宋"/>
                <w:color w:val="auto"/>
                <w:sz w:val="24"/>
                <w:highlight w:val="none"/>
                <w:lang w:val="en-US" w:eastAsia="zh-CN"/>
              </w:rPr>
              <w:t>乙方所承担的违约责任所对应的金额，甲方有权在待支付费用中扣除，乙方应按照扣款后的金额开具符合等额有效的增值税发票，甲方亦可另行向乙方主张要求支付。</w:t>
            </w:r>
          </w:p>
          <w:p w14:paraId="44E05D5A">
            <w:pPr>
              <w:pStyle w:val="2"/>
              <w:rPr>
                <w:rFonts w:hint="default"/>
                <w:color w:val="auto"/>
                <w:highlight w:val="none"/>
                <w:lang w:val="en-US" w:eastAsia="zh-CN"/>
              </w:rPr>
            </w:pPr>
          </w:p>
        </w:tc>
      </w:tr>
      <w:tr w14:paraId="62333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1892EC3">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1.7.6</w:t>
            </w:r>
          </w:p>
        </w:tc>
        <w:tc>
          <w:tcPr>
            <w:tcW w:w="4533" w:type="pct"/>
            <w:vAlign w:val="center"/>
          </w:tcPr>
          <w:p w14:paraId="2423DCE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仿宋" w:hAnsi="仿宋" w:eastAsia="仿宋" w:cs="Times New Roman"/>
                <w:color w:val="auto"/>
                <w:sz w:val="24"/>
                <w:highlight w:val="none"/>
                <w:lang w:eastAsia="zh-CN"/>
              </w:rPr>
            </w:pPr>
            <w:r>
              <w:rPr>
                <w:rFonts w:hint="eastAsia" w:ascii="仿宋" w:hAnsi="仿宋" w:eastAsia="仿宋" w:cs="Times New Roman"/>
                <w:color w:val="auto"/>
                <w:sz w:val="24"/>
                <w:highlight w:val="none"/>
                <w:lang w:val="en-US" w:eastAsia="zh-CN"/>
              </w:rPr>
              <w:t>1.7.6.1除本合同另有约定的外，乙方</w:t>
            </w:r>
            <w:r>
              <w:rPr>
                <w:rFonts w:hint="eastAsia" w:ascii="仿宋" w:hAnsi="仿宋" w:eastAsia="仿宋" w:cs="Times New Roman"/>
                <w:color w:val="auto"/>
                <w:sz w:val="24"/>
                <w:highlight w:val="none"/>
              </w:rPr>
              <w:t>存在如下违约情况时，</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rPr>
              <w:t>有权单方面解除合同并要求</w:t>
            </w:r>
            <w:r>
              <w:rPr>
                <w:rFonts w:hint="eastAsia" w:ascii="仿宋" w:hAnsi="仿宋" w:eastAsia="仿宋" w:cs="Times New Roman"/>
                <w:color w:val="auto"/>
                <w:sz w:val="24"/>
                <w:highlight w:val="none"/>
                <w:lang w:val="en-US" w:eastAsia="zh-CN"/>
              </w:rPr>
              <w:t>乙方</w:t>
            </w:r>
            <w:r>
              <w:rPr>
                <w:rFonts w:hint="eastAsia" w:ascii="仿宋" w:hAnsi="仿宋" w:eastAsia="仿宋" w:cs="Times New Roman"/>
                <w:color w:val="auto"/>
                <w:sz w:val="24"/>
                <w:highlight w:val="none"/>
              </w:rPr>
              <w:t>按照</w:t>
            </w:r>
            <w:r>
              <w:rPr>
                <w:rFonts w:hint="eastAsia" w:ascii="仿宋" w:hAnsi="仿宋" w:eastAsia="仿宋" w:cs="仿宋"/>
                <w:color w:val="auto"/>
                <w:sz w:val="24"/>
                <w:szCs w:val="24"/>
                <w:highlight w:val="none"/>
                <w:lang w:val="en-US" w:eastAsia="zh-CN"/>
              </w:rPr>
              <w:t>已采购金额总额的</w:t>
            </w:r>
            <w:r>
              <w:rPr>
                <w:rFonts w:hint="eastAsia" w:ascii="仿宋" w:hAnsi="仿宋" w:eastAsia="仿宋" w:cs="Times New Roman"/>
                <w:color w:val="auto"/>
                <w:sz w:val="24"/>
                <w:highlight w:val="none"/>
              </w:rPr>
              <w:t>30%向</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rPr>
              <w:t>支付违约金</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如前述违约金不足以弥补</w:t>
            </w:r>
            <w:r>
              <w:rPr>
                <w:rFonts w:hint="eastAsia" w:ascii="仿宋" w:hAnsi="仿宋" w:eastAsia="仿宋"/>
                <w:color w:val="auto"/>
                <w:sz w:val="24"/>
                <w:highlight w:val="none"/>
                <w:lang w:val="en-US" w:eastAsia="zh-CN"/>
              </w:rPr>
              <w:t>甲方</w:t>
            </w:r>
            <w:r>
              <w:rPr>
                <w:rFonts w:hint="eastAsia" w:ascii="仿宋" w:hAnsi="仿宋" w:eastAsia="仿宋"/>
                <w:color w:val="auto"/>
                <w:sz w:val="24"/>
                <w:highlight w:val="none"/>
              </w:rPr>
              <w:t>因此所遭受的损失</w:t>
            </w:r>
            <w:r>
              <w:rPr>
                <w:rFonts w:hint="eastAsia" w:ascii="仿宋" w:hAnsi="仿宋" w:eastAsia="仿宋" w:cs="Times New Roman"/>
                <w:color w:val="auto"/>
                <w:sz w:val="24"/>
                <w:highlight w:val="none"/>
                <w:lang w:val="en-US" w:eastAsia="zh-CN"/>
              </w:rPr>
              <w:t>（该损失包括但不限于直接损失、间接损失以及甲方因维权而产生的诉讼费、律师费、保全费、保全担保费、公证费、鉴定费和执行费等一切损失）</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乙方</w:t>
            </w:r>
            <w:r>
              <w:rPr>
                <w:rFonts w:hint="eastAsia" w:ascii="仿宋" w:hAnsi="仿宋" w:eastAsia="仿宋"/>
                <w:color w:val="auto"/>
                <w:sz w:val="24"/>
                <w:highlight w:val="none"/>
              </w:rPr>
              <w:t>应予全额补足</w:t>
            </w:r>
            <w:r>
              <w:rPr>
                <w:rFonts w:hint="eastAsia" w:ascii="仿宋" w:hAnsi="仿宋" w:eastAsia="仿宋" w:cs="Times New Roman"/>
                <w:color w:val="auto"/>
                <w:sz w:val="24"/>
                <w:highlight w:val="none"/>
              </w:rPr>
              <w:t>：</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lang w:val="en-US" w:eastAsia="zh-CN"/>
              </w:rPr>
              <w:t>1</w:t>
            </w:r>
            <w:r>
              <w:rPr>
                <w:rFonts w:hint="eastAsia" w:ascii="仿宋" w:hAnsi="仿宋" w:eastAsia="仿宋" w:cs="Times New Roman"/>
                <w:color w:val="auto"/>
                <w:sz w:val="24"/>
                <w:highlight w:val="none"/>
                <w:lang w:eastAsia="zh-CN"/>
              </w:rPr>
              <w:t>）乙方</w:t>
            </w:r>
            <w:r>
              <w:rPr>
                <w:rFonts w:hint="eastAsia" w:ascii="仿宋" w:hAnsi="仿宋" w:eastAsia="仿宋" w:cs="Times New Roman"/>
                <w:color w:val="auto"/>
                <w:sz w:val="24"/>
                <w:highlight w:val="none"/>
              </w:rPr>
              <w:t>当月存在3次及以上在</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rPr>
              <w:t>派单后</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rPr>
              <w:t>产品逾期交货超过10个工作日的，但法定不可抗力因素或有特殊情况需与</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rPr>
              <w:t>商议后经</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rPr>
              <w:t>同意后方可延迟的情形除外；</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lang w:val="en-US" w:eastAsia="zh-CN"/>
              </w:rPr>
              <w:t>2</w:t>
            </w:r>
            <w:r>
              <w:rPr>
                <w:rFonts w:hint="eastAsia" w:ascii="仿宋" w:hAnsi="仿宋" w:eastAsia="仿宋" w:cs="Times New Roman"/>
                <w:color w:val="auto"/>
                <w:sz w:val="24"/>
                <w:highlight w:val="none"/>
                <w:lang w:eastAsia="zh-CN"/>
              </w:rPr>
              <w:t>）乙方</w:t>
            </w:r>
            <w:r>
              <w:rPr>
                <w:rFonts w:hint="eastAsia" w:ascii="仿宋" w:hAnsi="仿宋" w:eastAsia="仿宋" w:cs="Times New Roman"/>
                <w:color w:val="auto"/>
                <w:sz w:val="24"/>
                <w:highlight w:val="none"/>
              </w:rPr>
              <w:t>交付的货物（服务）存在数量短缺、交付</w:t>
            </w:r>
            <w:r>
              <w:rPr>
                <w:rFonts w:hint="eastAsia" w:ascii="仿宋" w:hAnsi="仿宋" w:eastAsia="仿宋" w:cs="Times New Roman"/>
                <w:color w:val="auto"/>
                <w:sz w:val="24"/>
                <w:highlight w:val="none"/>
                <w:lang w:val="en-US" w:eastAsia="zh-CN"/>
              </w:rPr>
              <w:t>的名称/材质/规格型号/质量等</w:t>
            </w:r>
            <w:r>
              <w:rPr>
                <w:rFonts w:hint="eastAsia" w:ascii="仿宋" w:hAnsi="仿宋" w:eastAsia="仿宋" w:cs="Times New Roman"/>
                <w:color w:val="auto"/>
                <w:sz w:val="24"/>
                <w:highlight w:val="none"/>
              </w:rPr>
              <w:t>不符</w:t>
            </w:r>
            <w:r>
              <w:rPr>
                <w:rFonts w:hint="eastAsia" w:ascii="仿宋" w:hAnsi="仿宋" w:eastAsia="仿宋" w:cs="Times New Roman"/>
                <w:color w:val="auto"/>
                <w:sz w:val="24"/>
                <w:highlight w:val="none"/>
                <w:lang w:val="en-US" w:eastAsia="zh-CN"/>
              </w:rPr>
              <w:t>的</w:t>
            </w:r>
            <w:r>
              <w:rPr>
                <w:rFonts w:hint="eastAsia" w:ascii="仿宋" w:hAnsi="仿宋" w:eastAsia="仿宋" w:cs="Times New Roman"/>
                <w:color w:val="auto"/>
                <w:sz w:val="24"/>
                <w:highlight w:val="none"/>
              </w:rPr>
              <w:t>情形，或</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rPr>
              <w:t>就前述情况向</w:t>
            </w:r>
            <w:r>
              <w:rPr>
                <w:rFonts w:hint="eastAsia" w:ascii="仿宋" w:hAnsi="仿宋" w:eastAsia="仿宋" w:cs="Times New Roman"/>
                <w:color w:val="auto"/>
                <w:sz w:val="24"/>
                <w:highlight w:val="none"/>
                <w:lang w:eastAsia="zh-CN"/>
              </w:rPr>
              <w:t>乙方</w:t>
            </w:r>
            <w:r>
              <w:rPr>
                <w:rFonts w:hint="eastAsia" w:ascii="仿宋" w:hAnsi="仿宋" w:eastAsia="仿宋" w:cs="Times New Roman"/>
                <w:color w:val="auto"/>
                <w:sz w:val="24"/>
                <w:highlight w:val="none"/>
              </w:rPr>
              <w:t>提出异议后，</w:t>
            </w:r>
            <w:r>
              <w:rPr>
                <w:rFonts w:hint="eastAsia" w:ascii="仿宋" w:hAnsi="仿宋" w:eastAsia="仿宋" w:cs="Times New Roman"/>
                <w:color w:val="auto"/>
                <w:sz w:val="24"/>
                <w:highlight w:val="none"/>
                <w:lang w:eastAsia="zh-CN"/>
              </w:rPr>
              <w:t>乙方</w:t>
            </w:r>
            <w:r>
              <w:rPr>
                <w:rFonts w:hint="eastAsia" w:ascii="仿宋" w:hAnsi="仿宋" w:eastAsia="仿宋" w:cs="Times New Roman"/>
                <w:color w:val="auto"/>
                <w:sz w:val="24"/>
                <w:highlight w:val="none"/>
              </w:rPr>
              <w:t>未按照</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rPr>
              <w:t>要求立即退换货的</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lang w:val="en-US" w:eastAsia="zh-CN"/>
              </w:rPr>
              <w:t>或退换货后再行提供的货物仍存在前述情形的，总共累计5次及以上</w:t>
            </w:r>
            <w:r>
              <w:rPr>
                <w:rFonts w:hint="eastAsia" w:ascii="仿宋" w:hAnsi="仿宋" w:eastAsia="仿宋" w:cs="Times New Roman"/>
                <w:color w:val="auto"/>
                <w:sz w:val="24"/>
                <w:highlight w:val="none"/>
                <w:lang w:eastAsia="zh-CN"/>
              </w:rPr>
              <w:t>；</w:t>
            </w:r>
          </w:p>
          <w:p w14:paraId="4315501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1.7.6.2.</w:t>
            </w:r>
            <w:r>
              <w:rPr>
                <w:rFonts w:hint="eastAsia" w:ascii="仿宋" w:hAnsi="仿宋" w:eastAsia="仿宋" w:cs="Times New Roman"/>
                <w:color w:val="auto"/>
                <w:sz w:val="24"/>
                <w:highlight w:val="none"/>
              </w:rPr>
              <w:t>乙方如有下列情形的，甲方有权调查核实，经核实确有下列违约行为的，在甲方对乙方违约而采取的任何补救措施不受影响的情况下，根据情节轻重，甲方可采取以下一种或者几种方式追究乙方违约责任：通报批评、解除合同</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lang w:val="en-US" w:eastAsia="zh-CN"/>
              </w:rPr>
              <w:t>要求支付违约金</w:t>
            </w:r>
            <w:r>
              <w:rPr>
                <w:rFonts w:hint="eastAsia" w:ascii="仿宋" w:hAnsi="仿宋" w:eastAsia="仿宋" w:cs="Times New Roman"/>
                <w:color w:val="auto"/>
                <w:sz w:val="24"/>
                <w:highlight w:val="none"/>
              </w:rPr>
              <w:t>。如因乙方的违约造成甲方的损失，乙方应赔偿相应损失。</w:t>
            </w:r>
          </w:p>
          <w:p w14:paraId="2B95A32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w:t>
            </w:r>
            <w:r>
              <w:rPr>
                <w:rFonts w:hint="eastAsia" w:ascii="仿宋" w:hAnsi="仿宋" w:eastAsia="仿宋" w:cs="Times New Roman"/>
                <w:color w:val="auto"/>
                <w:sz w:val="24"/>
                <w:highlight w:val="none"/>
                <w:lang w:val="en-US" w:eastAsia="zh-CN"/>
              </w:rPr>
              <w:t>发生</w:t>
            </w:r>
            <w:r>
              <w:rPr>
                <w:rFonts w:hint="eastAsia" w:ascii="仿宋" w:hAnsi="仿宋" w:eastAsia="仿宋" w:cs="Times New Roman"/>
                <w:color w:val="auto"/>
                <w:sz w:val="24"/>
                <w:highlight w:val="none"/>
              </w:rPr>
              <w:t>对乙方有效投诉记录；</w:t>
            </w:r>
          </w:p>
          <w:p w14:paraId="4C2D119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（2）乙方超过合同承诺的价格和费用标准向</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rPr>
              <w:t>收取费用的；</w:t>
            </w:r>
          </w:p>
          <w:p w14:paraId="06FE603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（3）未经甲方同意，乙方擅自将</w:t>
            </w:r>
            <w:r>
              <w:rPr>
                <w:rFonts w:hint="eastAsia" w:ascii="仿宋" w:hAnsi="仿宋" w:eastAsia="仿宋" w:cs="Times New Roman"/>
                <w:color w:val="auto"/>
                <w:sz w:val="24"/>
                <w:highlight w:val="none"/>
                <w:lang w:val="en-US" w:eastAsia="zh-CN"/>
              </w:rPr>
              <w:t>定制</w:t>
            </w:r>
            <w:r>
              <w:rPr>
                <w:rFonts w:hint="eastAsia" w:ascii="仿宋" w:hAnsi="仿宋" w:eastAsia="仿宋" w:cs="Times New Roman"/>
                <w:color w:val="auto"/>
                <w:sz w:val="24"/>
                <w:highlight w:val="none"/>
              </w:rPr>
              <w:t>业务转包给其他</w:t>
            </w:r>
            <w:r>
              <w:rPr>
                <w:rFonts w:hint="eastAsia" w:ascii="仿宋" w:hAnsi="仿宋" w:eastAsia="仿宋" w:cs="Times New Roman"/>
                <w:color w:val="auto"/>
                <w:sz w:val="24"/>
                <w:highlight w:val="none"/>
                <w:lang w:val="en-US" w:eastAsia="zh-CN"/>
              </w:rPr>
              <w:t>厂家</w:t>
            </w:r>
            <w:r>
              <w:rPr>
                <w:rFonts w:hint="eastAsia" w:ascii="仿宋" w:hAnsi="仿宋" w:eastAsia="仿宋" w:cs="Times New Roman"/>
                <w:color w:val="auto"/>
                <w:sz w:val="24"/>
                <w:highlight w:val="none"/>
              </w:rPr>
              <w:t>的；</w:t>
            </w:r>
          </w:p>
          <w:p w14:paraId="5C28003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（4）乙方所供</w:t>
            </w:r>
            <w:r>
              <w:rPr>
                <w:rFonts w:hint="eastAsia" w:ascii="仿宋" w:hAnsi="仿宋" w:eastAsia="仿宋" w:cs="Times New Roman"/>
                <w:color w:val="auto"/>
                <w:sz w:val="24"/>
                <w:highlight w:val="none"/>
                <w:lang w:val="en-US" w:eastAsia="zh-CN"/>
              </w:rPr>
              <w:t>产品</w:t>
            </w:r>
            <w:r>
              <w:rPr>
                <w:rFonts w:hint="eastAsia" w:ascii="仿宋" w:hAnsi="仿宋" w:eastAsia="仿宋" w:cs="Times New Roman"/>
                <w:color w:val="auto"/>
                <w:sz w:val="24"/>
                <w:highlight w:val="none"/>
              </w:rPr>
              <w:t>与招标文件不符合的</w:t>
            </w:r>
            <w:r>
              <w:rPr>
                <w:rFonts w:hint="eastAsia" w:ascii="仿宋" w:hAnsi="仿宋" w:eastAsia="仿宋" w:cs="Times New Roman"/>
                <w:color w:val="auto"/>
                <w:sz w:val="24"/>
                <w:highlight w:val="none"/>
                <w:lang w:val="en-US" w:eastAsia="zh-CN"/>
              </w:rPr>
              <w:t>质量标准</w:t>
            </w:r>
            <w:r>
              <w:rPr>
                <w:rFonts w:hint="eastAsia" w:ascii="仿宋" w:hAnsi="仿宋" w:eastAsia="仿宋" w:cs="Times New Roman"/>
                <w:color w:val="auto"/>
                <w:sz w:val="24"/>
                <w:highlight w:val="none"/>
              </w:rPr>
              <w:t>或不履行其报价文件的承诺</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lang w:val="en-US" w:eastAsia="zh-CN"/>
              </w:rPr>
              <w:t>包括但不限于</w:t>
            </w:r>
            <w:r>
              <w:rPr>
                <w:rFonts w:hint="eastAsia" w:ascii="仿宋" w:hAnsi="仿宋" w:eastAsia="仿宋" w:cs="Times New Roman"/>
                <w:color w:val="auto"/>
                <w:sz w:val="24"/>
                <w:highlight w:val="none"/>
              </w:rPr>
              <w:t>使用达不到质量要求的</w:t>
            </w:r>
            <w:r>
              <w:rPr>
                <w:rFonts w:hint="eastAsia" w:ascii="仿宋" w:hAnsi="仿宋" w:eastAsia="仿宋" w:cs="Times New Roman"/>
                <w:color w:val="auto"/>
                <w:sz w:val="24"/>
                <w:highlight w:val="none"/>
                <w:lang w:val="en-US" w:eastAsia="zh-CN"/>
              </w:rPr>
              <w:t>原材料制备等）</w:t>
            </w:r>
            <w:r>
              <w:rPr>
                <w:rFonts w:hint="eastAsia" w:ascii="仿宋" w:hAnsi="仿宋" w:eastAsia="仿宋" w:cs="Times New Roman"/>
                <w:color w:val="auto"/>
                <w:sz w:val="24"/>
                <w:highlight w:val="none"/>
              </w:rPr>
              <w:t>；</w:t>
            </w:r>
          </w:p>
          <w:p w14:paraId="6F33498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仿宋" w:hAnsi="仿宋" w:eastAsia="仿宋" w:cs="Times New Roman"/>
                <w:color w:val="auto"/>
                <w:sz w:val="24"/>
                <w:highlight w:val="none"/>
                <w:lang w:eastAsia="zh-CN"/>
              </w:rPr>
            </w:pPr>
            <w:r>
              <w:rPr>
                <w:rFonts w:hint="eastAsia" w:ascii="仿宋" w:hAnsi="仿宋" w:eastAsia="仿宋" w:cs="Times New Roman"/>
                <w:color w:val="auto"/>
                <w:sz w:val="24"/>
                <w:highlight w:val="none"/>
              </w:rPr>
              <w:t>（5）乙方</w:t>
            </w:r>
            <w:r>
              <w:rPr>
                <w:rFonts w:hint="eastAsia" w:ascii="仿宋" w:hAnsi="仿宋" w:eastAsia="仿宋" w:cs="Times New Roman"/>
                <w:color w:val="auto"/>
                <w:sz w:val="24"/>
                <w:highlight w:val="none"/>
                <w:lang w:val="en-US" w:eastAsia="zh-CN"/>
              </w:rPr>
              <w:t>货物出现</w:t>
            </w:r>
            <w:r>
              <w:rPr>
                <w:rFonts w:hint="eastAsia" w:ascii="仿宋" w:hAnsi="仿宋" w:eastAsia="仿宋" w:cs="Times New Roman"/>
                <w:color w:val="auto"/>
                <w:sz w:val="24"/>
                <w:highlight w:val="none"/>
              </w:rPr>
              <w:t>质量问题</w:t>
            </w:r>
            <w:r>
              <w:rPr>
                <w:rFonts w:hint="eastAsia" w:ascii="仿宋" w:hAnsi="仿宋" w:eastAsia="仿宋" w:cs="Times New Roman"/>
                <w:color w:val="auto"/>
                <w:sz w:val="24"/>
                <w:highlight w:val="none"/>
                <w:lang w:eastAsia="zh-CN"/>
              </w:rPr>
              <w:t>；</w:t>
            </w:r>
          </w:p>
          <w:p w14:paraId="380520F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eastAsia="宋体"/>
                <w:color w:val="auto"/>
                <w:highlight w:val="none"/>
              </w:rPr>
            </w:pPr>
            <w:r>
              <w:rPr>
                <w:rFonts w:hint="eastAsia" w:ascii="仿宋" w:hAnsi="仿宋" w:eastAsia="仿宋" w:cs="Times New Roman"/>
                <w:color w:val="auto"/>
                <w:sz w:val="24"/>
                <w:highlight w:val="none"/>
              </w:rPr>
              <w:t>（6）如乙方提供的货物和服务无法满足甲方的要求，经</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rPr>
              <w:t>指出仍得不到改善的</w:t>
            </w:r>
            <w:r>
              <w:rPr>
                <w:rFonts w:hint="eastAsia" w:ascii="仿宋" w:hAnsi="仿宋" w:eastAsia="仿宋" w:cs="Times New Roman"/>
                <w:color w:val="auto"/>
                <w:sz w:val="24"/>
                <w:highlight w:val="none"/>
                <w:lang w:eastAsia="zh-CN"/>
              </w:rPr>
              <w:t>。</w:t>
            </w:r>
          </w:p>
          <w:p w14:paraId="10D5DD48">
            <w:pPr>
              <w:keepNext w:val="0"/>
              <w:keepLines w:val="0"/>
              <w:suppressLineNumbers w:val="0"/>
              <w:spacing w:before="0" w:beforeAutospacing="0" w:after="0" w:afterAutospacing="0" w:line="360" w:lineRule="auto"/>
              <w:ind w:left="0" w:right="0" w:firstLine="480" w:firstLineChars="200"/>
              <w:rPr>
                <w:rFonts w:hint="eastAsia" w:ascii="仿宋" w:hAnsi="仿宋" w:eastAsia="仿宋"/>
                <w:color w:val="auto"/>
                <w:sz w:val="24"/>
                <w:highlight w:val="none"/>
                <w:lang w:eastAsia="zh-CN"/>
              </w:rPr>
            </w:pPr>
            <w:r>
              <w:rPr>
                <w:rFonts w:hint="eastAsia" w:ascii="仿宋" w:hAnsi="仿宋" w:eastAsia="仿宋" w:cs="Times New Roman"/>
                <w:color w:val="auto"/>
                <w:sz w:val="24"/>
                <w:highlight w:val="none"/>
                <w:lang w:val="en-US" w:eastAsia="zh-CN"/>
              </w:rPr>
              <w:t>如发生上述情形之一或同时发生上述几种情形的，乙方应向甲方支付对应货物涉及订单总金额的20%，并返还甲方已支付的对应货物的款项；如发生上述情形之一或同时发生上述几种情形总共累计3次及以上，甲方有权视情形单方解除本合同，要求乙方支付</w:t>
            </w:r>
            <w:r>
              <w:rPr>
                <w:rFonts w:hint="eastAsia" w:ascii="仿宋" w:hAnsi="仿宋" w:eastAsia="仿宋"/>
                <w:color w:val="auto"/>
                <w:sz w:val="24"/>
                <w:highlight w:val="none"/>
                <w:lang w:val="en-US" w:eastAsia="zh-CN"/>
              </w:rPr>
              <w:t>合同总价3</w:t>
            </w:r>
            <w:r>
              <w:rPr>
                <w:rFonts w:hint="eastAsia" w:ascii="仿宋" w:hAnsi="仿宋" w:eastAsia="仿宋"/>
                <w:color w:val="auto"/>
                <w:sz w:val="24"/>
                <w:highlight w:val="none"/>
              </w:rPr>
              <w:t>0%的违约金；如前述违约金不足以弥补</w:t>
            </w:r>
            <w:r>
              <w:rPr>
                <w:rFonts w:hint="eastAsia" w:ascii="仿宋" w:hAnsi="仿宋" w:eastAsia="仿宋"/>
                <w:color w:val="auto"/>
                <w:sz w:val="24"/>
                <w:highlight w:val="none"/>
                <w:lang w:val="en-US" w:eastAsia="zh-CN"/>
              </w:rPr>
              <w:t>甲方</w:t>
            </w:r>
            <w:r>
              <w:rPr>
                <w:rFonts w:hint="eastAsia" w:ascii="仿宋" w:hAnsi="仿宋" w:eastAsia="仿宋"/>
                <w:color w:val="auto"/>
                <w:sz w:val="24"/>
                <w:highlight w:val="none"/>
              </w:rPr>
              <w:t>因此所遭受的损失</w:t>
            </w:r>
            <w:r>
              <w:rPr>
                <w:rFonts w:hint="eastAsia" w:ascii="仿宋" w:hAnsi="仿宋" w:eastAsia="仿宋" w:cs="Times New Roman"/>
                <w:color w:val="auto"/>
                <w:sz w:val="24"/>
                <w:highlight w:val="none"/>
                <w:lang w:val="en-US" w:eastAsia="zh-CN"/>
              </w:rPr>
              <w:t>（该损失包括但不限于直接损失、间接损失以及甲方因维权而产生的诉讼费、律师费、保全费、保全担保费、公证费、鉴定费和执行费等一切损失）</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乙方</w:t>
            </w:r>
            <w:r>
              <w:rPr>
                <w:rFonts w:hint="eastAsia" w:ascii="仿宋" w:hAnsi="仿宋" w:eastAsia="仿宋"/>
                <w:color w:val="auto"/>
                <w:sz w:val="24"/>
                <w:highlight w:val="none"/>
              </w:rPr>
              <w:t>应予全额补足</w:t>
            </w:r>
            <w:r>
              <w:rPr>
                <w:rFonts w:hint="eastAsia" w:ascii="仿宋" w:hAnsi="仿宋" w:eastAsia="仿宋"/>
                <w:color w:val="auto"/>
                <w:sz w:val="24"/>
                <w:highlight w:val="none"/>
                <w:lang w:eastAsia="zh-CN"/>
              </w:rPr>
              <w:t>。</w:t>
            </w:r>
          </w:p>
          <w:p w14:paraId="12F2513A">
            <w:pPr>
              <w:pStyle w:val="2"/>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1.7.6.3.乙方在合同期内有下列行为，造成不当的损失而产生的费用，要从当月支付给乙方的费用中扣除：乙方要爱护与保管甲方的财产，如损坏甲方的设备设施等，按实际损失价值赔偿；有严重影响甲方有关科室的正常工作及甲方形象行为的，按实际损失价值赔偿。</w:t>
            </w:r>
          </w:p>
          <w:p w14:paraId="5075A32A">
            <w:pPr>
              <w:snapToGrid w:val="0"/>
              <w:spacing w:line="360" w:lineRule="auto"/>
              <w:ind w:firstLine="0" w:firstLineChars="0"/>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1.7.6.4除本合同另有约定的外，乙方未按照本合同约定履行其义务的，应向甲方支付货物涉及订单总金额的15%作为违约金；如该违约金不足以弥补甲方因此所遭受的全部损失（该损失包括但不限于直接损失、间接损失以及甲方因维权而产生的诉讼费、律师费、保全费、保全担保费、公证费、鉴定费和执行费等一切损失），乙方应予补足。</w:t>
            </w:r>
          </w:p>
          <w:p w14:paraId="23DD416C">
            <w:pPr>
              <w:rPr>
                <w:rFonts w:hint="default"/>
                <w:color w:val="auto"/>
                <w:highlight w:val="none"/>
                <w:lang w:val="en-US"/>
              </w:rPr>
            </w:pPr>
          </w:p>
        </w:tc>
      </w:tr>
      <w:tr w14:paraId="3E31E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3DDFAB4">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rPr>
            </w:pPr>
            <w:r>
              <w:rPr>
                <w:rFonts w:hint="default" w:ascii="仿宋" w:hAnsi="仿宋" w:eastAsia="仿宋"/>
                <w:color w:val="auto"/>
                <w:sz w:val="24"/>
                <w:highlight w:val="none"/>
              </w:rPr>
              <w:t>2.3.2</w:t>
            </w:r>
          </w:p>
        </w:tc>
        <w:tc>
          <w:tcPr>
            <w:tcW w:w="4533" w:type="pct"/>
            <w:vAlign w:val="center"/>
          </w:tcPr>
          <w:p w14:paraId="59FD7974">
            <w:pPr>
              <w:keepNext w:val="0"/>
              <w:keepLines w:val="0"/>
              <w:suppressLineNumbers w:val="0"/>
              <w:spacing w:before="0" w:beforeAutospacing="0" w:after="0" w:afterAutospacing="0" w:line="360" w:lineRule="auto"/>
              <w:ind w:left="0" w:right="-420" w:rightChars="-200"/>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所有货物知识产权归甲方所有</w:t>
            </w:r>
          </w:p>
        </w:tc>
      </w:tr>
      <w:tr w14:paraId="32736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7BA9690">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rPr>
            </w:pPr>
            <w:r>
              <w:rPr>
                <w:rFonts w:hint="default" w:ascii="仿宋" w:hAnsi="仿宋" w:eastAsia="仿宋"/>
                <w:color w:val="auto"/>
                <w:sz w:val="24"/>
                <w:highlight w:val="none"/>
              </w:rPr>
              <w:t>2.4.1</w:t>
            </w:r>
          </w:p>
        </w:tc>
        <w:tc>
          <w:tcPr>
            <w:tcW w:w="4533" w:type="pct"/>
            <w:vAlign w:val="center"/>
          </w:tcPr>
          <w:p w14:paraId="582DAE16">
            <w:pPr>
              <w:keepNext w:val="0"/>
              <w:keepLines w:val="0"/>
              <w:suppressLineNumbers w:val="0"/>
              <w:spacing w:before="0" w:beforeAutospacing="0" w:after="0" w:afterAutospacing="0" w:line="360" w:lineRule="auto"/>
              <w:ind w:left="-420" w:leftChars="-200" w:right="-420" w:rightChars="-200" w:firstLine="480" w:firstLineChars="20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无</w:t>
            </w:r>
          </w:p>
        </w:tc>
      </w:tr>
      <w:tr w14:paraId="08192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F88C75E">
            <w:pPr>
              <w:keepNext w:val="0"/>
              <w:keepLines w:val="0"/>
              <w:suppressLineNumbers w:val="0"/>
              <w:spacing w:before="0" w:beforeAutospacing="0" w:after="0" w:afterAutospacing="0" w:line="360" w:lineRule="auto"/>
              <w:ind w:left="0" w:right="0"/>
              <w:rPr>
                <w:rFonts w:hint="eastAsia" w:ascii="仿宋" w:hAnsi="仿宋" w:eastAsia="仿宋"/>
                <w:color w:val="auto"/>
                <w:sz w:val="24"/>
                <w:highlight w:val="none"/>
                <w:lang w:eastAsia="zh-CN"/>
              </w:rPr>
            </w:pPr>
            <w:r>
              <w:rPr>
                <w:rFonts w:hint="eastAsia" w:ascii="仿宋" w:hAnsi="仿宋" w:eastAsia="仿宋"/>
                <w:color w:val="auto"/>
                <w:sz w:val="24"/>
                <w:highlight w:val="none"/>
              </w:rPr>
              <w:t>2.4.</w:t>
            </w:r>
            <w:r>
              <w:rPr>
                <w:rFonts w:hint="eastAsia" w:ascii="仿宋" w:hAnsi="仿宋" w:eastAsia="仿宋"/>
                <w:color w:val="auto"/>
                <w:sz w:val="24"/>
                <w:highlight w:val="none"/>
                <w:lang w:val="en-US" w:eastAsia="zh-CN"/>
              </w:rPr>
              <w:t>3</w:t>
            </w:r>
          </w:p>
        </w:tc>
        <w:tc>
          <w:tcPr>
            <w:tcW w:w="4533" w:type="pct"/>
            <w:vAlign w:val="center"/>
          </w:tcPr>
          <w:p w14:paraId="0AA727D0">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参照2.4.1</w:t>
            </w:r>
          </w:p>
        </w:tc>
      </w:tr>
      <w:tr w14:paraId="09573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4B7709AA">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rPr>
            </w:pPr>
            <w:r>
              <w:rPr>
                <w:rFonts w:hint="eastAsia" w:ascii="仿宋" w:hAnsi="仿宋" w:eastAsia="仿宋"/>
                <w:color w:val="auto"/>
                <w:sz w:val="24"/>
                <w:highlight w:val="none"/>
              </w:rPr>
              <w:t xml:space="preserve">2.8 </w:t>
            </w:r>
          </w:p>
        </w:tc>
        <w:tc>
          <w:tcPr>
            <w:tcW w:w="4533" w:type="pct"/>
          </w:tcPr>
          <w:p w14:paraId="229147B8">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货物或者在途货物或者交付给第一承运人后的货物毁损、灭失的风险</w:t>
            </w:r>
            <w:r>
              <w:rPr>
                <w:rFonts w:hint="eastAsia" w:ascii="仿宋" w:hAnsi="仿宋" w:eastAsia="仿宋"/>
                <w:color w:val="auto"/>
                <w:sz w:val="24"/>
                <w:highlight w:val="none"/>
                <w:lang w:val="en-US" w:eastAsia="zh-CN"/>
              </w:rPr>
              <w:t>由乙方承担</w:t>
            </w:r>
          </w:p>
        </w:tc>
      </w:tr>
      <w:tr w14:paraId="52EF1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8C53B42">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rPr>
            </w:pPr>
            <w:r>
              <w:rPr>
                <w:rFonts w:hint="default" w:ascii="仿宋" w:hAnsi="仿宋" w:eastAsia="仿宋"/>
                <w:color w:val="auto"/>
                <w:sz w:val="24"/>
                <w:highlight w:val="none"/>
              </w:rPr>
              <w:t>2.12.3</w:t>
            </w:r>
          </w:p>
        </w:tc>
        <w:tc>
          <w:tcPr>
            <w:tcW w:w="4533" w:type="pct"/>
            <w:vAlign w:val="center"/>
          </w:tcPr>
          <w:p w14:paraId="1C8B4898">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30个工作日</w:t>
            </w:r>
          </w:p>
        </w:tc>
      </w:tr>
      <w:tr w14:paraId="2D064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CE8DB1E">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rPr>
            </w:pPr>
            <w:r>
              <w:rPr>
                <w:rFonts w:hint="default" w:ascii="仿宋" w:hAnsi="仿宋" w:eastAsia="仿宋"/>
                <w:color w:val="auto"/>
                <w:sz w:val="24"/>
                <w:highlight w:val="none"/>
              </w:rPr>
              <w:t>2.12.4</w:t>
            </w:r>
          </w:p>
        </w:tc>
        <w:tc>
          <w:tcPr>
            <w:tcW w:w="4533" w:type="pct"/>
            <w:vAlign w:val="center"/>
          </w:tcPr>
          <w:p w14:paraId="524688DB">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lang w:val="en-US" w:eastAsia="zh-CN"/>
              </w:rPr>
            </w:pPr>
            <w:r>
              <w:rPr>
                <w:rFonts w:hint="default" w:ascii="仿宋" w:hAnsi="仿宋" w:eastAsia="仿宋"/>
                <w:i w:val="0"/>
                <w:iCs w:val="0"/>
                <w:color w:val="auto"/>
                <w:sz w:val="24"/>
                <w:highlight w:val="none"/>
              </w:rPr>
              <w:t>受不可抗力影响的一方在不可抗力发生后，应在</w:t>
            </w:r>
            <w:r>
              <w:rPr>
                <w:rFonts w:hint="eastAsia" w:ascii="仿宋" w:hAnsi="仿宋" w:eastAsia="仿宋"/>
                <w:b/>
                <w:i w:val="0"/>
                <w:iCs w:val="0"/>
                <w:color w:val="auto"/>
                <w:sz w:val="24"/>
                <w:highlight w:val="none"/>
                <w:u w:val="single"/>
                <w:lang w:val="en-US" w:eastAsia="zh-CN"/>
              </w:rPr>
              <w:t>发生不可抗力事件后的5个工作日内以</w:t>
            </w:r>
            <w:r>
              <w:rPr>
                <w:rFonts w:hint="eastAsia" w:ascii="仿宋" w:hAnsi="仿宋" w:eastAsia="仿宋"/>
                <w:i w:val="0"/>
                <w:iCs w:val="0"/>
                <w:color w:val="auto"/>
                <w:sz w:val="24"/>
                <w:highlight w:val="none"/>
              </w:rPr>
              <w:t>书面形式通知对方当事人，并在</w:t>
            </w:r>
            <w:r>
              <w:rPr>
                <w:rFonts w:hint="eastAsia" w:ascii="仿宋" w:hAnsi="仿宋" w:eastAsia="仿宋"/>
                <w:b/>
                <w:i w:val="0"/>
                <w:iCs w:val="0"/>
                <w:color w:val="auto"/>
                <w:sz w:val="24"/>
                <w:highlight w:val="none"/>
                <w:u w:val="single"/>
                <w:lang w:val="en-US" w:eastAsia="zh-CN"/>
              </w:rPr>
              <w:t>5个工作日</w:t>
            </w:r>
            <w:r>
              <w:rPr>
                <w:rFonts w:hint="eastAsia" w:ascii="仿宋" w:hAnsi="仿宋" w:eastAsia="仿宋"/>
                <w:i w:val="0"/>
                <w:iCs w:val="0"/>
                <w:color w:val="auto"/>
                <w:sz w:val="24"/>
                <w:highlight w:val="none"/>
              </w:rPr>
              <w:t>内，将有关部门出具的证明文件送达对方当事人。</w:t>
            </w:r>
          </w:p>
        </w:tc>
      </w:tr>
      <w:tr w14:paraId="1EDDA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9503AC8">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rPr>
            </w:pPr>
            <w:r>
              <w:rPr>
                <w:rFonts w:hint="default" w:ascii="仿宋" w:hAnsi="仿宋" w:eastAsia="仿宋"/>
                <w:color w:val="auto"/>
                <w:sz w:val="24"/>
                <w:highlight w:val="none"/>
              </w:rPr>
              <w:t>2.16.1</w:t>
            </w:r>
          </w:p>
        </w:tc>
        <w:tc>
          <w:tcPr>
            <w:tcW w:w="4533" w:type="pct"/>
            <w:vAlign w:val="center"/>
          </w:tcPr>
          <w:p w14:paraId="4AB95D21">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20个工作日</w:t>
            </w:r>
          </w:p>
        </w:tc>
      </w:tr>
      <w:tr w14:paraId="2B487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2FC1DC04">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rPr>
            </w:pPr>
            <w:r>
              <w:rPr>
                <w:rFonts w:hint="default" w:ascii="仿宋" w:hAnsi="仿宋" w:eastAsia="仿宋"/>
                <w:color w:val="auto"/>
                <w:sz w:val="24"/>
                <w:highlight w:val="none"/>
              </w:rPr>
              <w:t>2.16.3</w:t>
            </w:r>
          </w:p>
        </w:tc>
        <w:tc>
          <w:tcPr>
            <w:tcW w:w="4533" w:type="pct"/>
            <w:vAlign w:val="center"/>
          </w:tcPr>
          <w:p w14:paraId="708C1DF4">
            <w:pPr>
              <w:keepNext w:val="0"/>
              <w:keepLines w:val="0"/>
              <w:suppressLineNumbers w:val="0"/>
              <w:spacing w:before="0" w:beforeAutospacing="0" w:after="0" w:afterAutospacing="0" w:line="360" w:lineRule="auto"/>
              <w:ind w:left="0" w:right="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无</w:t>
            </w:r>
          </w:p>
        </w:tc>
      </w:tr>
      <w:tr w14:paraId="2A4E2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700C4F03">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rPr>
            </w:pPr>
            <w:r>
              <w:rPr>
                <w:rFonts w:hint="eastAsia" w:ascii="仿宋" w:hAnsi="仿宋" w:eastAsia="仿宋"/>
                <w:color w:val="auto"/>
                <w:sz w:val="24"/>
                <w:highlight w:val="none"/>
              </w:rPr>
              <w:t>2.20</w:t>
            </w:r>
          </w:p>
        </w:tc>
        <w:tc>
          <w:tcPr>
            <w:tcW w:w="4533" w:type="pct"/>
          </w:tcPr>
          <w:p w14:paraId="3508CB63">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本合同一式四份，甲方、乙方各执两份</w:t>
            </w:r>
          </w:p>
        </w:tc>
      </w:tr>
    </w:tbl>
    <w:p w14:paraId="15B95201">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098EE417">
      <w:pPr>
        <w:snapToGrid w:val="0"/>
        <w:spacing w:line="400" w:lineRule="exact"/>
        <w:rPr>
          <w:rFonts w:ascii="仿宋" w:hAnsi="仿宋" w:eastAsia="仿宋"/>
          <w:b/>
          <w:color w:val="auto"/>
          <w:sz w:val="24"/>
          <w:highlight w:val="none"/>
        </w:rPr>
      </w:pPr>
      <w:r>
        <w:rPr>
          <w:rFonts w:hint="eastAsia" w:ascii="仿宋" w:hAnsi="仿宋" w:eastAsia="仿宋"/>
          <w:b/>
          <w:color w:val="auto"/>
          <w:sz w:val="24"/>
          <w:highlight w:val="none"/>
        </w:rPr>
        <w:t>合同附件1：</w:t>
      </w:r>
    </w:p>
    <w:p w14:paraId="4552FA41">
      <w:pPr>
        <w:snapToGrid w:val="0"/>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医疗卫生机构廉洁购销合同</w:t>
      </w:r>
    </w:p>
    <w:p w14:paraId="7C3C4F17">
      <w:pPr>
        <w:snapToGrid w:val="0"/>
        <w:spacing w:line="300" w:lineRule="auto"/>
        <w:rPr>
          <w:rFonts w:ascii="仿宋" w:hAnsi="仿宋" w:eastAsia="仿宋"/>
          <w:b/>
          <w:color w:val="auto"/>
          <w:sz w:val="24"/>
          <w:highlight w:val="none"/>
        </w:rPr>
      </w:pPr>
    </w:p>
    <w:p w14:paraId="05BD788D">
      <w:pPr>
        <w:snapToGrid w:val="0"/>
        <w:spacing w:line="300" w:lineRule="auto"/>
        <w:rPr>
          <w:rFonts w:ascii="仿宋" w:hAnsi="仿宋" w:eastAsia="仿宋"/>
          <w:color w:val="auto"/>
          <w:sz w:val="24"/>
          <w:highlight w:val="none"/>
        </w:rPr>
      </w:pPr>
      <w:r>
        <w:rPr>
          <w:rFonts w:hint="eastAsia" w:ascii="仿宋" w:hAnsi="仿宋" w:eastAsia="仿宋"/>
          <w:b/>
          <w:color w:val="auto"/>
          <w:sz w:val="24"/>
          <w:highlight w:val="none"/>
        </w:rPr>
        <w:t>甲方</w:t>
      </w:r>
      <w:r>
        <w:rPr>
          <w:rFonts w:hint="eastAsia" w:ascii="仿宋" w:hAnsi="仿宋" w:eastAsia="仿宋"/>
          <w:color w:val="auto"/>
          <w:sz w:val="24"/>
          <w:highlight w:val="none"/>
        </w:rPr>
        <w:t>：</w:t>
      </w:r>
      <w:r>
        <w:rPr>
          <w:rFonts w:ascii="仿宋" w:hAnsi="仿宋" w:eastAsia="仿宋"/>
          <w:color w:val="auto"/>
          <w:w w:val="94"/>
          <w:sz w:val="24"/>
          <w:highlight w:val="none"/>
          <w:u w:val="single"/>
        </w:rPr>
        <w:t xml:space="preserve">                     </w:t>
      </w:r>
    </w:p>
    <w:p w14:paraId="79759A3F">
      <w:pPr>
        <w:snapToGrid w:val="0"/>
        <w:spacing w:line="300" w:lineRule="auto"/>
        <w:rPr>
          <w:rFonts w:ascii="仿宋" w:hAnsi="仿宋" w:eastAsia="仿宋"/>
          <w:color w:val="auto"/>
          <w:w w:val="90"/>
          <w:sz w:val="24"/>
          <w:highlight w:val="none"/>
        </w:rPr>
      </w:pPr>
      <w:r>
        <w:rPr>
          <w:rFonts w:hint="eastAsia" w:ascii="仿宋" w:hAnsi="仿宋" w:eastAsia="仿宋"/>
          <w:b/>
          <w:color w:val="auto"/>
          <w:sz w:val="24"/>
          <w:highlight w:val="none"/>
        </w:rPr>
        <w:t>乙方</w:t>
      </w:r>
      <w:r>
        <w:rPr>
          <w:rFonts w:hint="eastAsia" w:ascii="仿宋" w:hAnsi="仿宋" w:eastAsia="仿宋"/>
          <w:color w:val="auto"/>
          <w:w w:val="94"/>
          <w:sz w:val="24"/>
          <w:highlight w:val="none"/>
        </w:rPr>
        <w:t>：</w:t>
      </w:r>
      <w:r>
        <w:rPr>
          <w:rFonts w:ascii="仿宋" w:hAnsi="仿宋" w:eastAsia="仿宋"/>
          <w:color w:val="auto"/>
          <w:w w:val="94"/>
          <w:sz w:val="24"/>
          <w:highlight w:val="none"/>
          <w:u w:val="single"/>
        </w:rPr>
        <w:t xml:space="preserve">                     </w:t>
      </w:r>
      <w:r>
        <w:rPr>
          <w:rFonts w:ascii="仿宋" w:hAnsi="仿宋" w:eastAsia="仿宋"/>
          <w:color w:val="auto"/>
          <w:w w:val="90"/>
          <w:sz w:val="24"/>
          <w:highlight w:val="none"/>
        </w:rPr>
        <w:t xml:space="preserve"> </w:t>
      </w:r>
    </w:p>
    <w:p w14:paraId="61B94B20">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为进一步加强医疗卫生行风建设，规范医疗卫生机构后勤货物、服务、工程购销行为，有效防范商业贿赂行为，营造公平交易、诚实守信的购销环境，经甲、乙双方协商，同意签订本合同，并共同遵守：</w:t>
      </w:r>
    </w:p>
    <w:p w14:paraId="48313D05">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一、甲乙双方按照《</w:t>
      </w:r>
      <w:r>
        <w:rPr>
          <w:rFonts w:hint="eastAsia" w:ascii="仿宋" w:hAnsi="仿宋" w:eastAsia="仿宋"/>
          <w:color w:val="auto"/>
          <w:sz w:val="24"/>
          <w:highlight w:val="none"/>
          <w:lang w:val="en-US" w:eastAsia="zh-CN"/>
        </w:rPr>
        <w:t>中国人民共和国</w:t>
      </w:r>
      <w:r>
        <w:rPr>
          <w:rFonts w:hint="eastAsia" w:ascii="仿宋" w:hAnsi="仿宋" w:eastAsia="仿宋"/>
          <w:color w:val="auto"/>
          <w:sz w:val="24"/>
          <w:highlight w:val="none"/>
        </w:rPr>
        <w:t>民法典》及后勤货物、服务、工程类合同约定购销合同产品。</w:t>
      </w:r>
    </w:p>
    <w:p w14:paraId="2BC93D30">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二、甲方应当严格按照合同要求进行验收，对发票进行查验，不得违反有关规定合同外采购、违价采购或从非规定渠道采购。</w:t>
      </w:r>
    </w:p>
    <w:p w14:paraId="620B262C">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4155E017">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四、乙方不得以回扣、宴请等方式影响甲方工作人员采购或使用乙方产品的选择权，不得提供旅游、支付食宿费用。</w:t>
      </w:r>
    </w:p>
    <w:p w14:paraId="3B50D3CF">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五、乙方指定</w:t>
      </w: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作为合同代表洽谈业务。合同代表必须在工作时间到甲方指定地点联系商谈，不得借故到甲方相关领导、部门负责人及相关工作人员家中访谈并提供任何好处费。</w:t>
      </w:r>
    </w:p>
    <w:p w14:paraId="6FFA0AFB">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六、乙方如违反本合同，一经发现，甲方有权终止购销合同，并向有关卫生计生行政部门报告。如乙方被列入商业贿赂不良记录，则严格按照《国家卫生计生委关于建立医药购销领域商业贿赂不良记录的规定》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olor w:val="auto"/>
          <w:sz w:val="24"/>
          <w:highlight w:val="none"/>
          <w:shd w:val="clear" w:color="auto" w:fill="FFFFFF"/>
        </w:rPr>
        <w:t>（国卫法制发〔</w:t>
      </w:r>
      <w:r>
        <w:rPr>
          <w:rFonts w:ascii="仿宋" w:hAnsi="仿宋" w:eastAsia="仿宋"/>
          <w:color w:val="auto"/>
          <w:sz w:val="24"/>
          <w:highlight w:val="none"/>
          <w:shd w:val="clear" w:color="auto" w:fill="FFFFFF"/>
        </w:rPr>
        <w:t>2013</w:t>
      </w:r>
      <w:r>
        <w:rPr>
          <w:rFonts w:hint="eastAsia" w:ascii="仿宋" w:hAnsi="仿宋" w:eastAsia="仿宋"/>
          <w:color w:val="auto"/>
          <w:sz w:val="24"/>
          <w:highlight w:val="none"/>
          <w:shd w:val="clear" w:color="auto" w:fill="FFFFFF"/>
        </w:rPr>
        <w:t>〕</w:t>
      </w:r>
      <w:r>
        <w:rPr>
          <w:rFonts w:ascii="仿宋" w:hAnsi="仿宋" w:eastAsia="仿宋"/>
          <w:color w:val="auto"/>
          <w:sz w:val="24"/>
          <w:highlight w:val="none"/>
          <w:shd w:val="clear" w:color="auto" w:fill="FFFFFF"/>
        </w:rPr>
        <w:t>50</w:t>
      </w:r>
      <w:r>
        <w:rPr>
          <w:rFonts w:hint="eastAsia" w:ascii="仿宋" w:hAnsi="仿宋" w:eastAsia="仿宋"/>
          <w:color w:val="auto"/>
          <w:sz w:val="24"/>
          <w:highlight w:val="none"/>
          <w:shd w:val="clear" w:color="auto" w:fill="FFFFFF"/>
        </w:rPr>
        <w:t>号）</w:t>
      </w:r>
      <w:r>
        <w:rPr>
          <w:rFonts w:hint="eastAsia" w:ascii="仿宋" w:hAnsi="仿宋" w:eastAsia="仿宋"/>
          <w:color w:val="auto"/>
          <w:sz w:val="24"/>
          <w:highlight w:val="none"/>
        </w:rPr>
        <w:t>相关规定处理。</w:t>
      </w:r>
    </w:p>
    <w:p w14:paraId="1740D017">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七、本合同作为后勤购销合同的重要组成部分，与购销合同一并执行，具有同等的法律效力。</w:t>
      </w:r>
    </w:p>
    <w:p w14:paraId="7FF82914">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八、本合同一式三份，甲、乙双方各执一份，甲方纪检监察部门执一份，并从签订之日起生效。</w:t>
      </w:r>
    </w:p>
    <w:p w14:paraId="0AAC20A7">
      <w:pPr>
        <w:snapToGrid w:val="0"/>
        <w:spacing w:line="300" w:lineRule="auto"/>
        <w:rPr>
          <w:rFonts w:ascii="仿宋" w:hAnsi="仿宋" w:eastAsia="仿宋"/>
          <w:color w:val="auto"/>
          <w:sz w:val="24"/>
          <w:highlight w:val="none"/>
        </w:rPr>
      </w:pPr>
    </w:p>
    <w:p w14:paraId="4DE5B7CA">
      <w:pPr>
        <w:snapToGrid w:val="0"/>
        <w:spacing w:line="300" w:lineRule="auto"/>
        <w:rPr>
          <w:rFonts w:ascii="仿宋" w:hAnsi="仿宋" w:eastAsia="仿宋"/>
          <w:b/>
          <w:color w:val="auto"/>
          <w:sz w:val="24"/>
          <w:highlight w:val="none"/>
        </w:rPr>
      </w:pPr>
      <w:r>
        <w:rPr>
          <w:rFonts w:hint="eastAsia" w:ascii="仿宋" w:hAnsi="仿宋" w:eastAsia="仿宋"/>
          <w:b/>
          <w:color w:val="auto"/>
          <w:sz w:val="24"/>
          <w:highlight w:val="none"/>
        </w:rPr>
        <w:t>甲方（盖章）：</w:t>
      </w:r>
      <w:r>
        <w:rPr>
          <w:rFonts w:ascii="仿宋" w:hAnsi="仿宋" w:eastAsia="仿宋"/>
          <w:b/>
          <w:color w:val="auto"/>
          <w:sz w:val="24"/>
          <w:highlight w:val="none"/>
        </w:rPr>
        <w:t xml:space="preserve">              </w:t>
      </w:r>
      <w:r>
        <w:rPr>
          <w:rFonts w:hint="eastAsia" w:ascii="仿宋" w:hAnsi="仿宋" w:eastAsia="仿宋"/>
          <w:b/>
          <w:color w:val="auto"/>
          <w:sz w:val="24"/>
          <w:highlight w:val="none"/>
        </w:rPr>
        <w:t xml:space="preserve">                乙方（盖章）：</w:t>
      </w:r>
    </w:p>
    <w:p w14:paraId="64B72629">
      <w:pPr>
        <w:snapToGrid w:val="0"/>
        <w:spacing w:line="300" w:lineRule="auto"/>
        <w:rPr>
          <w:rFonts w:ascii="仿宋" w:hAnsi="仿宋" w:eastAsia="仿宋"/>
          <w:b/>
          <w:color w:val="auto"/>
          <w:sz w:val="24"/>
          <w:highlight w:val="none"/>
        </w:rPr>
      </w:pPr>
      <w:r>
        <w:rPr>
          <w:rFonts w:hint="eastAsia" w:ascii="仿宋" w:hAnsi="仿宋" w:eastAsia="仿宋"/>
          <w:b/>
          <w:color w:val="auto"/>
          <w:sz w:val="24"/>
          <w:highlight w:val="none"/>
        </w:rPr>
        <w:t>法定代表人（负责人）：</w:t>
      </w:r>
      <w:r>
        <w:rPr>
          <w:rFonts w:ascii="仿宋" w:hAnsi="仿宋" w:eastAsia="仿宋"/>
          <w:b/>
          <w:color w:val="auto"/>
          <w:sz w:val="24"/>
          <w:highlight w:val="none"/>
        </w:rPr>
        <w:t xml:space="preserve">      </w:t>
      </w:r>
      <w:r>
        <w:rPr>
          <w:rFonts w:hint="eastAsia" w:ascii="仿宋" w:hAnsi="仿宋" w:eastAsia="仿宋"/>
          <w:b/>
          <w:color w:val="auto"/>
          <w:sz w:val="24"/>
          <w:highlight w:val="none"/>
        </w:rPr>
        <w:t xml:space="preserve">                法定代表人（负责人）：</w:t>
      </w:r>
    </w:p>
    <w:p w14:paraId="0D250CC1">
      <w:pPr>
        <w:snapToGrid w:val="0"/>
        <w:spacing w:line="300" w:lineRule="auto"/>
        <w:rPr>
          <w:rFonts w:ascii="仿宋" w:hAnsi="仿宋" w:eastAsia="仿宋"/>
          <w:b/>
          <w:color w:val="auto"/>
          <w:sz w:val="24"/>
          <w:highlight w:val="none"/>
        </w:rPr>
      </w:pPr>
      <w:r>
        <w:rPr>
          <w:rFonts w:hint="eastAsia" w:ascii="仿宋" w:hAnsi="仿宋" w:eastAsia="仿宋"/>
          <w:b/>
          <w:color w:val="auto"/>
          <w:sz w:val="24"/>
          <w:highlight w:val="none"/>
        </w:rPr>
        <w:t>经办人签名：</w:t>
      </w:r>
      <w:r>
        <w:rPr>
          <w:rFonts w:ascii="仿宋" w:hAnsi="仿宋" w:eastAsia="仿宋"/>
          <w:b/>
          <w:color w:val="auto"/>
          <w:sz w:val="24"/>
          <w:highlight w:val="none"/>
        </w:rPr>
        <w:t xml:space="preserve">               </w:t>
      </w:r>
      <w:r>
        <w:rPr>
          <w:rFonts w:hint="eastAsia" w:ascii="仿宋" w:hAnsi="仿宋" w:eastAsia="仿宋"/>
          <w:b/>
          <w:color w:val="auto"/>
          <w:sz w:val="24"/>
          <w:highlight w:val="none"/>
        </w:rPr>
        <w:t xml:space="preserve">                </w:t>
      </w:r>
      <w:r>
        <w:rPr>
          <w:rFonts w:ascii="仿宋" w:hAnsi="仿宋" w:eastAsia="仿宋"/>
          <w:b/>
          <w:color w:val="auto"/>
          <w:sz w:val="24"/>
          <w:highlight w:val="none"/>
        </w:rPr>
        <w:t xml:space="preserve"> </w:t>
      </w:r>
      <w:r>
        <w:rPr>
          <w:rFonts w:hint="eastAsia" w:ascii="仿宋" w:hAnsi="仿宋" w:eastAsia="仿宋"/>
          <w:b/>
          <w:color w:val="auto"/>
          <w:sz w:val="24"/>
          <w:highlight w:val="none"/>
        </w:rPr>
        <w:t>经办人签名：</w:t>
      </w:r>
    </w:p>
    <w:p w14:paraId="1EBB677E">
      <w:pPr>
        <w:snapToGrid w:val="0"/>
        <w:spacing w:line="300" w:lineRule="auto"/>
        <w:rPr>
          <w:rFonts w:ascii="仿宋" w:hAnsi="仿宋" w:eastAsia="仿宋"/>
          <w:b/>
          <w:color w:val="auto"/>
          <w:sz w:val="24"/>
          <w:highlight w:val="none"/>
        </w:rPr>
      </w:pPr>
      <w:r>
        <w:rPr>
          <w:rFonts w:hint="eastAsia" w:ascii="仿宋" w:hAnsi="仿宋" w:eastAsia="仿宋"/>
          <w:b/>
          <w:color w:val="auto"/>
          <w:sz w:val="24"/>
          <w:highlight w:val="none"/>
        </w:rPr>
        <w:t>年</w:t>
      </w:r>
      <w:r>
        <w:rPr>
          <w:rFonts w:ascii="仿宋" w:hAnsi="仿宋" w:eastAsia="仿宋"/>
          <w:b/>
          <w:color w:val="auto"/>
          <w:sz w:val="24"/>
          <w:highlight w:val="none"/>
        </w:rPr>
        <w:t xml:space="preserve">   </w:t>
      </w:r>
      <w:r>
        <w:rPr>
          <w:rFonts w:hint="eastAsia" w:ascii="仿宋" w:hAnsi="仿宋" w:eastAsia="仿宋"/>
          <w:b/>
          <w:color w:val="auto"/>
          <w:sz w:val="24"/>
          <w:highlight w:val="none"/>
        </w:rPr>
        <w:t>月</w:t>
      </w:r>
      <w:r>
        <w:rPr>
          <w:rFonts w:ascii="仿宋" w:hAnsi="仿宋" w:eastAsia="仿宋"/>
          <w:b/>
          <w:color w:val="auto"/>
          <w:sz w:val="24"/>
          <w:highlight w:val="none"/>
        </w:rPr>
        <w:t xml:space="preserve">   </w:t>
      </w:r>
      <w:r>
        <w:rPr>
          <w:rFonts w:hint="eastAsia" w:ascii="仿宋" w:hAnsi="仿宋" w:eastAsia="仿宋"/>
          <w:b/>
          <w:color w:val="auto"/>
          <w:sz w:val="24"/>
          <w:highlight w:val="none"/>
        </w:rPr>
        <w:t>日</w:t>
      </w:r>
      <w:r>
        <w:rPr>
          <w:rFonts w:ascii="仿宋" w:hAnsi="仿宋" w:eastAsia="仿宋"/>
          <w:b/>
          <w:color w:val="auto"/>
          <w:sz w:val="24"/>
          <w:highlight w:val="none"/>
        </w:rPr>
        <w:t xml:space="preserve">                </w:t>
      </w:r>
      <w:r>
        <w:rPr>
          <w:rFonts w:hint="eastAsia" w:ascii="仿宋" w:hAnsi="仿宋" w:eastAsia="仿宋"/>
          <w:b/>
          <w:color w:val="auto"/>
          <w:sz w:val="24"/>
          <w:highlight w:val="none"/>
        </w:rPr>
        <w:t xml:space="preserve">                年</w:t>
      </w:r>
      <w:r>
        <w:rPr>
          <w:rFonts w:ascii="仿宋" w:hAnsi="仿宋" w:eastAsia="仿宋"/>
          <w:b/>
          <w:color w:val="auto"/>
          <w:sz w:val="24"/>
          <w:highlight w:val="none"/>
        </w:rPr>
        <w:t xml:space="preserve">   </w:t>
      </w:r>
      <w:r>
        <w:rPr>
          <w:rFonts w:hint="eastAsia" w:ascii="仿宋" w:hAnsi="仿宋" w:eastAsia="仿宋"/>
          <w:b/>
          <w:color w:val="auto"/>
          <w:sz w:val="24"/>
          <w:highlight w:val="none"/>
        </w:rPr>
        <w:t>月</w:t>
      </w:r>
      <w:r>
        <w:rPr>
          <w:rFonts w:ascii="仿宋" w:hAnsi="仿宋" w:eastAsia="仿宋"/>
          <w:b/>
          <w:color w:val="auto"/>
          <w:sz w:val="24"/>
          <w:highlight w:val="none"/>
        </w:rPr>
        <w:t xml:space="preserve">  </w:t>
      </w:r>
      <w:r>
        <w:rPr>
          <w:rFonts w:hint="eastAsia" w:ascii="仿宋" w:hAnsi="仿宋" w:eastAsia="仿宋"/>
          <w:b/>
          <w:color w:val="auto"/>
          <w:sz w:val="24"/>
          <w:highlight w:val="none"/>
        </w:rPr>
        <w:t>日</w:t>
      </w:r>
    </w:p>
    <w:p w14:paraId="33AA9C59">
      <w:pPr>
        <w:rPr>
          <w:color w:val="auto"/>
          <w:highlight w:val="none"/>
        </w:rPr>
      </w:pPr>
      <w:r>
        <w:rPr>
          <w:color w:val="auto"/>
          <w:highlight w:val="none"/>
        </w:rPr>
        <w:br w:type="page"/>
      </w:r>
    </w:p>
    <w:p w14:paraId="5ED72DC3">
      <w:pPr>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04"/>
      <w:bookmarkEnd w:id="405"/>
      <w:r>
        <w:rPr>
          <w:rFonts w:hint="eastAsia" w:ascii="仿宋" w:hAnsi="仿宋" w:eastAsia="仿宋" w:cs="仿宋"/>
          <w:b/>
          <w:color w:val="auto"/>
          <w:sz w:val="36"/>
          <w:szCs w:val="20"/>
          <w:highlight w:val="none"/>
          <w:lang w:val="en-US" w:eastAsia="zh-CN"/>
        </w:rPr>
        <w:t xml:space="preserve">  </w:t>
      </w:r>
      <w:r>
        <w:rPr>
          <w:rFonts w:hint="eastAsia" w:ascii="仿宋" w:hAnsi="仿宋" w:eastAsia="仿宋" w:cs="仿宋"/>
          <w:b/>
          <w:color w:val="auto"/>
          <w:sz w:val="36"/>
          <w:szCs w:val="20"/>
          <w:highlight w:val="none"/>
        </w:rPr>
        <w:t>应提交的有关格式范例</w:t>
      </w:r>
      <w:bookmarkEnd w:id="406"/>
    </w:p>
    <w:p w14:paraId="3E8A41E2">
      <w:pPr>
        <w:rPr>
          <w:rFonts w:ascii="仿宋" w:hAnsi="仿宋" w:eastAsia="仿宋" w:cs="仿宋"/>
          <w:color w:val="auto"/>
          <w:highlight w:val="none"/>
        </w:rPr>
      </w:pPr>
    </w:p>
    <w:p w14:paraId="1E7AFF0D">
      <w:pPr>
        <w:spacing w:line="360" w:lineRule="auto"/>
        <w:jc w:val="center"/>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93D83F6">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目录</w:t>
      </w:r>
    </w:p>
    <w:p w14:paraId="3A70A185">
      <w:pPr>
        <w:rPr>
          <w:rFonts w:ascii="仿宋" w:hAnsi="仿宋" w:eastAsia="仿宋" w:cs="仿宋"/>
          <w:color w:val="auto"/>
          <w:highlight w:val="none"/>
        </w:rPr>
      </w:pPr>
    </w:p>
    <w:p w14:paraId="080C4C22">
      <w:pPr>
        <w:pStyle w:val="24"/>
        <w:rPr>
          <w:rFonts w:ascii="仿宋" w:hAnsi="仿宋" w:eastAsia="仿宋" w:cs="仿宋"/>
          <w:color w:val="auto"/>
          <w:highlight w:val="none"/>
        </w:rPr>
      </w:pPr>
    </w:p>
    <w:p w14:paraId="15C11AC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24E51BA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（2）联合协议………………………………………………………………（页码）</w:t>
      </w:r>
    </w:p>
    <w:p w14:paraId="32F6181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1F9BEB0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B715D35">
      <w:pPr>
        <w:rPr>
          <w:rFonts w:ascii="仿宋" w:hAnsi="仿宋" w:eastAsia="仿宋" w:cs="仿宋"/>
          <w:color w:val="auto"/>
          <w:highlight w:val="none"/>
        </w:rPr>
      </w:pPr>
    </w:p>
    <w:p w14:paraId="4DC31184">
      <w:pPr>
        <w:snapToGrid w:val="0"/>
        <w:spacing w:line="360" w:lineRule="auto"/>
        <w:ind w:firstLine="480" w:firstLineChars="200"/>
        <w:rPr>
          <w:rFonts w:ascii="仿宋" w:hAnsi="仿宋" w:eastAsia="仿宋" w:cs="仿宋"/>
          <w:color w:val="auto"/>
          <w:sz w:val="24"/>
          <w:highlight w:val="none"/>
        </w:rPr>
      </w:pPr>
    </w:p>
    <w:p w14:paraId="57D0722A">
      <w:pPr>
        <w:spacing w:line="360" w:lineRule="auto"/>
        <w:ind w:firstLine="480" w:firstLineChars="200"/>
        <w:rPr>
          <w:rFonts w:ascii="仿宋" w:hAnsi="仿宋" w:eastAsia="仿宋" w:cs="仿宋"/>
          <w:color w:val="auto"/>
          <w:sz w:val="24"/>
          <w:highlight w:val="none"/>
        </w:rPr>
      </w:pPr>
    </w:p>
    <w:p w14:paraId="154564E9">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 符合参加政府采购活动应当具备的一般条件的承诺函</w:t>
      </w:r>
    </w:p>
    <w:p w14:paraId="1167057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杭州市第三人民医院</w:t>
      </w:r>
      <w:r>
        <w:rPr>
          <w:rFonts w:hint="eastAsia" w:ascii="仿宋" w:hAnsi="仿宋" w:eastAsia="仿宋" w:cs="仿宋"/>
          <w:color w:val="auto"/>
          <w:sz w:val="24"/>
          <w:highlight w:val="none"/>
          <w:u w:val="single"/>
        </w:rPr>
        <w:t>、浙江国际招投标有限公司</w:t>
      </w:r>
      <w:r>
        <w:rPr>
          <w:rFonts w:hint="eastAsia" w:ascii="仿宋" w:hAnsi="仿宋" w:eastAsia="仿宋" w:cs="仿宋"/>
          <w:color w:val="auto"/>
          <w:sz w:val="24"/>
          <w:highlight w:val="none"/>
        </w:rPr>
        <w:t>：</w:t>
      </w:r>
    </w:p>
    <w:p w14:paraId="0C99C756">
      <w:pPr>
        <w:snapToGrid w:val="0"/>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】政府采购活动，郑重承诺：</w:t>
      </w:r>
    </w:p>
    <w:p w14:paraId="44006123">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39BFB1E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CA2D99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C8A606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85E966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F23590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63CBC85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E4AFD9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D02B20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BE85E0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E37CF5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BC9F86F">
      <w:pPr>
        <w:pStyle w:val="24"/>
        <w:rPr>
          <w:rFonts w:ascii="仿宋" w:hAnsi="仿宋" w:eastAsia="仿宋" w:cs="仿宋"/>
          <w:color w:val="auto"/>
          <w:highlight w:val="none"/>
        </w:rPr>
      </w:pPr>
    </w:p>
    <w:p w14:paraId="720C1822">
      <w:pPr>
        <w:rPr>
          <w:rFonts w:ascii="仿宋" w:hAnsi="仿宋" w:eastAsia="仿宋" w:cs="仿宋"/>
          <w:color w:val="auto"/>
          <w:highlight w:val="none"/>
        </w:rPr>
      </w:pPr>
    </w:p>
    <w:p w14:paraId="08A2AA0E">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2C59B069">
      <w:pPr>
        <w:snapToGrid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zh-CN"/>
        </w:rPr>
        <w:t>月日</w:t>
      </w:r>
    </w:p>
    <w:p w14:paraId="1349B023">
      <w:pPr>
        <w:snapToGrid w:val="0"/>
        <w:spacing w:line="360" w:lineRule="auto"/>
        <w:ind w:right="480"/>
        <w:jc w:val="left"/>
        <w:rPr>
          <w:rFonts w:ascii="仿宋" w:hAnsi="仿宋" w:eastAsia="仿宋" w:cs="仿宋"/>
          <w:b/>
          <w:color w:val="auto"/>
          <w:kern w:val="0"/>
          <w:sz w:val="32"/>
          <w:szCs w:val="32"/>
          <w:highlight w:val="none"/>
        </w:rPr>
      </w:pPr>
      <w:r>
        <w:rPr>
          <w:rFonts w:hint="eastAsia" w:ascii="仿宋" w:hAnsi="仿宋" w:eastAsia="仿宋" w:cs="仿宋"/>
          <w:b w:val="0"/>
          <w:bCs/>
          <w:color w:val="auto"/>
          <w:kern w:val="0"/>
          <w:sz w:val="22"/>
          <w:szCs w:val="22"/>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FDE5806">
      <w:pPr>
        <w:snapToGrid w:val="0"/>
        <w:spacing w:line="360" w:lineRule="auto"/>
        <w:ind w:right="480"/>
        <w:jc w:val="center"/>
        <w:rPr>
          <w:rFonts w:ascii="仿宋" w:hAnsi="仿宋" w:eastAsia="仿宋" w:cs="仿宋"/>
          <w:b/>
          <w:color w:val="auto"/>
          <w:kern w:val="0"/>
          <w:sz w:val="32"/>
          <w:szCs w:val="32"/>
          <w:highlight w:val="none"/>
        </w:rPr>
      </w:pPr>
    </w:p>
    <w:p w14:paraId="46C074CE">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AC92502">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14D37B59">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285AFA2C">
      <w:pPr>
        <w:rPr>
          <w:rFonts w:ascii="仿宋" w:hAnsi="仿宋" w:eastAsia="仿宋" w:cs="仿宋"/>
          <w:b/>
          <w:color w:val="auto"/>
          <w:kern w:val="0"/>
          <w:sz w:val="32"/>
          <w:szCs w:val="32"/>
          <w:highlight w:val="none"/>
        </w:rPr>
      </w:pPr>
    </w:p>
    <w:p w14:paraId="64E70E47">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4621BD5">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5BC02B5E">
      <w:pPr>
        <w:snapToGrid w:val="0"/>
        <w:spacing w:before="50" w:after="5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084D6274">
      <w:pPr>
        <w:snapToGrid w:val="0"/>
        <w:spacing w:before="50" w:after="5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A.专门面向中小企业，货物全部由符合政策要求的中小企业（或小微企业）制造的，提供相应的中小企业声明函（附件7）。 </w:t>
      </w:r>
    </w:p>
    <w:p w14:paraId="22215D76">
      <w:pPr>
        <w:snapToGrid w:val="0"/>
        <w:spacing w:before="50" w:after="50" w:line="360" w:lineRule="auto"/>
        <w:ind w:firstLine="470" w:firstLineChars="196"/>
        <w:jc w:val="left"/>
        <w:rPr>
          <w:rFonts w:ascii="仿宋" w:hAnsi="仿宋" w:eastAsia="仿宋" w:cs="仿宋"/>
          <w:color w:val="auto"/>
          <w:sz w:val="24"/>
          <w:highlight w:val="none"/>
        </w:rPr>
      </w:pPr>
    </w:p>
    <w:p w14:paraId="5FEAFC6F">
      <w:pPr>
        <w:snapToGrid w:val="0"/>
        <w:spacing w:before="50" w:after="5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2E1397BC">
      <w:pPr>
        <w:snapToGrid w:val="0"/>
        <w:spacing w:before="50" w:after="50" w:line="360" w:lineRule="auto"/>
        <w:ind w:firstLine="470" w:firstLineChars="196"/>
        <w:jc w:val="left"/>
        <w:rPr>
          <w:rFonts w:ascii="仿宋" w:hAnsi="仿宋" w:eastAsia="仿宋" w:cs="仿宋"/>
          <w:color w:val="auto"/>
          <w:sz w:val="24"/>
          <w:highlight w:val="none"/>
        </w:rPr>
      </w:pPr>
    </w:p>
    <w:p w14:paraId="590856AE">
      <w:pPr>
        <w:snapToGrid w:val="0"/>
        <w:spacing w:before="50" w:after="5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2EA34270">
      <w:pPr>
        <w:widowControl/>
        <w:spacing w:line="360" w:lineRule="auto"/>
        <w:ind w:firstLine="480"/>
        <w:jc w:val="left"/>
        <w:rPr>
          <w:rFonts w:ascii="仿宋" w:hAnsi="仿宋" w:eastAsia="仿宋" w:cs="仿宋"/>
          <w:color w:val="auto"/>
          <w:sz w:val="24"/>
          <w:highlight w:val="none"/>
        </w:rPr>
      </w:pPr>
    </w:p>
    <w:p w14:paraId="78D1E806">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0D90FB6">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15E0C75F">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5D328834">
      <w:pPr>
        <w:rPr>
          <w:rFonts w:ascii="仿宋" w:hAnsi="仿宋" w:eastAsia="仿宋" w:cs="仿宋"/>
          <w:color w:val="auto"/>
          <w:highlight w:val="none"/>
        </w:rPr>
      </w:pPr>
    </w:p>
    <w:p w14:paraId="36841480">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6912DFBA">
      <w:pPr>
        <w:spacing w:line="360" w:lineRule="auto"/>
        <w:jc w:val="center"/>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5623CAB3">
      <w:pPr>
        <w:rPr>
          <w:rFonts w:ascii="仿宋" w:hAnsi="仿宋" w:eastAsia="仿宋" w:cs="仿宋"/>
          <w:color w:val="auto"/>
          <w:highlight w:val="none"/>
        </w:rPr>
      </w:pPr>
    </w:p>
    <w:p w14:paraId="068DC8BD">
      <w:pPr>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目录</w:t>
      </w:r>
    </w:p>
    <w:p w14:paraId="5A04BF61">
      <w:pPr>
        <w:numPr>
          <w:ilvl w:val="0"/>
          <w:numId w:val="20"/>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投标函…………………………………………………………………………（页码）</w:t>
      </w:r>
    </w:p>
    <w:p w14:paraId="7FCAD5B2">
      <w:pPr>
        <w:numPr>
          <w:ilvl w:val="0"/>
          <w:numId w:val="20"/>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授权委托书或法定代表人（单位负责人、自然人本人）身份证明………（页码）</w:t>
      </w:r>
    </w:p>
    <w:p w14:paraId="35FEED81">
      <w:pPr>
        <w:numPr>
          <w:ilvl w:val="0"/>
          <w:numId w:val="20"/>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分包意向协议…………………………………………………………………（页码）</w:t>
      </w:r>
    </w:p>
    <w:p w14:paraId="6BF7B53F">
      <w:pPr>
        <w:numPr>
          <w:ilvl w:val="0"/>
          <w:numId w:val="20"/>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符合性审查资料………………………………………………………………（页码）</w:t>
      </w:r>
    </w:p>
    <w:p w14:paraId="42D7F0A7">
      <w:pPr>
        <w:numPr>
          <w:ilvl w:val="0"/>
          <w:numId w:val="20"/>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评标标准相应的商务技术资料………………………………………………（页码）</w:t>
      </w:r>
    </w:p>
    <w:p w14:paraId="661A98F0">
      <w:pPr>
        <w:numPr>
          <w:ilvl w:val="0"/>
          <w:numId w:val="20"/>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投标标的清单…………………………………………………………………（页码）</w:t>
      </w:r>
    </w:p>
    <w:p w14:paraId="24D9A143">
      <w:pPr>
        <w:numPr>
          <w:ilvl w:val="0"/>
          <w:numId w:val="20"/>
        </w:numPr>
        <w:snapToGrid w:val="0"/>
        <w:spacing w:line="360" w:lineRule="auto"/>
        <w:ind w:hanging="5"/>
        <w:rPr>
          <w:rFonts w:ascii="仿宋" w:hAnsi="仿宋" w:eastAsia="仿宋" w:cs="仿宋"/>
          <w:color w:val="auto"/>
          <w:sz w:val="24"/>
          <w:highlight w:val="none"/>
        </w:rPr>
      </w:pPr>
      <w:r>
        <w:rPr>
          <w:rFonts w:hint="eastAsia" w:ascii="仿宋_GB2312" w:hAnsi="仿宋" w:eastAsia="仿宋_GB2312"/>
          <w:bCs/>
          <w:color w:val="auto"/>
          <w:sz w:val="24"/>
          <w:highlight w:val="none"/>
          <w:lang w:val="en-US" w:eastAsia="zh-CN"/>
        </w:rPr>
        <w:t>技术响应表</w:t>
      </w:r>
      <w:r>
        <w:rPr>
          <w:rFonts w:hint="eastAsia" w:ascii="仿宋" w:hAnsi="仿宋" w:eastAsia="仿宋" w:cs="仿宋"/>
          <w:color w:val="auto"/>
          <w:sz w:val="24"/>
          <w:highlight w:val="none"/>
        </w:rPr>
        <w:t>……………………………………………………………………（页码）</w:t>
      </w:r>
    </w:p>
    <w:p w14:paraId="7870F5DB">
      <w:pPr>
        <w:numPr>
          <w:ilvl w:val="0"/>
          <w:numId w:val="20"/>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商务技术偏离表………………………………………………………………（页码）</w:t>
      </w:r>
    </w:p>
    <w:p w14:paraId="6272A77E">
      <w:pPr>
        <w:numPr>
          <w:ilvl w:val="0"/>
          <w:numId w:val="20"/>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14:paraId="1B445070">
      <w:pPr>
        <w:rPr>
          <w:rFonts w:ascii="仿宋" w:hAnsi="仿宋" w:eastAsia="仿宋" w:cs="仿宋"/>
          <w:color w:val="auto"/>
          <w:highlight w:val="none"/>
          <w:lang w:val="zh-CN"/>
        </w:rPr>
      </w:pPr>
    </w:p>
    <w:p w14:paraId="6A73302E">
      <w:pPr>
        <w:rPr>
          <w:rFonts w:ascii="仿宋" w:hAnsi="仿宋" w:eastAsia="仿宋" w:cs="仿宋"/>
          <w:color w:val="auto"/>
          <w:highlight w:val="none"/>
          <w:lang w:val="zh-CN"/>
        </w:rPr>
      </w:pPr>
    </w:p>
    <w:p w14:paraId="663E8E34">
      <w:pPr>
        <w:rPr>
          <w:rFonts w:ascii="仿宋" w:hAnsi="仿宋" w:eastAsia="仿宋" w:cs="仿宋"/>
          <w:color w:val="auto"/>
          <w:highlight w:val="none"/>
          <w:lang w:val="zh-CN"/>
        </w:rPr>
      </w:pPr>
    </w:p>
    <w:p w14:paraId="23280F0A">
      <w:pPr>
        <w:rPr>
          <w:rFonts w:ascii="仿宋" w:hAnsi="仿宋" w:eastAsia="仿宋" w:cs="仿宋"/>
          <w:color w:val="auto"/>
          <w:highlight w:val="none"/>
          <w:lang w:val="zh-CN"/>
        </w:rPr>
      </w:pPr>
    </w:p>
    <w:p w14:paraId="55D8D636">
      <w:pPr>
        <w:rPr>
          <w:rFonts w:ascii="仿宋" w:hAnsi="仿宋" w:eastAsia="仿宋" w:cs="仿宋"/>
          <w:color w:val="auto"/>
          <w:highlight w:val="none"/>
          <w:lang w:val="zh-CN"/>
        </w:rPr>
      </w:pPr>
    </w:p>
    <w:p w14:paraId="0167E635">
      <w:pPr>
        <w:rPr>
          <w:rFonts w:ascii="仿宋" w:hAnsi="仿宋" w:eastAsia="仿宋" w:cs="仿宋"/>
          <w:color w:val="auto"/>
          <w:highlight w:val="none"/>
        </w:rPr>
      </w:pPr>
    </w:p>
    <w:p w14:paraId="34DA1843">
      <w:pPr>
        <w:rPr>
          <w:rFonts w:ascii="仿宋" w:hAnsi="仿宋" w:eastAsia="仿宋" w:cs="仿宋"/>
          <w:color w:val="auto"/>
          <w:highlight w:val="none"/>
        </w:rPr>
      </w:pPr>
    </w:p>
    <w:p w14:paraId="1A6F984C">
      <w:pPr>
        <w:rPr>
          <w:rFonts w:ascii="仿宋" w:hAnsi="仿宋" w:eastAsia="仿宋" w:cs="仿宋"/>
          <w:color w:val="auto"/>
          <w:highlight w:val="none"/>
        </w:rPr>
      </w:pPr>
    </w:p>
    <w:p w14:paraId="7E9F27FC">
      <w:pPr>
        <w:rPr>
          <w:rFonts w:ascii="仿宋" w:hAnsi="仿宋" w:eastAsia="仿宋" w:cs="仿宋"/>
          <w:color w:val="auto"/>
          <w:highlight w:val="none"/>
        </w:rPr>
      </w:pPr>
    </w:p>
    <w:p w14:paraId="5C006727">
      <w:pPr>
        <w:rPr>
          <w:rFonts w:ascii="仿宋" w:hAnsi="仿宋" w:eastAsia="仿宋" w:cs="仿宋"/>
          <w:color w:val="auto"/>
          <w:highlight w:val="none"/>
        </w:rPr>
      </w:pPr>
    </w:p>
    <w:p w14:paraId="01C99FFC">
      <w:pPr>
        <w:rPr>
          <w:rFonts w:ascii="仿宋" w:hAnsi="仿宋" w:eastAsia="仿宋" w:cs="仿宋"/>
          <w:color w:val="auto"/>
          <w:highlight w:val="none"/>
        </w:rPr>
      </w:pPr>
    </w:p>
    <w:p w14:paraId="780CB939">
      <w:pPr>
        <w:rPr>
          <w:rFonts w:ascii="仿宋" w:hAnsi="仿宋" w:eastAsia="仿宋" w:cs="仿宋"/>
          <w:color w:val="auto"/>
          <w:highlight w:val="none"/>
        </w:rPr>
      </w:pPr>
    </w:p>
    <w:p w14:paraId="1CA689A0">
      <w:pPr>
        <w:rPr>
          <w:rFonts w:ascii="仿宋" w:hAnsi="仿宋" w:eastAsia="仿宋" w:cs="仿宋"/>
          <w:color w:val="auto"/>
          <w:highlight w:val="none"/>
        </w:rPr>
      </w:pPr>
    </w:p>
    <w:p w14:paraId="7F011D64">
      <w:pPr>
        <w:rPr>
          <w:rFonts w:ascii="仿宋" w:hAnsi="仿宋" w:eastAsia="仿宋" w:cs="仿宋"/>
          <w:color w:val="auto"/>
          <w:highlight w:val="none"/>
        </w:rPr>
      </w:pPr>
    </w:p>
    <w:p w14:paraId="608F0F50">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E485303">
      <w:pPr>
        <w:snapToGrid w:val="0"/>
        <w:spacing w:line="360" w:lineRule="auto"/>
        <w:jc w:val="center"/>
        <w:outlineLvl w:val="1"/>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1CD82982">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杭州市第三人民医院</w:t>
      </w:r>
      <w:r>
        <w:rPr>
          <w:rFonts w:hint="eastAsia" w:ascii="仿宋" w:hAnsi="仿宋" w:eastAsia="仿宋" w:cs="仿宋"/>
          <w:color w:val="auto"/>
          <w:sz w:val="24"/>
          <w:highlight w:val="none"/>
          <w:u w:val="single"/>
        </w:rPr>
        <w:t>、浙江国际招投标有限公司</w:t>
      </w:r>
      <w:r>
        <w:rPr>
          <w:rFonts w:hint="eastAsia" w:ascii="仿宋" w:hAnsi="仿宋" w:eastAsia="仿宋" w:cs="仿宋"/>
          <w:color w:val="auto"/>
          <w:sz w:val="24"/>
          <w:highlight w:val="none"/>
        </w:rPr>
        <w:t>：</w:t>
      </w:r>
    </w:p>
    <w:p w14:paraId="7D89386B">
      <w:pPr>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我方参加你方组织的（项目名称）【招标编号：】招标的有关活动，并对此项目进行投标。为此：</w:t>
      </w:r>
    </w:p>
    <w:p w14:paraId="062DACEE">
      <w:pPr>
        <w:snapToGrid w:val="0"/>
        <w:spacing w:line="3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lang w:val="en-US" w:eastAsia="zh-CN"/>
        </w:rPr>
        <w:t>__</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4ECC199F">
      <w:pPr>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73920BC5">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7194FC21">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4FBA531B">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2.1.2联合协议（如果有)；</w:t>
      </w:r>
    </w:p>
    <w:p w14:paraId="3264B944">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bCs/>
          <w:color w:val="auto"/>
          <w:sz w:val="24"/>
          <w:highlight w:val="none"/>
        </w:rPr>
        <w:t>中小企业声明函；</w:t>
      </w:r>
    </w:p>
    <w:p w14:paraId="1EDCBAF1">
      <w:pPr>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2.1.4本项目的特定资格要求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无。</w:t>
      </w:r>
    </w:p>
    <w:p w14:paraId="455A0372">
      <w:pPr>
        <w:snapToGrid w:val="0"/>
        <w:spacing w:line="360" w:lineRule="exact"/>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11076928">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p>
    <w:p w14:paraId="15145364">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w:t>
      </w:r>
      <w:r>
        <w:rPr>
          <w:rFonts w:hint="eastAsia" w:ascii="仿宋" w:hAnsi="仿宋" w:eastAsia="仿宋" w:cs="仿宋"/>
          <w:bCs/>
          <w:color w:val="auto"/>
          <w:sz w:val="24"/>
          <w:highlight w:val="none"/>
        </w:rPr>
        <w:t>授权委托书或法定代表人（单位负责人、自然人本人）身份证明、授权代表最近一个月在投标单位缴纳社保的参保证明</w:t>
      </w:r>
      <w:r>
        <w:rPr>
          <w:rFonts w:hint="eastAsia" w:ascii="仿宋" w:hAnsi="仿宋" w:eastAsia="仿宋" w:cs="仿宋"/>
          <w:color w:val="auto"/>
          <w:sz w:val="24"/>
          <w:highlight w:val="none"/>
        </w:rPr>
        <w:t>；</w:t>
      </w:r>
    </w:p>
    <w:p w14:paraId="79616B64">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3F160849">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365BABC1">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4D6D983E">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391212A3">
      <w:pPr>
        <w:snapToGrid w:val="0"/>
        <w:spacing w:line="360" w:lineRule="exact"/>
        <w:ind w:left="420" w:leftChars="20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7技术响应表；</w:t>
      </w:r>
    </w:p>
    <w:p w14:paraId="755317C0">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2.2.8</w:t>
      </w:r>
      <w:r>
        <w:rPr>
          <w:rFonts w:hint="eastAsia" w:ascii="仿宋" w:hAnsi="仿宋" w:eastAsia="仿宋" w:cs="仿宋"/>
          <w:color w:val="auto"/>
          <w:sz w:val="24"/>
          <w:highlight w:val="none"/>
        </w:rPr>
        <w:t>商务技术偏离表；</w:t>
      </w:r>
    </w:p>
    <w:p w14:paraId="7D495CF0">
      <w:pPr>
        <w:snapToGrid w:val="0"/>
        <w:spacing w:line="360" w:lineRule="exact"/>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zh-CN"/>
        </w:rPr>
        <w:t>政府采购供应商廉洁自律承诺书；</w:t>
      </w:r>
    </w:p>
    <w:p w14:paraId="0BF6CEF3">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19D78503">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747A57E3">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2.3.2中标服务费支付承诺书。</w:t>
      </w:r>
    </w:p>
    <w:p w14:paraId="5AE58290">
      <w:pPr>
        <w:snapToGrid w:val="0"/>
        <w:spacing w:line="3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19F04924">
      <w:pPr>
        <w:snapToGrid w:val="0"/>
        <w:spacing w:line="3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76521134">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780506F4">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D5000AB">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27828113">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B140699">
      <w:pPr>
        <w:snapToGrid w:val="0"/>
        <w:spacing w:line="3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p>
    <w:p w14:paraId="09A58DED">
      <w:pPr>
        <w:snapToGrid w:val="0"/>
        <w:spacing w:line="360" w:lineRule="exact"/>
        <w:ind w:firstLine="3600" w:firstLineChars="1500"/>
        <w:rPr>
          <w:rFonts w:ascii="仿宋" w:hAnsi="仿宋" w:eastAsia="仿宋" w:cs="仿宋"/>
          <w:color w:val="auto"/>
          <w:sz w:val="24"/>
          <w:highlight w:val="none"/>
        </w:rPr>
      </w:pPr>
    </w:p>
    <w:p w14:paraId="386DD508">
      <w:pPr>
        <w:snapToGrid w:val="0"/>
        <w:spacing w:line="360" w:lineRule="exact"/>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248C397C">
      <w:pPr>
        <w:snapToGrid w:val="0"/>
        <w:spacing w:line="360" w:lineRule="exact"/>
        <w:jc w:val="center"/>
        <w:rPr>
          <w:rFonts w:ascii="仿宋" w:hAnsi="仿宋" w:eastAsia="仿宋" w:cs="仿宋"/>
          <w:color w:val="auto"/>
          <w:kern w:val="0"/>
          <w:sz w:val="24"/>
          <w:highlight w:val="none"/>
          <w:u w:val="single"/>
        </w:rPr>
      </w:pPr>
      <w:r>
        <w:rPr>
          <w:rFonts w:hint="eastAsia" w:ascii="仿宋" w:hAnsi="仿宋" w:eastAsia="仿宋" w:cs="仿宋"/>
          <w:color w:val="auto"/>
          <w:sz w:val="24"/>
          <w:highlight w:val="none"/>
        </w:rPr>
        <w:t xml:space="preserve">     日期：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14:paraId="0EEC1735">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A97DE99">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8172481">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54EDF5E0">
      <w:pPr>
        <w:snapToGrid w:val="0"/>
        <w:spacing w:line="360" w:lineRule="auto"/>
        <w:rPr>
          <w:rFonts w:ascii="仿宋" w:hAnsi="仿宋" w:eastAsia="仿宋" w:cs="仿宋"/>
          <w:color w:val="auto"/>
          <w:sz w:val="24"/>
          <w:highlight w:val="none"/>
        </w:rPr>
      </w:pPr>
    </w:p>
    <w:p w14:paraId="2D43ECBE">
      <w:pPr>
        <w:snapToGrid w:val="0"/>
        <w:spacing w:line="360" w:lineRule="auto"/>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6A2A8EF9">
      <w:pPr>
        <w:snapToGrid w:val="0"/>
        <w:spacing w:line="360" w:lineRule="auto"/>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lang w:eastAsia="zh-CN"/>
        </w:rPr>
        <w:t>杭州市第三人民医院</w:t>
      </w:r>
      <w:r>
        <w:rPr>
          <w:rFonts w:hint="eastAsia" w:ascii="仿宋" w:hAnsi="仿宋" w:eastAsia="仿宋" w:cs="仿宋"/>
          <w:color w:val="auto"/>
          <w:kern w:val="0"/>
          <w:sz w:val="24"/>
          <w:highlight w:val="none"/>
          <w:u w:val="single"/>
        </w:rPr>
        <w:t>、浙江国际招投标有限公司：</w:t>
      </w:r>
    </w:p>
    <w:p w14:paraId="547CEB05">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393F0E2">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color w:val="auto"/>
          <w:kern w:val="0"/>
          <w:sz w:val="24"/>
          <w:highlight w:val="none"/>
          <w:lang w:val="zh-CN"/>
        </w:rPr>
        <w:t>起至</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color w:val="auto"/>
          <w:kern w:val="0"/>
          <w:sz w:val="24"/>
          <w:highlight w:val="none"/>
          <w:lang w:val="zh-CN"/>
        </w:rPr>
        <w:t>止</w:t>
      </w:r>
      <w:r>
        <w:rPr>
          <w:rFonts w:hint="eastAsia" w:ascii="仿宋" w:hAnsi="仿宋" w:eastAsia="仿宋" w:cs="仿宋"/>
          <w:color w:val="auto"/>
          <w:kern w:val="0"/>
          <w:sz w:val="24"/>
          <w:highlight w:val="none"/>
          <w:lang w:val="zh-CN"/>
        </w:rPr>
        <w:t>。</w:t>
      </w:r>
    </w:p>
    <w:p w14:paraId="48B13549">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6442CFEC">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5099AE2E">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14:paraId="435D5A57">
      <w:pPr>
        <w:snapToGrid w:val="0"/>
        <w:spacing w:line="360" w:lineRule="auto"/>
        <w:rPr>
          <w:rFonts w:ascii="仿宋" w:hAnsi="仿宋" w:eastAsia="仿宋" w:cs="仿宋"/>
          <w:color w:val="auto"/>
          <w:sz w:val="24"/>
          <w:highlight w:val="none"/>
        </w:rPr>
      </w:pPr>
    </w:p>
    <w:p w14:paraId="137FD8C8">
      <w:pPr>
        <w:snapToGrid w:val="0"/>
        <w:spacing w:line="360" w:lineRule="auto"/>
        <w:rPr>
          <w:rFonts w:ascii="仿宋" w:hAnsi="仿宋" w:eastAsia="仿宋" w:cs="仿宋"/>
          <w:color w:val="auto"/>
          <w:sz w:val="24"/>
          <w:highlight w:val="none"/>
        </w:rPr>
      </w:pPr>
    </w:p>
    <w:p w14:paraId="55A7C37F">
      <w:pPr>
        <w:snapToGrid w:val="0"/>
        <w:spacing w:line="360" w:lineRule="auto"/>
        <w:rPr>
          <w:rFonts w:ascii="仿宋" w:hAnsi="仿宋" w:eastAsia="仿宋" w:cs="仿宋"/>
          <w:color w:val="auto"/>
          <w:sz w:val="24"/>
          <w:highlight w:val="none"/>
        </w:rPr>
      </w:pPr>
    </w:p>
    <w:p w14:paraId="651196B9">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115948D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杭州市第三人民医院</w:t>
      </w:r>
      <w:r>
        <w:rPr>
          <w:rFonts w:hint="eastAsia" w:ascii="仿宋" w:hAnsi="仿宋" w:eastAsia="仿宋" w:cs="仿宋"/>
          <w:color w:val="auto"/>
          <w:sz w:val="24"/>
          <w:highlight w:val="none"/>
          <w:u w:val="single"/>
        </w:rPr>
        <w:t>、浙江国际招投标有限公司</w:t>
      </w:r>
      <w:r>
        <w:rPr>
          <w:rFonts w:hint="eastAsia" w:ascii="仿宋" w:hAnsi="仿宋" w:eastAsia="仿宋" w:cs="仿宋"/>
          <w:color w:val="auto"/>
          <w:sz w:val="24"/>
          <w:highlight w:val="none"/>
        </w:rPr>
        <w:t>：</w:t>
      </w:r>
    </w:p>
    <w:p w14:paraId="3800CBB7">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，手机：</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5608554">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委托期限：</w:t>
      </w:r>
      <w:r>
        <w:rPr>
          <w:rFonts w:hint="eastAsia" w:ascii="仿宋" w:hAnsi="仿宋" w:eastAsia="仿宋" w:cs="仿宋"/>
          <w:color w:val="auto"/>
          <w:kern w:val="0"/>
          <w:sz w:val="24"/>
          <w:highlight w:val="none"/>
          <w:lang w:val="zh-CN"/>
        </w:rPr>
        <w:t>自</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color w:val="auto"/>
          <w:kern w:val="0"/>
          <w:sz w:val="24"/>
          <w:highlight w:val="none"/>
          <w:lang w:val="zh-CN"/>
        </w:rPr>
        <w:t>起至</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color w:val="auto"/>
          <w:kern w:val="0"/>
          <w:sz w:val="24"/>
          <w:highlight w:val="none"/>
          <w:lang w:val="zh-CN"/>
        </w:rPr>
        <w:t>止</w:t>
      </w:r>
      <w:r>
        <w:rPr>
          <w:rFonts w:hint="eastAsia" w:ascii="仿宋" w:hAnsi="仿宋" w:eastAsia="仿宋" w:cs="仿宋"/>
          <w:color w:val="auto"/>
          <w:kern w:val="0"/>
          <w:sz w:val="24"/>
          <w:highlight w:val="none"/>
          <w:lang w:val="zh-CN"/>
        </w:rPr>
        <w:t>。</w:t>
      </w:r>
    </w:p>
    <w:p w14:paraId="48116BC6">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02F499F8">
      <w:pPr>
        <w:jc w:val="center"/>
        <w:rPr>
          <w:rFonts w:ascii="仿宋" w:hAnsi="仿宋" w:eastAsia="仿宋" w:cs="仿宋"/>
          <w:b/>
          <w:color w:val="auto"/>
          <w:kern w:val="0"/>
          <w:sz w:val="32"/>
          <w:szCs w:val="32"/>
          <w:highlight w:val="none"/>
        </w:rPr>
      </w:pPr>
    </w:p>
    <w:p w14:paraId="3B70F232">
      <w:pPr>
        <w:jc w:val="center"/>
        <w:rPr>
          <w:rFonts w:ascii="仿宋" w:hAnsi="仿宋" w:eastAsia="仿宋" w:cs="仿宋"/>
          <w:b/>
          <w:color w:val="auto"/>
          <w:kern w:val="0"/>
          <w:sz w:val="32"/>
          <w:szCs w:val="32"/>
          <w:highlight w:val="none"/>
        </w:rPr>
      </w:pPr>
    </w:p>
    <w:p w14:paraId="4FE75CB6">
      <w:pPr>
        <w:rPr>
          <w:rFonts w:ascii="仿宋" w:hAnsi="仿宋" w:eastAsia="仿宋" w:cs="仿宋"/>
          <w:color w:val="auto"/>
          <w:highlight w:val="none"/>
        </w:rPr>
      </w:pPr>
    </w:p>
    <w:p w14:paraId="15125A9D">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C00B3EA">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D03C7A7">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BBB3B58">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14:paraId="00F5D15D">
      <w:pP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627AAD35">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B97F7CC">
      <w:pPr>
        <w:pStyle w:val="157"/>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C1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3F67665">
            <w:pPr>
              <w:pStyle w:val="157"/>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正面：反面：</w:t>
            </w:r>
          </w:p>
          <w:p w14:paraId="04A64DB0">
            <w:pPr>
              <w:pStyle w:val="157"/>
              <w:adjustRightInd w:val="0"/>
              <w:spacing w:line="360" w:lineRule="auto"/>
              <w:rPr>
                <w:rFonts w:ascii="仿宋" w:hAnsi="仿宋" w:eastAsia="仿宋" w:cs="仿宋"/>
                <w:bCs/>
                <w:color w:val="auto"/>
                <w:sz w:val="24"/>
                <w:highlight w:val="none"/>
              </w:rPr>
            </w:pPr>
          </w:p>
        </w:tc>
      </w:tr>
    </w:tbl>
    <w:p w14:paraId="4AB06BB5">
      <w:pPr>
        <w:snapToGrid w:val="0"/>
        <w:spacing w:line="360" w:lineRule="auto"/>
        <w:ind w:firstLine="576"/>
        <w:jc w:val="center"/>
        <w:rPr>
          <w:rFonts w:ascii="仿宋" w:hAnsi="仿宋" w:eastAsia="仿宋" w:cs="仿宋"/>
          <w:color w:val="auto"/>
          <w:kern w:val="0"/>
          <w:sz w:val="24"/>
          <w:highlight w:val="none"/>
          <w:lang w:val="zh-CN"/>
        </w:rPr>
      </w:pPr>
    </w:p>
    <w:p w14:paraId="352B7EE0">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06CCCB14">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14:paraId="7E3CB053">
      <w:pPr>
        <w:jc w:val="center"/>
        <w:rPr>
          <w:rFonts w:ascii="仿宋" w:hAnsi="仿宋" w:eastAsia="仿宋" w:cs="仿宋"/>
          <w:b/>
          <w:color w:val="auto"/>
          <w:kern w:val="0"/>
          <w:sz w:val="32"/>
          <w:szCs w:val="32"/>
          <w:highlight w:val="none"/>
        </w:rPr>
      </w:pPr>
    </w:p>
    <w:p w14:paraId="54B381D1">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授权代表最近一个月在投标单位缴纳社保的参保证明</w:t>
      </w:r>
      <w:r>
        <w:rPr>
          <w:rFonts w:hint="eastAsia" w:ascii="仿宋" w:hAnsi="仿宋" w:eastAsia="仿宋" w:cs="仿宋"/>
          <w:b/>
          <w:color w:val="auto"/>
          <w:kern w:val="0"/>
          <w:sz w:val="32"/>
          <w:szCs w:val="32"/>
          <w:highlight w:val="none"/>
          <w:lang w:val="zh-CN"/>
        </w:rPr>
        <w:t>；</w:t>
      </w:r>
    </w:p>
    <w:p w14:paraId="4C1A5139">
      <w:pPr>
        <w:jc w:val="center"/>
        <w:rPr>
          <w:rFonts w:ascii="仿宋" w:hAnsi="仿宋" w:eastAsia="仿宋" w:cs="仿宋"/>
          <w:b/>
          <w:color w:val="auto"/>
          <w:kern w:val="0"/>
          <w:sz w:val="32"/>
          <w:szCs w:val="32"/>
          <w:highlight w:val="none"/>
        </w:rPr>
      </w:pPr>
    </w:p>
    <w:p w14:paraId="6601064E">
      <w:pPr>
        <w:jc w:val="center"/>
        <w:rPr>
          <w:rFonts w:ascii="仿宋" w:hAnsi="仿宋" w:eastAsia="仿宋" w:cs="仿宋"/>
          <w:b/>
          <w:color w:val="auto"/>
          <w:kern w:val="0"/>
          <w:sz w:val="32"/>
          <w:szCs w:val="32"/>
          <w:highlight w:val="none"/>
        </w:rPr>
      </w:pPr>
    </w:p>
    <w:p w14:paraId="67DB26C1">
      <w:pPr>
        <w:jc w:val="center"/>
        <w:rPr>
          <w:rFonts w:ascii="仿宋" w:hAnsi="仿宋" w:eastAsia="仿宋" w:cs="仿宋"/>
          <w:b/>
          <w:color w:val="auto"/>
          <w:kern w:val="0"/>
          <w:sz w:val="32"/>
          <w:szCs w:val="32"/>
          <w:highlight w:val="none"/>
        </w:rPr>
      </w:pPr>
    </w:p>
    <w:p w14:paraId="4A443C5A">
      <w:pPr>
        <w:jc w:val="center"/>
        <w:rPr>
          <w:rFonts w:ascii="仿宋" w:hAnsi="仿宋" w:eastAsia="仿宋" w:cs="仿宋"/>
          <w:b/>
          <w:color w:val="auto"/>
          <w:kern w:val="0"/>
          <w:sz w:val="32"/>
          <w:szCs w:val="32"/>
          <w:highlight w:val="none"/>
        </w:rPr>
      </w:pPr>
    </w:p>
    <w:p w14:paraId="47BCA6F7">
      <w:pPr>
        <w:jc w:val="center"/>
        <w:rPr>
          <w:rFonts w:ascii="仿宋" w:hAnsi="仿宋" w:eastAsia="仿宋" w:cs="仿宋"/>
          <w:b/>
          <w:color w:val="auto"/>
          <w:kern w:val="0"/>
          <w:sz w:val="32"/>
          <w:szCs w:val="32"/>
          <w:highlight w:val="none"/>
        </w:rPr>
      </w:pPr>
    </w:p>
    <w:p w14:paraId="03C3B81F">
      <w:pPr>
        <w:jc w:val="center"/>
        <w:rPr>
          <w:rFonts w:ascii="仿宋" w:hAnsi="仿宋" w:eastAsia="仿宋" w:cs="仿宋"/>
          <w:b/>
          <w:color w:val="auto"/>
          <w:kern w:val="0"/>
          <w:sz w:val="32"/>
          <w:szCs w:val="32"/>
          <w:highlight w:val="none"/>
        </w:rPr>
      </w:pPr>
    </w:p>
    <w:p w14:paraId="4A4D7EA0">
      <w:pPr>
        <w:jc w:val="center"/>
        <w:rPr>
          <w:rFonts w:ascii="仿宋" w:hAnsi="仿宋" w:eastAsia="仿宋" w:cs="仿宋"/>
          <w:b/>
          <w:color w:val="auto"/>
          <w:kern w:val="0"/>
          <w:sz w:val="32"/>
          <w:szCs w:val="32"/>
          <w:highlight w:val="none"/>
        </w:rPr>
      </w:pPr>
    </w:p>
    <w:p w14:paraId="3228D547">
      <w:pPr>
        <w:jc w:val="center"/>
        <w:rPr>
          <w:rFonts w:ascii="仿宋" w:hAnsi="仿宋" w:eastAsia="仿宋" w:cs="仿宋"/>
          <w:b/>
          <w:color w:val="auto"/>
          <w:kern w:val="0"/>
          <w:sz w:val="32"/>
          <w:szCs w:val="32"/>
          <w:highlight w:val="none"/>
        </w:rPr>
      </w:pPr>
    </w:p>
    <w:p w14:paraId="7F0087B6">
      <w:pPr>
        <w:jc w:val="center"/>
        <w:rPr>
          <w:rFonts w:ascii="仿宋" w:hAnsi="仿宋" w:eastAsia="仿宋" w:cs="仿宋"/>
          <w:b/>
          <w:color w:val="auto"/>
          <w:kern w:val="0"/>
          <w:sz w:val="32"/>
          <w:szCs w:val="32"/>
          <w:highlight w:val="none"/>
        </w:rPr>
      </w:pPr>
    </w:p>
    <w:p w14:paraId="7492FA2D">
      <w:pPr>
        <w:jc w:val="center"/>
        <w:rPr>
          <w:rFonts w:ascii="仿宋" w:hAnsi="仿宋" w:eastAsia="仿宋" w:cs="仿宋"/>
          <w:b/>
          <w:color w:val="auto"/>
          <w:kern w:val="0"/>
          <w:sz w:val="32"/>
          <w:szCs w:val="32"/>
          <w:highlight w:val="none"/>
        </w:rPr>
      </w:pPr>
    </w:p>
    <w:p w14:paraId="69CAF5D5">
      <w:pPr>
        <w:jc w:val="center"/>
        <w:rPr>
          <w:rFonts w:ascii="仿宋" w:hAnsi="仿宋" w:eastAsia="仿宋" w:cs="仿宋"/>
          <w:b/>
          <w:color w:val="auto"/>
          <w:kern w:val="0"/>
          <w:sz w:val="32"/>
          <w:szCs w:val="32"/>
          <w:highlight w:val="none"/>
        </w:rPr>
      </w:pPr>
    </w:p>
    <w:p w14:paraId="0AD63314">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6D49C4E">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三、分包意向协议（如果有）</w:t>
      </w:r>
    </w:p>
    <w:p w14:paraId="002E54F5">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65D5749F">
      <w:pP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64505C3B">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四、符合性审查资料</w:t>
      </w:r>
    </w:p>
    <w:p w14:paraId="2FC583BA">
      <w:pPr>
        <w:jc w:val="center"/>
        <w:rPr>
          <w:rFonts w:ascii="仿宋" w:hAnsi="仿宋" w:eastAsia="仿宋" w:cs="仿宋"/>
          <w:b/>
          <w:color w:val="auto"/>
          <w:kern w:val="0"/>
          <w:sz w:val="32"/>
          <w:szCs w:val="32"/>
          <w:highlight w:val="none"/>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5104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AA314A0">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245" w:type="dxa"/>
            <w:vAlign w:val="center"/>
          </w:tcPr>
          <w:p w14:paraId="2E387175">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240A541A">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672" w:type="dxa"/>
            <w:vAlign w:val="center"/>
          </w:tcPr>
          <w:p w14:paraId="72C81BF5">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投标文件中的页码位置</w:t>
            </w:r>
          </w:p>
        </w:tc>
      </w:tr>
      <w:tr w14:paraId="47B7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74395B">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4245" w:type="dxa"/>
            <w:vAlign w:val="center"/>
          </w:tcPr>
          <w:p w14:paraId="07755D08">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40EBCDA4">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672" w:type="dxa"/>
            <w:vAlign w:val="center"/>
          </w:tcPr>
          <w:p w14:paraId="7A66A7BD">
            <w:pPr>
              <w:snapToGrid w:val="0"/>
              <w:spacing w:line="400" w:lineRule="exact"/>
              <w:rPr>
                <w:rFonts w:ascii="仿宋" w:hAnsi="仿宋" w:eastAsia="仿宋" w:cs="仿宋"/>
                <w:color w:val="auto"/>
                <w:sz w:val="24"/>
                <w:highlight w:val="none"/>
              </w:rPr>
            </w:pPr>
          </w:p>
          <w:p w14:paraId="3C44E457">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0D043751">
            <w:pPr>
              <w:snapToGrid w:val="0"/>
              <w:spacing w:line="400" w:lineRule="exact"/>
              <w:rPr>
                <w:rFonts w:ascii="仿宋" w:hAnsi="仿宋" w:eastAsia="仿宋" w:cs="仿宋"/>
                <w:color w:val="auto"/>
                <w:highlight w:val="none"/>
              </w:rPr>
            </w:pPr>
            <w:r>
              <w:rPr>
                <w:rFonts w:hint="eastAsia" w:ascii="仿宋" w:hAnsi="仿宋" w:eastAsia="仿宋" w:cs="仿宋"/>
                <w:color w:val="auto"/>
                <w:sz w:val="24"/>
                <w:highlight w:val="none"/>
              </w:rPr>
              <w:t>第页</w:t>
            </w:r>
          </w:p>
        </w:tc>
      </w:tr>
      <w:tr w14:paraId="447E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F954F9">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4245" w:type="dxa"/>
            <w:vAlign w:val="center"/>
          </w:tcPr>
          <w:p w14:paraId="27E25DF1">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2A66589B">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672" w:type="dxa"/>
            <w:vAlign w:val="center"/>
          </w:tcPr>
          <w:p w14:paraId="5DD2D354">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B63A5B8">
            <w:pPr>
              <w:snapToGrid w:val="0"/>
              <w:spacing w:line="400" w:lineRule="exact"/>
              <w:rPr>
                <w:rFonts w:ascii="仿宋" w:hAnsi="仿宋" w:eastAsia="仿宋" w:cs="仿宋"/>
                <w:color w:val="auto"/>
                <w:highlight w:val="none"/>
              </w:rPr>
            </w:pPr>
            <w:r>
              <w:rPr>
                <w:rFonts w:hint="eastAsia" w:ascii="仿宋" w:hAnsi="仿宋" w:eastAsia="仿宋" w:cs="仿宋"/>
                <w:color w:val="auto"/>
                <w:sz w:val="24"/>
                <w:highlight w:val="none"/>
              </w:rPr>
              <w:t>第页</w:t>
            </w:r>
          </w:p>
        </w:tc>
      </w:tr>
      <w:tr w14:paraId="0902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F9DFE4">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4245" w:type="dxa"/>
            <w:vAlign w:val="center"/>
          </w:tcPr>
          <w:p w14:paraId="250CA6C0">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3429BABB">
            <w:pPr>
              <w:snapToGrid w:val="0"/>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招标文件其它实质性要求相应的材料（“▲”系指实质性要求条款，招标文件无其它实质性要求的，无需提供）</w:t>
            </w:r>
          </w:p>
        </w:tc>
        <w:tc>
          <w:tcPr>
            <w:tcW w:w="1672" w:type="dxa"/>
            <w:vAlign w:val="center"/>
          </w:tcPr>
          <w:p w14:paraId="265F2078">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55C07990">
            <w:pPr>
              <w:snapToGrid w:val="0"/>
              <w:spacing w:line="400" w:lineRule="exact"/>
              <w:rPr>
                <w:rFonts w:ascii="仿宋" w:hAnsi="仿宋" w:eastAsia="仿宋" w:cs="仿宋"/>
                <w:color w:val="auto"/>
                <w:highlight w:val="none"/>
              </w:rPr>
            </w:pPr>
            <w:r>
              <w:rPr>
                <w:rFonts w:hint="eastAsia" w:ascii="仿宋" w:hAnsi="仿宋" w:eastAsia="仿宋" w:cs="仿宋"/>
                <w:color w:val="auto"/>
                <w:sz w:val="24"/>
                <w:highlight w:val="none"/>
              </w:rPr>
              <w:t>第页</w:t>
            </w:r>
          </w:p>
        </w:tc>
      </w:tr>
    </w:tbl>
    <w:p w14:paraId="28ED597F">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802D30D">
      <w:pPr>
        <w:jc w:val="center"/>
        <w:rPr>
          <w:rFonts w:ascii="仿宋" w:hAnsi="仿宋" w:eastAsia="仿宋" w:cs="仿宋"/>
          <w:b/>
          <w:color w:val="auto"/>
          <w:kern w:val="0"/>
          <w:sz w:val="32"/>
          <w:szCs w:val="32"/>
          <w:highlight w:val="none"/>
        </w:rPr>
      </w:pPr>
    </w:p>
    <w:p w14:paraId="7B0FA717">
      <w:pPr>
        <w:jc w:val="center"/>
        <w:rPr>
          <w:rFonts w:ascii="仿宋" w:hAnsi="仿宋" w:eastAsia="仿宋" w:cs="仿宋"/>
          <w:b/>
          <w:color w:val="auto"/>
          <w:kern w:val="0"/>
          <w:sz w:val="32"/>
          <w:szCs w:val="32"/>
          <w:highlight w:val="none"/>
        </w:rPr>
      </w:pPr>
    </w:p>
    <w:p w14:paraId="6E8EA653">
      <w:pPr>
        <w:jc w:val="center"/>
        <w:rPr>
          <w:rFonts w:ascii="仿宋" w:hAnsi="仿宋" w:eastAsia="仿宋" w:cs="仿宋"/>
          <w:b/>
          <w:color w:val="auto"/>
          <w:kern w:val="0"/>
          <w:sz w:val="32"/>
          <w:szCs w:val="32"/>
          <w:highlight w:val="none"/>
        </w:rPr>
      </w:pPr>
    </w:p>
    <w:p w14:paraId="34CC7D01">
      <w:pPr>
        <w:jc w:val="center"/>
        <w:rPr>
          <w:rFonts w:ascii="仿宋" w:hAnsi="仿宋" w:eastAsia="仿宋" w:cs="仿宋"/>
          <w:b/>
          <w:color w:val="auto"/>
          <w:kern w:val="0"/>
          <w:sz w:val="32"/>
          <w:szCs w:val="32"/>
          <w:highlight w:val="none"/>
        </w:rPr>
      </w:pPr>
    </w:p>
    <w:p w14:paraId="24ECC86F">
      <w:pPr>
        <w:jc w:val="center"/>
        <w:rPr>
          <w:rFonts w:ascii="仿宋" w:hAnsi="仿宋" w:eastAsia="仿宋" w:cs="仿宋"/>
          <w:b/>
          <w:color w:val="auto"/>
          <w:kern w:val="0"/>
          <w:sz w:val="32"/>
          <w:szCs w:val="32"/>
          <w:highlight w:val="none"/>
        </w:rPr>
      </w:pPr>
    </w:p>
    <w:p w14:paraId="70060586">
      <w:pPr>
        <w:jc w:val="center"/>
        <w:rPr>
          <w:rFonts w:ascii="仿宋" w:hAnsi="仿宋" w:eastAsia="仿宋" w:cs="仿宋"/>
          <w:b/>
          <w:color w:val="auto"/>
          <w:kern w:val="0"/>
          <w:sz w:val="32"/>
          <w:szCs w:val="32"/>
          <w:highlight w:val="none"/>
        </w:rPr>
      </w:pPr>
    </w:p>
    <w:p w14:paraId="23FB1306">
      <w:pPr>
        <w:jc w:val="center"/>
        <w:rPr>
          <w:rFonts w:ascii="仿宋" w:hAnsi="仿宋" w:eastAsia="仿宋" w:cs="仿宋"/>
          <w:b/>
          <w:color w:val="auto"/>
          <w:kern w:val="0"/>
          <w:sz w:val="32"/>
          <w:szCs w:val="32"/>
          <w:highlight w:val="none"/>
        </w:rPr>
      </w:pPr>
    </w:p>
    <w:p w14:paraId="485C219C">
      <w:pPr>
        <w:jc w:val="center"/>
        <w:rPr>
          <w:rFonts w:ascii="仿宋" w:hAnsi="仿宋" w:eastAsia="仿宋" w:cs="仿宋"/>
          <w:b/>
          <w:color w:val="auto"/>
          <w:kern w:val="0"/>
          <w:sz w:val="32"/>
          <w:szCs w:val="32"/>
          <w:highlight w:val="none"/>
        </w:rPr>
      </w:pPr>
    </w:p>
    <w:p w14:paraId="64BA557F">
      <w:pPr>
        <w:jc w:val="center"/>
        <w:rPr>
          <w:rFonts w:ascii="仿宋" w:hAnsi="仿宋" w:eastAsia="仿宋" w:cs="仿宋"/>
          <w:b/>
          <w:color w:val="auto"/>
          <w:kern w:val="0"/>
          <w:sz w:val="32"/>
          <w:szCs w:val="32"/>
          <w:highlight w:val="none"/>
        </w:rPr>
      </w:pPr>
    </w:p>
    <w:p w14:paraId="77289263">
      <w:pPr>
        <w:jc w:val="center"/>
        <w:rPr>
          <w:rFonts w:ascii="仿宋" w:hAnsi="仿宋" w:eastAsia="仿宋" w:cs="仿宋"/>
          <w:b/>
          <w:color w:val="auto"/>
          <w:kern w:val="0"/>
          <w:sz w:val="32"/>
          <w:szCs w:val="32"/>
          <w:highlight w:val="none"/>
        </w:rPr>
      </w:pPr>
    </w:p>
    <w:p w14:paraId="3A2D45CD">
      <w:pPr>
        <w:jc w:val="center"/>
        <w:rPr>
          <w:rFonts w:ascii="仿宋" w:hAnsi="仿宋" w:eastAsia="仿宋" w:cs="仿宋"/>
          <w:b/>
          <w:color w:val="auto"/>
          <w:kern w:val="0"/>
          <w:sz w:val="32"/>
          <w:szCs w:val="32"/>
          <w:highlight w:val="none"/>
        </w:rPr>
      </w:pPr>
    </w:p>
    <w:p w14:paraId="56F77BA8">
      <w:pPr>
        <w:jc w:val="center"/>
        <w:rPr>
          <w:rFonts w:ascii="仿宋" w:hAnsi="仿宋" w:eastAsia="仿宋" w:cs="仿宋"/>
          <w:b/>
          <w:color w:val="auto"/>
          <w:kern w:val="0"/>
          <w:sz w:val="32"/>
          <w:szCs w:val="32"/>
          <w:highlight w:val="none"/>
        </w:rPr>
      </w:pPr>
    </w:p>
    <w:p w14:paraId="6FBB15F3">
      <w:pPr>
        <w:jc w:val="center"/>
        <w:rPr>
          <w:rFonts w:ascii="仿宋" w:hAnsi="仿宋" w:eastAsia="仿宋" w:cs="仿宋"/>
          <w:b/>
          <w:color w:val="auto"/>
          <w:kern w:val="0"/>
          <w:sz w:val="32"/>
          <w:szCs w:val="32"/>
          <w:highlight w:val="none"/>
        </w:rPr>
      </w:pPr>
    </w:p>
    <w:p w14:paraId="6D19F5DE">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D4C4B41">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五、评标标准相应的商务技术资料</w:t>
      </w:r>
    </w:p>
    <w:p w14:paraId="358F099C">
      <w:pPr>
        <w:snapToGrid w:val="0"/>
        <w:spacing w:line="360" w:lineRule="auto"/>
        <w:jc w:val="left"/>
        <w:rPr>
          <w:rFonts w:ascii="仿宋" w:hAnsi="仿宋" w:eastAsia="仿宋" w:cs="仿宋"/>
          <w:b/>
          <w:color w:val="auto"/>
          <w:sz w:val="24"/>
          <w:highlight w:val="none"/>
        </w:rPr>
      </w:pPr>
    </w:p>
    <w:p w14:paraId="182188FF">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31F73507">
      <w:pPr>
        <w:jc w:val="center"/>
        <w:rPr>
          <w:rFonts w:ascii="仿宋" w:hAnsi="仿宋" w:eastAsia="仿宋" w:cs="仿宋"/>
          <w:b/>
          <w:color w:val="auto"/>
          <w:kern w:val="0"/>
          <w:sz w:val="32"/>
          <w:szCs w:val="32"/>
          <w:highlight w:val="none"/>
        </w:rPr>
      </w:pPr>
    </w:p>
    <w:p w14:paraId="45D20D0D">
      <w:pPr>
        <w:jc w:val="center"/>
        <w:rPr>
          <w:rFonts w:ascii="仿宋" w:hAnsi="仿宋" w:eastAsia="仿宋" w:cs="仿宋"/>
          <w:b/>
          <w:color w:val="auto"/>
          <w:kern w:val="0"/>
          <w:sz w:val="32"/>
          <w:szCs w:val="32"/>
          <w:highlight w:val="none"/>
        </w:rPr>
      </w:pPr>
    </w:p>
    <w:p w14:paraId="05F3500C">
      <w:pPr>
        <w:jc w:val="center"/>
        <w:rPr>
          <w:rFonts w:ascii="仿宋" w:hAnsi="仿宋" w:eastAsia="仿宋" w:cs="仿宋"/>
          <w:b/>
          <w:color w:val="auto"/>
          <w:kern w:val="0"/>
          <w:sz w:val="32"/>
          <w:szCs w:val="32"/>
          <w:highlight w:val="none"/>
        </w:rPr>
      </w:pPr>
    </w:p>
    <w:p w14:paraId="78328225">
      <w:pPr>
        <w:jc w:val="center"/>
        <w:rPr>
          <w:rFonts w:ascii="仿宋" w:hAnsi="仿宋" w:eastAsia="仿宋" w:cs="仿宋"/>
          <w:b/>
          <w:color w:val="auto"/>
          <w:kern w:val="0"/>
          <w:sz w:val="32"/>
          <w:szCs w:val="32"/>
          <w:highlight w:val="none"/>
        </w:rPr>
      </w:pPr>
    </w:p>
    <w:p w14:paraId="38C4E252">
      <w:pPr>
        <w:jc w:val="center"/>
        <w:rPr>
          <w:rFonts w:ascii="仿宋" w:hAnsi="仿宋" w:eastAsia="仿宋" w:cs="仿宋"/>
          <w:b/>
          <w:color w:val="auto"/>
          <w:kern w:val="0"/>
          <w:sz w:val="32"/>
          <w:szCs w:val="32"/>
          <w:highlight w:val="none"/>
        </w:rPr>
      </w:pPr>
    </w:p>
    <w:p w14:paraId="710D8083">
      <w:pPr>
        <w:jc w:val="center"/>
        <w:rPr>
          <w:rFonts w:ascii="仿宋" w:hAnsi="仿宋" w:eastAsia="仿宋" w:cs="仿宋"/>
          <w:b/>
          <w:color w:val="auto"/>
          <w:kern w:val="0"/>
          <w:sz w:val="32"/>
          <w:szCs w:val="32"/>
          <w:highlight w:val="none"/>
        </w:rPr>
      </w:pPr>
    </w:p>
    <w:p w14:paraId="6175E2CC">
      <w:pPr>
        <w:jc w:val="center"/>
        <w:rPr>
          <w:rFonts w:ascii="仿宋" w:hAnsi="仿宋" w:eastAsia="仿宋" w:cs="仿宋"/>
          <w:b/>
          <w:color w:val="auto"/>
          <w:kern w:val="0"/>
          <w:sz w:val="32"/>
          <w:szCs w:val="32"/>
          <w:highlight w:val="none"/>
        </w:rPr>
      </w:pPr>
    </w:p>
    <w:p w14:paraId="0DF8644E">
      <w:pPr>
        <w:jc w:val="center"/>
        <w:rPr>
          <w:rFonts w:ascii="仿宋" w:hAnsi="仿宋" w:eastAsia="仿宋" w:cs="仿宋"/>
          <w:b/>
          <w:color w:val="auto"/>
          <w:kern w:val="0"/>
          <w:sz w:val="32"/>
          <w:szCs w:val="32"/>
          <w:highlight w:val="none"/>
        </w:rPr>
      </w:pPr>
    </w:p>
    <w:p w14:paraId="270B6FB9">
      <w:pPr>
        <w:jc w:val="center"/>
        <w:rPr>
          <w:rFonts w:ascii="仿宋" w:hAnsi="仿宋" w:eastAsia="仿宋" w:cs="仿宋"/>
          <w:b/>
          <w:color w:val="auto"/>
          <w:kern w:val="0"/>
          <w:sz w:val="32"/>
          <w:szCs w:val="32"/>
          <w:highlight w:val="none"/>
        </w:rPr>
      </w:pPr>
    </w:p>
    <w:p w14:paraId="2ADF218D">
      <w:pPr>
        <w:jc w:val="center"/>
        <w:rPr>
          <w:rFonts w:ascii="仿宋" w:hAnsi="仿宋" w:eastAsia="仿宋" w:cs="仿宋"/>
          <w:b/>
          <w:color w:val="auto"/>
          <w:kern w:val="0"/>
          <w:sz w:val="32"/>
          <w:szCs w:val="32"/>
          <w:highlight w:val="none"/>
        </w:rPr>
      </w:pPr>
    </w:p>
    <w:p w14:paraId="3E252C7B">
      <w:pPr>
        <w:jc w:val="center"/>
        <w:rPr>
          <w:rFonts w:ascii="仿宋" w:hAnsi="仿宋" w:eastAsia="仿宋" w:cs="仿宋"/>
          <w:b/>
          <w:color w:val="auto"/>
          <w:kern w:val="0"/>
          <w:sz w:val="32"/>
          <w:szCs w:val="32"/>
          <w:highlight w:val="none"/>
        </w:rPr>
      </w:pPr>
    </w:p>
    <w:p w14:paraId="75E21E0B">
      <w:pPr>
        <w:jc w:val="center"/>
        <w:rPr>
          <w:rFonts w:ascii="仿宋" w:hAnsi="仿宋" w:eastAsia="仿宋" w:cs="仿宋"/>
          <w:b/>
          <w:color w:val="auto"/>
          <w:kern w:val="0"/>
          <w:sz w:val="32"/>
          <w:szCs w:val="32"/>
          <w:highlight w:val="none"/>
        </w:rPr>
      </w:pPr>
    </w:p>
    <w:p w14:paraId="48A1FE20">
      <w:pPr>
        <w:jc w:val="center"/>
        <w:rPr>
          <w:rFonts w:ascii="仿宋" w:hAnsi="仿宋" w:eastAsia="仿宋" w:cs="仿宋"/>
          <w:b/>
          <w:color w:val="auto"/>
          <w:kern w:val="0"/>
          <w:sz w:val="32"/>
          <w:szCs w:val="32"/>
          <w:highlight w:val="none"/>
        </w:rPr>
      </w:pPr>
    </w:p>
    <w:p w14:paraId="75F0B289">
      <w:pPr>
        <w:jc w:val="center"/>
        <w:rPr>
          <w:rFonts w:ascii="仿宋" w:hAnsi="仿宋" w:eastAsia="仿宋" w:cs="仿宋"/>
          <w:b/>
          <w:color w:val="auto"/>
          <w:kern w:val="0"/>
          <w:sz w:val="32"/>
          <w:szCs w:val="32"/>
          <w:highlight w:val="none"/>
        </w:rPr>
      </w:pPr>
    </w:p>
    <w:p w14:paraId="08E12C8E">
      <w:pPr>
        <w:jc w:val="center"/>
        <w:rPr>
          <w:rFonts w:ascii="仿宋" w:hAnsi="仿宋" w:eastAsia="仿宋" w:cs="仿宋"/>
          <w:b/>
          <w:color w:val="auto"/>
          <w:kern w:val="0"/>
          <w:sz w:val="32"/>
          <w:szCs w:val="32"/>
          <w:highlight w:val="none"/>
        </w:rPr>
      </w:pPr>
    </w:p>
    <w:p w14:paraId="6E526B0E">
      <w:pPr>
        <w:jc w:val="center"/>
        <w:rPr>
          <w:rFonts w:ascii="仿宋" w:hAnsi="仿宋" w:eastAsia="仿宋" w:cs="仿宋"/>
          <w:b/>
          <w:color w:val="auto"/>
          <w:kern w:val="0"/>
          <w:sz w:val="32"/>
          <w:szCs w:val="32"/>
          <w:highlight w:val="none"/>
        </w:rPr>
      </w:pPr>
    </w:p>
    <w:p w14:paraId="0A82D7E4">
      <w:pPr>
        <w:jc w:val="center"/>
        <w:rPr>
          <w:rFonts w:ascii="仿宋" w:hAnsi="仿宋" w:eastAsia="仿宋" w:cs="仿宋"/>
          <w:b/>
          <w:color w:val="auto"/>
          <w:kern w:val="0"/>
          <w:sz w:val="32"/>
          <w:szCs w:val="32"/>
          <w:highlight w:val="none"/>
        </w:rPr>
      </w:pPr>
    </w:p>
    <w:p w14:paraId="1BB5C8B0">
      <w:pPr>
        <w:jc w:val="center"/>
        <w:rPr>
          <w:rFonts w:ascii="仿宋" w:hAnsi="仿宋" w:eastAsia="仿宋" w:cs="仿宋"/>
          <w:b/>
          <w:color w:val="auto"/>
          <w:kern w:val="0"/>
          <w:sz w:val="32"/>
          <w:szCs w:val="32"/>
          <w:highlight w:val="none"/>
        </w:rPr>
      </w:pPr>
    </w:p>
    <w:p w14:paraId="47798042">
      <w:pPr>
        <w:jc w:val="center"/>
        <w:rPr>
          <w:rFonts w:ascii="仿宋" w:hAnsi="仿宋" w:eastAsia="仿宋" w:cs="仿宋"/>
          <w:b/>
          <w:color w:val="auto"/>
          <w:kern w:val="0"/>
          <w:sz w:val="32"/>
          <w:szCs w:val="32"/>
          <w:highlight w:val="none"/>
        </w:rPr>
      </w:pPr>
    </w:p>
    <w:p w14:paraId="35E7DD4B">
      <w:pPr>
        <w:jc w:val="center"/>
        <w:rPr>
          <w:rFonts w:ascii="仿宋" w:hAnsi="仿宋" w:eastAsia="仿宋" w:cs="仿宋"/>
          <w:b/>
          <w:color w:val="auto"/>
          <w:kern w:val="0"/>
          <w:sz w:val="32"/>
          <w:szCs w:val="32"/>
          <w:highlight w:val="none"/>
        </w:rPr>
      </w:pPr>
    </w:p>
    <w:p w14:paraId="4647BC90">
      <w:pPr>
        <w:jc w:val="center"/>
        <w:rPr>
          <w:rFonts w:ascii="仿宋" w:hAnsi="仿宋" w:eastAsia="仿宋" w:cs="仿宋"/>
          <w:b/>
          <w:color w:val="auto"/>
          <w:kern w:val="0"/>
          <w:sz w:val="32"/>
          <w:szCs w:val="32"/>
          <w:highlight w:val="none"/>
        </w:rPr>
      </w:pPr>
    </w:p>
    <w:p w14:paraId="40E6E7FF">
      <w:pPr>
        <w:jc w:val="center"/>
        <w:rPr>
          <w:rFonts w:ascii="仿宋" w:hAnsi="仿宋" w:eastAsia="仿宋" w:cs="仿宋"/>
          <w:b/>
          <w:color w:val="auto"/>
          <w:kern w:val="0"/>
          <w:sz w:val="32"/>
          <w:szCs w:val="32"/>
          <w:highlight w:val="none"/>
        </w:rPr>
      </w:pPr>
    </w:p>
    <w:p w14:paraId="5A40DC9E">
      <w:pPr>
        <w:jc w:val="center"/>
        <w:rPr>
          <w:rFonts w:ascii="仿宋" w:hAnsi="仿宋" w:eastAsia="仿宋" w:cs="仿宋"/>
          <w:b/>
          <w:color w:val="auto"/>
          <w:kern w:val="0"/>
          <w:sz w:val="32"/>
          <w:szCs w:val="32"/>
          <w:highlight w:val="none"/>
        </w:rPr>
      </w:pPr>
    </w:p>
    <w:p w14:paraId="0AF1390B">
      <w:pPr>
        <w:jc w:val="center"/>
        <w:rPr>
          <w:rFonts w:ascii="仿宋" w:hAnsi="仿宋" w:eastAsia="仿宋" w:cs="仿宋"/>
          <w:b/>
          <w:color w:val="auto"/>
          <w:kern w:val="0"/>
          <w:sz w:val="32"/>
          <w:szCs w:val="32"/>
          <w:highlight w:val="none"/>
        </w:rPr>
      </w:pPr>
    </w:p>
    <w:p w14:paraId="3ACBF80F">
      <w:pPr>
        <w:jc w:val="center"/>
        <w:rPr>
          <w:rFonts w:ascii="仿宋" w:hAnsi="仿宋" w:eastAsia="仿宋" w:cs="仿宋"/>
          <w:b/>
          <w:color w:val="auto"/>
          <w:kern w:val="0"/>
          <w:sz w:val="32"/>
          <w:szCs w:val="32"/>
          <w:highlight w:val="none"/>
        </w:rPr>
      </w:pPr>
    </w:p>
    <w:p w14:paraId="420B2C35">
      <w:pPr>
        <w:jc w:val="center"/>
        <w:rPr>
          <w:rFonts w:ascii="仿宋" w:hAnsi="仿宋" w:eastAsia="仿宋" w:cs="仿宋"/>
          <w:b/>
          <w:color w:val="auto"/>
          <w:kern w:val="0"/>
          <w:sz w:val="32"/>
          <w:szCs w:val="32"/>
          <w:highlight w:val="none"/>
        </w:rPr>
      </w:pPr>
    </w:p>
    <w:p w14:paraId="7FF98870">
      <w:pPr>
        <w:jc w:val="center"/>
        <w:rPr>
          <w:rFonts w:ascii="仿宋" w:hAnsi="仿宋" w:eastAsia="仿宋" w:cs="仿宋"/>
          <w:b/>
          <w:color w:val="auto"/>
          <w:kern w:val="0"/>
          <w:sz w:val="32"/>
          <w:szCs w:val="32"/>
          <w:highlight w:val="none"/>
        </w:rPr>
      </w:pPr>
    </w:p>
    <w:p w14:paraId="39A9F5E2">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4485D4F">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F8B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A7802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B25FE7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6DB918E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2A9132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5C65F8F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100459A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1750E34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34B6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A7E6B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CDD4D6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21B5BC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8692C6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954DAD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C98C01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F8D80F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r>
      <w:tr w14:paraId="5B3F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FBDA1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97330B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EDC27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73126E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86006D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862757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78D866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r>
      <w:tr w14:paraId="05ED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B8C64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6A3943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7CFD69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FFB4C6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4E74BF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C64F79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E61C40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r>
    </w:tbl>
    <w:p w14:paraId="0A14D67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8142DBB">
      <w:pPr>
        <w:rPr>
          <w:rFonts w:ascii="仿宋" w:hAnsi="仿宋" w:eastAsia="仿宋" w:cs="仿宋"/>
          <w:color w:val="auto"/>
          <w:highlight w:val="none"/>
        </w:rPr>
      </w:pPr>
    </w:p>
    <w:p w14:paraId="3378A218">
      <w:pPr>
        <w:rPr>
          <w:rFonts w:hint="eastAsia" w:ascii="仿宋_GB2312" w:hAnsi="仿宋" w:eastAsia="仿宋_GB2312" w:cs="仿宋_GB2312"/>
          <w:b/>
          <w:color w:val="auto"/>
          <w:kern w:val="0"/>
          <w:sz w:val="32"/>
          <w:szCs w:val="32"/>
          <w:highlight w:val="none"/>
          <w:lang w:val="en-US" w:eastAsia="zh-CN"/>
        </w:rPr>
      </w:pPr>
      <w:r>
        <w:rPr>
          <w:rFonts w:hint="eastAsia" w:ascii="仿宋_GB2312" w:hAnsi="仿宋" w:eastAsia="仿宋_GB2312" w:cs="仿宋_GB2312"/>
          <w:b/>
          <w:color w:val="auto"/>
          <w:kern w:val="0"/>
          <w:sz w:val="32"/>
          <w:szCs w:val="32"/>
          <w:highlight w:val="none"/>
          <w:lang w:val="en-US" w:eastAsia="zh-CN"/>
        </w:rPr>
        <w:br w:type="page"/>
      </w:r>
    </w:p>
    <w:p w14:paraId="27095318">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en-US" w:eastAsia="zh-CN"/>
        </w:rPr>
        <w:t>七、</w:t>
      </w:r>
      <w:r>
        <w:rPr>
          <w:rFonts w:hint="eastAsia" w:ascii="仿宋_GB2312" w:hAnsi="仿宋" w:eastAsia="仿宋_GB2312" w:cs="仿宋_GB2312"/>
          <w:b/>
          <w:color w:val="auto"/>
          <w:kern w:val="0"/>
          <w:sz w:val="32"/>
          <w:szCs w:val="32"/>
          <w:highlight w:val="none"/>
          <w:lang w:val="zh-CN"/>
        </w:rPr>
        <w:t>技术响应表</w:t>
      </w: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2678"/>
        <w:gridCol w:w="2523"/>
        <w:gridCol w:w="2561"/>
      </w:tblGrid>
      <w:tr w14:paraId="023BF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32" w:type="dxa"/>
            <w:tcBorders>
              <w:top w:val="single" w:color="auto" w:sz="4" w:space="0"/>
              <w:bottom w:val="single" w:color="auto" w:sz="4" w:space="0"/>
              <w:right w:val="single" w:color="auto" w:sz="4" w:space="0"/>
            </w:tcBorders>
            <w:noWrap w:val="0"/>
            <w:vAlign w:val="center"/>
          </w:tcPr>
          <w:p w14:paraId="5653E050">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06B502EF">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采购</w:t>
            </w:r>
            <w:r>
              <w:rPr>
                <w:rFonts w:hint="eastAsia" w:ascii="仿宋" w:hAnsi="仿宋" w:eastAsia="仿宋" w:cs="仿宋"/>
                <w:b/>
                <w:color w:val="auto"/>
                <w:sz w:val="24"/>
                <w:highlight w:val="none"/>
              </w:rPr>
              <w:t>文件技术要求</w:t>
            </w:r>
          </w:p>
        </w:tc>
        <w:tc>
          <w:tcPr>
            <w:tcW w:w="2523" w:type="dxa"/>
            <w:tcBorders>
              <w:top w:val="single" w:color="auto" w:sz="4" w:space="0"/>
              <w:left w:val="single" w:color="auto" w:sz="4" w:space="0"/>
              <w:bottom w:val="nil"/>
              <w:right w:val="single" w:color="auto" w:sz="4" w:space="0"/>
            </w:tcBorders>
            <w:noWrap w:val="0"/>
            <w:vAlign w:val="center"/>
          </w:tcPr>
          <w:p w14:paraId="1B8448C1">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投标响应技术参数</w:t>
            </w:r>
          </w:p>
        </w:tc>
        <w:tc>
          <w:tcPr>
            <w:tcW w:w="2561" w:type="dxa"/>
            <w:tcBorders>
              <w:top w:val="single" w:color="auto" w:sz="4" w:space="0"/>
              <w:left w:val="single" w:color="auto" w:sz="4" w:space="0"/>
              <w:bottom w:val="nil"/>
            </w:tcBorders>
            <w:noWrap w:val="0"/>
            <w:vAlign w:val="center"/>
          </w:tcPr>
          <w:p w14:paraId="5CE4F9E8">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差异描述</w:t>
            </w:r>
          </w:p>
          <w:p w14:paraId="61DA804D">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（正偏离或者负偏离）</w:t>
            </w:r>
          </w:p>
        </w:tc>
      </w:tr>
      <w:tr w14:paraId="03F3B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noWrap w:val="0"/>
            <w:vAlign w:val="center"/>
          </w:tcPr>
          <w:p w14:paraId="15DF0CE6">
            <w:pPr>
              <w:snapToGrid w:val="0"/>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1CEBA3AF">
            <w:pPr>
              <w:snapToGrid w:val="0"/>
              <w:spacing w:line="400" w:lineRule="exact"/>
              <w:jc w:val="center"/>
              <w:rPr>
                <w:rFonts w:hint="eastAsia" w:ascii="仿宋" w:hAnsi="仿宋" w:eastAsia="仿宋" w:cs="仿宋"/>
                <w:color w:val="auto"/>
                <w:sz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14:paraId="356BE80C">
            <w:pPr>
              <w:snapToGrid w:val="0"/>
              <w:spacing w:line="400" w:lineRule="exact"/>
              <w:jc w:val="center"/>
              <w:rPr>
                <w:rFonts w:hint="eastAsia" w:ascii="仿宋" w:hAnsi="仿宋" w:eastAsia="仿宋" w:cs="仿宋"/>
                <w:color w:val="auto"/>
                <w:sz w:val="24"/>
                <w:highlight w:val="none"/>
              </w:rPr>
            </w:pPr>
          </w:p>
        </w:tc>
        <w:tc>
          <w:tcPr>
            <w:tcW w:w="2561" w:type="dxa"/>
            <w:tcBorders>
              <w:top w:val="single" w:color="auto" w:sz="4" w:space="0"/>
              <w:left w:val="single" w:color="auto" w:sz="4" w:space="0"/>
              <w:bottom w:val="single" w:color="auto" w:sz="4" w:space="0"/>
            </w:tcBorders>
            <w:noWrap w:val="0"/>
            <w:vAlign w:val="center"/>
          </w:tcPr>
          <w:p w14:paraId="6D27F39C">
            <w:pPr>
              <w:snapToGrid w:val="0"/>
              <w:spacing w:line="400" w:lineRule="exact"/>
              <w:jc w:val="center"/>
              <w:rPr>
                <w:rFonts w:hint="eastAsia" w:ascii="仿宋" w:hAnsi="仿宋" w:eastAsia="仿宋" w:cs="仿宋"/>
                <w:color w:val="auto"/>
                <w:sz w:val="24"/>
                <w:highlight w:val="none"/>
              </w:rPr>
            </w:pPr>
          </w:p>
        </w:tc>
      </w:tr>
      <w:tr w14:paraId="33D30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noWrap w:val="0"/>
            <w:vAlign w:val="center"/>
          </w:tcPr>
          <w:p w14:paraId="32AF654F">
            <w:pPr>
              <w:snapToGrid w:val="0"/>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3FF13A9B">
            <w:pPr>
              <w:snapToGrid w:val="0"/>
              <w:spacing w:line="400" w:lineRule="exact"/>
              <w:jc w:val="center"/>
              <w:rPr>
                <w:rFonts w:hint="eastAsia" w:ascii="仿宋" w:hAnsi="仿宋" w:eastAsia="仿宋" w:cs="仿宋"/>
                <w:color w:val="auto"/>
                <w:sz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14:paraId="0D83EAE1">
            <w:pPr>
              <w:snapToGrid w:val="0"/>
              <w:spacing w:line="400" w:lineRule="exact"/>
              <w:jc w:val="center"/>
              <w:rPr>
                <w:rFonts w:hint="eastAsia" w:ascii="仿宋" w:hAnsi="仿宋" w:eastAsia="仿宋" w:cs="仿宋"/>
                <w:color w:val="auto"/>
                <w:sz w:val="24"/>
                <w:highlight w:val="none"/>
              </w:rPr>
            </w:pPr>
          </w:p>
        </w:tc>
        <w:tc>
          <w:tcPr>
            <w:tcW w:w="2561" w:type="dxa"/>
            <w:tcBorders>
              <w:top w:val="single" w:color="auto" w:sz="4" w:space="0"/>
              <w:left w:val="single" w:color="auto" w:sz="4" w:space="0"/>
              <w:bottom w:val="single" w:color="auto" w:sz="4" w:space="0"/>
            </w:tcBorders>
            <w:noWrap w:val="0"/>
            <w:vAlign w:val="center"/>
          </w:tcPr>
          <w:p w14:paraId="44735E45">
            <w:pPr>
              <w:snapToGrid w:val="0"/>
              <w:spacing w:line="400" w:lineRule="exact"/>
              <w:jc w:val="center"/>
              <w:rPr>
                <w:rFonts w:hint="eastAsia" w:ascii="仿宋" w:hAnsi="仿宋" w:eastAsia="仿宋" w:cs="仿宋"/>
                <w:color w:val="auto"/>
                <w:sz w:val="24"/>
                <w:highlight w:val="none"/>
              </w:rPr>
            </w:pPr>
          </w:p>
        </w:tc>
      </w:tr>
      <w:tr w14:paraId="76E64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832" w:type="dxa"/>
            <w:tcBorders>
              <w:top w:val="single" w:color="auto" w:sz="4" w:space="0"/>
              <w:bottom w:val="single" w:color="auto" w:sz="4" w:space="0"/>
              <w:right w:val="single" w:color="auto" w:sz="4" w:space="0"/>
            </w:tcBorders>
            <w:noWrap w:val="0"/>
            <w:vAlign w:val="center"/>
          </w:tcPr>
          <w:p w14:paraId="69F031BF">
            <w:pPr>
              <w:snapToGrid w:val="0"/>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3ED9D7C3">
            <w:pPr>
              <w:snapToGrid w:val="0"/>
              <w:spacing w:line="400" w:lineRule="exact"/>
              <w:jc w:val="center"/>
              <w:rPr>
                <w:rFonts w:hint="eastAsia" w:ascii="仿宋" w:hAnsi="仿宋" w:eastAsia="仿宋" w:cs="仿宋"/>
                <w:color w:val="auto"/>
                <w:sz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14:paraId="71EC9E5D">
            <w:pPr>
              <w:snapToGrid w:val="0"/>
              <w:spacing w:line="400" w:lineRule="exact"/>
              <w:jc w:val="center"/>
              <w:rPr>
                <w:rFonts w:hint="eastAsia" w:ascii="仿宋" w:hAnsi="仿宋" w:eastAsia="仿宋" w:cs="仿宋"/>
                <w:color w:val="auto"/>
                <w:sz w:val="24"/>
                <w:highlight w:val="none"/>
              </w:rPr>
            </w:pPr>
          </w:p>
        </w:tc>
        <w:tc>
          <w:tcPr>
            <w:tcW w:w="2561" w:type="dxa"/>
            <w:tcBorders>
              <w:top w:val="single" w:color="auto" w:sz="4" w:space="0"/>
              <w:left w:val="single" w:color="auto" w:sz="4" w:space="0"/>
              <w:bottom w:val="single" w:color="auto" w:sz="4" w:space="0"/>
            </w:tcBorders>
            <w:noWrap w:val="0"/>
            <w:vAlign w:val="center"/>
          </w:tcPr>
          <w:p w14:paraId="60873433">
            <w:pPr>
              <w:snapToGrid w:val="0"/>
              <w:spacing w:line="400" w:lineRule="exact"/>
              <w:jc w:val="center"/>
              <w:rPr>
                <w:rFonts w:hint="eastAsia" w:ascii="仿宋" w:hAnsi="仿宋" w:eastAsia="仿宋" w:cs="仿宋"/>
                <w:color w:val="auto"/>
                <w:sz w:val="24"/>
                <w:highlight w:val="none"/>
              </w:rPr>
            </w:pPr>
          </w:p>
        </w:tc>
      </w:tr>
      <w:tr w14:paraId="4D037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832" w:type="dxa"/>
            <w:tcBorders>
              <w:top w:val="single" w:color="auto" w:sz="4" w:space="0"/>
              <w:bottom w:val="single" w:color="auto" w:sz="4" w:space="0"/>
              <w:right w:val="single" w:color="auto" w:sz="4" w:space="0"/>
            </w:tcBorders>
            <w:noWrap w:val="0"/>
            <w:vAlign w:val="center"/>
          </w:tcPr>
          <w:p w14:paraId="36B83B83">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6E892ECE">
            <w:pPr>
              <w:snapToGrid w:val="0"/>
              <w:spacing w:line="400" w:lineRule="exact"/>
              <w:jc w:val="center"/>
              <w:rPr>
                <w:rFonts w:hint="eastAsia" w:ascii="仿宋" w:hAnsi="仿宋" w:eastAsia="仿宋" w:cs="仿宋"/>
                <w:color w:val="auto"/>
                <w:sz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14:paraId="04B8C21D">
            <w:pPr>
              <w:snapToGrid w:val="0"/>
              <w:spacing w:line="400" w:lineRule="exact"/>
              <w:jc w:val="center"/>
              <w:rPr>
                <w:rFonts w:hint="eastAsia" w:ascii="仿宋" w:hAnsi="仿宋" w:eastAsia="仿宋" w:cs="仿宋"/>
                <w:color w:val="auto"/>
                <w:sz w:val="24"/>
                <w:highlight w:val="none"/>
              </w:rPr>
            </w:pPr>
          </w:p>
        </w:tc>
        <w:tc>
          <w:tcPr>
            <w:tcW w:w="2561" w:type="dxa"/>
            <w:tcBorders>
              <w:top w:val="single" w:color="auto" w:sz="4" w:space="0"/>
              <w:left w:val="single" w:color="auto" w:sz="4" w:space="0"/>
              <w:bottom w:val="single" w:color="auto" w:sz="4" w:space="0"/>
            </w:tcBorders>
            <w:noWrap w:val="0"/>
            <w:vAlign w:val="center"/>
          </w:tcPr>
          <w:p w14:paraId="65B1EE54">
            <w:pPr>
              <w:snapToGrid w:val="0"/>
              <w:spacing w:line="400" w:lineRule="exact"/>
              <w:jc w:val="center"/>
              <w:rPr>
                <w:rFonts w:hint="eastAsia" w:ascii="仿宋" w:hAnsi="仿宋" w:eastAsia="仿宋" w:cs="仿宋"/>
                <w:color w:val="auto"/>
                <w:sz w:val="24"/>
                <w:highlight w:val="none"/>
              </w:rPr>
            </w:pPr>
          </w:p>
        </w:tc>
      </w:tr>
    </w:tbl>
    <w:p w14:paraId="592FEBCC">
      <w:pPr>
        <w:jc w:val="left"/>
        <w:rPr>
          <w:rFonts w:hint="eastAsia" w:ascii="仿宋_GB2312" w:hAnsi="仿宋" w:eastAsia="仿宋_GB2312" w:cs="仿宋_GB2312"/>
          <w:color w:val="auto"/>
          <w:kern w:val="0"/>
          <w:sz w:val="24"/>
          <w:highlight w:val="none"/>
        </w:rPr>
      </w:pPr>
    </w:p>
    <w:p w14:paraId="5CAD23B0">
      <w:pPr>
        <w:jc w:val="left"/>
        <w:rPr>
          <w:rFonts w:hint="eastAsia" w:ascii="仿宋_GB2312" w:hAnsi="仿宋" w:eastAsia="仿宋_GB2312" w:cs="仿宋_GB2312"/>
          <w:color w:val="auto"/>
          <w:kern w:val="0"/>
          <w:sz w:val="24"/>
          <w:highlight w:val="none"/>
        </w:rPr>
      </w:pPr>
    </w:p>
    <w:p w14:paraId="3C5AAD13">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1827A64D">
      <w:pPr>
        <w:jc w:val="center"/>
        <w:rPr>
          <w:rFonts w:hint="eastAsia" w:ascii="仿宋" w:hAnsi="仿宋" w:eastAsia="仿宋" w:cs="仿宋"/>
          <w:b/>
          <w:color w:val="auto"/>
          <w:kern w:val="0"/>
          <w:sz w:val="32"/>
          <w:szCs w:val="32"/>
          <w:highlight w:val="none"/>
        </w:rPr>
      </w:pPr>
    </w:p>
    <w:p w14:paraId="43CAAD4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77A62B2">
      <w:pPr>
        <w:numPr>
          <w:ilvl w:val="0"/>
          <w:numId w:val="0"/>
        </w:numPr>
        <w:spacing w:line="360" w:lineRule="auto"/>
        <w:ind w:right="420" w:rightChars="0"/>
        <w:rPr>
          <w:rFonts w:hint="eastAsia" w:ascii="仿宋" w:hAnsi="仿宋" w:eastAsia="仿宋" w:cs="仿宋"/>
          <w:color w:val="auto"/>
          <w:sz w:val="24"/>
          <w:highlight w:val="none"/>
          <w:lang w:val="en-US" w:eastAsia="zh-CN"/>
        </w:rPr>
      </w:pPr>
    </w:p>
    <w:p w14:paraId="75FC6B10">
      <w:pPr>
        <w:rPr>
          <w:color w:val="auto"/>
          <w:highlight w:val="none"/>
        </w:rPr>
      </w:pPr>
    </w:p>
    <w:p w14:paraId="4803DE97">
      <w:pPr>
        <w:rPr>
          <w:color w:val="auto"/>
          <w:highlight w:val="none"/>
        </w:rPr>
      </w:pPr>
    </w:p>
    <w:p w14:paraId="2091ADDE">
      <w:pPr>
        <w:rPr>
          <w:color w:val="auto"/>
          <w:highlight w:val="none"/>
        </w:rPr>
      </w:pPr>
    </w:p>
    <w:p w14:paraId="1AB03F0B">
      <w:pPr>
        <w:rPr>
          <w:color w:val="auto"/>
          <w:highlight w:val="none"/>
        </w:rPr>
      </w:pPr>
    </w:p>
    <w:p w14:paraId="7673A739">
      <w:pPr>
        <w:rPr>
          <w:color w:val="auto"/>
          <w:highlight w:val="none"/>
        </w:rPr>
      </w:pPr>
    </w:p>
    <w:p w14:paraId="713BE8A5">
      <w:pPr>
        <w:rPr>
          <w:color w:val="auto"/>
          <w:highlight w:val="none"/>
        </w:rPr>
      </w:pPr>
    </w:p>
    <w:p w14:paraId="61D8C441">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14:paraId="46577DA0">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en-US" w:eastAsia="zh-CN"/>
        </w:rPr>
        <w:t>八</w:t>
      </w:r>
      <w:r>
        <w:rPr>
          <w:rFonts w:hint="eastAsia" w:ascii="仿宋" w:hAnsi="仿宋" w:eastAsia="仿宋" w:cs="仿宋"/>
          <w:b/>
          <w:color w:val="auto"/>
          <w:kern w:val="0"/>
          <w:sz w:val="32"/>
          <w:szCs w:val="32"/>
          <w:highlight w:val="none"/>
          <w:lang w:val="zh-CN"/>
        </w:rPr>
        <w:t>、商务技术偏离表</w:t>
      </w:r>
    </w:p>
    <w:p w14:paraId="4D64E5FD">
      <w:pPr>
        <w:jc w:val="center"/>
        <w:rPr>
          <w:rFonts w:ascii="仿宋" w:hAnsi="仿宋" w:eastAsia="仿宋" w:cs="仿宋"/>
          <w:b/>
          <w:bCs/>
          <w:color w:val="auto"/>
          <w:sz w:val="24"/>
          <w:highlight w:val="none"/>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C48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5534A4F">
            <w:pPr>
              <w:snapToGrid w:val="0"/>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center"/>
          </w:tcPr>
          <w:p w14:paraId="212A8EF7">
            <w:pPr>
              <w:snapToGrid w:val="0"/>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center"/>
          </w:tcPr>
          <w:p w14:paraId="1E466684">
            <w:pPr>
              <w:snapToGrid w:val="0"/>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center"/>
          </w:tcPr>
          <w:p w14:paraId="348D72DD">
            <w:pPr>
              <w:snapToGrid w:val="0"/>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AE1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79D0A2D">
            <w:pPr>
              <w:snapToGrid w:val="0"/>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center"/>
          </w:tcPr>
          <w:p w14:paraId="7A520154">
            <w:pPr>
              <w:snapToGrid w:val="0"/>
              <w:spacing w:line="400" w:lineRule="exact"/>
              <w:jc w:val="center"/>
              <w:rPr>
                <w:rFonts w:ascii="仿宋" w:hAnsi="仿宋" w:eastAsia="仿宋" w:cs="仿宋"/>
                <w:b/>
                <w:color w:val="auto"/>
                <w:kern w:val="0"/>
                <w:sz w:val="32"/>
                <w:szCs w:val="32"/>
                <w:highlight w:val="none"/>
              </w:rPr>
            </w:pPr>
          </w:p>
        </w:tc>
        <w:tc>
          <w:tcPr>
            <w:tcW w:w="3546" w:type="dxa"/>
            <w:vAlign w:val="center"/>
          </w:tcPr>
          <w:p w14:paraId="55929438">
            <w:pPr>
              <w:snapToGrid w:val="0"/>
              <w:spacing w:line="400" w:lineRule="exact"/>
              <w:jc w:val="center"/>
              <w:rPr>
                <w:rFonts w:ascii="仿宋" w:hAnsi="仿宋" w:eastAsia="仿宋" w:cs="仿宋"/>
                <w:b/>
                <w:color w:val="auto"/>
                <w:kern w:val="0"/>
                <w:sz w:val="32"/>
                <w:szCs w:val="32"/>
                <w:highlight w:val="none"/>
              </w:rPr>
            </w:pPr>
          </w:p>
        </w:tc>
        <w:tc>
          <w:tcPr>
            <w:tcW w:w="1276" w:type="dxa"/>
            <w:vAlign w:val="center"/>
          </w:tcPr>
          <w:p w14:paraId="2288D2FA">
            <w:pPr>
              <w:snapToGrid w:val="0"/>
              <w:spacing w:line="400" w:lineRule="exact"/>
              <w:jc w:val="center"/>
              <w:rPr>
                <w:rFonts w:ascii="仿宋" w:hAnsi="仿宋" w:eastAsia="仿宋" w:cs="仿宋"/>
                <w:b/>
                <w:color w:val="auto"/>
                <w:kern w:val="0"/>
                <w:sz w:val="32"/>
                <w:szCs w:val="32"/>
                <w:highlight w:val="none"/>
              </w:rPr>
            </w:pPr>
          </w:p>
        </w:tc>
      </w:tr>
      <w:tr w14:paraId="2AEF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56BA6DE">
            <w:pPr>
              <w:snapToGrid w:val="0"/>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center"/>
          </w:tcPr>
          <w:p w14:paraId="3DCDFAF7">
            <w:pPr>
              <w:snapToGrid w:val="0"/>
              <w:spacing w:line="400" w:lineRule="exact"/>
              <w:jc w:val="center"/>
              <w:rPr>
                <w:rFonts w:ascii="仿宋" w:hAnsi="仿宋" w:eastAsia="仿宋" w:cs="仿宋"/>
                <w:b/>
                <w:color w:val="auto"/>
                <w:kern w:val="0"/>
                <w:sz w:val="32"/>
                <w:szCs w:val="32"/>
                <w:highlight w:val="none"/>
              </w:rPr>
            </w:pPr>
          </w:p>
        </w:tc>
        <w:tc>
          <w:tcPr>
            <w:tcW w:w="3546" w:type="dxa"/>
            <w:vAlign w:val="center"/>
          </w:tcPr>
          <w:p w14:paraId="38086D79">
            <w:pPr>
              <w:snapToGrid w:val="0"/>
              <w:spacing w:line="400" w:lineRule="exact"/>
              <w:jc w:val="center"/>
              <w:rPr>
                <w:rFonts w:ascii="仿宋" w:hAnsi="仿宋" w:eastAsia="仿宋" w:cs="仿宋"/>
                <w:b/>
                <w:color w:val="auto"/>
                <w:kern w:val="0"/>
                <w:sz w:val="32"/>
                <w:szCs w:val="32"/>
                <w:highlight w:val="none"/>
              </w:rPr>
            </w:pPr>
          </w:p>
        </w:tc>
        <w:tc>
          <w:tcPr>
            <w:tcW w:w="1276" w:type="dxa"/>
            <w:vAlign w:val="center"/>
          </w:tcPr>
          <w:p w14:paraId="2A976D28">
            <w:pPr>
              <w:snapToGrid w:val="0"/>
              <w:spacing w:line="400" w:lineRule="exact"/>
              <w:jc w:val="center"/>
              <w:rPr>
                <w:rFonts w:ascii="仿宋" w:hAnsi="仿宋" w:eastAsia="仿宋" w:cs="仿宋"/>
                <w:b/>
                <w:color w:val="auto"/>
                <w:kern w:val="0"/>
                <w:sz w:val="32"/>
                <w:szCs w:val="32"/>
                <w:highlight w:val="none"/>
              </w:rPr>
            </w:pPr>
          </w:p>
        </w:tc>
      </w:tr>
      <w:tr w14:paraId="496C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38FE6FBF">
            <w:pPr>
              <w:snapToGrid w:val="0"/>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center"/>
          </w:tcPr>
          <w:p w14:paraId="0DD0EE32">
            <w:pPr>
              <w:snapToGrid w:val="0"/>
              <w:spacing w:line="400" w:lineRule="exact"/>
              <w:jc w:val="center"/>
              <w:rPr>
                <w:rFonts w:ascii="仿宋" w:hAnsi="仿宋" w:eastAsia="仿宋" w:cs="仿宋"/>
                <w:b/>
                <w:color w:val="auto"/>
                <w:kern w:val="0"/>
                <w:sz w:val="32"/>
                <w:szCs w:val="32"/>
                <w:highlight w:val="none"/>
              </w:rPr>
            </w:pPr>
          </w:p>
        </w:tc>
        <w:tc>
          <w:tcPr>
            <w:tcW w:w="3546" w:type="dxa"/>
            <w:vAlign w:val="center"/>
          </w:tcPr>
          <w:p w14:paraId="29A12E3D">
            <w:pPr>
              <w:snapToGrid w:val="0"/>
              <w:spacing w:line="400" w:lineRule="exact"/>
              <w:jc w:val="center"/>
              <w:rPr>
                <w:rFonts w:ascii="仿宋" w:hAnsi="仿宋" w:eastAsia="仿宋" w:cs="仿宋"/>
                <w:b/>
                <w:color w:val="auto"/>
                <w:kern w:val="0"/>
                <w:sz w:val="32"/>
                <w:szCs w:val="32"/>
                <w:highlight w:val="none"/>
              </w:rPr>
            </w:pPr>
          </w:p>
        </w:tc>
        <w:tc>
          <w:tcPr>
            <w:tcW w:w="1276" w:type="dxa"/>
            <w:vAlign w:val="center"/>
          </w:tcPr>
          <w:p w14:paraId="2F6E1D17">
            <w:pPr>
              <w:snapToGrid w:val="0"/>
              <w:spacing w:line="400" w:lineRule="exact"/>
              <w:jc w:val="center"/>
              <w:rPr>
                <w:rFonts w:ascii="仿宋" w:hAnsi="仿宋" w:eastAsia="仿宋" w:cs="仿宋"/>
                <w:b/>
                <w:color w:val="auto"/>
                <w:kern w:val="0"/>
                <w:sz w:val="32"/>
                <w:szCs w:val="32"/>
                <w:highlight w:val="none"/>
              </w:rPr>
            </w:pPr>
          </w:p>
        </w:tc>
      </w:tr>
    </w:tbl>
    <w:p w14:paraId="38C06E22">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73A83EEE">
      <w:pPr>
        <w:spacing w:line="360" w:lineRule="auto"/>
        <w:ind w:right="420"/>
        <w:rPr>
          <w:rFonts w:ascii="仿宋" w:hAnsi="仿宋" w:eastAsia="仿宋" w:cs="仿宋"/>
          <w:color w:val="auto"/>
          <w:sz w:val="24"/>
          <w:highlight w:val="none"/>
        </w:rPr>
      </w:pPr>
    </w:p>
    <w:p w14:paraId="1CF8C879">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49B5E6B">
      <w:pPr>
        <w:rPr>
          <w:rFonts w:ascii="仿宋" w:hAnsi="仿宋" w:eastAsia="仿宋" w:cs="仿宋"/>
          <w:b/>
          <w:color w:val="auto"/>
          <w:kern w:val="0"/>
          <w:sz w:val="32"/>
          <w:szCs w:val="32"/>
          <w:highlight w:val="none"/>
        </w:rPr>
      </w:pPr>
    </w:p>
    <w:p w14:paraId="7E4756F7">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14:paraId="065AA37B">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en-US" w:eastAsia="zh-CN"/>
        </w:rPr>
        <w:t>九</w:t>
      </w:r>
      <w:r>
        <w:rPr>
          <w:rFonts w:hint="eastAsia" w:ascii="仿宋" w:hAnsi="仿宋" w:eastAsia="仿宋" w:cs="仿宋"/>
          <w:b/>
          <w:color w:val="auto"/>
          <w:kern w:val="0"/>
          <w:sz w:val="32"/>
          <w:szCs w:val="32"/>
          <w:highlight w:val="none"/>
          <w:lang w:val="zh-CN"/>
        </w:rPr>
        <w:t>、政府采购供应商廉洁自律承诺书</w:t>
      </w:r>
    </w:p>
    <w:p w14:paraId="25E09267">
      <w:pPr>
        <w:snapToGrid w:val="0"/>
        <w:spacing w:line="360" w:lineRule="auto"/>
        <w:rPr>
          <w:rFonts w:ascii="仿宋" w:hAnsi="仿宋" w:eastAsia="仿宋" w:cs="仿宋"/>
          <w:color w:val="auto"/>
          <w:sz w:val="24"/>
          <w:highlight w:val="none"/>
        </w:rPr>
      </w:pPr>
    </w:p>
    <w:p w14:paraId="3314A89D">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杭州市第三人民医院</w:t>
      </w:r>
      <w:r>
        <w:rPr>
          <w:rFonts w:hint="eastAsia" w:ascii="仿宋" w:hAnsi="仿宋" w:eastAsia="仿宋" w:cs="仿宋"/>
          <w:color w:val="auto"/>
          <w:sz w:val="24"/>
          <w:highlight w:val="none"/>
          <w:u w:val="single"/>
        </w:rPr>
        <w:t>、浙江国际招投标有限公司</w:t>
      </w:r>
      <w:r>
        <w:rPr>
          <w:rFonts w:hint="eastAsia" w:ascii="仿宋" w:hAnsi="仿宋" w:eastAsia="仿宋" w:cs="仿宋"/>
          <w:color w:val="auto"/>
          <w:sz w:val="24"/>
          <w:highlight w:val="none"/>
        </w:rPr>
        <w:t>：</w:t>
      </w:r>
    </w:p>
    <w:p w14:paraId="659B4D84">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06A5078">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一、不向项目有关人员及部门赠送礼金礼物、有价证券、回扣以及中介费、介绍费、咨询费等好处费；</w:t>
      </w:r>
    </w:p>
    <w:p w14:paraId="6CA1936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二、不为项目有关人员及部门报销应由你方单位或个人支付的费用；</w:t>
      </w:r>
    </w:p>
    <w:p w14:paraId="3E5181F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三、不向项目有关人员及部门提供有可能影响公正的宴请和健身娱乐等活动；</w:t>
      </w:r>
    </w:p>
    <w:p w14:paraId="0D7CEB6C">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486A9226">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700BED3F">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4F8F46D5">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1989369E">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等法律法规，诚实守信，合法经营，坚决抵制各种违法违纪行为。</w:t>
      </w:r>
    </w:p>
    <w:p w14:paraId="5BC0DB6D">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710223C3">
      <w:pPr>
        <w:autoSpaceDE w:val="0"/>
        <w:autoSpaceDN w:val="0"/>
        <w:spacing w:line="360" w:lineRule="auto"/>
        <w:ind w:left="2"/>
        <w:jc w:val="left"/>
        <w:rPr>
          <w:rFonts w:ascii="仿宋" w:hAnsi="仿宋" w:eastAsia="仿宋" w:cs="仿宋"/>
          <w:color w:val="auto"/>
          <w:kern w:val="0"/>
          <w:sz w:val="24"/>
          <w:highlight w:val="none"/>
          <w:lang w:val="zh-CN"/>
        </w:rPr>
      </w:pPr>
    </w:p>
    <w:p w14:paraId="17A1B524">
      <w:pPr>
        <w:autoSpaceDE w:val="0"/>
        <w:autoSpaceDN w:val="0"/>
        <w:spacing w:line="360" w:lineRule="auto"/>
        <w:ind w:left="2"/>
        <w:jc w:val="left"/>
        <w:rPr>
          <w:rFonts w:ascii="仿宋" w:hAnsi="仿宋" w:eastAsia="仿宋" w:cs="仿宋"/>
          <w:color w:val="auto"/>
          <w:kern w:val="0"/>
          <w:sz w:val="24"/>
          <w:highlight w:val="none"/>
          <w:lang w:val="zh-CN"/>
        </w:rPr>
      </w:pPr>
    </w:p>
    <w:p w14:paraId="2DDBB81B">
      <w:pPr>
        <w:autoSpaceDE w:val="0"/>
        <w:autoSpaceDN w:val="0"/>
        <w:spacing w:line="360" w:lineRule="auto"/>
        <w:ind w:left="2"/>
        <w:jc w:val="left"/>
        <w:rPr>
          <w:rFonts w:ascii="仿宋" w:hAnsi="仿宋" w:eastAsia="仿宋" w:cs="仿宋"/>
          <w:color w:val="auto"/>
          <w:kern w:val="0"/>
          <w:sz w:val="24"/>
          <w:highlight w:val="none"/>
          <w:lang w:val="zh-CN"/>
        </w:rPr>
      </w:pPr>
    </w:p>
    <w:p w14:paraId="1FA9D024">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14:paraId="0DC81B6B">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14:paraId="02234EAA">
      <w:pPr>
        <w:rPr>
          <w:rFonts w:ascii="仿宋" w:hAnsi="仿宋" w:eastAsia="仿宋" w:cs="仿宋"/>
          <w:b/>
          <w:color w:val="auto"/>
          <w:kern w:val="0"/>
          <w:sz w:val="36"/>
          <w:szCs w:val="36"/>
          <w:highlight w:val="none"/>
        </w:rPr>
      </w:pPr>
    </w:p>
    <w:p w14:paraId="64E68713">
      <w:pPr>
        <w:rPr>
          <w:rFonts w:ascii="仿宋" w:hAnsi="仿宋" w:eastAsia="仿宋" w:cs="仿宋"/>
          <w:b/>
          <w:color w:val="auto"/>
          <w:kern w:val="0"/>
          <w:sz w:val="36"/>
          <w:szCs w:val="36"/>
          <w:highlight w:val="none"/>
        </w:rPr>
      </w:pPr>
    </w:p>
    <w:p w14:paraId="087346C0">
      <w:pPr>
        <w:rPr>
          <w:rFonts w:ascii="仿宋" w:hAnsi="仿宋" w:eastAsia="仿宋" w:cs="仿宋"/>
          <w:b/>
          <w:color w:val="auto"/>
          <w:kern w:val="0"/>
          <w:sz w:val="36"/>
          <w:szCs w:val="36"/>
          <w:highlight w:val="none"/>
        </w:rPr>
      </w:pPr>
    </w:p>
    <w:p w14:paraId="70F3C636">
      <w:pPr>
        <w:rPr>
          <w:rFonts w:ascii="仿宋" w:hAnsi="仿宋" w:eastAsia="仿宋" w:cs="仿宋"/>
          <w:b/>
          <w:color w:val="auto"/>
          <w:kern w:val="0"/>
          <w:sz w:val="36"/>
          <w:szCs w:val="36"/>
          <w:highlight w:val="none"/>
        </w:rPr>
      </w:pPr>
      <w:r>
        <w:rPr>
          <w:rFonts w:hint="eastAsia" w:ascii="仿宋" w:hAnsi="仿宋" w:eastAsia="仿宋" w:cs="仿宋"/>
          <w:color w:val="auto"/>
          <w:kern w:val="0"/>
          <w:sz w:val="24"/>
          <w:highlight w:val="none"/>
          <w:lang w:val="zh-CN"/>
        </w:rPr>
        <w:t>注：按本格式和要求提供。</w:t>
      </w:r>
      <w:r>
        <w:rPr>
          <w:rFonts w:hint="eastAsia" w:ascii="仿宋" w:hAnsi="仿宋" w:eastAsia="仿宋" w:cs="仿宋"/>
          <w:b/>
          <w:color w:val="auto"/>
          <w:kern w:val="0"/>
          <w:sz w:val="36"/>
          <w:szCs w:val="36"/>
          <w:highlight w:val="none"/>
        </w:rPr>
        <w:br w:type="page"/>
      </w:r>
    </w:p>
    <w:p w14:paraId="714C23B2">
      <w:pPr>
        <w:rPr>
          <w:rFonts w:ascii="仿宋" w:hAnsi="仿宋" w:eastAsia="仿宋" w:cs="仿宋"/>
          <w:b/>
          <w:color w:val="auto"/>
          <w:kern w:val="0"/>
          <w:sz w:val="36"/>
          <w:szCs w:val="36"/>
          <w:highlight w:val="none"/>
        </w:rPr>
      </w:pPr>
    </w:p>
    <w:p w14:paraId="5532F614">
      <w:pPr>
        <w:spacing w:line="360" w:lineRule="auto"/>
        <w:jc w:val="center"/>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EAE46D5">
      <w:pPr>
        <w:jc w:val="center"/>
        <w:rPr>
          <w:rFonts w:ascii="仿宋" w:hAnsi="仿宋" w:eastAsia="仿宋" w:cs="仿宋"/>
          <w:b/>
          <w:bCs/>
          <w:color w:val="auto"/>
          <w:sz w:val="28"/>
          <w:szCs w:val="28"/>
          <w:highlight w:val="none"/>
        </w:rPr>
      </w:pPr>
    </w:p>
    <w:p w14:paraId="4E75DD8C">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目录</w:t>
      </w:r>
    </w:p>
    <w:p w14:paraId="5193E48D">
      <w:pPr>
        <w:rPr>
          <w:rFonts w:ascii="仿宋" w:hAnsi="仿宋" w:eastAsia="仿宋" w:cs="仿宋"/>
          <w:color w:val="auto"/>
          <w:highlight w:val="none"/>
        </w:rPr>
      </w:pPr>
    </w:p>
    <w:p w14:paraId="78C17DE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7692454B">
      <w:pPr>
        <w:pStyle w:val="24"/>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bCs/>
          <w:color w:val="auto"/>
          <w:sz w:val="24"/>
          <w:highlight w:val="none"/>
          <w:lang w:val="en-US" w:eastAsia="zh-CN"/>
        </w:rPr>
        <w:t>投标报价分析说明（投标报价低于预算金额50%时，供应商应详细阐述不影响产品质量或诚信履约的具体原因）</w:t>
      </w:r>
      <w:r>
        <w:rPr>
          <w:rFonts w:hint="eastAsia" w:ascii="仿宋" w:hAnsi="仿宋" w:eastAsia="仿宋" w:cs="仿宋"/>
          <w:color w:val="auto"/>
          <w:sz w:val="24"/>
          <w:highlight w:val="none"/>
        </w:rPr>
        <w:t>………………………………………………………（页码）</w:t>
      </w:r>
    </w:p>
    <w:p w14:paraId="0848C4C1">
      <w:pPr>
        <w:pStyle w:val="24"/>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中标服务费支付承诺书………………………………………………………（页码）</w:t>
      </w:r>
    </w:p>
    <w:p w14:paraId="2961B125">
      <w:pPr>
        <w:snapToGrid w:val="0"/>
        <w:spacing w:line="360" w:lineRule="auto"/>
        <w:ind w:right="480"/>
        <w:jc w:val="center"/>
        <w:rPr>
          <w:rFonts w:ascii="仿宋" w:hAnsi="仿宋" w:eastAsia="仿宋" w:cs="仿宋"/>
          <w:b/>
          <w:color w:val="auto"/>
          <w:kern w:val="0"/>
          <w:sz w:val="32"/>
          <w:szCs w:val="32"/>
          <w:highlight w:val="none"/>
        </w:rPr>
      </w:pPr>
    </w:p>
    <w:p w14:paraId="36D4B32D">
      <w:pPr>
        <w:snapToGrid w:val="0"/>
        <w:spacing w:line="360" w:lineRule="auto"/>
        <w:ind w:right="480"/>
        <w:jc w:val="center"/>
        <w:rPr>
          <w:rFonts w:ascii="仿宋" w:hAnsi="仿宋" w:eastAsia="仿宋" w:cs="仿宋"/>
          <w:b/>
          <w:color w:val="auto"/>
          <w:kern w:val="0"/>
          <w:sz w:val="32"/>
          <w:szCs w:val="32"/>
          <w:highlight w:val="none"/>
        </w:rPr>
      </w:pPr>
    </w:p>
    <w:p w14:paraId="3C325A8B">
      <w:pPr>
        <w:snapToGrid w:val="0"/>
        <w:spacing w:line="360" w:lineRule="auto"/>
        <w:ind w:right="480"/>
        <w:jc w:val="center"/>
        <w:rPr>
          <w:rFonts w:ascii="仿宋" w:hAnsi="仿宋" w:eastAsia="仿宋" w:cs="仿宋"/>
          <w:b/>
          <w:color w:val="auto"/>
          <w:kern w:val="0"/>
          <w:sz w:val="32"/>
          <w:szCs w:val="32"/>
          <w:highlight w:val="none"/>
        </w:rPr>
      </w:pPr>
    </w:p>
    <w:p w14:paraId="0CDADF52">
      <w:pPr>
        <w:snapToGrid w:val="0"/>
        <w:spacing w:line="360" w:lineRule="auto"/>
        <w:ind w:right="480"/>
        <w:jc w:val="center"/>
        <w:rPr>
          <w:rFonts w:ascii="仿宋" w:hAnsi="仿宋" w:eastAsia="仿宋" w:cs="仿宋"/>
          <w:b/>
          <w:color w:val="auto"/>
          <w:kern w:val="0"/>
          <w:sz w:val="32"/>
          <w:szCs w:val="32"/>
          <w:highlight w:val="none"/>
        </w:rPr>
      </w:pPr>
    </w:p>
    <w:p w14:paraId="5C362127">
      <w:pPr>
        <w:snapToGrid w:val="0"/>
        <w:spacing w:line="360" w:lineRule="auto"/>
        <w:ind w:right="480"/>
        <w:jc w:val="center"/>
        <w:rPr>
          <w:rFonts w:ascii="仿宋" w:hAnsi="仿宋" w:eastAsia="仿宋" w:cs="仿宋"/>
          <w:b/>
          <w:color w:val="auto"/>
          <w:kern w:val="0"/>
          <w:sz w:val="32"/>
          <w:szCs w:val="32"/>
          <w:highlight w:val="none"/>
        </w:rPr>
      </w:pPr>
    </w:p>
    <w:p w14:paraId="435EB856">
      <w:pPr>
        <w:snapToGrid w:val="0"/>
        <w:spacing w:line="360" w:lineRule="auto"/>
        <w:ind w:right="480"/>
        <w:jc w:val="center"/>
        <w:rPr>
          <w:rFonts w:ascii="仿宋" w:hAnsi="仿宋" w:eastAsia="仿宋" w:cs="仿宋"/>
          <w:b/>
          <w:color w:val="auto"/>
          <w:kern w:val="0"/>
          <w:sz w:val="32"/>
          <w:szCs w:val="32"/>
          <w:highlight w:val="none"/>
        </w:rPr>
      </w:pPr>
    </w:p>
    <w:p w14:paraId="793F16E2">
      <w:pPr>
        <w:snapToGrid w:val="0"/>
        <w:spacing w:line="360" w:lineRule="auto"/>
        <w:ind w:right="480"/>
        <w:jc w:val="center"/>
        <w:rPr>
          <w:rFonts w:ascii="仿宋" w:hAnsi="仿宋" w:eastAsia="仿宋" w:cs="仿宋"/>
          <w:b/>
          <w:color w:val="auto"/>
          <w:kern w:val="0"/>
          <w:sz w:val="32"/>
          <w:szCs w:val="32"/>
          <w:highlight w:val="none"/>
        </w:rPr>
      </w:pPr>
    </w:p>
    <w:p w14:paraId="7936D280">
      <w:pPr>
        <w:snapToGrid w:val="0"/>
        <w:spacing w:line="360" w:lineRule="auto"/>
        <w:ind w:right="480"/>
        <w:jc w:val="center"/>
        <w:rPr>
          <w:rFonts w:ascii="仿宋" w:hAnsi="仿宋" w:eastAsia="仿宋" w:cs="仿宋"/>
          <w:b/>
          <w:color w:val="auto"/>
          <w:kern w:val="0"/>
          <w:sz w:val="32"/>
          <w:szCs w:val="32"/>
          <w:highlight w:val="none"/>
        </w:rPr>
      </w:pPr>
    </w:p>
    <w:p w14:paraId="0AACBD61">
      <w:pPr>
        <w:snapToGrid w:val="0"/>
        <w:spacing w:line="360" w:lineRule="auto"/>
        <w:ind w:right="480"/>
        <w:jc w:val="center"/>
        <w:rPr>
          <w:rFonts w:ascii="仿宋" w:hAnsi="仿宋" w:eastAsia="仿宋" w:cs="仿宋"/>
          <w:b/>
          <w:color w:val="auto"/>
          <w:kern w:val="0"/>
          <w:sz w:val="32"/>
          <w:szCs w:val="32"/>
          <w:highlight w:val="none"/>
        </w:rPr>
      </w:pPr>
    </w:p>
    <w:p w14:paraId="711014D8">
      <w:pPr>
        <w:snapToGrid w:val="0"/>
        <w:spacing w:line="360" w:lineRule="auto"/>
        <w:ind w:right="480"/>
        <w:jc w:val="center"/>
        <w:rPr>
          <w:rFonts w:ascii="仿宋" w:hAnsi="仿宋" w:eastAsia="仿宋" w:cs="仿宋"/>
          <w:b/>
          <w:color w:val="auto"/>
          <w:kern w:val="0"/>
          <w:sz w:val="32"/>
          <w:szCs w:val="32"/>
          <w:highlight w:val="none"/>
        </w:rPr>
      </w:pPr>
    </w:p>
    <w:p w14:paraId="73EFABBE">
      <w:pPr>
        <w:snapToGrid w:val="0"/>
        <w:spacing w:line="360" w:lineRule="auto"/>
        <w:ind w:right="480"/>
        <w:jc w:val="center"/>
        <w:rPr>
          <w:rFonts w:ascii="仿宋" w:hAnsi="仿宋" w:eastAsia="仿宋" w:cs="仿宋"/>
          <w:b/>
          <w:color w:val="auto"/>
          <w:kern w:val="0"/>
          <w:sz w:val="32"/>
          <w:szCs w:val="32"/>
          <w:highlight w:val="none"/>
        </w:rPr>
      </w:pPr>
    </w:p>
    <w:p w14:paraId="2C0F8546">
      <w:pPr>
        <w:snapToGrid w:val="0"/>
        <w:spacing w:line="360" w:lineRule="auto"/>
        <w:ind w:right="480"/>
        <w:jc w:val="center"/>
        <w:rPr>
          <w:rFonts w:ascii="仿宋" w:hAnsi="仿宋" w:eastAsia="仿宋" w:cs="仿宋"/>
          <w:b/>
          <w:color w:val="auto"/>
          <w:kern w:val="0"/>
          <w:sz w:val="32"/>
          <w:szCs w:val="32"/>
          <w:highlight w:val="none"/>
        </w:rPr>
      </w:pPr>
    </w:p>
    <w:p w14:paraId="4C16617C">
      <w:pPr>
        <w:snapToGrid w:val="0"/>
        <w:spacing w:line="360" w:lineRule="auto"/>
        <w:ind w:right="480"/>
        <w:jc w:val="center"/>
        <w:rPr>
          <w:rFonts w:ascii="仿宋" w:hAnsi="仿宋" w:eastAsia="仿宋" w:cs="仿宋"/>
          <w:b/>
          <w:color w:val="auto"/>
          <w:kern w:val="0"/>
          <w:sz w:val="32"/>
          <w:szCs w:val="32"/>
          <w:highlight w:val="none"/>
        </w:rPr>
      </w:pPr>
    </w:p>
    <w:p w14:paraId="115340D5">
      <w:pPr>
        <w:snapToGrid w:val="0"/>
        <w:spacing w:line="360" w:lineRule="auto"/>
        <w:ind w:right="480"/>
        <w:jc w:val="center"/>
        <w:rPr>
          <w:rFonts w:ascii="仿宋" w:hAnsi="仿宋" w:eastAsia="仿宋" w:cs="仿宋"/>
          <w:b/>
          <w:color w:val="auto"/>
          <w:kern w:val="0"/>
          <w:sz w:val="32"/>
          <w:szCs w:val="32"/>
          <w:highlight w:val="none"/>
        </w:rPr>
      </w:pPr>
    </w:p>
    <w:p w14:paraId="49318E4F">
      <w:pPr>
        <w:snapToGrid w:val="0"/>
        <w:spacing w:line="360" w:lineRule="auto"/>
        <w:ind w:right="480"/>
        <w:jc w:val="center"/>
        <w:rPr>
          <w:rFonts w:ascii="仿宋" w:hAnsi="仿宋" w:eastAsia="仿宋" w:cs="仿宋"/>
          <w:b/>
          <w:color w:val="auto"/>
          <w:kern w:val="0"/>
          <w:sz w:val="32"/>
          <w:szCs w:val="32"/>
          <w:highlight w:val="none"/>
        </w:rPr>
      </w:pPr>
    </w:p>
    <w:p w14:paraId="638D712C">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9" w:type="first"/>
          <w:footerReference r:id="rId11" w:type="first"/>
          <w:footerReference r:id="rId10" w:type="default"/>
          <w:type w:val="continuous"/>
          <w:pgSz w:w="11906" w:h="16838"/>
          <w:pgMar w:top="1276" w:right="1418" w:bottom="1247" w:left="1418" w:header="851" w:footer="992" w:gutter="0"/>
          <w:cols w:space="0" w:num="1"/>
          <w:titlePg/>
          <w:docGrid w:linePitch="312" w:charSpace="0"/>
        </w:sectPr>
      </w:pPr>
    </w:p>
    <w:p w14:paraId="3D5D3E57">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一、开标一览表（报价表）</w:t>
      </w:r>
    </w:p>
    <w:p w14:paraId="26A0E690">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杭州市第三人民医院</w:t>
      </w:r>
      <w:r>
        <w:rPr>
          <w:rFonts w:hint="eastAsia" w:ascii="仿宋" w:hAnsi="仿宋" w:eastAsia="仿宋" w:cs="仿宋"/>
          <w:color w:val="auto"/>
          <w:sz w:val="24"/>
          <w:highlight w:val="none"/>
          <w:u w:val="single"/>
        </w:rPr>
        <w:t>、浙江国际招投标有限公司</w:t>
      </w:r>
      <w:r>
        <w:rPr>
          <w:rFonts w:hint="eastAsia" w:ascii="仿宋" w:hAnsi="仿宋" w:eastAsia="仿宋" w:cs="仿宋"/>
          <w:color w:val="auto"/>
          <w:sz w:val="24"/>
          <w:highlight w:val="none"/>
        </w:rPr>
        <w:t>：</w:t>
      </w:r>
    </w:p>
    <w:p w14:paraId="5BB80FFA">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u w:val="singl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393983CE">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602"/>
        <w:gridCol w:w="1800"/>
        <w:gridCol w:w="1976"/>
        <w:gridCol w:w="993"/>
        <w:gridCol w:w="1559"/>
        <w:gridCol w:w="1984"/>
        <w:gridCol w:w="3119"/>
      </w:tblGrid>
      <w:tr w14:paraId="3488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8CFCB3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2602" w:type="dxa"/>
            <w:vAlign w:val="center"/>
          </w:tcPr>
          <w:p w14:paraId="741F82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1800" w:type="dxa"/>
            <w:vAlign w:val="center"/>
          </w:tcPr>
          <w:p w14:paraId="1A75E36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品牌（如果有）</w:t>
            </w:r>
          </w:p>
        </w:tc>
        <w:tc>
          <w:tcPr>
            <w:tcW w:w="1976" w:type="dxa"/>
            <w:vAlign w:val="center"/>
          </w:tcPr>
          <w:p w14:paraId="33692E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规格型号</w:t>
            </w:r>
          </w:p>
        </w:tc>
        <w:tc>
          <w:tcPr>
            <w:tcW w:w="993" w:type="dxa"/>
            <w:vAlign w:val="center"/>
          </w:tcPr>
          <w:p w14:paraId="793CA6B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1559" w:type="dxa"/>
            <w:vAlign w:val="center"/>
          </w:tcPr>
          <w:p w14:paraId="651178C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1984" w:type="dxa"/>
            <w:vAlign w:val="center"/>
          </w:tcPr>
          <w:p w14:paraId="72B9CEC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 w:eastAsia="仿宋_GB2312" w:cs="仿宋_GB2312"/>
                <w:b/>
                <w:color w:val="auto"/>
                <w:sz w:val="24"/>
                <w:highlight w:val="none"/>
                <w:lang w:val="en-US" w:eastAsia="zh-CN"/>
              </w:rPr>
            </w:pPr>
            <w:r>
              <w:rPr>
                <w:rFonts w:hint="eastAsia" w:ascii="仿宋_GB2312" w:hAnsi="仿宋" w:eastAsia="仿宋_GB2312" w:cs="仿宋_GB2312"/>
                <w:b/>
                <w:color w:val="auto"/>
                <w:sz w:val="24"/>
                <w:highlight w:val="none"/>
                <w:lang w:val="en-US" w:eastAsia="zh-CN"/>
              </w:rPr>
              <w:t>合计</w:t>
            </w:r>
          </w:p>
        </w:tc>
        <w:tc>
          <w:tcPr>
            <w:tcW w:w="3119" w:type="dxa"/>
            <w:vAlign w:val="center"/>
          </w:tcPr>
          <w:p w14:paraId="117B126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b/>
                <w:color w:val="auto"/>
                <w:sz w:val="24"/>
                <w:highlight w:val="none"/>
              </w:rPr>
            </w:pPr>
          </w:p>
          <w:p w14:paraId="4443920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lang w:eastAsia="zh-CN"/>
              </w:rPr>
              <w:t>备注</w:t>
            </w:r>
            <w:r>
              <w:rPr>
                <w:rFonts w:hint="eastAsia" w:ascii="仿宋_GB2312" w:hAnsi="仿宋" w:eastAsia="仿宋_GB2312"/>
                <w:b/>
                <w:color w:val="auto"/>
                <w:sz w:val="24"/>
                <w:highlight w:val="none"/>
              </w:rPr>
              <w:t>（</w:t>
            </w:r>
            <w:r>
              <w:rPr>
                <w:rFonts w:hint="eastAsia" w:ascii="仿宋_GB2312" w:hAnsi="仿宋" w:eastAsia="仿宋_GB2312"/>
                <w:b/>
                <w:color w:val="auto"/>
                <w:sz w:val="24"/>
                <w:highlight w:val="none"/>
                <w:lang w:eastAsia="zh-CN"/>
              </w:rPr>
              <w:t>如果有</w:t>
            </w:r>
            <w:r>
              <w:rPr>
                <w:rFonts w:hint="eastAsia" w:ascii="仿宋_GB2312" w:hAnsi="仿宋" w:eastAsia="仿宋_GB2312"/>
                <w:b/>
                <w:color w:val="auto"/>
                <w:sz w:val="24"/>
                <w:highlight w:val="none"/>
              </w:rPr>
              <w:t>）</w:t>
            </w:r>
          </w:p>
          <w:p w14:paraId="172D097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b/>
                <w:color w:val="auto"/>
                <w:sz w:val="24"/>
                <w:highlight w:val="none"/>
              </w:rPr>
            </w:pPr>
          </w:p>
        </w:tc>
      </w:tr>
      <w:tr w14:paraId="751F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969441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2602" w:type="dxa"/>
            <w:vAlign w:val="center"/>
          </w:tcPr>
          <w:p w14:paraId="4FA2DFB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 w:eastAsia="仿宋_GB2312" w:cs="Times New Roman"/>
                <w:b/>
                <w:color w:val="auto"/>
                <w:sz w:val="24"/>
                <w:highlight w:val="none"/>
                <w:lang w:val="en-US" w:eastAsia="zh-CN"/>
              </w:rPr>
            </w:pPr>
            <w:r>
              <w:rPr>
                <w:rFonts w:hint="eastAsia" w:ascii="仿宋_GB2312" w:hAnsi="仿宋" w:eastAsia="仿宋_GB2312" w:cs="Times New Roman"/>
                <w:b/>
                <w:color w:val="auto"/>
                <w:sz w:val="24"/>
                <w:highlight w:val="none"/>
                <w:lang w:val="en-US" w:eastAsia="zh-CN"/>
              </w:rPr>
              <w:t>钠钙玻璃管制口服液体瓶套装（B型）</w:t>
            </w:r>
          </w:p>
        </w:tc>
        <w:tc>
          <w:tcPr>
            <w:tcW w:w="1800" w:type="dxa"/>
            <w:vAlign w:val="center"/>
          </w:tcPr>
          <w:p w14:paraId="4C5E19C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976" w:type="dxa"/>
            <w:vAlign w:val="center"/>
          </w:tcPr>
          <w:p w14:paraId="69FEDD7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993" w:type="dxa"/>
            <w:vAlign w:val="center"/>
          </w:tcPr>
          <w:p w14:paraId="3277F94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559" w:type="dxa"/>
            <w:vAlign w:val="center"/>
          </w:tcPr>
          <w:p w14:paraId="3856250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984" w:type="dxa"/>
            <w:vAlign w:val="center"/>
          </w:tcPr>
          <w:p w14:paraId="6BA89BC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3119" w:type="dxa"/>
            <w:vAlign w:val="center"/>
          </w:tcPr>
          <w:p w14:paraId="470BBC9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r>
      <w:tr w14:paraId="233D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0DCBCB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2602" w:type="dxa"/>
            <w:vAlign w:val="center"/>
          </w:tcPr>
          <w:p w14:paraId="61A4222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 w:eastAsia="仿宋_GB2312" w:cs="Times New Roman"/>
                <w:b/>
                <w:color w:val="auto"/>
                <w:sz w:val="24"/>
                <w:highlight w:val="none"/>
              </w:rPr>
            </w:pPr>
            <w:r>
              <w:rPr>
                <w:rFonts w:hint="eastAsia" w:ascii="仿宋_GB2312" w:hAnsi="仿宋" w:eastAsia="仿宋_GB2312" w:cs="Times New Roman"/>
                <w:b/>
                <w:color w:val="auto"/>
                <w:sz w:val="24"/>
                <w:highlight w:val="none"/>
                <w:lang w:val="en-US" w:eastAsia="zh-CN"/>
              </w:rPr>
              <w:t>钠钙玻璃管制口服液体瓶套装（C型）</w:t>
            </w:r>
          </w:p>
        </w:tc>
        <w:tc>
          <w:tcPr>
            <w:tcW w:w="1800" w:type="dxa"/>
            <w:vAlign w:val="center"/>
          </w:tcPr>
          <w:p w14:paraId="7283810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976" w:type="dxa"/>
            <w:vAlign w:val="center"/>
          </w:tcPr>
          <w:p w14:paraId="048F896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993" w:type="dxa"/>
            <w:vAlign w:val="center"/>
          </w:tcPr>
          <w:p w14:paraId="7CAF858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559" w:type="dxa"/>
            <w:vAlign w:val="center"/>
          </w:tcPr>
          <w:p w14:paraId="3C8286A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984" w:type="dxa"/>
            <w:vAlign w:val="center"/>
          </w:tcPr>
          <w:p w14:paraId="7A5C6F7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3119" w:type="dxa"/>
            <w:vAlign w:val="center"/>
          </w:tcPr>
          <w:p w14:paraId="436EC1B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r>
      <w:tr w14:paraId="2277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FA2271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7655" w:type="dxa"/>
            <w:gridSpan w:val="4"/>
            <w:vAlign w:val="center"/>
          </w:tcPr>
          <w:p w14:paraId="69B358F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r>
      <w:tr w14:paraId="3207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F8E03A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投标报价（大写）</w:t>
            </w:r>
          </w:p>
        </w:tc>
        <w:tc>
          <w:tcPr>
            <w:tcW w:w="7655" w:type="dxa"/>
            <w:gridSpan w:val="4"/>
            <w:vAlign w:val="center"/>
          </w:tcPr>
          <w:p w14:paraId="027E2E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r>
    </w:tbl>
    <w:p w14:paraId="14515A90">
      <w:pPr>
        <w:snapToGrid w:val="0"/>
        <w:spacing w:line="360" w:lineRule="auto"/>
        <w:ind w:left="480"/>
        <w:rPr>
          <w:rFonts w:hint="eastAsia" w:ascii="仿宋" w:hAnsi="仿宋" w:eastAsia="仿宋" w:cs="仿宋"/>
          <w:b/>
          <w:color w:val="auto"/>
          <w:kern w:val="0"/>
          <w:sz w:val="24"/>
          <w:highlight w:val="none"/>
          <w:lang w:val="zh-CN"/>
        </w:rPr>
      </w:pPr>
    </w:p>
    <w:p w14:paraId="7AE676B5">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14:paraId="59FB6863">
      <w:pPr>
        <w:snapToGrid w:val="0"/>
        <w:spacing w:line="360" w:lineRule="auto"/>
        <w:ind w:left="-2" w:leftChars="-1"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w:t>
      </w:r>
      <w:r>
        <w:rPr>
          <w:rFonts w:hint="eastAsia" w:ascii="仿宋_GB2312" w:hAnsi="仿宋" w:eastAsia="仿宋_GB2312" w:cs="仿宋_GB2312"/>
          <w:color w:val="auto"/>
          <w:kern w:val="0"/>
          <w:sz w:val="24"/>
          <w:highlight w:val="none"/>
          <w:lang w:val="zh-CN"/>
        </w:rPr>
        <w:t>、投标人需按本表格式填写，</w:t>
      </w:r>
      <w:r>
        <w:rPr>
          <w:rFonts w:hint="eastAsia" w:ascii="仿宋_GB2312" w:hAnsi="仿宋" w:eastAsia="仿宋_GB2312" w:cs="仿宋_GB2312"/>
          <w:b/>
          <w:bCs/>
          <w:color w:val="auto"/>
          <w:kern w:val="0"/>
          <w:sz w:val="24"/>
          <w:highlight w:val="none"/>
          <w:lang w:val="zh-CN"/>
        </w:rPr>
        <w:t>否则视为投标文件含有采购人不能接受的附加条件，投标无效</w:t>
      </w:r>
      <w:r>
        <w:rPr>
          <w:rFonts w:hint="eastAsia" w:ascii="仿宋_GB2312" w:hAnsi="仿宋" w:eastAsia="仿宋_GB2312" w:cs="仿宋_GB2312"/>
          <w:color w:val="auto"/>
          <w:kern w:val="0"/>
          <w:sz w:val="24"/>
          <w:highlight w:val="none"/>
          <w:lang w:val="zh-CN"/>
        </w:rPr>
        <w:t>。</w:t>
      </w:r>
    </w:p>
    <w:p w14:paraId="1B20ED9E">
      <w:pPr>
        <w:snapToGrid w:val="0"/>
        <w:spacing w:line="360" w:lineRule="auto"/>
        <w:ind w:firstLine="480" w:firstLineChars="200"/>
        <w:rPr>
          <w:rFonts w:hint="eastAsia" w:ascii="仿宋_GB2312" w:hAnsi="仿宋" w:eastAsia="仿宋_GB2312" w:cs="仿宋_GB2312"/>
          <w:b/>
          <w:color w:val="auto"/>
          <w:kern w:val="0"/>
          <w:sz w:val="24"/>
          <w:highlight w:val="none"/>
          <w:lang w:val="zh-CN"/>
        </w:rPr>
      </w:pPr>
      <w:r>
        <w:rPr>
          <w:rFonts w:ascii="仿宋_GB2312" w:hAnsi="仿宋" w:eastAsia="仿宋_GB2312" w:cs="仿宋_GB2312"/>
          <w:color w:val="auto"/>
          <w:kern w:val="0"/>
          <w:sz w:val="24"/>
          <w:highlight w:val="none"/>
          <w:lang w:val="zh-CN"/>
        </w:rPr>
        <w:t>2</w:t>
      </w:r>
      <w:r>
        <w:rPr>
          <w:rFonts w:hint="eastAsia" w:ascii="仿宋_GB2312" w:hAnsi="仿宋" w:eastAsia="仿宋_GB2312" w:cs="仿宋_GB2312"/>
          <w:color w:val="auto"/>
          <w:kern w:val="0"/>
          <w:sz w:val="24"/>
          <w:highlight w:val="none"/>
          <w:lang w:val="zh-CN"/>
        </w:rPr>
        <w:t>、有关本项目实施所涉及的一切费用均计入报价。</w:t>
      </w:r>
      <w:r>
        <w:rPr>
          <w:rFonts w:hint="eastAsia" w:ascii="仿宋_GB2312" w:hAnsi="仿宋" w:eastAsia="仿宋_GB2312" w:cs="仿宋_GB2312"/>
          <w:b/>
          <w:color w:val="auto"/>
          <w:kern w:val="0"/>
          <w:sz w:val="24"/>
          <w:highlight w:val="none"/>
        </w:rPr>
        <w:t>合同总价不为零。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14:paraId="6C543B37">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2247803">
      <w:pPr>
        <w:snapToGrid w:val="0"/>
        <w:spacing w:line="360" w:lineRule="auto"/>
        <w:ind w:firstLine="480" w:firstLineChars="200"/>
        <w:jc w:val="left"/>
        <w:rPr>
          <w:rFonts w:ascii="仿宋_GB2312" w:hAnsi="仿宋" w:eastAsia="仿宋_GB2312" w:cs="仿宋_GB2312"/>
          <w:color w:val="auto"/>
          <w:kern w:val="0"/>
          <w:sz w:val="24"/>
          <w:szCs w:val="22"/>
          <w:highlight w:val="none"/>
          <w:lang w:val="zh-CN"/>
        </w:rPr>
      </w:pPr>
      <w:r>
        <w:rPr>
          <w:rFonts w:hint="eastAsia" w:ascii="仿宋_GB2312" w:hAnsi="仿宋" w:eastAsia="仿宋_GB2312" w:cs="仿宋_GB2312"/>
          <w:color w:val="auto"/>
          <w:kern w:val="0"/>
          <w:sz w:val="24"/>
          <w:szCs w:val="22"/>
          <w:highlight w:val="none"/>
        </w:rPr>
        <w:t>5</w:t>
      </w:r>
      <w:r>
        <w:rPr>
          <w:rFonts w:hint="eastAsia"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符合招标文件中列明的可享受中小企业扶持政策的投标人，请填写中小企业声明函。注：投标人提供的中小企业声明函内容不实</w:t>
      </w:r>
      <w:r>
        <w:rPr>
          <w:rFonts w:hint="eastAsia" w:ascii="仿宋_GB2312" w:hAnsi="仿宋" w:eastAsia="仿宋_GB2312" w:cs="仿宋_GB2312"/>
          <w:color w:val="auto"/>
          <w:kern w:val="0"/>
          <w:sz w:val="24"/>
          <w:szCs w:val="22"/>
          <w:highlight w:val="none"/>
          <w:lang w:val="zh-CN"/>
        </w:rPr>
        <w:t>的，属于提供虚假材料谋取中标、成交，依照《中华人民共和国政府采购法》等国家有关规定追究相应责任。</w:t>
      </w:r>
    </w:p>
    <w:p w14:paraId="687DE485">
      <w:pPr>
        <w:snapToGrid w:val="0"/>
        <w:spacing w:line="360" w:lineRule="auto"/>
        <w:ind w:firstLine="480" w:firstLineChars="200"/>
        <w:jc w:val="left"/>
        <w:rPr>
          <w:rFonts w:ascii="仿宋" w:hAnsi="仿宋" w:eastAsia="仿宋" w:cs="仿宋"/>
          <w:color w:val="auto"/>
          <w:kern w:val="0"/>
          <w:sz w:val="24"/>
          <w:highlight w:val="none"/>
          <w:lang w:val="zh-CN"/>
        </w:rPr>
      </w:pPr>
    </w:p>
    <w:p w14:paraId="4D0FB2C9">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0347050E">
      <w:pPr>
        <w:autoSpaceDE w:val="0"/>
        <w:autoSpaceDN w:val="0"/>
        <w:spacing w:line="360" w:lineRule="auto"/>
        <w:ind w:right="112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14:paraId="4FB61E49">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14:paraId="0086BE4C">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505E5F6">
      <w:pPr>
        <w:pStyle w:val="2"/>
        <w:rPr>
          <w:rFonts w:hint="eastAsia"/>
          <w:color w:val="auto"/>
          <w:highlight w:val="none"/>
        </w:rPr>
      </w:pPr>
    </w:p>
    <w:p w14:paraId="08158BDC">
      <w:pPr>
        <w:snapToGrid w:val="0"/>
        <w:spacing w:line="360" w:lineRule="auto"/>
        <w:jc w:val="center"/>
        <w:outlineLvl w:val="2"/>
        <w:rPr>
          <w:rFonts w:hint="eastAsia" w:ascii="仿宋" w:hAnsi="仿宋" w:eastAsia="仿宋" w:cs="仿宋"/>
          <w:b/>
          <w:color w:val="auto"/>
          <w:kern w:val="0"/>
          <w:sz w:val="40"/>
          <w:szCs w:val="40"/>
          <w:highlight w:val="none"/>
          <w:lang w:val="zh-CN"/>
        </w:rPr>
      </w:pPr>
      <w:r>
        <w:rPr>
          <w:rFonts w:hint="eastAsia" w:ascii="仿宋" w:hAnsi="仿宋" w:eastAsia="仿宋" w:cs="仿宋"/>
          <w:b/>
          <w:color w:val="auto"/>
          <w:kern w:val="0"/>
          <w:sz w:val="40"/>
          <w:szCs w:val="40"/>
          <w:highlight w:val="none"/>
          <w:lang w:val="en-US" w:eastAsia="zh-CN"/>
        </w:rPr>
        <w:t>二、</w:t>
      </w:r>
      <w:r>
        <w:rPr>
          <w:rFonts w:hint="eastAsia" w:ascii="仿宋" w:hAnsi="仿宋" w:eastAsia="仿宋" w:cs="仿宋"/>
          <w:b/>
          <w:color w:val="auto"/>
          <w:kern w:val="0"/>
          <w:sz w:val="40"/>
          <w:szCs w:val="40"/>
          <w:highlight w:val="none"/>
          <w:lang w:val="zh-CN"/>
        </w:rPr>
        <w:t>投标报价分析说明</w:t>
      </w:r>
      <w:r>
        <w:rPr>
          <w:rFonts w:hint="eastAsia" w:ascii="仿宋" w:hAnsi="仿宋" w:eastAsia="仿宋" w:cs="仿宋"/>
          <w:b/>
          <w:color w:val="auto"/>
          <w:kern w:val="0"/>
          <w:sz w:val="32"/>
          <w:szCs w:val="32"/>
          <w:highlight w:val="none"/>
          <w:lang w:eastAsia="zh-CN"/>
        </w:rPr>
        <w:t>（如果有）</w:t>
      </w:r>
    </w:p>
    <w:p w14:paraId="7764CB69">
      <w:pPr>
        <w:pStyle w:val="2"/>
        <w:rPr>
          <w:rFonts w:hint="eastAsia"/>
          <w:color w:val="auto"/>
          <w:highlight w:val="none"/>
        </w:rPr>
      </w:pPr>
    </w:p>
    <w:p w14:paraId="22E19183">
      <w:pPr>
        <w:pStyle w:val="2"/>
        <w:rPr>
          <w:rFonts w:hint="eastAsia"/>
          <w:color w:val="auto"/>
          <w:highlight w:val="none"/>
        </w:rPr>
      </w:pPr>
    </w:p>
    <w:p w14:paraId="1C5D589B">
      <w:pPr>
        <w:pStyle w:val="2"/>
        <w:ind w:firstLine="560" w:firstLineChars="200"/>
        <w:rPr>
          <w:rFonts w:hint="eastAsia" w:ascii="仿宋" w:hAnsi="仿宋" w:eastAsia="仿宋" w:cs="仿宋"/>
          <w:color w:val="auto"/>
          <w:sz w:val="28"/>
          <w:szCs w:val="22"/>
          <w:highlight w:val="none"/>
          <w:lang w:eastAsia="zh-CN"/>
        </w:rPr>
      </w:pPr>
      <w:r>
        <w:rPr>
          <w:rFonts w:hint="eastAsia" w:ascii="仿宋" w:hAnsi="仿宋" w:eastAsia="仿宋" w:cs="仿宋"/>
          <w:color w:val="auto"/>
          <w:sz w:val="28"/>
          <w:szCs w:val="22"/>
          <w:highlight w:val="none"/>
        </w:rPr>
        <w:t>投标报价低于预算金额50%时，供应商应详细阐述不影响产品质量或诚信履约的具体原因</w:t>
      </w:r>
      <w:r>
        <w:rPr>
          <w:rFonts w:hint="eastAsia" w:ascii="仿宋" w:hAnsi="仿宋" w:eastAsia="仿宋" w:cs="仿宋"/>
          <w:color w:val="auto"/>
          <w:sz w:val="28"/>
          <w:szCs w:val="22"/>
          <w:highlight w:val="none"/>
          <w:lang w:eastAsia="zh-CN"/>
        </w:rPr>
        <w:t>。</w:t>
      </w:r>
    </w:p>
    <w:p w14:paraId="48B71ACA">
      <w:pPr>
        <w:pStyle w:val="2"/>
        <w:rPr>
          <w:rFonts w:hint="eastAsia"/>
          <w:color w:val="auto"/>
          <w:highlight w:val="none"/>
        </w:rPr>
      </w:pPr>
    </w:p>
    <w:p w14:paraId="6D75BF76">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CB7BEAC">
      <w:pPr>
        <w:widowControl/>
        <w:spacing w:line="360" w:lineRule="auto"/>
        <w:ind w:firstLine="161" w:firstLineChars="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、中标服务费支付承诺书和中标服务费结算信息表。</w:t>
      </w:r>
    </w:p>
    <w:p w14:paraId="0EB91440">
      <w:pPr>
        <w:jc w:val="center"/>
        <w:rPr>
          <w:rFonts w:ascii="仿宋" w:hAnsi="仿宋" w:eastAsia="仿宋" w:cs="仿宋"/>
          <w:b/>
          <w:color w:val="auto"/>
          <w:sz w:val="28"/>
          <w:szCs w:val="28"/>
          <w:highlight w:val="none"/>
        </w:rPr>
      </w:pPr>
    </w:p>
    <w:p w14:paraId="53D5384A">
      <w:pPr>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中标服务费支付承诺书</w:t>
      </w:r>
    </w:p>
    <w:p w14:paraId="39C03AD8">
      <w:pPr>
        <w:spacing w:line="600" w:lineRule="auto"/>
        <w:jc w:val="center"/>
        <w:rPr>
          <w:rFonts w:ascii="仿宋" w:hAnsi="仿宋" w:eastAsia="仿宋" w:cs="仿宋"/>
          <w:b/>
          <w:color w:val="auto"/>
          <w:sz w:val="28"/>
          <w:szCs w:val="28"/>
          <w:highlight w:val="none"/>
        </w:rPr>
      </w:pPr>
    </w:p>
    <w:p w14:paraId="6FC113B5">
      <w:pPr>
        <w:keepNext/>
        <w:keepLines/>
        <w:spacing w:line="600" w:lineRule="auto"/>
        <w:ind w:firstLine="470" w:firstLineChars="19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浙江国际招投标有限公司：</w:t>
      </w:r>
    </w:p>
    <w:p w14:paraId="42DA1730">
      <w:pPr>
        <w:keepNext/>
        <w:keepLines/>
        <w:spacing w:line="600" w:lineRule="auto"/>
        <w:ind w:firstLine="480"/>
        <w:rPr>
          <w:rFonts w:ascii="仿宋" w:hAnsi="仿宋" w:eastAsia="仿宋" w:cs="仿宋"/>
          <w:color w:val="auto"/>
          <w:sz w:val="24"/>
          <w:highlight w:val="none"/>
        </w:rPr>
      </w:pPr>
    </w:p>
    <w:p w14:paraId="28E1A4BA">
      <w:pPr>
        <w:keepNext/>
        <w:keepLines/>
        <w:snapToGrid w:val="0"/>
        <w:spacing w:line="48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本单位在此承诺：如在本项目中标，成交结果公告发布之日起5个工作日之内，向贵公司按采购文件约定支付中标服务费。</w:t>
      </w:r>
    </w:p>
    <w:p w14:paraId="454E1E45">
      <w:pPr>
        <w:snapToGrid w:val="0"/>
        <w:spacing w:line="480" w:lineRule="auto"/>
        <w:ind w:firstLine="420" w:firstLineChars="200"/>
        <w:rPr>
          <w:rFonts w:ascii="仿宋" w:hAnsi="仿宋" w:eastAsia="仿宋" w:cs="仿宋"/>
          <w:color w:val="auto"/>
          <w:highlight w:val="none"/>
        </w:rPr>
      </w:pPr>
    </w:p>
    <w:p w14:paraId="2ED25D5B">
      <w:pPr>
        <w:snapToGrid w:val="0"/>
        <w:spacing w:line="480" w:lineRule="auto"/>
        <w:ind w:firstLine="420" w:firstLineChars="200"/>
        <w:rPr>
          <w:rFonts w:ascii="仿宋" w:hAnsi="仿宋" w:eastAsia="仿宋" w:cs="仿宋"/>
          <w:color w:val="auto"/>
          <w:highlight w:val="none"/>
        </w:rPr>
      </w:pPr>
    </w:p>
    <w:p w14:paraId="16842F7A">
      <w:pPr>
        <w:spacing w:line="360" w:lineRule="auto"/>
        <w:rPr>
          <w:rFonts w:ascii="仿宋" w:hAnsi="仿宋" w:eastAsia="仿宋" w:cs="仿宋"/>
          <w:color w:val="auto"/>
          <w:highlight w:val="none"/>
        </w:rPr>
      </w:pPr>
    </w:p>
    <w:p w14:paraId="027A4A49">
      <w:pPr>
        <w:snapToGrid w:val="0"/>
        <w:spacing w:line="360" w:lineRule="auto"/>
        <w:jc w:val="right"/>
        <w:rPr>
          <w:rFonts w:ascii="仿宋" w:hAnsi="仿宋" w:eastAsia="仿宋" w:cs="仿宋"/>
          <w:color w:val="auto"/>
          <w:spacing w:val="20"/>
          <w:sz w:val="24"/>
          <w:szCs w:val="22"/>
          <w:highlight w:val="none"/>
          <w:u w:val="single"/>
        </w:rPr>
      </w:pPr>
      <w:r>
        <w:rPr>
          <w:rFonts w:hint="eastAsia" w:ascii="仿宋" w:hAnsi="仿宋" w:eastAsia="仿宋" w:cs="仿宋"/>
          <w:color w:val="auto"/>
          <w:sz w:val="24"/>
          <w:szCs w:val="22"/>
          <w:highlight w:val="none"/>
        </w:rPr>
        <w:t>供应商（电子签名）：</w:t>
      </w:r>
    </w:p>
    <w:p w14:paraId="53AB2FFE">
      <w:pPr>
        <w:spacing w:line="360" w:lineRule="auto"/>
        <w:ind w:right="375"/>
        <w:jc w:val="right"/>
        <w:rPr>
          <w:rFonts w:ascii="仿宋" w:hAnsi="仿宋" w:eastAsia="仿宋" w:cs="仿宋"/>
          <w:color w:val="auto"/>
          <w:sz w:val="24"/>
          <w:szCs w:val="22"/>
          <w:highlight w:val="none"/>
        </w:rPr>
      </w:pPr>
      <w:r>
        <w:rPr>
          <w:rFonts w:hint="eastAsia" w:ascii="仿宋" w:hAnsi="仿宋" w:eastAsia="仿宋" w:cs="仿宋"/>
          <w:color w:val="auto"/>
          <w:spacing w:val="20"/>
          <w:sz w:val="24"/>
          <w:szCs w:val="22"/>
          <w:highlight w:val="none"/>
        </w:rPr>
        <w:t>日期：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14:paraId="6D378C62">
      <w:pPr>
        <w:ind w:right="480"/>
        <w:rPr>
          <w:rFonts w:ascii="仿宋" w:hAnsi="仿宋" w:eastAsia="仿宋" w:cs="仿宋"/>
          <w:color w:val="auto"/>
          <w:sz w:val="24"/>
          <w:highlight w:val="none"/>
        </w:rPr>
      </w:pPr>
    </w:p>
    <w:p w14:paraId="0DFB2011">
      <w:pPr>
        <w:widowControl/>
        <w:snapToGrid w:val="0"/>
        <w:spacing w:line="36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浙江国际招投标有限公司中标服务费收取账号</w:t>
      </w:r>
    </w:p>
    <w:p w14:paraId="63985E98">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收款单位（户名）：浙江国际招投标有限公司</w:t>
      </w:r>
    </w:p>
    <w:p w14:paraId="090E97BE">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开户银行：中国工商银行杭州武林支行</w:t>
      </w:r>
    </w:p>
    <w:p w14:paraId="2C4959B7">
      <w:pPr>
        <w:ind w:firstLine="480" w:firstLineChars="200"/>
        <w:rPr>
          <w:rFonts w:ascii="仿宋" w:hAnsi="仿宋" w:eastAsia="仿宋" w:cs="仿宋"/>
          <w:b/>
          <w:color w:val="auto"/>
          <w:sz w:val="32"/>
          <w:szCs w:val="32"/>
          <w:highlight w:val="none"/>
        </w:rPr>
      </w:pPr>
      <w:r>
        <w:rPr>
          <w:rFonts w:hint="eastAsia" w:ascii="仿宋" w:hAnsi="仿宋" w:eastAsia="仿宋" w:cs="仿宋"/>
          <w:color w:val="auto"/>
          <w:kern w:val="0"/>
          <w:sz w:val="24"/>
          <w:highlight w:val="none"/>
        </w:rPr>
        <w:t>银行账号：</w:t>
      </w:r>
      <w:r>
        <w:rPr>
          <w:rFonts w:ascii="仿宋" w:hAnsi="仿宋" w:eastAsia="仿宋" w:cs="仿宋"/>
          <w:color w:val="auto"/>
          <w:kern w:val="0"/>
          <w:sz w:val="24"/>
          <w:highlight w:val="none"/>
        </w:rPr>
        <w:t>1202021209906782015</w:t>
      </w:r>
      <w:r>
        <w:rPr>
          <w:rFonts w:hint="eastAsia" w:ascii="仿宋" w:hAnsi="仿宋" w:eastAsia="仿宋" w:cs="仿宋"/>
          <w:b/>
          <w:color w:val="auto"/>
          <w:sz w:val="32"/>
          <w:szCs w:val="32"/>
          <w:highlight w:val="none"/>
        </w:rPr>
        <w:br w:type="page"/>
      </w:r>
    </w:p>
    <w:p w14:paraId="5887CAD9">
      <w:pPr>
        <w:snapToGrid w:val="0"/>
        <w:spacing w:line="360" w:lineRule="auto"/>
        <w:jc w:val="center"/>
        <w:outlineLvl w:val="1"/>
        <w:rPr>
          <w:rFonts w:ascii="仿宋" w:hAnsi="仿宋" w:eastAsia="仿宋" w:cs="仿宋"/>
          <w:b/>
          <w:color w:val="auto"/>
          <w:kern w:val="0"/>
          <w:sz w:val="32"/>
          <w:szCs w:val="32"/>
          <w:highlight w:val="none"/>
        </w:rPr>
      </w:pPr>
      <w:bookmarkStart w:id="426" w:name="_Toc465665161"/>
      <w:r>
        <w:rPr>
          <w:rFonts w:hint="eastAsia" w:ascii="仿宋" w:hAnsi="仿宋" w:eastAsia="仿宋" w:cs="仿宋"/>
          <w:b/>
          <w:color w:val="auto"/>
          <w:kern w:val="0"/>
          <w:sz w:val="32"/>
          <w:szCs w:val="32"/>
          <w:highlight w:val="none"/>
        </w:rPr>
        <w:t>附件</w:t>
      </w:r>
      <w:bookmarkEnd w:id="426"/>
    </w:p>
    <w:p w14:paraId="07CC5812">
      <w:pPr>
        <w:spacing w:line="360" w:lineRule="auto"/>
        <w:jc w:val="center"/>
        <w:outlineLvl w:val="2"/>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bookmarkStart w:id="427" w:name="OLE_LINK14"/>
      <w:bookmarkStart w:id="428" w:name="OLE_LINK13"/>
      <w:r>
        <w:rPr>
          <w:rFonts w:hint="eastAsia" w:ascii="仿宋" w:hAnsi="仿宋" w:eastAsia="仿宋" w:cs="仿宋"/>
          <w:b/>
          <w:color w:val="auto"/>
          <w:spacing w:val="6"/>
          <w:sz w:val="32"/>
          <w:szCs w:val="32"/>
          <w:highlight w:val="none"/>
        </w:rPr>
        <w:t>残疾人福利性单位声明函</w:t>
      </w:r>
    </w:p>
    <w:bookmarkEnd w:id="427"/>
    <w:bookmarkEnd w:id="428"/>
    <w:p w14:paraId="25868AF3">
      <w:pPr>
        <w:spacing w:line="360" w:lineRule="auto"/>
        <w:rPr>
          <w:rFonts w:ascii="仿宋" w:hAnsi="仿宋" w:eastAsia="仿宋" w:cs="仿宋"/>
          <w:b/>
          <w:color w:val="auto"/>
          <w:spacing w:val="6"/>
          <w:sz w:val="30"/>
          <w:szCs w:val="30"/>
          <w:highlight w:val="none"/>
        </w:rPr>
      </w:pPr>
    </w:p>
    <w:p w14:paraId="598E54C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108731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6C565E1">
      <w:pPr>
        <w:spacing w:line="360" w:lineRule="auto"/>
        <w:ind w:firstLine="480" w:firstLineChars="200"/>
        <w:rPr>
          <w:rFonts w:ascii="仿宋" w:hAnsi="仿宋" w:eastAsia="仿宋" w:cs="仿宋"/>
          <w:color w:val="auto"/>
          <w:sz w:val="24"/>
          <w:highlight w:val="none"/>
        </w:rPr>
      </w:pPr>
    </w:p>
    <w:p w14:paraId="597B5D93">
      <w:pPr>
        <w:spacing w:line="360" w:lineRule="auto"/>
        <w:ind w:firstLine="480" w:firstLineChars="200"/>
        <w:rPr>
          <w:rFonts w:ascii="仿宋" w:hAnsi="仿宋" w:eastAsia="仿宋" w:cs="仿宋"/>
          <w:color w:val="auto"/>
          <w:sz w:val="24"/>
          <w:highlight w:val="none"/>
        </w:rPr>
      </w:pPr>
    </w:p>
    <w:p w14:paraId="1A82C9A6">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2056ED82">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14:paraId="4F8D0CBB">
      <w:pPr>
        <w:spacing w:line="360" w:lineRule="auto"/>
        <w:ind w:firstLine="480" w:firstLineChars="200"/>
        <w:rPr>
          <w:rFonts w:ascii="仿宋" w:hAnsi="仿宋" w:eastAsia="仿宋" w:cs="仿宋"/>
          <w:color w:val="auto"/>
          <w:sz w:val="24"/>
          <w:highlight w:val="none"/>
        </w:rPr>
      </w:pPr>
    </w:p>
    <w:p w14:paraId="49B1E2A8">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237B48A">
      <w:pPr>
        <w:spacing w:line="360" w:lineRule="auto"/>
        <w:jc w:val="left"/>
        <w:outlineLvl w:val="2"/>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46CCC447">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EAD829C">
      <w:pPr>
        <w:snapToGrid w:val="0"/>
        <w:spacing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A82A683">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67BC9CC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0533D15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105A89A8">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3E1F2E0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14:paraId="0FF7FEC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22330D0C">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24BC23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5A734ED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7D9C30ED">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3D693EB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5D5E0996">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7417DC8">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6C82A6B8">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5B06F60D">
      <w:pPr>
        <w:snapToGrid w:val="0"/>
        <w:spacing w:line="360" w:lineRule="auto"/>
        <w:rPr>
          <w:rFonts w:ascii="仿宋" w:hAnsi="仿宋" w:eastAsia="仿宋" w:cs="仿宋"/>
          <w:color w:val="auto"/>
          <w:sz w:val="24"/>
          <w:highlight w:val="none"/>
        </w:rPr>
      </w:pPr>
    </w:p>
    <w:p w14:paraId="26CE80C0">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79E8D37E">
      <w:pPr>
        <w:snapToGrid w:val="0"/>
        <w:spacing w:line="360" w:lineRule="auto"/>
        <w:rPr>
          <w:rFonts w:ascii="仿宋" w:hAnsi="仿宋" w:eastAsia="仿宋" w:cs="仿宋"/>
          <w:color w:val="auto"/>
          <w:sz w:val="24"/>
          <w:highlight w:val="none"/>
          <w:u w:val="dotted"/>
        </w:rPr>
      </w:pPr>
    </w:p>
    <w:p w14:paraId="41F01E2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607BB5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31E13B0D">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9194FE9">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24D79DC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C1CDDB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6750E3AA">
      <w:pPr>
        <w:spacing w:line="360" w:lineRule="auto"/>
        <w:jc w:val="center"/>
        <w:rPr>
          <w:rFonts w:ascii="仿宋" w:hAnsi="仿宋" w:eastAsia="仿宋" w:cs="仿宋"/>
          <w:b/>
          <w:bCs/>
          <w:color w:val="auto"/>
          <w:sz w:val="24"/>
          <w:highlight w:val="none"/>
        </w:rPr>
      </w:pPr>
    </w:p>
    <w:p w14:paraId="173E6F28">
      <w:pPr>
        <w:spacing w:line="360" w:lineRule="auto"/>
        <w:rPr>
          <w:rFonts w:ascii="仿宋" w:hAnsi="仿宋" w:eastAsia="仿宋" w:cs="仿宋"/>
          <w:b/>
          <w:color w:val="auto"/>
          <w:sz w:val="24"/>
          <w:highlight w:val="none"/>
        </w:rPr>
      </w:pPr>
    </w:p>
    <w:p w14:paraId="4B57535D">
      <w:pPr>
        <w:spacing w:line="360" w:lineRule="auto"/>
        <w:rPr>
          <w:rFonts w:ascii="仿宋" w:hAnsi="仿宋" w:eastAsia="仿宋" w:cs="仿宋"/>
          <w:b/>
          <w:color w:val="auto"/>
          <w:sz w:val="24"/>
          <w:highlight w:val="none"/>
        </w:rPr>
      </w:pPr>
    </w:p>
    <w:p w14:paraId="3DE55B37">
      <w:pPr>
        <w:spacing w:line="360" w:lineRule="auto"/>
        <w:rPr>
          <w:rFonts w:ascii="仿宋" w:hAnsi="仿宋" w:eastAsia="仿宋" w:cs="仿宋"/>
          <w:b/>
          <w:color w:val="auto"/>
          <w:sz w:val="24"/>
          <w:highlight w:val="none"/>
        </w:rPr>
      </w:pPr>
    </w:p>
    <w:p w14:paraId="7FA9DBD0">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971F350">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0C5C0B89">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2418987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13E4CBE">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1F77DA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5A845D51">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6F22274E">
      <w:pPr>
        <w:widowControl/>
        <w:spacing w:line="360" w:lineRule="auto"/>
        <w:ind w:firstLine="600" w:firstLineChars="200"/>
        <w:jc w:val="left"/>
        <w:rPr>
          <w:rFonts w:ascii="仿宋" w:hAnsi="仿宋" w:eastAsia="仿宋" w:cs="仿宋"/>
          <w:color w:val="auto"/>
          <w:sz w:val="30"/>
          <w:szCs w:val="30"/>
          <w:highlight w:val="none"/>
        </w:rPr>
      </w:pPr>
    </w:p>
    <w:p w14:paraId="36E93848">
      <w:pPr>
        <w:spacing w:line="360" w:lineRule="auto"/>
        <w:jc w:val="center"/>
        <w:rPr>
          <w:rFonts w:ascii="仿宋" w:hAnsi="仿宋" w:eastAsia="仿宋" w:cs="仿宋"/>
          <w:b/>
          <w:color w:val="auto"/>
          <w:spacing w:val="6"/>
          <w:sz w:val="32"/>
          <w:szCs w:val="32"/>
          <w:highlight w:val="none"/>
        </w:rPr>
      </w:pPr>
    </w:p>
    <w:p w14:paraId="6A8904E2">
      <w:pPr>
        <w:spacing w:line="360" w:lineRule="auto"/>
        <w:jc w:val="center"/>
        <w:rPr>
          <w:rFonts w:ascii="仿宋" w:hAnsi="仿宋" w:eastAsia="仿宋" w:cs="仿宋"/>
          <w:b/>
          <w:color w:val="auto"/>
          <w:spacing w:val="6"/>
          <w:sz w:val="32"/>
          <w:szCs w:val="32"/>
          <w:highlight w:val="none"/>
        </w:rPr>
      </w:pPr>
    </w:p>
    <w:p w14:paraId="0BE67E55">
      <w:pPr>
        <w:spacing w:line="360" w:lineRule="auto"/>
        <w:jc w:val="center"/>
        <w:rPr>
          <w:rFonts w:ascii="仿宋" w:hAnsi="仿宋" w:eastAsia="仿宋" w:cs="仿宋"/>
          <w:b/>
          <w:color w:val="auto"/>
          <w:spacing w:val="6"/>
          <w:sz w:val="32"/>
          <w:szCs w:val="32"/>
          <w:highlight w:val="none"/>
        </w:rPr>
      </w:pPr>
    </w:p>
    <w:p w14:paraId="536132E0">
      <w:pPr>
        <w:spacing w:line="360" w:lineRule="auto"/>
        <w:jc w:val="center"/>
        <w:rPr>
          <w:rFonts w:ascii="仿宋" w:hAnsi="仿宋" w:eastAsia="仿宋" w:cs="仿宋"/>
          <w:b/>
          <w:color w:val="auto"/>
          <w:spacing w:val="6"/>
          <w:sz w:val="32"/>
          <w:szCs w:val="32"/>
          <w:highlight w:val="none"/>
        </w:rPr>
      </w:pPr>
    </w:p>
    <w:p w14:paraId="77264929">
      <w:pPr>
        <w:spacing w:line="360" w:lineRule="auto"/>
        <w:jc w:val="center"/>
        <w:rPr>
          <w:rFonts w:ascii="仿宋" w:hAnsi="仿宋" w:eastAsia="仿宋" w:cs="仿宋"/>
          <w:b/>
          <w:color w:val="auto"/>
          <w:spacing w:val="6"/>
          <w:sz w:val="32"/>
          <w:szCs w:val="32"/>
          <w:highlight w:val="none"/>
        </w:rPr>
      </w:pPr>
    </w:p>
    <w:p w14:paraId="69258364">
      <w:pPr>
        <w:spacing w:line="360" w:lineRule="auto"/>
        <w:jc w:val="center"/>
        <w:rPr>
          <w:rFonts w:ascii="仿宋" w:hAnsi="仿宋" w:eastAsia="仿宋" w:cs="仿宋"/>
          <w:b/>
          <w:color w:val="auto"/>
          <w:spacing w:val="6"/>
          <w:sz w:val="32"/>
          <w:szCs w:val="32"/>
          <w:highlight w:val="none"/>
        </w:rPr>
      </w:pPr>
    </w:p>
    <w:p w14:paraId="7861644A">
      <w:pPr>
        <w:spacing w:line="360" w:lineRule="auto"/>
        <w:jc w:val="center"/>
        <w:rPr>
          <w:rFonts w:ascii="仿宋" w:hAnsi="仿宋" w:eastAsia="仿宋" w:cs="仿宋"/>
          <w:b/>
          <w:color w:val="auto"/>
          <w:spacing w:val="6"/>
          <w:sz w:val="32"/>
          <w:szCs w:val="32"/>
          <w:highlight w:val="none"/>
        </w:rPr>
      </w:pPr>
    </w:p>
    <w:p w14:paraId="4D8A0629">
      <w:pPr>
        <w:spacing w:line="360" w:lineRule="auto"/>
        <w:jc w:val="center"/>
        <w:rPr>
          <w:rFonts w:ascii="仿宋" w:hAnsi="仿宋" w:eastAsia="仿宋" w:cs="仿宋"/>
          <w:b/>
          <w:color w:val="auto"/>
          <w:spacing w:val="6"/>
          <w:sz w:val="32"/>
          <w:szCs w:val="32"/>
          <w:highlight w:val="none"/>
        </w:rPr>
      </w:pPr>
    </w:p>
    <w:p w14:paraId="0AC33689">
      <w:pPr>
        <w:spacing w:line="360" w:lineRule="auto"/>
        <w:jc w:val="center"/>
        <w:rPr>
          <w:rFonts w:ascii="仿宋" w:hAnsi="仿宋" w:eastAsia="仿宋" w:cs="仿宋"/>
          <w:b/>
          <w:color w:val="auto"/>
          <w:spacing w:val="6"/>
          <w:sz w:val="32"/>
          <w:szCs w:val="32"/>
          <w:highlight w:val="none"/>
        </w:rPr>
      </w:pPr>
    </w:p>
    <w:p w14:paraId="373462DD">
      <w:pPr>
        <w:spacing w:line="360" w:lineRule="auto"/>
        <w:jc w:val="center"/>
        <w:rPr>
          <w:rFonts w:ascii="仿宋" w:hAnsi="仿宋" w:eastAsia="仿宋" w:cs="仿宋"/>
          <w:b/>
          <w:color w:val="auto"/>
          <w:spacing w:val="6"/>
          <w:sz w:val="32"/>
          <w:szCs w:val="32"/>
          <w:highlight w:val="none"/>
        </w:rPr>
      </w:pPr>
    </w:p>
    <w:p w14:paraId="1FEB5DBE">
      <w:pPr>
        <w:spacing w:line="360" w:lineRule="auto"/>
        <w:jc w:val="center"/>
        <w:rPr>
          <w:rFonts w:ascii="仿宋" w:hAnsi="仿宋" w:eastAsia="仿宋" w:cs="仿宋"/>
          <w:b/>
          <w:color w:val="auto"/>
          <w:spacing w:val="6"/>
          <w:sz w:val="32"/>
          <w:szCs w:val="32"/>
          <w:highlight w:val="none"/>
        </w:rPr>
      </w:pPr>
    </w:p>
    <w:p w14:paraId="6947FCC2">
      <w:pPr>
        <w:spacing w:line="360" w:lineRule="auto"/>
        <w:jc w:val="center"/>
        <w:rPr>
          <w:rFonts w:ascii="仿宋" w:hAnsi="仿宋" w:eastAsia="仿宋" w:cs="仿宋"/>
          <w:b/>
          <w:color w:val="auto"/>
          <w:spacing w:val="6"/>
          <w:sz w:val="32"/>
          <w:szCs w:val="32"/>
          <w:highlight w:val="none"/>
        </w:rPr>
      </w:pPr>
    </w:p>
    <w:p w14:paraId="51203A98">
      <w:pPr>
        <w:spacing w:line="360" w:lineRule="auto"/>
        <w:jc w:val="left"/>
        <w:rPr>
          <w:rFonts w:ascii="仿宋" w:hAnsi="仿宋" w:eastAsia="仿宋" w:cs="仿宋"/>
          <w:b/>
          <w:color w:val="auto"/>
          <w:spacing w:val="6"/>
          <w:sz w:val="32"/>
          <w:szCs w:val="32"/>
          <w:highlight w:val="none"/>
        </w:rPr>
      </w:pPr>
    </w:p>
    <w:p w14:paraId="218BBB5E">
      <w:pPr>
        <w:spacing w:line="360" w:lineRule="auto"/>
        <w:jc w:val="left"/>
        <w:rPr>
          <w:rFonts w:ascii="仿宋" w:hAnsi="仿宋" w:eastAsia="仿宋" w:cs="仿宋"/>
          <w:b/>
          <w:color w:val="auto"/>
          <w:spacing w:val="6"/>
          <w:sz w:val="32"/>
          <w:szCs w:val="32"/>
          <w:highlight w:val="none"/>
        </w:rPr>
      </w:pPr>
    </w:p>
    <w:p w14:paraId="6383BBF8">
      <w:pPr>
        <w:spacing w:line="360" w:lineRule="auto"/>
        <w:jc w:val="left"/>
        <w:outlineLvl w:val="2"/>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543D46D0">
      <w:pPr>
        <w:spacing w:line="360" w:lineRule="auto"/>
        <w:jc w:val="center"/>
        <w:rPr>
          <w:rFonts w:ascii="仿宋" w:hAnsi="仿宋" w:eastAsia="仿宋" w:cs="仿宋"/>
          <w:b/>
          <w:color w:val="auto"/>
          <w:sz w:val="24"/>
          <w:highlight w:val="none"/>
        </w:rPr>
      </w:pPr>
    </w:p>
    <w:p w14:paraId="5164B835">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A787DB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391E198">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4953274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767A94D1">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1FDF6824">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1D50B908">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w:t>
      </w:r>
    </w:p>
    <w:p w14:paraId="25631BBD">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地址：邮编：</w:t>
      </w:r>
    </w:p>
    <w:p w14:paraId="6CB1114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0960429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772D498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759DFC3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C541ED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83827D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2C8A7D4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40341E0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2E769FE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6C85EFD">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096937C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31F2AEB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6D52829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2B54FD83">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39B8DE9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4DC90CF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7D1E73F">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14:paraId="04303B21">
      <w:pPr>
        <w:spacing w:line="360" w:lineRule="auto"/>
        <w:rPr>
          <w:rFonts w:ascii="仿宋" w:hAnsi="仿宋" w:eastAsia="仿宋" w:cs="仿宋"/>
          <w:color w:val="auto"/>
          <w:sz w:val="24"/>
          <w:highlight w:val="none"/>
          <w:u w:val="dotted"/>
        </w:rPr>
      </w:pPr>
    </w:p>
    <w:p w14:paraId="16FD4FE6">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4246D18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05B6E2C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6FAFF7B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p>
    <w:p w14:paraId="1A35C958">
      <w:pPr>
        <w:spacing w:line="360" w:lineRule="auto"/>
        <w:rPr>
          <w:rFonts w:ascii="仿宋" w:hAnsi="仿宋" w:eastAsia="仿宋" w:cs="仿宋"/>
          <w:color w:val="auto"/>
          <w:sz w:val="24"/>
          <w:highlight w:val="none"/>
          <w:u w:val="dotted"/>
        </w:rPr>
      </w:pPr>
    </w:p>
    <w:p w14:paraId="0D534B4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71A52B67">
      <w:pPr>
        <w:spacing w:line="360" w:lineRule="auto"/>
        <w:rPr>
          <w:rFonts w:ascii="仿宋" w:hAnsi="仿宋" w:eastAsia="仿宋" w:cs="仿宋"/>
          <w:color w:val="auto"/>
          <w:sz w:val="24"/>
          <w:highlight w:val="none"/>
          <w:u w:val="dotted"/>
        </w:rPr>
      </w:pPr>
    </w:p>
    <w:p w14:paraId="23827BD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7FD807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F8B4A7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9D8CFF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p>
    <w:p w14:paraId="0C8510C0">
      <w:pPr>
        <w:spacing w:line="360" w:lineRule="auto"/>
        <w:rPr>
          <w:rFonts w:ascii="仿宋" w:hAnsi="仿宋" w:eastAsia="仿宋" w:cs="仿宋"/>
          <w:color w:val="auto"/>
          <w:sz w:val="24"/>
          <w:highlight w:val="none"/>
          <w:u w:val="single"/>
        </w:rPr>
      </w:pPr>
    </w:p>
    <w:p w14:paraId="172A40F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A63BEC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1B2626F0">
      <w:pPr>
        <w:spacing w:line="360" w:lineRule="auto"/>
        <w:rPr>
          <w:rFonts w:ascii="仿宋" w:hAnsi="仿宋" w:eastAsia="仿宋" w:cs="仿宋"/>
          <w:b/>
          <w:color w:val="auto"/>
          <w:sz w:val="24"/>
          <w:highlight w:val="none"/>
        </w:rPr>
      </w:pPr>
    </w:p>
    <w:p w14:paraId="6A27C8B1">
      <w:pPr>
        <w:spacing w:line="360" w:lineRule="auto"/>
        <w:rPr>
          <w:rFonts w:ascii="仿宋" w:hAnsi="仿宋" w:eastAsia="仿宋" w:cs="仿宋"/>
          <w:b/>
          <w:color w:val="auto"/>
          <w:sz w:val="24"/>
          <w:highlight w:val="none"/>
        </w:rPr>
      </w:pPr>
    </w:p>
    <w:p w14:paraId="5196599C">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63FD593C">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374C085">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5C383AED">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7CEA5715">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4B7F42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20D3622">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1BBA9311">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61B47A82">
      <w:pPr>
        <w:spacing w:line="360" w:lineRule="auto"/>
        <w:rPr>
          <w:rFonts w:ascii="仿宋" w:hAnsi="仿宋" w:eastAsia="仿宋" w:cs="仿宋"/>
          <w:b/>
          <w:color w:val="auto"/>
          <w:sz w:val="24"/>
          <w:highlight w:val="none"/>
        </w:rPr>
      </w:pPr>
    </w:p>
    <w:p w14:paraId="00E738F3">
      <w:pPr>
        <w:autoSpaceDE w:val="0"/>
        <w:autoSpaceDN w:val="0"/>
        <w:jc w:val="center"/>
        <w:rPr>
          <w:rFonts w:ascii="仿宋" w:hAnsi="仿宋" w:eastAsia="仿宋" w:cs="仿宋"/>
          <w:b/>
          <w:color w:val="auto"/>
          <w:spacing w:val="6"/>
          <w:sz w:val="32"/>
          <w:szCs w:val="32"/>
          <w:highlight w:val="none"/>
        </w:rPr>
      </w:pPr>
    </w:p>
    <w:p w14:paraId="304E4A10">
      <w:pPr>
        <w:autoSpaceDE w:val="0"/>
        <w:autoSpaceDN w:val="0"/>
        <w:jc w:val="center"/>
        <w:rPr>
          <w:rFonts w:ascii="仿宋" w:hAnsi="仿宋" w:eastAsia="仿宋" w:cs="仿宋"/>
          <w:b/>
          <w:color w:val="auto"/>
          <w:spacing w:val="6"/>
          <w:sz w:val="32"/>
          <w:szCs w:val="32"/>
          <w:highlight w:val="none"/>
        </w:rPr>
      </w:pPr>
    </w:p>
    <w:p w14:paraId="5F4CFD5A">
      <w:pPr>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C6D78BF">
      <w:pPr>
        <w:autoSpaceDE w:val="0"/>
        <w:autoSpaceDN w:val="0"/>
        <w:jc w:val="center"/>
        <w:outlineLvl w:val="2"/>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4A0C3E17">
      <w:pPr>
        <w:spacing w:line="360" w:lineRule="auto"/>
        <w:rPr>
          <w:rFonts w:ascii="仿宋" w:hAnsi="仿宋" w:eastAsia="仿宋" w:cs="仿宋"/>
          <w:color w:val="auto"/>
          <w:sz w:val="24"/>
          <w:highlight w:val="none"/>
          <w:u w:val="single"/>
        </w:rPr>
      </w:pPr>
    </w:p>
    <w:p w14:paraId="4C1DD1F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杭州市第三人民医院</w:t>
      </w:r>
      <w:r>
        <w:rPr>
          <w:rFonts w:hint="eastAsia" w:ascii="仿宋" w:hAnsi="仿宋" w:eastAsia="仿宋" w:cs="仿宋"/>
          <w:color w:val="auto"/>
          <w:sz w:val="24"/>
          <w:highlight w:val="none"/>
          <w:u w:val="single"/>
        </w:rPr>
        <w:t>、浙江国际招投标有限公司</w:t>
      </w:r>
      <w:r>
        <w:rPr>
          <w:rFonts w:hint="eastAsia" w:ascii="仿宋" w:hAnsi="仿宋" w:eastAsia="仿宋" w:cs="仿宋"/>
          <w:color w:val="auto"/>
          <w:sz w:val="24"/>
          <w:highlight w:val="none"/>
        </w:rPr>
        <w:t>：</w:t>
      </w:r>
    </w:p>
    <w:p w14:paraId="492C4DF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我方所使用的“XX专用章”与法定名称章具有同等的法律效力，对使用“XX专用章”的行为予以完全承认，并愿意承担相应责任。</w:t>
      </w:r>
    </w:p>
    <w:p w14:paraId="2DBA5F9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1609A0E">
      <w:pPr>
        <w:spacing w:line="360" w:lineRule="auto"/>
        <w:ind w:firstLine="494"/>
        <w:rPr>
          <w:rFonts w:ascii="仿宋" w:hAnsi="仿宋" w:eastAsia="仿宋" w:cs="仿宋"/>
          <w:color w:val="auto"/>
          <w:sz w:val="24"/>
          <w:highlight w:val="none"/>
        </w:rPr>
      </w:pPr>
    </w:p>
    <w:p w14:paraId="6807C1C4">
      <w:pPr>
        <w:spacing w:line="360" w:lineRule="auto"/>
        <w:ind w:firstLine="494"/>
        <w:rPr>
          <w:rFonts w:ascii="仿宋" w:hAnsi="仿宋" w:eastAsia="仿宋" w:cs="仿宋"/>
          <w:color w:val="auto"/>
          <w:sz w:val="24"/>
          <w:highlight w:val="none"/>
        </w:rPr>
      </w:pPr>
    </w:p>
    <w:p w14:paraId="0117558B">
      <w:pPr>
        <w:spacing w:line="360" w:lineRule="auto"/>
        <w:ind w:firstLine="494"/>
        <w:rPr>
          <w:rFonts w:ascii="仿宋" w:hAnsi="仿宋" w:eastAsia="仿宋" w:cs="仿宋"/>
          <w:color w:val="auto"/>
          <w:sz w:val="24"/>
          <w:highlight w:val="none"/>
        </w:rPr>
      </w:pPr>
    </w:p>
    <w:p w14:paraId="6827AE31">
      <w:pPr>
        <w:spacing w:line="360" w:lineRule="auto"/>
        <w:ind w:firstLine="494"/>
        <w:rPr>
          <w:rFonts w:ascii="仿宋" w:hAnsi="仿宋" w:eastAsia="仿宋" w:cs="仿宋"/>
          <w:color w:val="auto"/>
          <w:sz w:val="24"/>
          <w:highlight w:val="none"/>
        </w:rPr>
      </w:pPr>
    </w:p>
    <w:p w14:paraId="58A0FD57">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6CCE37DC">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14:paraId="427C9B23">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000B4659">
      <w:pPr>
        <w:spacing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投标单位法定名称章（印模）投标单位“XX专用章”（印模）</w:t>
      </w:r>
    </w:p>
    <w:p w14:paraId="6988B7B0">
      <w:pPr>
        <w:autoSpaceDE w:val="0"/>
        <w:autoSpaceDN w:val="0"/>
        <w:jc w:val="center"/>
        <w:rPr>
          <w:rFonts w:ascii="仿宋" w:hAnsi="仿宋" w:eastAsia="仿宋" w:cs="仿宋"/>
          <w:b/>
          <w:color w:val="auto"/>
          <w:spacing w:val="6"/>
          <w:sz w:val="32"/>
          <w:szCs w:val="32"/>
          <w:highlight w:val="none"/>
        </w:rPr>
      </w:pPr>
    </w:p>
    <w:p w14:paraId="544B6C94">
      <w:pPr>
        <w:autoSpaceDE w:val="0"/>
        <w:autoSpaceDN w:val="0"/>
        <w:jc w:val="center"/>
        <w:rPr>
          <w:rFonts w:ascii="仿宋" w:hAnsi="仿宋" w:eastAsia="仿宋" w:cs="仿宋"/>
          <w:b/>
          <w:color w:val="auto"/>
          <w:spacing w:val="6"/>
          <w:sz w:val="32"/>
          <w:szCs w:val="32"/>
          <w:highlight w:val="none"/>
        </w:rPr>
      </w:pPr>
    </w:p>
    <w:p w14:paraId="0BC92FEA">
      <w:pPr>
        <w:autoSpaceDE w:val="0"/>
        <w:autoSpaceDN w:val="0"/>
        <w:jc w:val="center"/>
        <w:rPr>
          <w:rFonts w:ascii="仿宋" w:hAnsi="仿宋" w:eastAsia="仿宋" w:cs="仿宋"/>
          <w:b/>
          <w:color w:val="auto"/>
          <w:spacing w:val="6"/>
          <w:sz w:val="32"/>
          <w:szCs w:val="32"/>
          <w:highlight w:val="none"/>
        </w:rPr>
      </w:pPr>
    </w:p>
    <w:p w14:paraId="05C34B5C">
      <w:pPr>
        <w:autoSpaceDE w:val="0"/>
        <w:autoSpaceDN w:val="0"/>
        <w:jc w:val="center"/>
        <w:rPr>
          <w:rFonts w:ascii="仿宋" w:hAnsi="仿宋" w:eastAsia="仿宋" w:cs="仿宋"/>
          <w:b/>
          <w:color w:val="auto"/>
          <w:spacing w:val="6"/>
          <w:sz w:val="32"/>
          <w:szCs w:val="32"/>
          <w:highlight w:val="none"/>
        </w:rPr>
      </w:pPr>
    </w:p>
    <w:p w14:paraId="11B6FA0A">
      <w:pPr>
        <w:autoSpaceDE w:val="0"/>
        <w:autoSpaceDN w:val="0"/>
        <w:jc w:val="center"/>
        <w:rPr>
          <w:rFonts w:ascii="仿宋" w:hAnsi="仿宋" w:eastAsia="仿宋" w:cs="仿宋"/>
          <w:b/>
          <w:color w:val="auto"/>
          <w:spacing w:val="6"/>
          <w:sz w:val="32"/>
          <w:szCs w:val="32"/>
          <w:highlight w:val="none"/>
        </w:rPr>
      </w:pPr>
    </w:p>
    <w:p w14:paraId="117D42EC">
      <w:pPr>
        <w:autoSpaceDE w:val="0"/>
        <w:autoSpaceDN w:val="0"/>
        <w:jc w:val="center"/>
        <w:rPr>
          <w:rFonts w:ascii="仿宋" w:hAnsi="仿宋" w:eastAsia="仿宋" w:cs="仿宋"/>
          <w:b/>
          <w:color w:val="auto"/>
          <w:spacing w:val="6"/>
          <w:sz w:val="32"/>
          <w:szCs w:val="32"/>
          <w:highlight w:val="none"/>
        </w:rPr>
      </w:pPr>
    </w:p>
    <w:p w14:paraId="46595CB0">
      <w:pPr>
        <w:autoSpaceDE w:val="0"/>
        <w:autoSpaceDN w:val="0"/>
        <w:jc w:val="center"/>
        <w:rPr>
          <w:rFonts w:ascii="仿宋" w:hAnsi="仿宋" w:eastAsia="仿宋" w:cs="仿宋"/>
          <w:b/>
          <w:color w:val="auto"/>
          <w:spacing w:val="6"/>
          <w:sz w:val="32"/>
          <w:szCs w:val="32"/>
          <w:highlight w:val="none"/>
        </w:rPr>
      </w:pPr>
    </w:p>
    <w:p w14:paraId="0F9A1008">
      <w:pPr>
        <w:autoSpaceDE w:val="0"/>
        <w:autoSpaceDN w:val="0"/>
        <w:jc w:val="center"/>
        <w:rPr>
          <w:rFonts w:ascii="仿宋" w:hAnsi="仿宋" w:eastAsia="仿宋" w:cs="仿宋"/>
          <w:b/>
          <w:color w:val="auto"/>
          <w:spacing w:val="6"/>
          <w:sz w:val="32"/>
          <w:szCs w:val="32"/>
          <w:highlight w:val="none"/>
        </w:rPr>
      </w:pPr>
    </w:p>
    <w:p w14:paraId="0954BE6A">
      <w:pPr>
        <w:autoSpaceDE w:val="0"/>
        <w:autoSpaceDN w:val="0"/>
        <w:jc w:val="center"/>
        <w:rPr>
          <w:rFonts w:ascii="仿宋" w:hAnsi="仿宋" w:eastAsia="仿宋" w:cs="仿宋"/>
          <w:b/>
          <w:color w:val="auto"/>
          <w:spacing w:val="6"/>
          <w:sz w:val="32"/>
          <w:szCs w:val="32"/>
          <w:highlight w:val="none"/>
        </w:rPr>
      </w:pPr>
    </w:p>
    <w:p w14:paraId="7FF0AE6C">
      <w:pPr>
        <w:autoSpaceDE w:val="0"/>
        <w:autoSpaceDN w:val="0"/>
        <w:jc w:val="center"/>
        <w:rPr>
          <w:rFonts w:ascii="仿宋" w:hAnsi="仿宋" w:eastAsia="仿宋" w:cs="仿宋"/>
          <w:b/>
          <w:color w:val="auto"/>
          <w:spacing w:val="6"/>
          <w:sz w:val="32"/>
          <w:szCs w:val="32"/>
          <w:highlight w:val="none"/>
        </w:rPr>
      </w:pPr>
    </w:p>
    <w:p w14:paraId="25347C50">
      <w:pPr>
        <w:autoSpaceDE w:val="0"/>
        <w:autoSpaceDN w:val="0"/>
        <w:jc w:val="center"/>
        <w:rPr>
          <w:rFonts w:ascii="仿宋" w:hAnsi="仿宋" w:eastAsia="仿宋" w:cs="仿宋"/>
          <w:b/>
          <w:color w:val="auto"/>
          <w:spacing w:val="6"/>
          <w:sz w:val="32"/>
          <w:szCs w:val="32"/>
          <w:highlight w:val="none"/>
        </w:rPr>
      </w:pPr>
    </w:p>
    <w:p w14:paraId="29240180">
      <w:pPr>
        <w:rPr>
          <w:rFonts w:ascii="仿宋" w:hAnsi="仿宋" w:eastAsia="仿宋" w:cs="仿宋"/>
          <w:b/>
          <w:color w:val="auto"/>
          <w:spacing w:val="6"/>
          <w:sz w:val="32"/>
          <w:szCs w:val="32"/>
          <w:highlight w:val="none"/>
        </w:rPr>
      </w:pPr>
    </w:p>
    <w:p w14:paraId="4A3852BF">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br w:type="page"/>
      </w:r>
      <w:r>
        <w:rPr>
          <w:rFonts w:hint="eastAsia" w:ascii="仿宋" w:hAnsi="仿宋" w:eastAsia="仿宋" w:cs="仿宋"/>
          <w:b/>
          <w:color w:val="auto"/>
          <w:kern w:val="0"/>
          <w:sz w:val="32"/>
          <w:szCs w:val="32"/>
          <w:highlight w:val="none"/>
        </w:rPr>
        <w:t>附件5：联合协议</w:t>
      </w:r>
    </w:p>
    <w:p w14:paraId="02EE69F8">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32E26798">
      <w:pPr>
        <w:rPr>
          <w:rFonts w:ascii="仿宋" w:hAnsi="仿宋" w:eastAsia="仿宋" w:cs="仿宋"/>
          <w:color w:val="auto"/>
          <w:highlight w:val="none"/>
        </w:rPr>
      </w:pPr>
    </w:p>
    <w:p w14:paraId="63D1C8B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20A078E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C1F9D9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5FDFCC4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726F463E">
      <w:pPr>
        <w:snapToGrid w:val="0"/>
        <w:spacing w:line="360" w:lineRule="auto"/>
        <w:ind w:firstLine="576"/>
        <w:rPr>
          <w:rFonts w:ascii="仿宋" w:hAnsi="仿宋" w:eastAsia="仿宋" w:cs="仿宋"/>
          <w:color w:val="auto"/>
          <w:kern w:val="0"/>
          <w:sz w:val="24"/>
          <w:highlight w:val="none"/>
          <w:lang w:val="zh-CN"/>
        </w:rPr>
      </w:pPr>
      <w:bookmarkStart w:id="429"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p>
    <w:p w14:paraId="6AFA573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p>
    <w:p w14:paraId="0BFD2B6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429"/>
    <w:p w14:paraId="2C080F6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548DF171">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257B788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6BBC278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052E692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645BA6D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62F12E3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7B1B3E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78D77329">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DAC24BE">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825A49D">
      <w:pPr>
        <w:snapToGrid w:val="0"/>
        <w:spacing w:line="360" w:lineRule="auto"/>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EEF3BD1">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14:paraId="405237E3">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F46F3FB">
      <w:pPr>
        <w:autoSpaceDE w:val="0"/>
        <w:autoSpaceDN w:val="0"/>
        <w:jc w:val="center"/>
        <w:rPr>
          <w:rFonts w:ascii="仿宋" w:hAnsi="仿宋" w:eastAsia="仿宋" w:cs="仿宋"/>
          <w:b/>
          <w:color w:val="auto"/>
          <w:spacing w:val="6"/>
          <w:sz w:val="32"/>
          <w:szCs w:val="32"/>
          <w:highlight w:val="none"/>
        </w:rPr>
      </w:pPr>
    </w:p>
    <w:p w14:paraId="22AFC4C3">
      <w:pPr>
        <w:autoSpaceDE w:val="0"/>
        <w:autoSpaceDN w:val="0"/>
        <w:jc w:val="center"/>
        <w:rPr>
          <w:rFonts w:ascii="仿宋" w:hAnsi="仿宋" w:eastAsia="仿宋" w:cs="仿宋"/>
          <w:b/>
          <w:color w:val="auto"/>
          <w:spacing w:val="6"/>
          <w:sz w:val="32"/>
          <w:szCs w:val="32"/>
          <w:highlight w:val="none"/>
        </w:rPr>
      </w:pPr>
    </w:p>
    <w:p w14:paraId="22085064">
      <w:pPr>
        <w:autoSpaceDE w:val="0"/>
        <w:autoSpaceDN w:val="0"/>
        <w:jc w:val="center"/>
        <w:rPr>
          <w:rFonts w:ascii="仿宋" w:hAnsi="仿宋" w:eastAsia="仿宋" w:cs="仿宋"/>
          <w:b/>
          <w:color w:val="auto"/>
          <w:spacing w:val="6"/>
          <w:sz w:val="32"/>
          <w:szCs w:val="32"/>
          <w:highlight w:val="none"/>
        </w:rPr>
      </w:pPr>
    </w:p>
    <w:p w14:paraId="7233B782">
      <w:pPr>
        <w:autoSpaceDE w:val="0"/>
        <w:autoSpaceDN w:val="0"/>
        <w:jc w:val="center"/>
        <w:rPr>
          <w:rFonts w:ascii="仿宋" w:hAnsi="仿宋" w:eastAsia="仿宋" w:cs="仿宋"/>
          <w:b/>
          <w:color w:val="auto"/>
          <w:spacing w:val="6"/>
          <w:sz w:val="32"/>
          <w:szCs w:val="32"/>
          <w:highlight w:val="none"/>
        </w:rPr>
      </w:pPr>
    </w:p>
    <w:p w14:paraId="6961C384">
      <w:pPr>
        <w:autoSpaceDE w:val="0"/>
        <w:autoSpaceDN w:val="0"/>
        <w:jc w:val="center"/>
        <w:rPr>
          <w:rFonts w:ascii="仿宋" w:hAnsi="仿宋" w:eastAsia="仿宋" w:cs="仿宋"/>
          <w:b/>
          <w:color w:val="auto"/>
          <w:spacing w:val="6"/>
          <w:sz w:val="32"/>
          <w:szCs w:val="32"/>
          <w:highlight w:val="none"/>
        </w:rPr>
      </w:pPr>
    </w:p>
    <w:p w14:paraId="23933A89">
      <w:pPr>
        <w:autoSpaceDE w:val="0"/>
        <w:autoSpaceDN w:val="0"/>
        <w:jc w:val="center"/>
        <w:rPr>
          <w:rFonts w:ascii="仿宋" w:hAnsi="仿宋" w:eastAsia="仿宋" w:cs="仿宋"/>
          <w:b/>
          <w:color w:val="auto"/>
          <w:spacing w:val="6"/>
          <w:sz w:val="32"/>
          <w:szCs w:val="32"/>
          <w:highlight w:val="none"/>
        </w:rPr>
      </w:pPr>
    </w:p>
    <w:p w14:paraId="72A8525E">
      <w:pPr>
        <w:autoSpaceDE w:val="0"/>
        <w:autoSpaceDN w:val="0"/>
        <w:jc w:val="center"/>
        <w:rPr>
          <w:rFonts w:ascii="仿宋" w:hAnsi="仿宋" w:eastAsia="仿宋" w:cs="仿宋"/>
          <w:b/>
          <w:color w:val="auto"/>
          <w:spacing w:val="6"/>
          <w:sz w:val="32"/>
          <w:szCs w:val="32"/>
          <w:highlight w:val="none"/>
        </w:rPr>
      </w:pPr>
    </w:p>
    <w:p w14:paraId="4830847F">
      <w:pPr>
        <w:autoSpaceDE w:val="0"/>
        <w:autoSpaceDN w:val="0"/>
        <w:jc w:val="center"/>
        <w:rPr>
          <w:rFonts w:ascii="仿宋" w:hAnsi="仿宋" w:eastAsia="仿宋" w:cs="仿宋"/>
          <w:b/>
          <w:color w:val="auto"/>
          <w:spacing w:val="6"/>
          <w:sz w:val="32"/>
          <w:szCs w:val="32"/>
          <w:highlight w:val="none"/>
        </w:rPr>
      </w:pPr>
    </w:p>
    <w:p w14:paraId="6EF49E49">
      <w:pPr>
        <w:autoSpaceDE w:val="0"/>
        <w:autoSpaceDN w:val="0"/>
        <w:jc w:val="center"/>
        <w:rPr>
          <w:rFonts w:ascii="仿宋" w:hAnsi="仿宋" w:eastAsia="仿宋" w:cs="仿宋"/>
          <w:b/>
          <w:color w:val="auto"/>
          <w:spacing w:val="6"/>
          <w:sz w:val="32"/>
          <w:szCs w:val="32"/>
          <w:highlight w:val="none"/>
        </w:rPr>
      </w:pPr>
    </w:p>
    <w:p w14:paraId="1DEDDD32">
      <w:pPr>
        <w:autoSpaceDE w:val="0"/>
        <w:autoSpaceDN w:val="0"/>
        <w:jc w:val="center"/>
        <w:rPr>
          <w:rFonts w:ascii="仿宋" w:hAnsi="仿宋" w:eastAsia="仿宋" w:cs="仿宋"/>
          <w:b/>
          <w:color w:val="auto"/>
          <w:spacing w:val="6"/>
          <w:sz w:val="32"/>
          <w:szCs w:val="32"/>
          <w:highlight w:val="none"/>
        </w:rPr>
      </w:pPr>
    </w:p>
    <w:p w14:paraId="623E20C8">
      <w:pPr>
        <w:autoSpaceDE w:val="0"/>
        <w:autoSpaceDN w:val="0"/>
        <w:jc w:val="center"/>
        <w:rPr>
          <w:rFonts w:ascii="仿宋" w:hAnsi="仿宋" w:eastAsia="仿宋" w:cs="仿宋"/>
          <w:b/>
          <w:color w:val="auto"/>
          <w:spacing w:val="6"/>
          <w:sz w:val="32"/>
          <w:szCs w:val="32"/>
          <w:highlight w:val="none"/>
        </w:rPr>
      </w:pPr>
    </w:p>
    <w:p w14:paraId="203DE39D">
      <w:pPr>
        <w:autoSpaceDE w:val="0"/>
        <w:autoSpaceDN w:val="0"/>
        <w:jc w:val="center"/>
        <w:rPr>
          <w:rFonts w:ascii="仿宋" w:hAnsi="仿宋" w:eastAsia="仿宋" w:cs="仿宋"/>
          <w:b/>
          <w:color w:val="auto"/>
          <w:spacing w:val="6"/>
          <w:sz w:val="32"/>
          <w:szCs w:val="32"/>
          <w:highlight w:val="none"/>
        </w:rPr>
      </w:pPr>
    </w:p>
    <w:p w14:paraId="66B7285F">
      <w:pPr>
        <w:autoSpaceDE w:val="0"/>
        <w:autoSpaceDN w:val="0"/>
        <w:jc w:val="center"/>
        <w:rPr>
          <w:rFonts w:ascii="仿宋" w:hAnsi="仿宋" w:eastAsia="仿宋" w:cs="仿宋"/>
          <w:b/>
          <w:color w:val="auto"/>
          <w:spacing w:val="6"/>
          <w:sz w:val="32"/>
          <w:szCs w:val="32"/>
          <w:highlight w:val="none"/>
        </w:rPr>
      </w:pPr>
    </w:p>
    <w:p w14:paraId="16709DA3">
      <w:pPr>
        <w:autoSpaceDE w:val="0"/>
        <w:autoSpaceDN w:val="0"/>
        <w:jc w:val="center"/>
        <w:rPr>
          <w:rFonts w:ascii="仿宋" w:hAnsi="仿宋" w:eastAsia="仿宋" w:cs="仿宋"/>
          <w:b/>
          <w:color w:val="auto"/>
          <w:spacing w:val="6"/>
          <w:sz w:val="32"/>
          <w:szCs w:val="32"/>
          <w:highlight w:val="none"/>
        </w:rPr>
      </w:pPr>
    </w:p>
    <w:p w14:paraId="2241D70C">
      <w:pPr>
        <w:autoSpaceDE w:val="0"/>
        <w:autoSpaceDN w:val="0"/>
        <w:jc w:val="center"/>
        <w:rPr>
          <w:rFonts w:ascii="仿宋" w:hAnsi="仿宋" w:eastAsia="仿宋" w:cs="仿宋"/>
          <w:b/>
          <w:color w:val="auto"/>
          <w:spacing w:val="6"/>
          <w:sz w:val="32"/>
          <w:szCs w:val="32"/>
          <w:highlight w:val="none"/>
        </w:rPr>
      </w:pPr>
    </w:p>
    <w:p w14:paraId="6BFEFFBD">
      <w:pPr>
        <w:autoSpaceDE w:val="0"/>
        <w:autoSpaceDN w:val="0"/>
        <w:jc w:val="center"/>
        <w:rPr>
          <w:rFonts w:ascii="仿宋" w:hAnsi="仿宋" w:eastAsia="仿宋" w:cs="仿宋"/>
          <w:b/>
          <w:color w:val="auto"/>
          <w:spacing w:val="6"/>
          <w:sz w:val="32"/>
          <w:szCs w:val="32"/>
          <w:highlight w:val="none"/>
        </w:rPr>
      </w:pPr>
    </w:p>
    <w:p w14:paraId="17D7DD55">
      <w:pPr>
        <w:autoSpaceDE w:val="0"/>
        <w:autoSpaceDN w:val="0"/>
        <w:jc w:val="center"/>
        <w:rPr>
          <w:rFonts w:ascii="仿宋" w:hAnsi="仿宋" w:eastAsia="仿宋" w:cs="仿宋"/>
          <w:b/>
          <w:color w:val="auto"/>
          <w:spacing w:val="6"/>
          <w:sz w:val="32"/>
          <w:szCs w:val="32"/>
          <w:highlight w:val="none"/>
        </w:rPr>
      </w:pPr>
    </w:p>
    <w:p w14:paraId="6A0E0636">
      <w:pPr>
        <w:autoSpaceDE w:val="0"/>
        <w:autoSpaceDN w:val="0"/>
        <w:jc w:val="center"/>
        <w:rPr>
          <w:rFonts w:ascii="仿宋" w:hAnsi="仿宋" w:eastAsia="仿宋" w:cs="仿宋"/>
          <w:b/>
          <w:color w:val="auto"/>
          <w:spacing w:val="6"/>
          <w:sz w:val="32"/>
          <w:szCs w:val="32"/>
          <w:highlight w:val="none"/>
        </w:rPr>
      </w:pPr>
    </w:p>
    <w:p w14:paraId="4F39729F">
      <w:pPr>
        <w:autoSpaceDE w:val="0"/>
        <w:autoSpaceDN w:val="0"/>
        <w:jc w:val="center"/>
        <w:rPr>
          <w:rFonts w:ascii="仿宋" w:hAnsi="仿宋" w:eastAsia="仿宋" w:cs="仿宋"/>
          <w:b/>
          <w:color w:val="auto"/>
          <w:spacing w:val="6"/>
          <w:sz w:val="32"/>
          <w:szCs w:val="32"/>
          <w:highlight w:val="none"/>
        </w:rPr>
      </w:pPr>
    </w:p>
    <w:p w14:paraId="583FC53F">
      <w:pPr>
        <w:autoSpaceDE w:val="0"/>
        <w:autoSpaceDN w:val="0"/>
        <w:jc w:val="center"/>
        <w:rPr>
          <w:rFonts w:ascii="仿宋" w:hAnsi="仿宋" w:eastAsia="仿宋" w:cs="仿宋"/>
          <w:b/>
          <w:color w:val="auto"/>
          <w:spacing w:val="6"/>
          <w:sz w:val="32"/>
          <w:szCs w:val="32"/>
          <w:highlight w:val="none"/>
        </w:rPr>
      </w:pPr>
    </w:p>
    <w:p w14:paraId="03EB7E3F">
      <w:pPr>
        <w:autoSpaceDE w:val="0"/>
        <w:autoSpaceDN w:val="0"/>
        <w:jc w:val="center"/>
        <w:rPr>
          <w:rFonts w:ascii="仿宋" w:hAnsi="仿宋" w:eastAsia="仿宋" w:cs="仿宋"/>
          <w:b/>
          <w:color w:val="auto"/>
          <w:spacing w:val="6"/>
          <w:sz w:val="32"/>
          <w:szCs w:val="32"/>
          <w:highlight w:val="none"/>
        </w:rPr>
      </w:pPr>
    </w:p>
    <w:p w14:paraId="3DD77E43">
      <w:pPr>
        <w:autoSpaceDE w:val="0"/>
        <w:autoSpaceDN w:val="0"/>
        <w:jc w:val="center"/>
        <w:rPr>
          <w:rFonts w:ascii="仿宋" w:hAnsi="仿宋" w:eastAsia="仿宋" w:cs="仿宋"/>
          <w:b/>
          <w:color w:val="auto"/>
          <w:spacing w:val="6"/>
          <w:sz w:val="32"/>
          <w:szCs w:val="32"/>
          <w:highlight w:val="none"/>
        </w:rPr>
      </w:pPr>
    </w:p>
    <w:p w14:paraId="419E9415">
      <w:pPr>
        <w:autoSpaceDE w:val="0"/>
        <w:autoSpaceDN w:val="0"/>
        <w:jc w:val="center"/>
        <w:rPr>
          <w:rFonts w:ascii="仿宋" w:hAnsi="仿宋" w:eastAsia="仿宋" w:cs="仿宋"/>
          <w:b/>
          <w:color w:val="auto"/>
          <w:spacing w:val="6"/>
          <w:sz w:val="32"/>
          <w:szCs w:val="32"/>
          <w:highlight w:val="none"/>
        </w:rPr>
      </w:pPr>
    </w:p>
    <w:p w14:paraId="29E0E1C9">
      <w:pPr>
        <w:autoSpaceDE w:val="0"/>
        <w:autoSpaceDN w:val="0"/>
        <w:jc w:val="center"/>
        <w:rPr>
          <w:rFonts w:ascii="仿宋" w:hAnsi="仿宋" w:eastAsia="仿宋" w:cs="仿宋"/>
          <w:b/>
          <w:color w:val="auto"/>
          <w:spacing w:val="6"/>
          <w:sz w:val="32"/>
          <w:szCs w:val="32"/>
          <w:highlight w:val="none"/>
        </w:rPr>
      </w:pPr>
    </w:p>
    <w:p w14:paraId="6A604A9C">
      <w:pPr>
        <w:autoSpaceDE w:val="0"/>
        <w:autoSpaceDN w:val="0"/>
        <w:jc w:val="center"/>
        <w:rPr>
          <w:rFonts w:ascii="仿宋" w:hAnsi="仿宋" w:eastAsia="仿宋" w:cs="仿宋"/>
          <w:b/>
          <w:color w:val="auto"/>
          <w:spacing w:val="6"/>
          <w:sz w:val="32"/>
          <w:szCs w:val="32"/>
          <w:highlight w:val="none"/>
        </w:rPr>
      </w:pPr>
    </w:p>
    <w:p w14:paraId="646FDD89">
      <w:pPr>
        <w:autoSpaceDE w:val="0"/>
        <w:autoSpaceDN w:val="0"/>
        <w:jc w:val="center"/>
        <w:rPr>
          <w:rFonts w:ascii="仿宋" w:hAnsi="仿宋" w:eastAsia="仿宋" w:cs="仿宋"/>
          <w:b/>
          <w:color w:val="auto"/>
          <w:spacing w:val="6"/>
          <w:sz w:val="32"/>
          <w:szCs w:val="32"/>
          <w:highlight w:val="none"/>
        </w:rPr>
      </w:pPr>
    </w:p>
    <w:p w14:paraId="08F0382A">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1FE3EFA8">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606EEA4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051206D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1B5FDF2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1CF375F9">
      <w:pPr>
        <w:rPr>
          <w:rFonts w:ascii="仿宋" w:hAnsi="仿宋" w:eastAsia="仿宋" w:cs="仿宋"/>
          <w:color w:val="auto"/>
          <w:highlight w:val="none"/>
        </w:rPr>
      </w:pPr>
      <w:r>
        <w:rPr>
          <w:rFonts w:hint="eastAsia" w:ascii="仿宋" w:hAnsi="仿宋" w:eastAsia="仿宋" w:cs="仿宋"/>
          <w:color w:val="auto"/>
          <w:highlight w:val="none"/>
        </w:rPr>
        <w:t>……</w:t>
      </w:r>
    </w:p>
    <w:p w14:paraId="7AAC66E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4BA427D8">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D52409F">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30" w:name="_Hlk101133173"/>
      <w:r>
        <w:rPr>
          <w:rFonts w:hint="eastAsia" w:ascii="仿宋" w:hAnsi="仿宋" w:eastAsia="仿宋" w:cs="仿宋"/>
          <w:color w:val="auto"/>
          <w:sz w:val="24"/>
          <w:highlight w:val="none"/>
        </w:rPr>
        <w:t>中小企业合同金额达到%，小微企业合同金额达到%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430"/>
    </w:p>
    <w:p w14:paraId="2C69BFD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780019E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0F37A80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7EBDBA09">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2BCFD0D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68BF7A6D">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2149CD2B">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6A058E78">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75E3C98">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14:paraId="144AFFBC">
      <w:pPr>
        <w:rPr>
          <w:rFonts w:ascii="仿宋" w:hAnsi="仿宋" w:eastAsia="仿宋" w:cs="仿宋"/>
          <w:b/>
          <w:color w:val="auto"/>
          <w:spacing w:val="6"/>
          <w:sz w:val="32"/>
          <w:szCs w:val="32"/>
          <w:highlight w:val="none"/>
        </w:rPr>
      </w:pPr>
      <w:r>
        <w:rPr>
          <w:rFonts w:hint="eastAsia" w:ascii="仿宋" w:hAnsi="仿宋" w:eastAsia="仿宋" w:cs="仿宋"/>
          <w:color w:val="auto"/>
          <w:sz w:val="24"/>
          <w:highlight w:val="none"/>
        </w:rPr>
        <w:t>注：按本格式和要求提供。</w:t>
      </w:r>
      <w:r>
        <w:rPr>
          <w:rFonts w:hint="eastAsia" w:ascii="仿宋" w:hAnsi="仿宋" w:eastAsia="仿宋" w:cs="仿宋"/>
          <w:b/>
          <w:color w:val="auto"/>
          <w:spacing w:val="6"/>
          <w:sz w:val="32"/>
          <w:szCs w:val="32"/>
          <w:highlight w:val="none"/>
        </w:rPr>
        <w:br w:type="page"/>
      </w:r>
    </w:p>
    <w:p w14:paraId="0F84DA37">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附件7：</w:t>
      </w:r>
      <w:r>
        <w:rPr>
          <w:rFonts w:hint="eastAsia" w:ascii="仿宋" w:hAnsi="仿宋" w:eastAsia="仿宋" w:cs="仿宋"/>
          <w:b/>
          <w:color w:val="auto"/>
          <w:sz w:val="32"/>
          <w:szCs w:val="32"/>
          <w:highlight w:val="none"/>
        </w:rPr>
        <w:t>中小企业声明函</w:t>
      </w:r>
    </w:p>
    <w:p w14:paraId="088A231A">
      <w:pPr>
        <w:spacing w:line="360" w:lineRule="auto"/>
        <w:jc w:val="center"/>
        <w:rPr>
          <w:rFonts w:hint="eastAsia" w:ascii="仿宋_GB2312" w:hAnsi="宋体" w:eastAsia="仿宋_GB2312"/>
          <w:b/>
          <w:color w:val="auto"/>
          <w:sz w:val="32"/>
          <w:szCs w:val="32"/>
          <w:highlight w:val="none"/>
        </w:rPr>
      </w:pPr>
    </w:p>
    <w:p w14:paraId="6E7C23C4">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14:paraId="1A76814A">
      <w:pPr>
        <w:spacing w:line="360" w:lineRule="auto"/>
        <w:jc w:val="center"/>
        <w:rPr>
          <w:rFonts w:ascii="仿宋" w:hAnsi="仿宋" w:eastAsia="仿宋" w:cs="仿宋"/>
          <w:b/>
          <w:color w:val="auto"/>
          <w:sz w:val="32"/>
          <w:szCs w:val="32"/>
          <w:highlight w:val="none"/>
        </w:rPr>
      </w:pPr>
    </w:p>
    <w:p w14:paraId="09B8D971">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rPr>
        <w:t>杭州市第三人民医院</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eastAsia="zh-CN"/>
        </w:rPr>
        <w:t>制剂包装材料玻璃内包材采购</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14:paraId="001B464A">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 w:hAnsi="仿宋" w:eastAsia="仿宋" w:cs="仿宋"/>
          <w:color w:val="auto"/>
          <w:kern w:val="0"/>
          <w:sz w:val="24"/>
          <w:highlight w:val="none"/>
          <w:u w:val="single"/>
          <w:lang w:val="en-US" w:eastAsia="zh-CN"/>
        </w:rPr>
        <w:t>钠钙玻璃管制口服液体瓶套装（B型）</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工业</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14:paraId="3DF95FA2">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rFonts w:hint="eastAsia" w:ascii="仿宋" w:hAnsi="仿宋" w:eastAsia="仿宋" w:cs="仿宋"/>
          <w:color w:val="auto"/>
          <w:kern w:val="0"/>
          <w:sz w:val="24"/>
          <w:highlight w:val="none"/>
          <w:u w:val="single"/>
          <w:lang w:val="en-US" w:eastAsia="zh-CN"/>
        </w:rPr>
        <w:t>钠钙玻璃管制口服液体瓶套装（C型）</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工业</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14:paraId="0E68F923">
      <w:pPr>
        <w:spacing w:line="360" w:lineRule="auto"/>
        <w:ind w:firstLine="480" w:firstLineChars="200"/>
        <w:rPr>
          <w:rFonts w:hint="eastAsia" w:ascii="仿宋_GB2312" w:hAnsi="宋体" w:eastAsia="仿宋_GB2312"/>
          <w:color w:val="auto"/>
          <w:sz w:val="24"/>
          <w:highlight w:val="none"/>
        </w:rPr>
      </w:pPr>
    </w:p>
    <w:p w14:paraId="2F39583B">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14:paraId="1AAC79D0">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14:paraId="375BDD5E">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14:paraId="130563D9">
      <w:pPr>
        <w:ind w:right="30" w:firstLine="494"/>
        <w:jc w:val="center"/>
        <w:rPr>
          <w:rFonts w:ascii="仿宋" w:hAnsi="仿宋" w:eastAsia="仿宋" w:cs="宋体"/>
          <w:color w:val="auto"/>
          <w:sz w:val="24"/>
          <w:highlight w:val="none"/>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年</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月</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日</w:t>
      </w:r>
    </w:p>
    <w:p w14:paraId="7A2EB2D9">
      <w:pPr>
        <w:snapToGrid w:val="0"/>
        <w:spacing w:line="360" w:lineRule="auto"/>
        <w:rPr>
          <w:rFonts w:ascii="仿宋_GB2312" w:hAnsi="仿宋" w:eastAsia="仿宋_GB2312" w:cs="仿宋_GB2312"/>
          <w:color w:val="auto"/>
          <w:kern w:val="0"/>
          <w:sz w:val="24"/>
          <w:highlight w:val="none"/>
          <w:lang w:val="zh-CN"/>
        </w:rPr>
      </w:pPr>
    </w:p>
    <w:p w14:paraId="0808A98B">
      <w:pPr>
        <w:spacing w:line="360" w:lineRule="auto"/>
        <w:jc w:val="left"/>
        <w:rPr>
          <w:rFonts w:ascii="仿宋_GB2312" w:hAnsi="宋体" w:eastAsia="仿宋_GB2312"/>
          <w:color w:val="auto"/>
          <w:sz w:val="18"/>
          <w:szCs w:val="18"/>
          <w:highlight w:val="none"/>
        </w:rPr>
      </w:pPr>
    </w:p>
    <w:p w14:paraId="2F02D2F3">
      <w:pPr>
        <w:spacing w:line="360" w:lineRule="auto"/>
        <w:ind w:right="420" w:firstLine="480" w:firstLineChars="20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注：</w:t>
      </w:r>
      <w:r>
        <w:rPr>
          <w:rFonts w:hint="eastAsia" w:ascii="仿宋_GB2312" w:hAnsi="仿宋" w:eastAsia="仿宋_GB2312" w:cs="仿宋_GB2312"/>
          <w:b/>
          <w:bCs/>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p>
    <w:p w14:paraId="679D22CA">
      <w:pPr>
        <w:spacing w:line="360" w:lineRule="auto"/>
        <w:ind w:right="420" w:firstLine="482" w:firstLineChars="200"/>
        <w:rPr>
          <w:rFonts w:hint="default" w:ascii="仿宋_GB2312" w:hAnsi="仿宋" w:eastAsia="仿宋_GB2312" w:cs="仿宋_GB2312"/>
          <w:b/>
          <w:bCs/>
          <w:color w:val="auto"/>
          <w:sz w:val="24"/>
          <w:highlight w:val="none"/>
          <w:u w:val="single"/>
          <w:lang w:val="en-US" w:eastAsia="zh-CN"/>
        </w:rPr>
      </w:pPr>
      <w:r>
        <w:rPr>
          <w:rFonts w:hint="eastAsia" w:ascii="仿宋_GB2312" w:hAnsi="仿宋" w:eastAsia="仿宋_GB2312" w:cs="仿宋_GB2312"/>
          <w:b/>
          <w:bCs/>
          <w:color w:val="auto"/>
          <w:sz w:val="24"/>
          <w:highlight w:val="none"/>
          <w:u w:val="single"/>
          <w:lang w:val="en-US" w:eastAsia="zh-CN"/>
        </w:rPr>
        <w:t>各投标人务必按照本文件“第三部分 采购需求”中“二、采购清单”所列内容逐项填写。</w:t>
      </w:r>
    </w:p>
    <w:p w14:paraId="62BDF5C8">
      <w:pPr>
        <w:spacing w:line="360" w:lineRule="auto"/>
        <w:ind w:right="420" w:firstLine="480" w:firstLineChars="200"/>
        <w:rPr>
          <w:rFonts w:ascii="仿宋" w:hAnsi="仿宋" w:eastAsia="仿宋" w:cs="仿宋"/>
          <w:b/>
          <w:color w:val="auto"/>
          <w:sz w:val="32"/>
          <w:szCs w:val="32"/>
          <w:highlight w:val="none"/>
        </w:rPr>
      </w:pPr>
      <w:r>
        <w:rPr>
          <w:rFonts w:hint="eastAsia" w:ascii="仿宋_GB2312" w:hAnsi="仿宋" w:eastAsia="仿宋_GB2312" w:cs="仿宋_GB2312"/>
          <w:color w:val="auto"/>
          <w:sz w:val="24"/>
          <w:highlight w:val="none"/>
        </w:rPr>
        <w:t>2.符合《关于促进残疾人就业政府采购政策的通知》（财库〔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33B3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C429C">
    <w:pPr>
      <w:pStyle w:val="39"/>
      <w:framePr w:wrap="around" w:vAnchor="text" w:hAnchor="margin" w:xAlign="right" w:y="1"/>
      <w:rPr>
        <w:rStyle w:val="72"/>
      </w:rPr>
    </w:pPr>
    <w:r>
      <w:fldChar w:fldCharType="begin"/>
    </w:r>
    <w:r>
      <w:rPr>
        <w:rStyle w:val="72"/>
      </w:rPr>
      <w:instrText xml:space="preserve">PAGE  </w:instrText>
    </w:r>
    <w:r>
      <w:fldChar w:fldCharType="end"/>
    </w:r>
  </w:p>
  <w:p w14:paraId="2BD1EF4B">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A715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92CA8">
    <w:pPr>
      <w:pStyle w:val="39"/>
      <w:tabs>
        <w:tab w:val="left" w:pos="900"/>
        <w:tab w:val="clear" w:pos="4153"/>
        <w:tab w:val="clear" w:pos="8306"/>
      </w:tabs>
      <w:jc w:val="center"/>
      <w:rPr>
        <w:rFonts w:ascii="仿宋" w:hAnsi="仿宋" w:eastAsia="仿宋" w:cs="仿宋"/>
      </w:rPr>
    </w:pPr>
    <w:r>
      <w:rPr>
        <w:rFonts w:hint="eastAsia" w:ascii="仿宋" w:hAnsi="仿宋" w:eastAsia="仿宋" w:cs="仿宋"/>
      </w:rPr>
      <w:fldChar w:fldCharType="begin"/>
    </w:r>
    <w:r>
      <w:rPr>
        <w:rStyle w:val="72"/>
        <w:rFonts w:hint="eastAsia" w:ascii="仿宋" w:hAnsi="仿宋" w:eastAsia="仿宋" w:cs="仿宋"/>
      </w:rPr>
      <w:instrText xml:space="preserve"> PAGE </w:instrText>
    </w:r>
    <w:r>
      <w:rPr>
        <w:rFonts w:hint="eastAsia" w:ascii="仿宋" w:hAnsi="仿宋" w:eastAsia="仿宋" w:cs="仿宋"/>
      </w:rPr>
      <w:fldChar w:fldCharType="separate"/>
    </w:r>
    <w:r>
      <w:rPr>
        <w:rStyle w:val="72"/>
        <w:rFonts w:ascii="仿宋" w:hAnsi="仿宋" w:eastAsia="仿宋" w:cs="仿宋"/>
      </w:rPr>
      <w:t>29</w:t>
    </w:r>
    <w:r>
      <w:rPr>
        <w:rFonts w:hint="eastAsia" w:ascii="仿宋" w:hAnsi="仿宋" w:eastAsia="仿宋" w:cs="仿宋"/>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33E1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1ABDAAC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D990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3B87FDC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5484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29A63">
    <w:pPr>
      <w:pStyle w:val="39"/>
      <w:framePr w:wrap="around" w:vAnchor="text" w:hAnchor="margin" w:xAlign="right" w:y="1"/>
      <w:rPr>
        <w:rStyle w:val="72"/>
      </w:rPr>
    </w:pPr>
    <w:r>
      <w:fldChar w:fldCharType="begin"/>
    </w:r>
    <w:r>
      <w:rPr>
        <w:rStyle w:val="72"/>
      </w:rPr>
      <w:instrText xml:space="preserve">PAGE  </w:instrText>
    </w:r>
    <w:r>
      <w:fldChar w:fldCharType="end"/>
    </w:r>
  </w:p>
  <w:p w14:paraId="57F7D2EC">
    <w:pPr>
      <w:pStyle w:val="3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1621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431" w:name="_Toc36110187"/>
    <w:bookmarkStart w:id="432" w:name="_Toc164085800"/>
    <w:bookmarkStart w:id="433" w:name="_Toc131845147"/>
    <w:bookmarkStart w:id="434" w:name="_Toc91899912"/>
    <w:r>
      <w:rPr>
        <w:rFonts w:hint="eastAsia" w:ascii="仿宋_GB2312" w:eastAsia="仿宋_GB2312"/>
        <w:kern w:val="0"/>
        <w:szCs w:val="21"/>
      </w:rPr>
      <w:t xml:space="preserve"> 页</w:t>
    </w:r>
    <w:bookmarkEnd w:id="431"/>
    <w:bookmarkEnd w:id="432"/>
    <w:bookmarkEnd w:id="433"/>
    <w:bookmarkEnd w:id="43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F15C1">
    <w:pPr>
      <w:pStyle w:val="40"/>
      <w:pBdr>
        <w:bottom w:val="single" w:color="auto" w:sz="6" w:space="4"/>
      </w:pBdr>
      <w:jc w:val="right"/>
      <w:rPr>
        <w:rFonts w:ascii="仿宋_GB2312" w:eastAsia="仿宋_GB2312"/>
        <w:i/>
        <w:u w:val="single"/>
      </w:rPr>
    </w:pPr>
    <w:r>
      <w:t></w:t>
    </w:r>
    <w:r>
      <w:rPr>
        <w:rFonts w:hint="eastAsia"/>
        <w:lang w:eastAsia="zh-CN"/>
      </w:rPr>
      <w:t>杭州市第三人民医院</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2C297">
    <w:pPr>
      <w:pStyle w:val="40"/>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5733E">
    <w:pPr>
      <w:pStyle w:val="4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45BDF">
    <w:pPr>
      <w:pStyle w:val="40"/>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318DB">
    <w:pPr>
      <w:pStyle w:val="40"/>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89C9C"/>
    <w:multiLevelType w:val="singleLevel"/>
    <w:tmpl w:val="90089C9C"/>
    <w:lvl w:ilvl="0" w:tentative="0">
      <w:start w:val="5"/>
      <w:numFmt w:val="decimal"/>
      <w:suff w:val="nothing"/>
      <w:lvlText w:val="%1、"/>
      <w:lvlJc w:val="left"/>
    </w:lvl>
  </w:abstractNum>
  <w:abstractNum w:abstractNumId="1">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2">
    <w:nsid w:val="A5A1B6F4"/>
    <w:multiLevelType w:val="singleLevel"/>
    <w:tmpl w:val="A5A1B6F4"/>
    <w:lvl w:ilvl="0" w:tentative="0">
      <w:start w:val="3"/>
      <w:numFmt w:val="decimal"/>
      <w:suff w:val="nothing"/>
      <w:lvlText w:val="%1、"/>
      <w:lvlJc w:val="left"/>
    </w:lvl>
  </w:abstractNum>
  <w:abstractNum w:abstractNumId="3">
    <w:nsid w:val="A9C1E5EE"/>
    <w:multiLevelType w:val="singleLevel"/>
    <w:tmpl w:val="A9C1E5EE"/>
    <w:lvl w:ilvl="0" w:tentative="0">
      <w:start w:val="5"/>
      <w:numFmt w:val="chineseCounting"/>
      <w:suff w:val="nothing"/>
      <w:lvlText w:val="%1、"/>
      <w:lvlJc w:val="left"/>
      <w:rPr>
        <w:rFonts w:hint="eastAsia"/>
      </w:rPr>
    </w:lvl>
  </w:abstractNum>
  <w:abstractNum w:abstractNumId="4">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5">
    <w:nsid w:val="C180C4F3"/>
    <w:multiLevelType w:val="singleLevel"/>
    <w:tmpl w:val="C180C4F3"/>
    <w:lvl w:ilvl="0" w:tentative="0">
      <w:start w:val="1"/>
      <w:numFmt w:val="decimal"/>
      <w:lvlText w:val="%1."/>
      <w:lvlJc w:val="left"/>
      <w:pPr>
        <w:tabs>
          <w:tab w:val="left" w:pos="312"/>
        </w:tabs>
      </w:pPr>
    </w:lvl>
  </w:abstractNum>
  <w:abstractNum w:abstractNumId="6">
    <w:nsid w:val="C772AB16"/>
    <w:multiLevelType w:val="singleLevel"/>
    <w:tmpl w:val="C772AB16"/>
    <w:lvl w:ilvl="0" w:tentative="0">
      <w:start w:val="1"/>
      <w:numFmt w:val="decimal"/>
      <w:suff w:val="nothing"/>
      <w:lvlText w:val="（%1）"/>
      <w:lvlJc w:val="left"/>
    </w:lvl>
  </w:abstractNum>
  <w:abstractNum w:abstractNumId="7">
    <w:nsid w:val="D9EC99C5"/>
    <w:multiLevelType w:val="singleLevel"/>
    <w:tmpl w:val="D9EC99C5"/>
    <w:lvl w:ilvl="0" w:tentative="0">
      <w:start w:val="1"/>
      <w:numFmt w:val="decimal"/>
      <w:lvlText w:val="(%1)"/>
      <w:lvlJc w:val="left"/>
      <w:pPr>
        <w:ind w:left="425" w:hanging="425"/>
      </w:pPr>
      <w:rPr>
        <w:rFonts w:hint="default"/>
      </w:rPr>
    </w:lvl>
  </w:abstractNum>
  <w:abstractNum w:abstractNumId="8">
    <w:nsid w:val="E53E6617"/>
    <w:multiLevelType w:val="singleLevel"/>
    <w:tmpl w:val="E53E6617"/>
    <w:lvl w:ilvl="0" w:tentative="0">
      <w:start w:val="3"/>
      <w:numFmt w:val="chineseCounting"/>
      <w:suff w:val="space"/>
      <w:lvlText w:val="第%1部分"/>
      <w:lvlJc w:val="left"/>
      <w:rPr>
        <w:rFonts w:hint="eastAsia"/>
      </w:rPr>
    </w:lvl>
  </w:abstractNum>
  <w:abstractNum w:abstractNumId="9">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FD2EDBD1"/>
    <w:multiLevelType w:val="singleLevel"/>
    <w:tmpl w:val="FD2EDBD1"/>
    <w:lvl w:ilvl="0" w:tentative="0">
      <w:start w:val="1"/>
      <w:numFmt w:val="decimal"/>
      <w:suff w:val="nothing"/>
      <w:lvlText w:val="（%1）"/>
      <w:lvlJc w:val="left"/>
    </w:lvl>
  </w:abstractNum>
  <w:abstractNum w:abstractNumId="11">
    <w:nsid w:val="0050E3BF"/>
    <w:multiLevelType w:val="singleLevel"/>
    <w:tmpl w:val="0050E3BF"/>
    <w:lvl w:ilvl="0" w:tentative="0">
      <w:start w:val="1"/>
      <w:numFmt w:val="decimal"/>
      <w:suff w:val="nothing"/>
      <w:lvlText w:val="（%1）"/>
      <w:lvlJc w:val="left"/>
    </w:lvl>
  </w:abstractNum>
  <w:abstractNum w:abstractNumId="12">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36B7B1F4"/>
    <w:multiLevelType w:val="singleLevel"/>
    <w:tmpl w:val="36B7B1F4"/>
    <w:lvl w:ilvl="0" w:tentative="0">
      <w:start w:val="1"/>
      <w:numFmt w:val="decimal"/>
      <w:suff w:val="nothing"/>
      <w:lvlText w:val="（%1）"/>
      <w:lvlJc w:val="left"/>
    </w:lvl>
  </w:abstractNum>
  <w:abstractNum w:abstractNumId="14">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513F8985"/>
    <w:multiLevelType w:val="singleLevel"/>
    <w:tmpl w:val="513F8985"/>
    <w:lvl w:ilvl="0" w:tentative="0">
      <w:start w:val="1"/>
      <w:numFmt w:val="decimal"/>
      <w:lvlText w:val="(%1)"/>
      <w:lvlJc w:val="left"/>
      <w:pPr>
        <w:ind w:left="425" w:hanging="425"/>
      </w:pPr>
      <w:rPr>
        <w:rFonts w:hint="default"/>
      </w:rPr>
    </w:lvl>
  </w:abstractNum>
  <w:abstractNum w:abstractNumId="16">
    <w:nsid w:val="57B7ED16"/>
    <w:multiLevelType w:val="singleLevel"/>
    <w:tmpl w:val="57B7ED16"/>
    <w:lvl w:ilvl="0" w:tentative="0">
      <w:start w:val="1"/>
      <w:numFmt w:val="decimal"/>
      <w:suff w:val="nothing"/>
      <w:lvlText w:val="（%1）"/>
      <w:lvlJc w:val="left"/>
    </w:lvl>
  </w:abstractNum>
  <w:abstractNum w:abstractNumId="17">
    <w:nsid w:val="67820A28"/>
    <w:multiLevelType w:val="singleLevel"/>
    <w:tmpl w:val="67820A28"/>
    <w:lvl w:ilvl="0" w:tentative="0">
      <w:start w:val="1"/>
      <w:numFmt w:val="decimal"/>
      <w:suff w:val="nothing"/>
      <w:lvlText w:val="（%1）"/>
      <w:lvlJc w:val="left"/>
    </w:lvl>
  </w:abstractNum>
  <w:abstractNum w:abstractNumId="18">
    <w:nsid w:val="686A4266"/>
    <w:multiLevelType w:val="singleLevel"/>
    <w:tmpl w:val="686A4266"/>
    <w:lvl w:ilvl="0" w:tentative="0">
      <w:start w:val="1"/>
      <w:numFmt w:val="decimal"/>
      <w:suff w:val="nothing"/>
      <w:lvlText w:val="（%1）"/>
      <w:lvlJc w:val="left"/>
    </w:lvl>
  </w:abstractNum>
  <w:abstractNum w:abstractNumId="19">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3"/>
  </w:num>
  <w:num w:numId="2">
    <w:abstractNumId w:val="4"/>
  </w:num>
  <w:num w:numId="3">
    <w:abstractNumId w:val="7"/>
  </w:num>
  <w:num w:numId="4">
    <w:abstractNumId w:val="14"/>
  </w:num>
  <w:num w:numId="5">
    <w:abstractNumId w:val="8"/>
  </w:num>
  <w:num w:numId="6">
    <w:abstractNumId w:val="2"/>
  </w:num>
  <w:num w:numId="7">
    <w:abstractNumId w:val="0"/>
  </w:num>
  <w:num w:numId="8">
    <w:abstractNumId w:val="5"/>
  </w:num>
  <w:num w:numId="9">
    <w:abstractNumId w:val="11"/>
  </w:num>
  <w:num w:numId="10">
    <w:abstractNumId w:val="16"/>
  </w:num>
  <w:num w:numId="11">
    <w:abstractNumId w:val="13"/>
  </w:num>
  <w:num w:numId="12">
    <w:abstractNumId w:val="18"/>
  </w:num>
  <w:num w:numId="13">
    <w:abstractNumId w:val="6"/>
  </w:num>
  <w:num w:numId="14">
    <w:abstractNumId w:val="10"/>
  </w:num>
  <w:num w:numId="15">
    <w:abstractNumId w:val="1"/>
  </w:num>
  <w:num w:numId="16">
    <w:abstractNumId w:val="19"/>
  </w:num>
  <w:num w:numId="17">
    <w:abstractNumId w:val="9"/>
  </w:num>
  <w:num w:numId="18">
    <w:abstractNumId w:val="17"/>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M2I4ODQwOWI1ZGNkYmM1MDNiOTJkNjIwNGUwYTE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A03"/>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05"/>
    <w:rsid w:val="000A3FE3"/>
    <w:rsid w:val="000A47B0"/>
    <w:rsid w:val="000A4851"/>
    <w:rsid w:val="000A49BB"/>
    <w:rsid w:val="000A4D1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1FF9"/>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9AB"/>
    <w:rsid w:val="000E5B7E"/>
    <w:rsid w:val="000E5FF9"/>
    <w:rsid w:val="000E6489"/>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AE9"/>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59"/>
    <w:rsid w:val="00153915"/>
    <w:rsid w:val="001539F0"/>
    <w:rsid w:val="00154BBA"/>
    <w:rsid w:val="00155351"/>
    <w:rsid w:val="001554C8"/>
    <w:rsid w:val="00155B95"/>
    <w:rsid w:val="00156853"/>
    <w:rsid w:val="00157432"/>
    <w:rsid w:val="00161185"/>
    <w:rsid w:val="001620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3FF6"/>
    <w:rsid w:val="001741DC"/>
    <w:rsid w:val="00174C4F"/>
    <w:rsid w:val="00174F57"/>
    <w:rsid w:val="00175078"/>
    <w:rsid w:val="001755DC"/>
    <w:rsid w:val="00176AA6"/>
    <w:rsid w:val="00177063"/>
    <w:rsid w:val="001771A1"/>
    <w:rsid w:val="001775B5"/>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005"/>
    <w:rsid w:val="001A3335"/>
    <w:rsid w:val="001A39AD"/>
    <w:rsid w:val="001A473A"/>
    <w:rsid w:val="001A4ED9"/>
    <w:rsid w:val="001A5785"/>
    <w:rsid w:val="001A5FD7"/>
    <w:rsid w:val="001A66A6"/>
    <w:rsid w:val="001A6AF6"/>
    <w:rsid w:val="001A6BAF"/>
    <w:rsid w:val="001A6BBB"/>
    <w:rsid w:val="001A79A2"/>
    <w:rsid w:val="001B06A6"/>
    <w:rsid w:val="001B13BF"/>
    <w:rsid w:val="001B16F5"/>
    <w:rsid w:val="001B174F"/>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1EF"/>
    <w:rsid w:val="001D29A4"/>
    <w:rsid w:val="001D2B73"/>
    <w:rsid w:val="001D3081"/>
    <w:rsid w:val="001D3136"/>
    <w:rsid w:val="001D330D"/>
    <w:rsid w:val="001D4AB6"/>
    <w:rsid w:val="001D4AD3"/>
    <w:rsid w:val="001D5281"/>
    <w:rsid w:val="001E17E3"/>
    <w:rsid w:val="001E1A51"/>
    <w:rsid w:val="001E2052"/>
    <w:rsid w:val="001E2492"/>
    <w:rsid w:val="001E257C"/>
    <w:rsid w:val="001E286C"/>
    <w:rsid w:val="001E2F34"/>
    <w:rsid w:val="001E35EE"/>
    <w:rsid w:val="001E4B2C"/>
    <w:rsid w:val="001E507F"/>
    <w:rsid w:val="001E56C2"/>
    <w:rsid w:val="001E59FB"/>
    <w:rsid w:val="001E5DE3"/>
    <w:rsid w:val="001E60C1"/>
    <w:rsid w:val="001E7F81"/>
    <w:rsid w:val="001F0092"/>
    <w:rsid w:val="001F0D9A"/>
    <w:rsid w:val="001F0FD1"/>
    <w:rsid w:val="001F1526"/>
    <w:rsid w:val="001F19D1"/>
    <w:rsid w:val="001F1CB9"/>
    <w:rsid w:val="001F1F18"/>
    <w:rsid w:val="001F2F92"/>
    <w:rsid w:val="001F56C5"/>
    <w:rsid w:val="001F5DA1"/>
    <w:rsid w:val="001F612E"/>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5F26"/>
    <w:rsid w:val="00206698"/>
    <w:rsid w:val="00206736"/>
    <w:rsid w:val="00206C88"/>
    <w:rsid w:val="00210B9C"/>
    <w:rsid w:val="00211185"/>
    <w:rsid w:val="00211A94"/>
    <w:rsid w:val="002126F2"/>
    <w:rsid w:val="00212E1F"/>
    <w:rsid w:val="00213478"/>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35CA"/>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77F"/>
    <w:rsid w:val="00247BA2"/>
    <w:rsid w:val="00250870"/>
    <w:rsid w:val="0025151C"/>
    <w:rsid w:val="0025184F"/>
    <w:rsid w:val="00251967"/>
    <w:rsid w:val="002527CC"/>
    <w:rsid w:val="00252F48"/>
    <w:rsid w:val="002530C0"/>
    <w:rsid w:val="00253586"/>
    <w:rsid w:val="002537FC"/>
    <w:rsid w:val="002539D7"/>
    <w:rsid w:val="002542F8"/>
    <w:rsid w:val="002543EF"/>
    <w:rsid w:val="00254F2A"/>
    <w:rsid w:val="00255784"/>
    <w:rsid w:val="00255A29"/>
    <w:rsid w:val="0025631F"/>
    <w:rsid w:val="00256986"/>
    <w:rsid w:val="00256D61"/>
    <w:rsid w:val="00256E23"/>
    <w:rsid w:val="00257246"/>
    <w:rsid w:val="00257438"/>
    <w:rsid w:val="0026119C"/>
    <w:rsid w:val="00261AFE"/>
    <w:rsid w:val="002620E6"/>
    <w:rsid w:val="0026212A"/>
    <w:rsid w:val="002621D7"/>
    <w:rsid w:val="00262996"/>
    <w:rsid w:val="00263044"/>
    <w:rsid w:val="002630BB"/>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03C"/>
    <w:rsid w:val="002C155E"/>
    <w:rsid w:val="002C1AB3"/>
    <w:rsid w:val="002C1BB7"/>
    <w:rsid w:val="002C1FB3"/>
    <w:rsid w:val="002C2665"/>
    <w:rsid w:val="002C28E1"/>
    <w:rsid w:val="002C327D"/>
    <w:rsid w:val="002C363E"/>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9C5"/>
    <w:rsid w:val="002F4BA9"/>
    <w:rsid w:val="002F541B"/>
    <w:rsid w:val="002F5BFE"/>
    <w:rsid w:val="002F5DA5"/>
    <w:rsid w:val="002F5E17"/>
    <w:rsid w:val="002F61F2"/>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843"/>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B2A"/>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914"/>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68C"/>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C04"/>
    <w:rsid w:val="003D75D8"/>
    <w:rsid w:val="003E006E"/>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79E"/>
    <w:rsid w:val="003F2982"/>
    <w:rsid w:val="003F2BD5"/>
    <w:rsid w:val="003F39C6"/>
    <w:rsid w:val="003F42FF"/>
    <w:rsid w:val="003F4B48"/>
    <w:rsid w:val="003F4DDC"/>
    <w:rsid w:val="003F56B8"/>
    <w:rsid w:val="003F5C0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2EB"/>
    <w:rsid w:val="00457517"/>
    <w:rsid w:val="00457CD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00B"/>
    <w:rsid w:val="00486516"/>
    <w:rsid w:val="0048664F"/>
    <w:rsid w:val="004868AD"/>
    <w:rsid w:val="00486D00"/>
    <w:rsid w:val="00487FE1"/>
    <w:rsid w:val="00490707"/>
    <w:rsid w:val="00490815"/>
    <w:rsid w:val="0049117E"/>
    <w:rsid w:val="00491439"/>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B21"/>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554"/>
    <w:rsid w:val="00524F21"/>
    <w:rsid w:val="005256D6"/>
    <w:rsid w:val="00525AD8"/>
    <w:rsid w:val="00526429"/>
    <w:rsid w:val="005266C1"/>
    <w:rsid w:val="005267F4"/>
    <w:rsid w:val="005269D3"/>
    <w:rsid w:val="00527317"/>
    <w:rsid w:val="00527ED6"/>
    <w:rsid w:val="0053024F"/>
    <w:rsid w:val="00531064"/>
    <w:rsid w:val="005312CB"/>
    <w:rsid w:val="005313B2"/>
    <w:rsid w:val="00531911"/>
    <w:rsid w:val="005319D6"/>
    <w:rsid w:val="00531E92"/>
    <w:rsid w:val="005324D7"/>
    <w:rsid w:val="005326F0"/>
    <w:rsid w:val="00532764"/>
    <w:rsid w:val="00532AA5"/>
    <w:rsid w:val="00532C5F"/>
    <w:rsid w:val="00533233"/>
    <w:rsid w:val="005335A2"/>
    <w:rsid w:val="00533D13"/>
    <w:rsid w:val="00533DEC"/>
    <w:rsid w:val="00534026"/>
    <w:rsid w:val="00534D55"/>
    <w:rsid w:val="00534DF9"/>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2DC"/>
    <w:rsid w:val="00566329"/>
    <w:rsid w:val="005668B9"/>
    <w:rsid w:val="00566E39"/>
    <w:rsid w:val="00566EA9"/>
    <w:rsid w:val="0056704E"/>
    <w:rsid w:val="00567623"/>
    <w:rsid w:val="005701C2"/>
    <w:rsid w:val="00570763"/>
    <w:rsid w:val="00570F64"/>
    <w:rsid w:val="0057200B"/>
    <w:rsid w:val="00572297"/>
    <w:rsid w:val="0057345D"/>
    <w:rsid w:val="0057347D"/>
    <w:rsid w:val="00573560"/>
    <w:rsid w:val="00573E2B"/>
    <w:rsid w:val="005742D4"/>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44C"/>
    <w:rsid w:val="00585623"/>
    <w:rsid w:val="005857F7"/>
    <w:rsid w:val="005865E9"/>
    <w:rsid w:val="005868FD"/>
    <w:rsid w:val="00586FEC"/>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AC"/>
    <w:rsid w:val="005A2848"/>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D2E"/>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4DE"/>
    <w:rsid w:val="006F66FA"/>
    <w:rsid w:val="006F71A6"/>
    <w:rsid w:val="006F7974"/>
    <w:rsid w:val="006F7C2C"/>
    <w:rsid w:val="006F7FD5"/>
    <w:rsid w:val="00700405"/>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4674"/>
    <w:rsid w:val="0074592C"/>
    <w:rsid w:val="00745C91"/>
    <w:rsid w:val="00746098"/>
    <w:rsid w:val="00746D58"/>
    <w:rsid w:val="00747578"/>
    <w:rsid w:val="00747A0D"/>
    <w:rsid w:val="00750D12"/>
    <w:rsid w:val="00751073"/>
    <w:rsid w:val="0075194C"/>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2943"/>
    <w:rsid w:val="00773098"/>
    <w:rsid w:val="00773916"/>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8C7"/>
    <w:rsid w:val="007C60A8"/>
    <w:rsid w:val="007C660F"/>
    <w:rsid w:val="007C6664"/>
    <w:rsid w:val="007C66FF"/>
    <w:rsid w:val="007C69AE"/>
    <w:rsid w:val="007C6FE9"/>
    <w:rsid w:val="007C7688"/>
    <w:rsid w:val="007C76E3"/>
    <w:rsid w:val="007C76F3"/>
    <w:rsid w:val="007C7CD8"/>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2FD"/>
    <w:rsid w:val="007E0595"/>
    <w:rsid w:val="007E0A63"/>
    <w:rsid w:val="007E0C63"/>
    <w:rsid w:val="007E0E05"/>
    <w:rsid w:val="007E0F5D"/>
    <w:rsid w:val="007E23A1"/>
    <w:rsid w:val="007E259F"/>
    <w:rsid w:val="007E2EF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09C"/>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855"/>
    <w:rsid w:val="00830052"/>
    <w:rsid w:val="008300D0"/>
    <w:rsid w:val="0083050D"/>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0A7"/>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878D1"/>
    <w:rsid w:val="00890A64"/>
    <w:rsid w:val="00890C40"/>
    <w:rsid w:val="0089122E"/>
    <w:rsid w:val="008912A7"/>
    <w:rsid w:val="0089183A"/>
    <w:rsid w:val="008920B4"/>
    <w:rsid w:val="008925EB"/>
    <w:rsid w:val="0089275E"/>
    <w:rsid w:val="00892839"/>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017"/>
    <w:rsid w:val="008D4226"/>
    <w:rsid w:val="008D4D7C"/>
    <w:rsid w:val="008D5432"/>
    <w:rsid w:val="008D54C0"/>
    <w:rsid w:val="008D5558"/>
    <w:rsid w:val="008D5806"/>
    <w:rsid w:val="008D5ED9"/>
    <w:rsid w:val="008D626C"/>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880"/>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4BF"/>
    <w:rsid w:val="00A0700C"/>
    <w:rsid w:val="00A102F8"/>
    <w:rsid w:val="00A10993"/>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4B9"/>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1D22"/>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5C0"/>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1683"/>
    <w:rsid w:val="00AC1D82"/>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302"/>
    <w:rsid w:val="00AF14FC"/>
    <w:rsid w:val="00AF1ED2"/>
    <w:rsid w:val="00AF1F4E"/>
    <w:rsid w:val="00AF2302"/>
    <w:rsid w:val="00AF262A"/>
    <w:rsid w:val="00AF3557"/>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19"/>
    <w:rsid w:val="00BF0EBF"/>
    <w:rsid w:val="00BF1534"/>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6B5B"/>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C98"/>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540"/>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788"/>
    <w:rsid w:val="00CD1892"/>
    <w:rsid w:val="00CD1C01"/>
    <w:rsid w:val="00CD1D00"/>
    <w:rsid w:val="00CD2009"/>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500"/>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D9F"/>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2E7D"/>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F73"/>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10D"/>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C60"/>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B8F"/>
    <w:rsid w:val="00E10712"/>
    <w:rsid w:val="00E107DF"/>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8E1"/>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A9"/>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B8"/>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87E"/>
    <w:rsid w:val="00F01BE6"/>
    <w:rsid w:val="00F01F75"/>
    <w:rsid w:val="00F0217A"/>
    <w:rsid w:val="00F026D3"/>
    <w:rsid w:val="00F027E8"/>
    <w:rsid w:val="00F03395"/>
    <w:rsid w:val="00F034E6"/>
    <w:rsid w:val="00F036C9"/>
    <w:rsid w:val="00F03E4C"/>
    <w:rsid w:val="00F04D19"/>
    <w:rsid w:val="00F050A3"/>
    <w:rsid w:val="00F05352"/>
    <w:rsid w:val="00F05477"/>
    <w:rsid w:val="00F06340"/>
    <w:rsid w:val="00F0665D"/>
    <w:rsid w:val="00F06BAA"/>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1DB"/>
    <w:rsid w:val="00F557DD"/>
    <w:rsid w:val="00F55810"/>
    <w:rsid w:val="00F559BE"/>
    <w:rsid w:val="00F56F7E"/>
    <w:rsid w:val="00F56FEF"/>
    <w:rsid w:val="00F57521"/>
    <w:rsid w:val="00F60938"/>
    <w:rsid w:val="00F60C7E"/>
    <w:rsid w:val="00F60E0A"/>
    <w:rsid w:val="00F61606"/>
    <w:rsid w:val="00F61918"/>
    <w:rsid w:val="00F61A62"/>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36A"/>
    <w:rsid w:val="00F85683"/>
    <w:rsid w:val="00F85841"/>
    <w:rsid w:val="00F86079"/>
    <w:rsid w:val="00F8610A"/>
    <w:rsid w:val="00F87282"/>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EF0"/>
    <w:rsid w:val="00FA672F"/>
    <w:rsid w:val="00FA775E"/>
    <w:rsid w:val="00FA7792"/>
    <w:rsid w:val="00FA7AA8"/>
    <w:rsid w:val="00FA7F1D"/>
    <w:rsid w:val="00FB011C"/>
    <w:rsid w:val="00FB0D60"/>
    <w:rsid w:val="00FB1434"/>
    <w:rsid w:val="00FB18FD"/>
    <w:rsid w:val="00FB2BF5"/>
    <w:rsid w:val="00FB2F8E"/>
    <w:rsid w:val="00FB30C3"/>
    <w:rsid w:val="00FB39B0"/>
    <w:rsid w:val="00FB4547"/>
    <w:rsid w:val="00FB5138"/>
    <w:rsid w:val="00FB547F"/>
    <w:rsid w:val="00FB5A71"/>
    <w:rsid w:val="00FB62F5"/>
    <w:rsid w:val="00FB63F6"/>
    <w:rsid w:val="00FB7823"/>
    <w:rsid w:val="00FC02BF"/>
    <w:rsid w:val="00FC05B2"/>
    <w:rsid w:val="00FC08B3"/>
    <w:rsid w:val="00FC09D7"/>
    <w:rsid w:val="00FC0ABE"/>
    <w:rsid w:val="00FC1269"/>
    <w:rsid w:val="00FC22D0"/>
    <w:rsid w:val="00FC38D4"/>
    <w:rsid w:val="00FC391E"/>
    <w:rsid w:val="00FC39B3"/>
    <w:rsid w:val="00FC3BB7"/>
    <w:rsid w:val="00FC3E1B"/>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4F1"/>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D7DD7"/>
    <w:rsid w:val="0112363F"/>
    <w:rsid w:val="011E0236"/>
    <w:rsid w:val="011E3D92"/>
    <w:rsid w:val="011F6449"/>
    <w:rsid w:val="012313A8"/>
    <w:rsid w:val="01236AFB"/>
    <w:rsid w:val="012670EA"/>
    <w:rsid w:val="012B4701"/>
    <w:rsid w:val="01317F69"/>
    <w:rsid w:val="01341807"/>
    <w:rsid w:val="0135355E"/>
    <w:rsid w:val="01361A05"/>
    <w:rsid w:val="01374E54"/>
    <w:rsid w:val="013B1B11"/>
    <w:rsid w:val="013E54DE"/>
    <w:rsid w:val="014852B3"/>
    <w:rsid w:val="01536131"/>
    <w:rsid w:val="01545A05"/>
    <w:rsid w:val="015E0632"/>
    <w:rsid w:val="015E4AD6"/>
    <w:rsid w:val="016025FC"/>
    <w:rsid w:val="01633E9B"/>
    <w:rsid w:val="01730582"/>
    <w:rsid w:val="01747E56"/>
    <w:rsid w:val="017E2A82"/>
    <w:rsid w:val="017F087E"/>
    <w:rsid w:val="019404F8"/>
    <w:rsid w:val="0194674A"/>
    <w:rsid w:val="019F7441"/>
    <w:rsid w:val="01A56261"/>
    <w:rsid w:val="01A7647D"/>
    <w:rsid w:val="01B110AA"/>
    <w:rsid w:val="01B34E22"/>
    <w:rsid w:val="01B36BD0"/>
    <w:rsid w:val="01B37585"/>
    <w:rsid w:val="01B6046E"/>
    <w:rsid w:val="01B72B02"/>
    <w:rsid w:val="01BD35AB"/>
    <w:rsid w:val="01BF37C7"/>
    <w:rsid w:val="01BF5575"/>
    <w:rsid w:val="01C13BB4"/>
    <w:rsid w:val="01C74429"/>
    <w:rsid w:val="01CE12AB"/>
    <w:rsid w:val="01CF32DE"/>
    <w:rsid w:val="01CF7782"/>
    <w:rsid w:val="01D02219"/>
    <w:rsid w:val="01D34B7C"/>
    <w:rsid w:val="01D55165"/>
    <w:rsid w:val="01DA20AA"/>
    <w:rsid w:val="01DE1773"/>
    <w:rsid w:val="01DF6BF8"/>
    <w:rsid w:val="01E23011"/>
    <w:rsid w:val="01EC2C57"/>
    <w:rsid w:val="020A2568"/>
    <w:rsid w:val="020C008E"/>
    <w:rsid w:val="021474BD"/>
    <w:rsid w:val="02217FDE"/>
    <w:rsid w:val="022573A2"/>
    <w:rsid w:val="02274EC8"/>
    <w:rsid w:val="022E44A8"/>
    <w:rsid w:val="02372857"/>
    <w:rsid w:val="02377801"/>
    <w:rsid w:val="023A109F"/>
    <w:rsid w:val="023A2E4D"/>
    <w:rsid w:val="023A4BFB"/>
    <w:rsid w:val="023F0464"/>
    <w:rsid w:val="023F2212"/>
    <w:rsid w:val="024141DC"/>
    <w:rsid w:val="024261A6"/>
    <w:rsid w:val="02447828"/>
    <w:rsid w:val="024A59E3"/>
    <w:rsid w:val="0261662C"/>
    <w:rsid w:val="026223A4"/>
    <w:rsid w:val="02641C78"/>
    <w:rsid w:val="02671768"/>
    <w:rsid w:val="02693733"/>
    <w:rsid w:val="026B2E25"/>
    <w:rsid w:val="02702D13"/>
    <w:rsid w:val="027A5940"/>
    <w:rsid w:val="027D0F8C"/>
    <w:rsid w:val="0281282A"/>
    <w:rsid w:val="02824D4D"/>
    <w:rsid w:val="028E13EB"/>
    <w:rsid w:val="02922C89"/>
    <w:rsid w:val="02963DFC"/>
    <w:rsid w:val="02985DC6"/>
    <w:rsid w:val="02987B74"/>
    <w:rsid w:val="02992665"/>
    <w:rsid w:val="029E162E"/>
    <w:rsid w:val="02A31E96"/>
    <w:rsid w:val="02A429BD"/>
    <w:rsid w:val="02A824AD"/>
    <w:rsid w:val="02B01361"/>
    <w:rsid w:val="02B32C00"/>
    <w:rsid w:val="02B81FC4"/>
    <w:rsid w:val="02C46BBB"/>
    <w:rsid w:val="02D768EE"/>
    <w:rsid w:val="02DA4630"/>
    <w:rsid w:val="02DC4B10"/>
    <w:rsid w:val="02DD76CE"/>
    <w:rsid w:val="02E1151B"/>
    <w:rsid w:val="02E64D17"/>
    <w:rsid w:val="02E80AFB"/>
    <w:rsid w:val="02EA70B6"/>
    <w:rsid w:val="02F32FFC"/>
    <w:rsid w:val="02F36323"/>
    <w:rsid w:val="02F5619C"/>
    <w:rsid w:val="02F96864"/>
    <w:rsid w:val="02FE031F"/>
    <w:rsid w:val="02FE20CD"/>
    <w:rsid w:val="02FE3E7B"/>
    <w:rsid w:val="02FF5E45"/>
    <w:rsid w:val="0301396B"/>
    <w:rsid w:val="03035935"/>
    <w:rsid w:val="030516AD"/>
    <w:rsid w:val="03100052"/>
    <w:rsid w:val="03103BAE"/>
    <w:rsid w:val="03196F07"/>
    <w:rsid w:val="031B2C7F"/>
    <w:rsid w:val="0321400D"/>
    <w:rsid w:val="03250BB4"/>
    <w:rsid w:val="03261624"/>
    <w:rsid w:val="0326446A"/>
    <w:rsid w:val="0328539C"/>
    <w:rsid w:val="032C1402"/>
    <w:rsid w:val="032D5555"/>
    <w:rsid w:val="03305FFE"/>
    <w:rsid w:val="033124A2"/>
    <w:rsid w:val="03323B24"/>
    <w:rsid w:val="03343D40"/>
    <w:rsid w:val="03353615"/>
    <w:rsid w:val="03393105"/>
    <w:rsid w:val="03394EB3"/>
    <w:rsid w:val="03404493"/>
    <w:rsid w:val="03455F4E"/>
    <w:rsid w:val="034877EC"/>
    <w:rsid w:val="034A3564"/>
    <w:rsid w:val="03525F75"/>
    <w:rsid w:val="035717DD"/>
    <w:rsid w:val="035C5045"/>
    <w:rsid w:val="0365214C"/>
    <w:rsid w:val="036634D2"/>
    <w:rsid w:val="036D2DAF"/>
    <w:rsid w:val="0371289F"/>
    <w:rsid w:val="0374238F"/>
    <w:rsid w:val="03767EB5"/>
    <w:rsid w:val="03771E7F"/>
    <w:rsid w:val="037759DB"/>
    <w:rsid w:val="037B196F"/>
    <w:rsid w:val="037C7496"/>
    <w:rsid w:val="03824AAC"/>
    <w:rsid w:val="038C76D9"/>
    <w:rsid w:val="038F0F77"/>
    <w:rsid w:val="03991DF6"/>
    <w:rsid w:val="039D7B38"/>
    <w:rsid w:val="03A013D6"/>
    <w:rsid w:val="03A34A22"/>
    <w:rsid w:val="03A5079A"/>
    <w:rsid w:val="03A72764"/>
    <w:rsid w:val="03AE3AF3"/>
    <w:rsid w:val="03B22EB7"/>
    <w:rsid w:val="03BB1D6C"/>
    <w:rsid w:val="03C74BB5"/>
    <w:rsid w:val="03CA5C6D"/>
    <w:rsid w:val="03CC06C2"/>
    <w:rsid w:val="03D067E7"/>
    <w:rsid w:val="03D41080"/>
    <w:rsid w:val="03D472D2"/>
    <w:rsid w:val="03D746CC"/>
    <w:rsid w:val="03DD35E4"/>
    <w:rsid w:val="03E94B2B"/>
    <w:rsid w:val="03F359AA"/>
    <w:rsid w:val="03F82FC0"/>
    <w:rsid w:val="03FC3CF7"/>
    <w:rsid w:val="03FD05D6"/>
    <w:rsid w:val="03FD2384"/>
    <w:rsid w:val="03FF434E"/>
    <w:rsid w:val="04001E75"/>
    <w:rsid w:val="04076900"/>
    <w:rsid w:val="040C05F0"/>
    <w:rsid w:val="040E27E3"/>
    <w:rsid w:val="04133956"/>
    <w:rsid w:val="041A5A3B"/>
    <w:rsid w:val="041F054D"/>
    <w:rsid w:val="0422003D"/>
    <w:rsid w:val="04221DEB"/>
    <w:rsid w:val="042311BA"/>
    <w:rsid w:val="04245B63"/>
    <w:rsid w:val="042B157A"/>
    <w:rsid w:val="042F4508"/>
    <w:rsid w:val="04357D70"/>
    <w:rsid w:val="043B10FF"/>
    <w:rsid w:val="043B4AFE"/>
    <w:rsid w:val="043F790B"/>
    <w:rsid w:val="04447FB3"/>
    <w:rsid w:val="045C354F"/>
    <w:rsid w:val="045F303F"/>
    <w:rsid w:val="0462668B"/>
    <w:rsid w:val="046B5540"/>
    <w:rsid w:val="04754611"/>
    <w:rsid w:val="04763EE5"/>
    <w:rsid w:val="047A5783"/>
    <w:rsid w:val="04874344"/>
    <w:rsid w:val="048760F2"/>
    <w:rsid w:val="048900BC"/>
    <w:rsid w:val="04893C18"/>
    <w:rsid w:val="048B3E34"/>
    <w:rsid w:val="048F763B"/>
    <w:rsid w:val="049525BD"/>
    <w:rsid w:val="049C7DEF"/>
    <w:rsid w:val="049D6FEC"/>
    <w:rsid w:val="049F330E"/>
    <w:rsid w:val="04A22F2C"/>
    <w:rsid w:val="04A44EF6"/>
    <w:rsid w:val="04A47364"/>
    <w:rsid w:val="04AA775C"/>
    <w:rsid w:val="04AB3B8E"/>
    <w:rsid w:val="04AC7907"/>
    <w:rsid w:val="04AE7B23"/>
    <w:rsid w:val="04AF1889"/>
    <w:rsid w:val="04BC1D77"/>
    <w:rsid w:val="04BD7D66"/>
    <w:rsid w:val="04BF588C"/>
    <w:rsid w:val="04C04179"/>
    <w:rsid w:val="04C133B2"/>
    <w:rsid w:val="04C82992"/>
    <w:rsid w:val="04CD7FA9"/>
    <w:rsid w:val="04D035F5"/>
    <w:rsid w:val="04D550AF"/>
    <w:rsid w:val="04D8694E"/>
    <w:rsid w:val="04E11CA6"/>
    <w:rsid w:val="04E452F2"/>
    <w:rsid w:val="04F01009"/>
    <w:rsid w:val="04F05A45"/>
    <w:rsid w:val="04F217BD"/>
    <w:rsid w:val="04F30983"/>
    <w:rsid w:val="04F66F48"/>
    <w:rsid w:val="04FD0162"/>
    <w:rsid w:val="050339CA"/>
    <w:rsid w:val="050D2A9B"/>
    <w:rsid w:val="05137986"/>
    <w:rsid w:val="05184F9C"/>
    <w:rsid w:val="051C2CDE"/>
    <w:rsid w:val="05212B27"/>
    <w:rsid w:val="05251E14"/>
    <w:rsid w:val="052851DF"/>
    <w:rsid w:val="052878D5"/>
    <w:rsid w:val="0534627A"/>
    <w:rsid w:val="053B7608"/>
    <w:rsid w:val="053C0C8A"/>
    <w:rsid w:val="053F69CD"/>
    <w:rsid w:val="05410997"/>
    <w:rsid w:val="05424DD8"/>
    <w:rsid w:val="05432019"/>
    <w:rsid w:val="054A784B"/>
    <w:rsid w:val="055406CA"/>
    <w:rsid w:val="05542478"/>
    <w:rsid w:val="05573D16"/>
    <w:rsid w:val="05595CE0"/>
    <w:rsid w:val="056106F1"/>
    <w:rsid w:val="05654685"/>
    <w:rsid w:val="056A1C9B"/>
    <w:rsid w:val="056D178C"/>
    <w:rsid w:val="05704DD8"/>
    <w:rsid w:val="05740424"/>
    <w:rsid w:val="057448C8"/>
    <w:rsid w:val="05771B25"/>
    <w:rsid w:val="058014BF"/>
    <w:rsid w:val="0580326D"/>
    <w:rsid w:val="05834B0B"/>
    <w:rsid w:val="05850883"/>
    <w:rsid w:val="05A0746B"/>
    <w:rsid w:val="05A131E3"/>
    <w:rsid w:val="05A16594"/>
    <w:rsid w:val="05A36F5B"/>
    <w:rsid w:val="05A76A4C"/>
    <w:rsid w:val="05A7762D"/>
    <w:rsid w:val="05AD48C9"/>
    <w:rsid w:val="05AF76AE"/>
    <w:rsid w:val="05B13426"/>
    <w:rsid w:val="05B9052D"/>
    <w:rsid w:val="05B9677F"/>
    <w:rsid w:val="05D252BA"/>
    <w:rsid w:val="05D435B9"/>
    <w:rsid w:val="05D76C05"/>
    <w:rsid w:val="05D90BCF"/>
    <w:rsid w:val="05DB4947"/>
    <w:rsid w:val="05E03D0C"/>
    <w:rsid w:val="05E355AA"/>
    <w:rsid w:val="05EE467B"/>
    <w:rsid w:val="05EF3F4F"/>
    <w:rsid w:val="05F652DD"/>
    <w:rsid w:val="05F96B7B"/>
    <w:rsid w:val="0600615C"/>
    <w:rsid w:val="06021ED4"/>
    <w:rsid w:val="060317A8"/>
    <w:rsid w:val="06043E9E"/>
    <w:rsid w:val="06085010"/>
    <w:rsid w:val="060C68AF"/>
    <w:rsid w:val="060E0879"/>
    <w:rsid w:val="060E5941"/>
    <w:rsid w:val="06110369"/>
    <w:rsid w:val="06110FAF"/>
    <w:rsid w:val="06112117"/>
    <w:rsid w:val="062067FE"/>
    <w:rsid w:val="06231E4A"/>
    <w:rsid w:val="062736E9"/>
    <w:rsid w:val="062956B3"/>
    <w:rsid w:val="06295AE6"/>
    <w:rsid w:val="062A142B"/>
    <w:rsid w:val="062C51A3"/>
    <w:rsid w:val="062F6A41"/>
    <w:rsid w:val="06383B48"/>
    <w:rsid w:val="063D35BF"/>
    <w:rsid w:val="063F6C84"/>
    <w:rsid w:val="064222D0"/>
    <w:rsid w:val="06493CA7"/>
    <w:rsid w:val="064C75F3"/>
    <w:rsid w:val="064D402E"/>
    <w:rsid w:val="064F2C3F"/>
    <w:rsid w:val="06514C09"/>
    <w:rsid w:val="06530982"/>
    <w:rsid w:val="06543ADB"/>
    <w:rsid w:val="06562220"/>
    <w:rsid w:val="065A6178"/>
    <w:rsid w:val="065B5A88"/>
    <w:rsid w:val="0667442D"/>
    <w:rsid w:val="066F1CF3"/>
    <w:rsid w:val="066F5090"/>
    <w:rsid w:val="06714493"/>
    <w:rsid w:val="067A4160"/>
    <w:rsid w:val="067A57F6"/>
    <w:rsid w:val="067B1C86"/>
    <w:rsid w:val="068154EF"/>
    <w:rsid w:val="0687687D"/>
    <w:rsid w:val="068A3C77"/>
    <w:rsid w:val="068B1EC9"/>
    <w:rsid w:val="069074E0"/>
    <w:rsid w:val="06930BB8"/>
    <w:rsid w:val="06982838"/>
    <w:rsid w:val="06A0349B"/>
    <w:rsid w:val="06A20FC1"/>
    <w:rsid w:val="06A66D03"/>
    <w:rsid w:val="06A765D7"/>
    <w:rsid w:val="06B156A8"/>
    <w:rsid w:val="06B64A6C"/>
    <w:rsid w:val="06BA27AF"/>
    <w:rsid w:val="06BC02D5"/>
    <w:rsid w:val="06C07699"/>
    <w:rsid w:val="06C4362D"/>
    <w:rsid w:val="06C61153"/>
    <w:rsid w:val="06C62F02"/>
    <w:rsid w:val="06CF3A1E"/>
    <w:rsid w:val="06D118A6"/>
    <w:rsid w:val="06D7510F"/>
    <w:rsid w:val="06DA4BFF"/>
    <w:rsid w:val="06DA7EF0"/>
    <w:rsid w:val="06DC0977"/>
    <w:rsid w:val="06DC2725"/>
    <w:rsid w:val="06E11AE9"/>
    <w:rsid w:val="06E17D3B"/>
    <w:rsid w:val="06E65352"/>
    <w:rsid w:val="06E70564"/>
    <w:rsid w:val="06E94E42"/>
    <w:rsid w:val="06EC048E"/>
    <w:rsid w:val="06FC2DC7"/>
    <w:rsid w:val="070B4DB8"/>
    <w:rsid w:val="07133C6D"/>
    <w:rsid w:val="07181283"/>
    <w:rsid w:val="072365A6"/>
    <w:rsid w:val="07237076"/>
    <w:rsid w:val="07245D42"/>
    <w:rsid w:val="07264C62"/>
    <w:rsid w:val="07265CA8"/>
    <w:rsid w:val="072B7208"/>
    <w:rsid w:val="072D2F81"/>
    <w:rsid w:val="072E5A65"/>
    <w:rsid w:val="07302A71"/>
    <w:rsid w:val="0733430F"/>
    <w:rsid w:val="07372051"/>
    <w:rsid w:val="07375BAD"/>
    <w:rsid w:val="07391925"/>
    <w:rsid w:val="073C1416"/>
    <w:rsid w:val="073F0F06"/>
    <w:rsid w:val="074107DA"/>
    <w:rsid w:val="074402CA"/>
    <w:rsid w:val="07470FE3"/>
    <w:rsid w:val="07484B91"/>
    <w:rsid w:val="07504EC1"/>
    <w:rsid w:val="07520C39"/>
    <w:rsid w:val="075B5D40"/>
    <w:rsid w:val="075F5104"/>
    <w:rsid w:val="075F5E39"/>
    <w:rsid w:val="076646E5"/>
    <w:rsid w:val="076D15CF"/>
    <w:rsid w:val="07750484"/>
    <w:rsid w:val="0779354C"/>
    <w:rsid w:val="07794418"/>
    <w:rsid w:val="077C7A64"/>
    <w:rsid w:val="078B5EF9"/>
    <w:rsid w:val="0797489E"/>
    <w:rsid w:val="079C1EB4"/>
    <w:rsid w:val="079F3753"/>
    <w:rsid w:val="07A019A5"/>
    <w:rsid w:val="07A11279"/>
    <w:rsid w:val="07A174CB"/>
    <w:rsid w:val="07A34FF1"/>
    <w:rsid w:val="07A64AE1"/>
    <w:rsid w:val="07A80859"/>
    <w:rsid w:val="07AA6C9E"/>
    <w:rsid w:val="07B05960"/>
    <w:rsid w:val="07B216D8"/>
    <w:rsid w:val="07BC1606"/>
    <w:rsid w:val="07C338E5"/>
    <w:rsid w:val="07C531B9"/>
    <w:rsid w:val="07C5765D"/>
    <w:rsid w:val="07CD6512"/>
    <w:rsid w:val="07D63618"/>
    <w:rsid w:val="07E01DA1"/>
    <w:rsid w:val="07E07FF3"/>
    <w:rsid w:val="07E21FBD"/>
    <w:rsid w:val="07E8334B"/>
    <w:rsid w:val="07EA70C4"/>
    <w:rsid w:val="07EC6998"/>
    <w:rsid w:val="07F10452"/>
    <w:rsid w:val="07F17661"/>
    <w:rsid w:val="07F43A9E"/>
    <w:rsid w:val="07F51244"/>
    <w:rsid w:val="07F910B5"/>
    <w:rsid w:val="07FD6DF7"/>
    <w:rsid w:val="07FE491D"/>
    <w:rsid w:val="07FF2A68"/>
    <w:rsid w:val="08034185"/>
    <w:rsid w:val="08061376"/>
    <w:rsid w:val="080A32C2"/>
    <w:rsid w:val="08145EEF"/>
    <w:rsid w:val="081B727D"/>
    <w:rsid w:val="081E6D6D"/>
    <w:rsid w:val="08206641"/>
    <w:rsid w:val="08397703"/>
    <w:rsid w:val="08420CAE"/>
    <w:rsid w:val="08430582"/>
    <w:rsid w:val="0845254C"/>
    <w:rsid w:val="08452D77"/>
    <w:rsid w:val="084A7B62"/>
    <w:rsid w:val="08513A4A"/>
    <w:rsid w:val="08514A4D"/>
    <w:rsid w:val="085207C5"/>
    <w:rsid w:val="08536A17"/>
    <w:rsid w:val="0854278F"/>
    <w:rsid w:val="085705E0"/>
    <w:rsid w:val="0858227F"/>
    <w:rsid w:val="08607386"/>
    <w:rsid w:val="086401F8"/>
    <w:rsid w:val="086C7AD9"/>
    <w:rsid w:val="086E1AA3"/>
    <w:rsid w:val="08744BDF"/>
    <w:rsid w:val="08751CAA"/>
    <w:rsid w:val="087846CF"/>
    <w:rsid w:val="087921F6"/>
    <w:rsid w:val="087A532A"/>
    <w:rsid w:val="087E4C40"/>
    <w:rsid w:val="08803B33"/>
    <w:rsid w:val="08817DDB"/>
    <w:rsid w:val="08872B64"/>
    <w:rsid w:val="088C763C"/>
    <w:rsid w:val="088E3EF3"/>
    <w:rsid w:val="089A2898"/>
    <w:rsid w:val="089C6D14"/>
    <w:rsid w:val="08A6123D"/>
    <w:rsid w:val="08A94889"/>
    <w:rsid w:val="08AA0601"/>
    <w:rsid w:val="08AE6343"/>
    <w:rsid w:val="08B3524C"/>
    <w:rsid w:val="08B51480"/>
    <w:rsid w:val="08B80F70"/>
    <w:rsid w:val="08B84ACC"/>
    <w:rsid w:val="08C94F2B"/>
    <w:rsid w:val="08CB2A51"/>
    <w:rsid w:val="08CE609D"/>
    <w:rsid w:val="08CE6A87"/>
    <w:rsid w:val="08D132DE"/>
    <w:rsid w:val="08D13DE0"/>
    <w:rsid w:val="08D31906"/>
    <w:rsid w:val="08D631A4"/>
    <w:rsid w:val="08D66AD6"/>
    <w:rsid w:val="08D833C0"/>
    <w:rsid w:val="08DA33A3"/>
    <w:rsid w:val="08E25FED"/>
    <w:rsid w:val="08E65ADD"/>
    <w:rsid w:val="08E7715F"/>
    <w:rsid w:val="08E80F13"/>
    <w:rsid w:val="08E91129"/>
    <w:rsid w:val="08F024B8"/>
    <w:rsid w:val="08F5187C"/>
    <w:rsid w:val="08FF7E1C"/>
    <w:rsid w:val="09047D11"/>
    <w:rsid w:val="09075A53"/>
    <w:rsid w:val="09095327"/>
    <w:rsid w:val="090C4E18"/>
    <w:rsid w:val="090E293E"/>
    <w:rsid w:val="09151F1E"/>
    <w:rsid w:val="09181A0E"/>
    <w:rsid w:val="091F4B4B"/>
    <w:rsid w:val="091F7CB7"/>
    <w:rsid w:val="09271C52"/>
    <w:rsid w:val="092C1016"/>
    <w:rsid w:val="09335624"/>
    <w:rsid w:val="0935323D"/>
    <w:rsid w:val="09385C0D"/>
    <w:rsid w:val="093C394F"/>
    <w:rsid w:val="09414AC1"/>
    <w:rsid w:val="09436A8B"/>
    <w:rsid w:val="0944690F"/>
    <w:rsid w:val="09475E50"/>
    <w:rsid w:val="09491BC8"/>
    <w:rsid w:val="09535675"/>
    <w:rsid w:val="095C1F67"/>
    <w:rsid w:val="095E1B17"/>
    <w:rsid w:val="095F057D"/>
    <w:rsid w:val="09640802"/>
    <w:rsid w:val="09642282"/>
    <w:rsid w:val="0966277A"/>
    <w:rsid w:val="096864F2"/>
    <w:rsid w:val="09733572"/>
    <w:rsid w:val="09772C16"/>
    <w:rsid w:val="09774987"/>
    <w:rsid w:val="0983332C"/>
    <w:rsid w:val="098353B5"/>
    <w:rsid w:val="09840E52"/>
    <w:rsid w:val="09842C00"/>
    <w:rsid w:val="09862E1C"/>
    <w:rsid w:val="09864BCA"/>
    <w:rsid w:val="099217C1"/>
    <w:rsid w:val="09992B4F"/>
    <w:rsid w:val="099C263F"/>
    <w:rsid w:val="099E1F14"/>
    <w:rsid w:val="09A92330"/>
    <w:rsid w:val="09AC3A55"/>
    <w:rsid w:val="09AF5ECF"/>
    <w:rsid w:val="09B06B87"/>
    <w:rsid w:val="09C13146"/>
    <w:rsid w:val="09C35E1E"/>
    <w:rsid w:val="09C556F2"/>
    <w:rsid w:val="09CB082F"/>
    <w:rsid w:val="09D9119E"/>
    <w:rsid w:val="09D92F4C"/>
    <w:rsid w:val="09E04166"/>
    <w:rsid w:val="09E244F6"/>
    <w:rsid w:val="09E518F1"/>
    <w:rsid w:val="09ED69F7"/>
    <w:rsid w:val="09F064E7"/>
    <w:rsid w:val="0A014251"/>
    <w:rsid w:val="0A026946"/>
    <w:rsid w:val="0A081A83"/>
    <w:rsid w:val="0A0F4BBF"/>
    <w:rsid w:val="0A1B17B6"/>
    <w:rsid w:val="0A1C0718"/>
    <w:rsid w:val="0A1D1456"/>
    <w:rsid w:val="0A27015B"/>
    <w:rsid w:val="0A285C81"/>
    <w:rsid w:val="0A2957BF"/>
    <w:rsid w:val="0A2A19F9"/>
    <w:rsid w:val="0A2E58D1"/>
    <w:rsid w:val="0A310FDA"/>
    <w:rsid w:val="0A314B36"/>
    <w:rsid w:val="0A344626"/>
    <w:rsid w:val="0A3A1862"/>
    <w:rsid w:val="0A3B3C06"/>
    <w:rsid w:val="0A3C34DB"/>
    <w:rsid w:val="0A3E7710"/>
    <w:rsid w:val="0A4725AB"/>
    <w:rsid w:val="0A516F86"/>
    <w:rsid w:val="0A5B7E63"/>
    <w:rsid w:val="0A5C592B"/>
    <w:rsid w:val="0A641F8C"/>
    <w:rsid w:val="0A656ED5"/>
    <w:rsid w:val="0A6E68C1"/>
    <w:rsid w:val="0A7B04A7"/>
    <w:rsid w:val="0A7B30EB"/>
    <w:rsid w:val="0A8119D2"/>
    <w:rsid w:val="0A870BFA"/>
    <w:rsid w:val="0A8A693C"/>
    <w:rsid w:val="0A8F5D00"/>
    <w:rsid w:val="0A95254D"/>
    <w:rsid w:val="0A960E3D"/>
    <w:rsid w:val="0A99092D"/>
    <w:rsid w:val="0AA374A5"/>
    <w:rsid w:val="0AA479FE"/>
    <w:rsid w:val="0AAB7649"/>
    <w:rsid w:val="0AAC0660"/>
    <w:rsid w:val="0AB37C41"/>
    <w:rsid w:val="0AB47515"/>
    <w:rsid w:val="0ABC5606"/>
    <w:rsid w:val="0ABE30B5"/>
    <w:rsid w:val="0ABF65E6"/>
    <w:rsid w:val="0AC52104"/>
    <w:rsid w:val="0AC8421B"/>
    <w:rsid w:val="0AD11E75"/>
    <w:rsid w:val="0AD6392F"/>
    <w:rsid w:val="0ADB0F46"/>
    <w:rsid w:val="0ADB7197"/>
    <w:rsid w:val="0ADD4CBE"/>
    <w:rsid w:val="0ADD6A6C"/>
    <w:rsid w:val="0AE147AE"/>
    <w:rsid w:val="0AE71698"/>
    <w:rsid w:val="0AE918B4"/>
    <w:rsid w:val="0AEB1631"/>
    <w:rsid w:val="0AFF2E86"/>
    <w:rsid w:val="0B016BFE"/>
    <w:rsid w:val="0B024724"/>
    <w:rsid w:val="0B064214"/>
    <w:rsid w:val="0B071D3B"/>
    <w:rsid w:val="0B0B35D9"/>
    <w:rsid w:val="0B0E131B"/>
    <w:rsid w:val="0B100BEF"/>
    <w:rsid w:val="0B136931"/>
    <w:rsid w:val="0B1A1A6E"/>
    <w:rsid w:val="0B1C3A38"/>
    <w:rsid w:val="0B242263"/>
    <w:rsid w:val="0B247692"/>
    <w:rsid w:val="0B291CB1"/>
    <w:rsid w:val="0B2E376B"/>
    <w:rsid w:val="0B30404E"/>
    <w:rsid w:val="0B3F14D4"/>
    <w:rsid w:val="0B49165D"/>
    <w:rsid w:val="0B4C6C14"/>
    <w:rsid w:val="0B4E1717"/>
    <w:rsid w:val="0B4E7969"/>
    <w:rsid w:val="0B5331D2"/>
    <w:rsid w:val="0B5F1DB6"/>
    <w:rsid w:val="0B6158EF"/>
    <w:rsid w:val="0B631A88"/>
    <w:rsid w:val="0B662F05"/>
    <w:rsid w:val="0B680A2B"/>
    <w:rsid w:val="0B683D45"/>
    <w:rsid w:val="0B6947A3"/>
    <w:rsid w:val="0B6B22C9"/>
    <w:rsid w:val="0B6E5916"/>
    <w:rsid w:val="0B73424C"/>
    <w:rsid w:val="0B794AD1"/>
    <w:rsid w:val="0B7F3F11"/>
    <w:rsid w:val="0B7F3FC7"/>
    <w:rsid w:val="0B884417"/>
    <w:rsid w:val="0B975F9F"/>
    <w:rsid w:val="0B980BE5"/>
    <w:rsid w:val="0B9A2BAF"/>
    <w:rsid w:val="0B9C06D5"/>
    <w:rsid w:val="0B9C2483"/>
    <w:rsid w:val="0B9C6927"/>
    <w:rsid w:val="0BA17A99"/>
    <w:rsid w:val="0BA650B0"/>
    <w:rsid w:val="0BAD28E2"/>
    <w:rsid w:val="0BAD643E"/>
    <w:rsid w:val="0BB579E9"/>
    <w:rsid w:val="0BB73761"/>
    <w:rsid w:val="0BB84DE3"/>
    <w:rsid w:val="0BBE689D"/>
    <w:rsid w:val="0BC1013B"/>
    <w:rsid w:val="0BC419DA"/>
    <w:rsid w:val="0BC47C2C"/>
    <w:rsid w:val="0BC65752"/>
    <w:rsid w:val="0BC67500"/>
    <w:rsid w:val="0BCB720C"/>
    <w:rsid w:val="0BD31C1D"/>
    <w:rsid w:val="0BD936D7"/>
    <w:rsid w:val="0BDA2FAB"/>
    <w:rsid w:val="0BDC31C7"/>
    <w:rsid w:val="0BE65DF4"/>
    <w:rsid w:val="0BEA3A61"/>
    <w:rsid w:val="0BEB51B8"/>
    <w:rsid w:val="0BEF2EFA"/>
    <w:rsid w:val="0BF00A21"/>
    <w:rsid w:val="0BF6188C"/>
    <w:rsid w:val="0BF73C91"/>
    <w:rsid w:val="0BFA53FB"/>
    <w:rsid w:val="0C040028"/>
    <w:rsid w:val="0C0544CC"/>
    <w:rsid w:val="0C0B585A"/>
    <w:rsid w:val="0C0B7609"/>
    <w:rsid w:val="0C0D512F"/>
    <w:rsid w:val="0C0F70F9"/>
    <w:rsid w:val="0C170175"/>
    <w:rsid w:val="0C1B3CF0"/>
    <w:rsid w:val="0C252478"/>
    <w:rsid w:val="0C2C37FB"/>
    <w:rsid w:val="0C2D57D1"/>
    <w:rsid w:val="0C324B95"/>
    <w:rsid w:val="0C3640C8"/>
    <w:rsid w:val="0C3B7EEE"/>
    <w:rsid w:val="0C3D3FF4"/>
    <w:rsid w:val="0C3E178C"/>
    <w:rsid w:val="0C3E727D"/>
    <w:rsid w:val="0C4274CE"/>
    <w:rsid w:val="0C476893"/>
    <w:rsid w:val="0C4A0131"/>
    <w:rsid w:val="0C4C2CDB"/>
    <w:rsid w:val="0C571A41"/>
    <w:rsid w:val="0C5745FC"/>
    <w:rsid w:val="0C590374"/>
    <w:rsid w:val="0C592F5E"/>
    <w:rsid w:val="0C5B40EC"/>
    <w:rsid w:val="0C5C1171"/>
    <w:rsid w:val="0C5C7E64"/>
    <w:rsid w:val="0C5E1CBC"/>
    <w:rsid w:val="0C615B50"/>
    <w:rsid w:val="0C6236CC"/>
    <w:rsid w:val="0C63281E"/>
    <w:rsid w:val="0C675840"/>
    <w:rsid w:val="0C6E02C3"/>
    <w:rsid w:val="0C7E3DA7"/>
    <w:rsid w:val="0C8278CB"/>
    <w:rsid w:val="0C8445DA"/>
    <w:rsid w:val="0C87121B"/>
    <w:rsid w:val="0C873133"/>
    <w:rsid w:val="0C874EE1"/>
    <w:rsid w:val="0C8C24F7"/>
    <w:rsid w:val="0C945850"/>
    <w:rsid w:val="0C9475FE"/>
    <w:rsid w:val="0C9615C8"/>
    <w:rsid w:val="0C9C64B3"/>
    <w:rsid w:val="0CA05FA3"/>
    <w:rsid w:val="0CA75583"/>
    <w:rsid w:val="0CC007F7"/>
    <w:rsid w:val="0CC47EE3"/>
    <w:rsid w:val="0CD143AE"/>
    <w:rsid w:val="0CDB2461"/>
    <w:rsid w:val="0CDB6FDB"/>
    <w:rsid w:val="0CE045F1"/>
    <w:rsid w:val="0CE340E1"/>
    <w:rsid w:val="0CE560AB"/>
    <w:rsid w:val="0CE71B86"/>
    <w:rsid w:val="0CE71E24"/>
    <w:rsid w:val="0CF307C8"/>
    <w:rsid w:val="0CF32576"/>
    <w:rsid w:val="0CFB58CF"/>
    <w:rsid w:val="0CFE707A"/>
    <w:rsid w:val="0D026C5D"/>
    <w:rsid w:val="0D063BDA"/>
    <w:rsid w:val="0D066333"/>
    <w:rsid w:val="0D077DD0"/>
    <w:rsid w:val="0D08375F"/>
    <w:rsid w:val="0D10137A"/>
    <w:rsid w:val="0D184CFB"/>
    <w:rsid w:val="0D1D1C55"/>
    <w:rsid w:val="0D200E92"/>
    <w:rsid w:val="0D272220"/>
    <w:rsid w:val="0D2A1D10"/>
    <w:rsid w:val="0D330BC5"/>
    <w:rsid w:val="0D38442D"/>
    <w:rsid w:val="0D3A01A5"/>
    <w:rsid w:val="0D3F3A0E"/>
    <w:rsid w:val="0D3F57BC"/>
    <w:rsid w:val="0D444B80"/>
    <w:rsid w:val="0D470B14"/>
    <w:rsid w:val="0D4A7419"/>
    <w:rsid w:val="0D5079C9"/>
    <w:rsid w:val="0D555D85"/>
    <w:rsid w:val="0D5A3338"/>
    <w:rsid w:val="0D671F88"/>
    <w:rsid w:val="0D676AC1"/>
    <w:rsid w:val="0D6F14FD"/>
    <w:rsid w:val="0D75742F"/>
    <w:rsid w:val="0D7A0D99"/>
    <w:rsid w:val="0D7D0092"/>
    <w:rsid w:val="0D821B4C"/>
    <w:rsid w:val="0D827401"/>
    <w:rsid w:val="0D84094E"/>
    <w:rsid w:val="0D86163D"/>
    <w:rsid w:val="0D8853B5"/>
    <w:rsid w:val="0D8A00E9"/>
    <w:rsid w:val="0D8B6C53"/>
    <w:rsid w:val="0D8D589E"/>
    <w:rsid w:val="0D98311E"/>
    <w:rsid w:val="0D9E6986"/>
    <w:rsid w:val="0DA01C73"/>
    <w:rsid w:val="0DA675E9"/>
    <w:rsid w:val="0DAB4BFF"/>
    <w:rsid w:val="0DB20C17"/>
    <w:rsid w:val="0DBA12E6"/>
    <w:rsid w:val="0DBB7B04"/>
    <w:rsid w:val="0DBF06AB"/>
    <w:rsid w:val="0DC1557D"/>
    <w:rsid w:val="0DC3019B"/>
    <w:rsid w:val="0DC45CC1"/>
    <w:rsid w:val="0DC857B1"/>
    <w:rsid w:val="0DD00B0A"/>
    <w:rsid w:val="0DD06C7C"/>
    <w:rsid w:val="0DD26630"/>
    <w:rsid w:val="0DD63300"/>
    <w:rsid w:val="0DDC125D"/>
    <w:rsid w:val="0DE14AC5"/>
    <w:rsid w:val="0DE545B5"/>
    <w:rsid w:val="0DE63E89"/>
    <w:rsid w:val="0DED346A"/>
    <w:rsid w:val="0DED5218"/>
    <w:rsid w:val="0DF50604"/>
    <w:rsid w:val="0DF61900"/>
    <w:rsid w:val="0DF702FE"/>
    <w:rsid w:val="0DF77E44"/>
    <w:rsid w:val="0DFA16E3"/>
    <w:rsid w:val="0E012A71"/>
    <w:rsid w:val="0E060E51"/>
    <w:rsid w:val="0E082052"/>
    <w:rsid w:val="0E1053AA"/>
    <w:rsid w:val="0E15476E"/>
    <w:rsid w:val="0E1D5AA9"/>
    <w:rsid w:val="0E1F1DDD"/>
    <w:rsid w:val="0E213113"/>
    <w:rsid w:val="0E286250"/>
    <w:rsid w:val="0E2B5D40"/>
    <w:rsid w:val="0E2C21E4"/>
    <w:rsid w:val="0E2E105B"/>
    <w:rsid w:val="0E342E47"/>
    <w:rsid w:val="0E3A5F83"/>
    <w:rsid w:val="0E4017EB"/>
    <w:rsid w:val="0E4137B5"/>
    <w:rsid w:val="0E4B0190"/>
    <w:rsid w:val="0E4F7C80"/>
    <w:rsid w:val="0E552DBD"/>
    <w:rsid w:val="0E5604B2"/>
    <w:rsid w:val="0E626E5B"/>
    <w:rsid w:val="0E6D5D79"/>
    <w:rsid w:val="0E721BC1"/>
    <w:rsid w:val="0E76345F"/>
    <w:rsid w:val="0E7B1188"/>
    <w:rsid w:val="0E8518F4"/>
    <w:rsid w:val="0E8A2A67"/>
    <w:rsid w:val="0E8F4521"/>
    <w:rsid w:val="0E912047"/>
    <w:rsid w:val="0E963B01"/>
    <w:rsid w:val="0E9658AF"/>
    <w:rsid w:val="0E9B1118"/>
    <w:rsid w:val="0E9D0089"/>
    <w:rsid w:val="0EA224A6"/>
    <w:rsid w:val="0EAF071F"/>
    <w:rsid w:val="0EB43F87"/>
    <w:rsid w:val="0EB803EE"/>
    <w:rsid w:val="0EBB5316"/>
    <w:rsid w:val="0EBC61DF"/>
    <w:rsid w:val="0EBD2E3C"/>
    <w:rsid w:val="0EC248F6"/>
    <w:rsid w:val="0EC8358F"/>
    <w:rsid w:val="0ED65CAC"/>
    <w:rsid w:val="0EDE2DB2"/>
    <w:rsid w:val="0EE04D7C"/>
    <w:rsid w:val="0EE20AF5"/>
    <w:rsid w:val="0EE26D46"/>
    <w:rsid w:val="0EE4486D"/>
    <w:rsid w:val="0EE7435D"/>
    <w:rsid w:val="0EE83C31"/>
    <w:rsid w:val="0EE91E83"/>
    <w:rsid w:val="0EF80318"/>
    <w:rsid w:val="0EF94D4B"/>
    <w:rsid w:val="0EFC3672"/>
    <w:rsid w:val="0F022F45"/>
    <w:rsid w:val="0F0A1DF9"/>
    <w:rsid w:val="0F0E18EA"/>
    <w:rsid w:val="0F0F5662"/>
    <w:rsid w:val="0F131660"/>
    <w:rsid w:val="0F1B4006"/>
    <w:rsid w:val="0F1D38DB"/>
    <w:rsid w:val="0F2509E1"/>
    <w:rsid w:val="0F334EAC"/>
    <w:rsid w:val="0F40581B"/>
    <w:rsid w:val="0F4277E5"/>
    <w:rsid w:val="0F4958DC"/>
    <w:rsid w:val="0F4B48EC"/>
    <w:rsid w:val="0F4B669A"/>
    <w:rsid w:val="0F4C5F6E"/>
    <w:rsid w:val="0F515DF7"/>
    <w:rsid w:val="0F566DED"/>
    <w:rsid w:val="0F596BA8"/>
    <w:rsid w:val="0F5B2AFA"/>
    <w:rsid w:val="0F5F2145"/>
    <w:rsid w:val="0F5F5CA1"/>
    <w:rsid w:val="0F6248D2"/>
    <w:rsid w:val="0F693536"/>
    <w:rsid w:val="0F73799F"/>
    <w:rsid w:val="0F786E19"/>
    <w:rsid w:val="0F7B0511"/>
    <w:rsid w:val="0F7B76D9"/>
    <w:rsid w:val="0F8120BC"/>
    <w:rsid w:val="0F816ACD"/>
    <w:rsid w:val="0F834049"/>
    <w:rsid w:val="0F8B2F3A"/>
    <w:rsid w:val="0F93D13B"/>
    <w:rsid w:val="0F9718DF"/>
    <w:rsid w:val="0F9832DB"/>
    <w:rsid w:val="0F985657"/>
    <w:rsid w:val="0F9A13CF"/>
    <w:rsid w:val="0F9B7DE0"/>
    <w:rsid w:val="0F9C6EF5"/>
    <w:rsid w:val="0FA43FFC"/>
    <w:rsid w:val="0FA45DAA"/>
    <w:rsid w:val="0FA67D74"/>
    <w:rsid w:val="0FA933C0"/>
    <w:rsid w:val="0FAB0EE6"/>
    <w:rsid w:val="0FAE6C29"/>
    <w:rsid w:val="0FAF0E26"/>
    <w:rsid w:val="0FB56209"/>
    <w:rsid w:val="0FBC1346"/>
    <w:rsid w:val="0FBF3FD2"/>
    <w:rsid w:val="0FBF7FF3"/>
    <w:rsid w:val="0FC02E46"/>
    <w:rsid w:val="0FC4644C"/>
    <w:rsid w:val="0FCE1079"/>
    <w:rsid w:val="0FD22917"/>
    <w:rsid w:val="0FD3668F"/>
    <w:rsid w:val="0FDA7A1E"/>
    <w:rsid w:val="0FE97C61"/>
    <w:rsid w:val="0FF23A99"/>
    <w:rsid w:val="0FF860F6"/>
    <w:rsid w:val="1001144E"/>
    <w:rsid w:val="10042CED"/>
    <w:rsid w:val="100D394F"/>
    <w:rsid w:val="101C3B92"/>
    <w:rsid w:val="101F18D4"/>
    <w:rsid w:val="1021389E"/>
    <w:rsid w:val="10246F5A"/>
    <w:rsid w:val="102A2753"/>
    <w:rsid w:val="102E00E8"/>
    <w:rsid w:val="102F7D69"/>
    <w:rsid w:val="1030763E"/>
    <w:rsid w:val="10340F65"/>
    <w:rsid w:val="10357AE2"/>
    <w:rsid w:val="103709CC"/>
    <w:rsid w:val="10507CE0"/>
    <w:rsid w:val="1053332C"/>
    <w:rsid w:val="105E23FD"/>
    <w:rsid w:val="10646583"/>
    <w:rsid w:val="10675755"/>
    <w:rsid w:val="10686DD7"/>
    <w:rsid w:val="106A6FF4"/>
    <w:rsid w:val="106B4B1A"/>
    <w:rsid w:val="106C2D6C"/>
    <w:rsid w:val="106E6603"/>
    <w:rsid w:val="107D4B15"/>
    <w:rsid w:val="107F4121"/>
    <w:rsid w:val="108160EB"/>
    <w:rsid w:val="10822281"/>
    <w:rsid w:val="10846DA4"/>
    <w:rsid w:val="108A3C80"/>
    <w:rsid w:val="108A4FA0"/>
    <w:rsid w:val="108D4A90"/>
    <w:rsid w:val="1090632E"/>
    <w:rsid w:val="109220A6"/>
    <w:rsid w:val="10A36062"/>
    <w:rsid w:val="10AB4F16"/>
    <w:rsid w:val="10B4201D"/>
    <w:rsid w:val="10C009C2"/>
    <w:rsid w:val="10C04E65"/>
    <w:rsid w:val="10C26171"/>
    <w:rsid w:val="10C761F4"/>
    <w:rsid w:val="10CA5CE4"/>
    <w:rsid w:val="10CB7366"/>
    <w:rsid w:val="10D64689"/>
    <w:rsid w:val="10DB1C9F"/>
    <w:rsid w:val="10DC1574"/>
    <w:rsid w:val="10EF5293"/>
    <w:rsid w:val="10F27A68"/>
    <w:rsid w:val="10F33360"/>
    <w:rsid w:val="10F44B0F"/>
    <w:rsid w:val="10F7015B"/>
    <w:rsid w:val="10F90377"/>
    <w:rsid w:val="10FC16EA"/>
    <w:rsid w:val="10FD39C4"/>
    <w:rsid w:val="10FF6CE8"/>
    <w:rsid w:val="11003276"/>
    <w:rsid w:val="110034B4"/>
    <w:rsid w:val="11005262"/>
    <w:rsid w:val="110F1D40"/>
    <w:rsid w:val="111B6540"/>
    <w:rsid w:val="11254CC9"/>
    <w:rsid w:val="11266F33"/>
    <w:rsid w:val="112C6057"/>
    <w:rsid w:val="1131366D"/>
    <w:rsid w:val="11317B11"/>
    <w:rsid w:val="113A263D"/>
    <w:rsid w:val="113B4369"/>
    <w:rsid w:val="113D0264"/>
    <w:rsid w:val="113D2012"/>
    <w:rsid w:val="113D64B6"/>
    <w:rsid w:val="11447845"/>
    <w:rsid w:val="11477335"/>
    <w:rsid w:val="11481D4B"/>
    <w:rsid w:val="11513D10"/>
    <w:rsid w:val="11515ABE"/>
    <w:rsid w:val="1158509E"/>
    <w:rsid w:val="115D4462"/>
    <w:rsid w:val="115E01DA"/>
    <w:rsid w:val="116021A5"/>
    <w:rsid w:val="116A6B7F"/>
    <w:rsid w:val="117F087D"/>
    <w:rsid w:val="118063A3"/>
    <w:rsid w:val="11847C41"/>
    <w:rsid w:val="118714DF"/>
    <w:rsid w:val="118963A1"/>
    <w:rsid w:val="118A0FD0"/>
    <w:rsid w:val="119078DB"/>
    <w:rsid w:val="11967974"/>
    <w:rsid w:val="11987B90"/>
    <w:rsid w:val="119A0B4E"/>
    <w:rsid w:val="119C142F"/>
    <w:rsid w:val="119D51A7"/>
    <w:rsid w:val="11A13517"/>
    <w:rsid w:val="11AE1162"/>
    <w:rsid w:val="11B0043B"/>
    <w:rsid w:val="11C049F1"/>
    <w:rsid w:val="11C269BB"/>
    <w:rsid w:val="11C6522A"/>
    <w:rsid w:val="11C91AF8"/>
    <w:rsid w:val="11CB5870"/>
    <w:rsid w:val="11CC3A28"/>
    <w:rsid w:val="11D84431"/>
    <w:rsid w:val="11D87F8D"/>
    <w:rsid w:val="11DB182B"/>
    <w:rsid w:val="11E104CC"/>
    <w:rsid w:val="11E20309"/>
    <w:rsid w:val="11E21E3A"/>
    <w:rsid w:val="11E22BBA"/>
    <w:rsid w:val="11E46932"/>
    <w:rsid w:val="11EB4164"/>
    <w:rsid w:val="11EE155E"/>
    <w:rsid w:val="11F50B3F"/>
    <w:rsid w:val="11F528ED"/>
    <w:rsid w:val="11FF19BD"/>
    <w:rsid w:val="12015736"/>
    <w:rsid w:val="12026BB4"/>
    <w:rsid w:val="120A5BAF"/>
    <w:rsid w:val="120D6537"/>
    <w:rsid w:val="120E39AF"/>
    <w:rsid w:val="12130FC5"/>
    <w:rsid w:val="121511E1"/>
    <w:rsid w:val="121675E9"/>
    <w:rsid w:val="1218482D"/>
    <w:rsid w:val="121A2353"/>
    <w:rsid w:val="121C256F"/>
    <w:rsid w:val="122038A7"/>
    <w:rsid w:val="12211934"/>
    <w:rsid w:val="122136E2"/>
    <w:rsid w:val="12255233"/>
    <w:rsid w:val="12312806"/>
    <w:rsid w:val="124318AA"/>
    <w:rsid w:val="124675EC"/>
    <w:rsid w:val="12521AED"/>
    <w:rsid w:val="12530213"/>
    <w:rsid w:val="12535865"/>
    <w:rsid w:val="12555A81"/>
    <w:rsid w:val="125C471A"/>
    <w:rsid w:val="126F6B43"/>
    <w:rsid w:val="12723F3D"/>
    <w:rsid w:val="127723A9"/>
    <w:rsid w:val="127952CC"/>
    <w:rsid w:val="12843C71"/>
    <w:rsid w:val="12862074"/>
    <w:rsid w:val="12863E8D"/>
    <w:rsid w:val="12883966"/>
    <w:rsid w:val="128A74D9"/>
    <w:rsid w:val="12942091"/>
    <w:rsid w:val="129973FF"/>
    <w:rsid w:val="129C545E"/>
    <w:rsid w:val="129E45B4"/>
    <w:rsid w:val="12A05B91"/>
    <w:rsid w:val="12A26ED5"/>
    <w:rsid w:val="12A85BB1"/>
    <w:rsid w:val="12AA36D7"/>
    <w:rsid w:val="12B5625B"/>
    <w:rsid w:val="12BA7692"/>
    <w:rsid w:val="12BB3B36"/>
    <w:rsid w:val="12C0114D"/>
    <w:rsid w:val="12C50511"/>
    <w:rsid w:val="12CE603E"/>
    <w:rsid w:val="12D149BF"/>
    <w:rsid w:val="12D20E80"/>
    <w:rsid w:val="12D544CC"/>
    <w:rsid w:val="12D81596"/>
    <w:rsid w:val="12D9220E"/>
    <w:rsid w:val="12DB5F87"/>
    <w:rsid w:val="12F26E2C"/>
    <w:rsid w:val="12F47048"/>
    <w:rsid w:val="12F9640D"/>
    <w:rsid w:val="12FE1C75"/>
    <w:rsid w:val="13051255"/>
    <w:rsid w:val="13056638"/>
    <w:rsid w:val="13070B2A"/>
    <w:rsid w:val="13072A44"/>
    <w:rsid w:val="13113756"/>
    <w:rsid w:val="131E2FC6"/>
    <w:rsid w:val="13307FAC"/>
    <w:rsid w:val="13347445"/>
    <w:rsid w:val="133B07BF"/>
    <w:rsid w:val="133D279D"/>
    <w:rsid w:val="133D454B"/>
    <w:rsid w:val="133E02C4"/>
    <w:rsid w:val="13451652"/>
    <w:rsid w:val="134615AE"/>
    <w:rsid w:val="13491142"/>
    <w:rsid w:val="134F0723"/>
    <w:rsid w:val="13517125"/>
    <w:rsid w:val="13533D6F"/>
    <w:rsid w:val="13545D39"/>
    <w:rsid w:val="135C3B77"/>
    <w:rsid w:val="135F4BE2"/>
    <w:rsid w:val="13675A6C"/>
    <w:rsid w:val="136E0BA9"/>
    <w:rsid w:val="13767A5D"/>
    <w:rsid w:val="137B32C6"/>
    <w:rsid w:val="137D2B9A"/>
    <w:rsid w:val="13883338"/>
    <w:rsid w:val="13893C35"/>
    <w:rsid w:val="138C0E00"/>
    <w:rsid w:val="138C54D3"/>
    <w:rsid w:val="13916645"/>
    <w:rsid w:val="13931087"/>
    <w:rsid w:val="13936861"/>
    <w:rsid w:val="13961EAE"/>
    <w:rsid w:val="139B1A0A"/>
    <w:rsid w:val="139D25C7"/>
    <w:rsid w:val="139D4FEA"/>
    <w:rsid w:val="139F5206"/>
    <w:rsid w:val="139F6FB4"/>
    <w:rsid w:val="13A00166"/>
    <w:rsid w:val="13A7230D"/>
    <w:rsid w:val="13AE5449"/>
    <w:rsid w:val="13B011C1"/>
    <w:rsid w:val="13BA3DEE"/>
    <w:rsid w:val="13BB1914"/>
    <w:rsid w:val="13BF31B2"/>
    <w:rsid w:val="13BF3CE4"/>
    <w:rsid w:val="13CA1B57"/>
    <w:rsid w:val="13CB5FFB"/>
    <w:rsid w:val="13D33102"/>
    <w:rsid w:val="13D44784"/>
    <w:rsid w:val="13E946D3"/>
    <w:rsid w:val="13EB3FA7"/>
    <w:rsid w:val="13ED66B2"/>
    <w:rsid w:val="13EE1CEA"/>
    <w:rsid w:val="13EF3D04"/>
    <w:rsid w:val="13F11866"/>
    <w:rsid w:val="13F3028C"/>
    <w:rsid w:val="13F56BD4"/>
    <w:rsid w:val="13F82B68"/>
    <w:rsid w:val="13FC61B5"/>
    <w:rsid w:val="13FD1F2D"/>
    <w:rsid w:val="13FF7A53"/>
    <w:rsid w:val="14011A1D"/>
    <w:rsid w:val="14027543"/>
    <w:rsid w:val="140432BB"/>
    <w:rsid w:val="14092680"/>
    <w:rsid w:val="141008D8"/>
    <w:rsid w:val="14125FE6"/>
    <w:rsid w:val="14172FEE"/>
    <w:rsid w:val="141D437D"/>
    <w:rsid w:val="14224587"/>
    <w:rsid w:val="14294AD0"/>
    <w:rsid w:val="142B0848"/>
    <w:rsid w:val="1437543F"/>
    <w:rsid w:val="143D67CD"/>
    <w:rsid w:val="1441006B"/>
    <w:rsid w:val="144162BD"/>
    <w:rsid w:val="14423DE3"/>
    <w:rsid w:val="14515DD5"/>
    <w:rsid w:val="14522278"/>
    <w:rsid w:val="14535FF1"/>
    <w:rsid w:val="14553B17"/>
    <w:rsid w:val="145A2EDB"/>
    <w:rsid w:val="145C4EA5"/>
    <w:rsid w:val="146A2525"/>
    <w:rsid w:val="146B333A"/>
    <w:rsid w:val="146B6E96"/>
    <w:rsid w:val="146D271E"/>
    <w:rsid w:val="14777F31"/>
    <w:rsid w:val="147815B3"/>
    <w:rsid w:val="147D6BCA"/>
    <w:rsid w:val="14830684"/>
    <w:rsid w:val="148443FC"/>
    <w:rsid w:val="14877923"/>
    <w:rsid w:val="148937C0"/>
    <w:rsid w:val="14982588"/>
    <w:rsid w:val="149A5AD9"/>
    <w:rsid w:val="149A777C"/>
    <w:rsid w:val="149C7544"/>
    <w:rsid w:val="149F4D92"/>
    <w:rsid w:val="14A7619D"/>
    <w:rsid w:val="14AA20B4"/>
    <w:rsid w:val="14AE3227"/>
    <w:rsid w:val="14B922F8"/>
    <w:rsid w:val="14B95E54"/>
    <w:rsid w:val="14C04A41"/>
    <w:rsid w:val="14C33176"/>
    <w:rsid w:val="14C8078D"/>
    <w:rsid w:val="14CD5DA3"/>
    <w:rsid w:val="14CF1B1B"/>
    <w:rsid w:val="14D07641"/>
    <w:rsid w:val="14D233B9"/>
    <w:rsid w:val="14D47131"/>
    <w:rsid w:val="14DC5FE6"/>
    <w:rsid w:val="14E153AA"/>
    <w:rsid w:val="14EA0703"/>
    <w:rsid w:val="14ED00CC"/>
    <w:rsid w:val="14EF7AC7"/>
    <w:rsid w:val="14F82861"/>
    <w:rsid w:val="14FB2910"/>
    <w:rsid w:val="14FE41AE"/>
    <w:rsid w:val="14FE7D0A"/>
    <w:rsid w:val="15001CD4"/>
    <w:rsid w:val="15035321"/>
    <w:rsid w:val="150536C3"/>
    <w:rsid w:val="150C1963"/>
    <w:rsid w:val="151447A0"/>
    <w:rsid w:val="15167FF1"/>
    <w:rsid w:val="15192D96"/>
    <w:rsid w:val="151C63E2"/>
    <w:rsid w:val="15233C15"/>
    <w:rsid w:val="15316332"/>
    <w:rsid w:val="15363948"/>
    <w:rsid w:val="153B4ABB"/>
    <w:rsid w:val="15431BC1"/>
    <w:rsid w:val="154A6454"/>
    <w:rsid w:val="154F4A0A"/>
    <w:rsid w:val="15512530"/>
    <w:rsid w:val="15541E97"/>
    <w:rsid w:val="155D7127"/>
    <w:rsid w:val="15762120"/>
    <w:rsid w:val="157D1577"/>
    <w:rsid w:val="15804BC3"/>
    <w:rsid w:val="15866F2A"/>
    <w:rsid w:val="15891CCA"/>
    <w:rsid w:val="15900494"/>
    <w:rsid w:val="159468C1"/>
    <w:rsid w:val="15A14A61"/>
    <w:rsid w:val="15A46B04"/>
    <w:rsid w:val="15A72150"/>
    <w:rsid w:val="15AA1C40"/>
    <w:rsid w:val="15AA7E92"/>
    <w:rsid w:val="15B42ABF"/>
    <w:rsid w:val="15B4486D"/>
    <w:rsid w:val="15BA6327"/>
    <w:rsid w:val="15BF393E"/>
    <w:rsid w:val="15C01464"/>
    <w:rsid w:val="15C727F2"/>
    <w:rsid w:val="15CA5E3E"/>
    <w:rsid w:val="15CE592F"/>
    <w:rsid w:val="15D078F9"/>
    <w:rsid w:val="15D1541F"/>
    <w:rsid w:val="15D171CD"/>
    <w:rsid w:val="15D53161"/>
    <w:rsid w:val="15D849FF"/>
    <w:rsid w:val="15DB44F0"/>
    <w:rsid w:val="15DD5B72"/>
    <w:rsid w:val="15E45152"/>
    <w:rsid w:val="15F335E7"/>
    <w:rsid w:val="15F35395"/>
    <w:rsid w:val="15F65EF7"/>
    <w:rsid w:val="1602382A"/>
    <w:rsid w:val="16061850"/>
    <w:rsid w:val="1609105D"/>
    <w:rsid w:val="160A26DF"/>
    <w:rsid w:val="160C6457"/>
    <w:rsid w:val="16104199"/>
    <w:rsid w:val="161329C4"/>
    <w:rsid w:val="1618304E"/>
    <w:rsid w:val="16245D2D"/>
    <w:rsid w:val="16257519"/>
    <w:rsid w:val="162714E3"/>
    <w:rsid w:val="16273291"/>
    <w:rsid w:val="16297009"/>
    <w:rsid w:val="162E5E8B"/>
    <w:rsid w:val="163C4F8E"/>
    <w:rsid w:val="16421E79"/>
    <w:rsid w:val="16504596"/>
    <w:rsid w:val="165D253C"/>
    <w:rsid w:val="165F0C7D"/>
    <w:rsid w:val="16710696"/>
    <w:rsid w:val="167504A0"/>
    <w:rsid w:val="167C35DD"/>
    <w:rsid w:val="16846935"/>
    <w:rsid w:val="168801D3"/>
    <w:rsid w:val="168B30E0"/>
    <w:rsid w:val="168E3310"/>
    <w:rsid w:val="16922E00"/>
    <w:rsid w:val="169326D4"/>
    <w:rsid w:val="1697487D"/>
    <w:rsid w:val="16976668"/>
    <w:rsid w:val="1699418F"/>
    <w:rsid w:val="169A7F07"/>
    <w:rsid w:val="169E23FD"/>
    <w:rsid w:val="16A20B69"/>
    <w:rsid w:val="16A36DBB"/>
    <w:rsid w:val="16A40FB8"/>
    <w:rsid w:val="16A8729C"/>
    <w:rsid w:val="16AD214A"/>
    <w:rsid w:val="16B33777"/>
    <w:rsid w:val="16B72867"/>
    <w:rsid w:val="16B8213B"/>
    <w:rsid w:val="16BC70A7"/>
    <w:rsid w:val="16BD7EC5"/>
    <w:rsid w:val="16BF171B"/>
    <w:rsid w:val="16BF2FC8"/>
    <w:rsid w:val="16BF796D"/>
    <w:rsid w:val="16C6339E"/>
    <w:rsid w:val="16CD3D3A"/>
    <w:rsid w:val="16CF5E02"/>
    <w:rsid w:val="16D11568"/>
    <w:rsid w:val="16D36F75"/>
    <w:rsid w:val="16D72F09"/>
    <w:rsid w:val="16D74CB7"/>
    <w:rsid w:val="16E3365C"/>
    <w:rsid w:val="16E3540A"/>
    <w:rsid w:val="16EB2510"/>
    <w:rsid w:val="16ED6288"/>
    <w:rsid w:val="16FC471D"/>
    <w:rsid w:val="17013AE2"/>
    <w:rsid w:val="17033CFE"/>
    <w:rsid w:val="170535D2"/>
    <w:rsid w:val="17067B69"/>
    <w:rsid w:val="17092996"/>
    <w:rsid w:val="1715758D"/>
    <w:rsid w:val="17214184"/>
    <w:rsid w:val="1726179A"/>
    <w:rsid w:val="17283764"/>
    <w:rsid w:val="172D7075"/>
    <w:rsid w:val="172F2D79"/>
    <w:rsid w:val="173619DD"/>
    <w:rsid w:val="17383A54"/>
    <w:rsid w:val="173914CE"/>
    <w:rsid w:val="17397720"/>
    <w:rsid w:val="173C0FBE"/>
    <w:rsid w:val="173C4B1A"/>
    <w:rsid w:val="17435EA8"/>
    <w:rsid w:val="17465999"/>
    <w:rsid w:val="17487963"/>
    <w:rsid w:val="17557BEF"/>
    <w:rsid w:val="1759391E"/>
    <w:rsid w:val="17614581"/>
    <w:rsid w:val="176302F9"/>
    <w:rsid w:val="176C3651"/>
    <w:rsid w:val="176F3141"/>
    <w:rsid w:val="1776002C"/>
    <w:rsid w:val="177644D0"/>
    <w:rsid w:val="1776627E"/>
    <w:rsid w:val="1778090A"/>
    <w:rsid w:val="17795D6E"/>
    <w:rsid w:val="177B3894"/>
    <w:rsid w:val="1787048B"/>
    <w:rsid w:val="178A3AD7"/>
    <w:rsid w:val="178D35C8"/>
    <w:rsid w:val="178F7340"/>
    <w:rsid w:val="17914E66"/>
    <w:rsid w:val="179606CE"/>
    <w:rsid w:val="179764FD"/>
    <w:rsid w:val="179901BE"/>
    <w:rsid w:val="17996410"/>
    <w:rsid w:val="179C0A16"/>
    <w:rsid w:val="17A70B2D"/>
    <w:rsid w:val="17AD23E0"/>
    <w:rsid w:val="17B6195E"/>
    <w:rsid w:val="17B9616B"/>
    <w:rsid w:val="17BA0860"/>
    <w:rsid w:val="17BE6BF1"/>
    <w:rsid w:val="17C50FB3"/>
    <w:rsid w:val="17CF1E32"/>
    <w:rsid w:val="17D336D0"/>
    <w:rsid w:val="17D349C1"/>
    <w:rsid w:val="17D35235"/>
    <w:rsid w:val="17DB37CE"/>
    <w:rsid w:val="17DB4333"/>
    <w:rsid w:val="17DF23C2"/>
    <w:rsid w:val="17DFB5AC"/>
    <w:rsid w:val="17E67825"/>
    <w:rsid w:val="17EC02EE"/>
    <w:rsid w:val="17EF6030"/>
    <w:rsid w:val="17F378CF"/>
    <w:rsid w:val="17F6116D"/>
    <w:rsid w:val="17FA6EAF"/>
    <w:rsid w:val="17FB49D5"/>
    <w:rsid w:val="180715CC"/>
    <w:rsid w:val="180C0990"/>
    <w:rsid w:val="18114AE8"/>
    <w:rsid w:val="1816180F"/>
    <w:rsid w:val="181810E3"/>
    <w:rsid w:val="18194E5B"/>
    <w:rsid w:val="1821268E"/>
    <w:rsid w:val="18221F62"/>
    <w:rsid w:val="182757CA"/>
    <w:rsid w:val="18277578"/>
    <w:rsid w:val="182D1E21"/>
    <w:rsid w:val="182F467F"/>
    <w:rsid w:val="183028D1"/>
    <w:rsid w:val="1830729E"/>
    <w:rsid w:val="183323C1"/>
    <w:rsid w:val="18335F1D"/>
    <w:rsid w:val="183D0B4A"/>
    <w:rsid w:val="18465E5E"/>
    <w:rsid w:val="184A42DA"/>
    <w:rsid w:val="185365BF"/>
    <w:rsid w:val="18585984"/>
    <w:rsid w:val="185B5474"/>
    <w:rsid w:val="185F31B6"/>
    <w:rsid w:val="18622CA6"/>
    <w:rsid w:val="186500A0"/>
    <w:rsid w:val="186662F2"/>
    <w:rsid w:val="1867206B"/>
    <w:rsid w:val="1869193F"/>
    <w:rsid w:val="1870062C"/>
    <w:rsid w:val="187A1D9E"/>
    <w:rsid w:val="187C78C4"/>
    <w:rsid w:val="18817102"/>
    <w:rsid w:val="18830A15"/>
    <w:rsid w:val="18846779"/>
    <w:rsid w:val="18852B28"/>
    <w:rsid w:val="188B5321"/>
    <w:rsid w:val="188E3A9B"/>
    <w:rsid w:val="188E5849"/>
    <w:rsid w:val="18925339"/>
    <w:rsid w:val="18934C0E"/>
    <w:rsid w:val="18956BD8"/>
    <w:rsid w:val="189746FE"/>
    <w:rsid w:val="18A1732B"/>
    <w:rsid w:val="18A84B5D"/>
    <w:rsid w:val="18B81D45"/>
    <w:rsid w:val="18BC23B6"/>
    <w:rsid w:val="18BF5A03"/>
    <w:rsid w:val="18C662FD"/>
    <w:rsid w:val="18C748B7"/>
    <w:rsid w:val="18C80D5B"/>
    <w:rsid w:val="18D25736"/>
    <w:rsid w:val="18DA6CE0"/>
    <w:rsid w:val="18DD40DB"/>
    <w:rsid w:val="18E57134"/>
    <w:rsid w:val="18EA78A5"/>
    <w:rsid w:val="18F03E0E"/>
    <w:rsid w:val="18F51424"/>
    <w:rsid w:val="19145D4E"/>
    <w:rsid w:val="1917583F"/>
    <w:rsid w:val="192561AE"/>
    <w:rsid w:val="19262D2F"/>
    <w:rsid w:val="192B12EA"/>
    <w:rsid w:val="192D6E10"/>
    <w:rsid w:val="19393A07"/>
    <w:rsid w:val="193E101D"/>
    <w:rsid w:val="1941466A"/>
    <w:rsid w:val="19461C80"/>
    <w:rsid w:val="19483543"/>
    <w:rsid w:val="195645B9"/>
    <w:rsid w:val="19600F94"/>
    <w:rsid w:val="196640D0"/>
    <w:rsid w:val="196842EC"/>
    <w:rsid w:val="196D1903"/>
    <w:rsid w:val="196D545F"/>
    <w:rsid w:val="196E7423"/>
    <w:rsid w:val="196F0E85"/>
    <w:rsid w:val="19720CC7"/>
    <w:rsid w:val="1977452F"/>
    <w:rsid w:val="197B5DCD"/>
    <w:rsid w:val="197B7B7C"/>
    <w:rsid w:val="1981715C"/>
    <w:rsid w:val="198D3D53"/>
    <w:rsid w:val="198E16B0"/>
    <w:rsid w:val="19921369"/>
    <w:rsid w:val="19932372"/>
    <w:rsid w:val="199B1FCC"/>
    <w:rsid w:val="199E1ABC"/>
    <w:rsid w:val="19A03A86"/>
    <w:rsid w:val="19A20DD5"/>
    <w:rsid w:val="19A215AC"/>
    <w:rsid w:val="19A30E80"/>
    <w:rsid w:val="19A8293B"/>
    <w:rsid w:val="19AE03F1"/>
    <w:rsid w:val="19B47531"/>
    <w:rsid w:val="19B906A4"/>
    <w:rsid w:val="19BE215E"/>
    <w:rsid w:val="19C01A32"/>
    <w:rsid w:val="19C534ED"/>
    <w:rsid w:val="19C72DC1"/>
    <w:rsid w:val="19C86B39"/>
    <w:rsid w:val="19CA465F"/>
    <w:rsid w:val="19CF7EC7"/>
    <w:rsid w:val="19D63004"/>
    <w:rsid w:val="19DA2643"/>
    <w:rsid w:val="19DE5E98"/>
    <w:rsid w:val="19E00326"/>
    <w:rsid w:val="19E75211"/>
    <w:rsid w:val="19E80F89"/>
    <w:rsid w:val="19E82D37"/>
    <w:rsid w:val="19F142E2"/>
    <w:rsid w:val="19F32613"/>
    <w:rsid w:val="19F85670"/>
    <w:rsid w:val="19F933DC"/>
    <w:rsid w:val="19FB6F0E"/>
    <w:rsid w:val="1A061820"/>
    <w:rsid w:val="1A071A03"/>
    <w:rsid w:val="1A13040E"/>
    <w:rsid w:val="1A18186E"/>
    <w:rsid w:val="1A1F16AE"/>
    <w:rsid w:val="1A2561A1"/>
    <w:rsid w:val="1A3B5C77"/>
    <w:rsid w:val="1A402B73"/>
    <w:rsid w:val="1A4268EB"/>
    <w:rsid w:val="1A4B1C44"/>
    <w:rsid w:val="1A4B59CE"/>
    <w:rsid w:val="1A4C776A"/>
    <w:rsid w:val="1A5959E3"/>
    <w:rsid w:val="1A5B175B"/>
    <w:rsid w:val="1A5E3C5E"/>
    <w:rsid w:val="1A604FC3"/>
    <w:rsid w:val="1A613215"/>
    <w:rsid w:val="1A70799A"/>
    <w:rsid w:val="1A75606A"/>
    <w:rsid w:val="1A7840BB"/>
    <w:rsid w:val="1A7A7E33"/>
    <w:rsid w:val="1A7E3C31"/>
    <w:rsid w:val="1A7F18ED"/>
    <w:rsid w:val="1A7F369B"/>
    <w:rsid w:val="1A9058A9"/>
    <w:rsid w:val="1A9133CF"/>
    <w:rsid w:val="1A9829AF"/>
    <w:rsid w:val="1A984BAD"/>
    <w:rsid w:val="1A9A04D5"/>
    <w:rsid w:val="1A9C249F"/>
    <w:rsid w:val="1AA66E7A"/>
    <w:rsid w:val="1AA749A0"/>
    <w:rsid w:val="1AAE21D3"/>
    <w:rsid w:val="1AB33345"/>
    <w:rsid w:val="1AB8220E"/>
    <w:rsid w:val="1ABF1CEA"/>
    <w:rsid w:val="1ACD2659"/>
    <w:rsid w:val="1AD81468"/>
    <w:rsid w:val="1AE31E7C"/>
    <w:rsid w:val="1AE4166C"/>
    <w:rsid w:val="1AEE0821"/>
    <w:rsid w:val="1AF06CFB"/>
    <w:rsid w:val="1AF11B8D"/>
    <w:rsid w:val="1AF37BE5"/>
    <w:rsid w:val="1AF916A0"/>
    <w:rsid w:val="1AFC2F3E"/>
    <w:rsid w:val="1AFD2812"/>
    <w:rsid w:val="1AFF81A7"/>
    <w:rsid w:val="1B09565B"/>
    <w:rsid w:val="1B0B4F2F"/>
    <w:rsid w:val="1B11359C"/>
    <w:rsid w:val="1B1464DA"/>
    <w:rsid w:val="1B214753"/>
    <w:rsid w:val="1B285AE1"/>
    <w:rsid w:val="1B2A271F"/>
    <w:rsid w:val="1B2B3823"/>
    <w:rsid w:val="1B2B479E"/>
    <w:rsid w:val="1B326960"/>
    <w:rsid w:val="1B43291B"/>
    <w:rsid w:val="1B505038"/>
    <w:rsid w:val="1B530544"/>
    <w:rsid w:val="1B60171F"/>
    <w:rsid w:val="1B6805D3"/>
    <w:rsid w:val="1B713184"/>
    <w:rsid w:val="1B7A20B5"/>
    <w:rsid w:val="1B833F1E"/>
    <w:rsid w:val="1B8C2514"/>
    <w:rsid w:val="1B8F790E"/>
    <w:rsid w:val="1B903686"/>
    <w:rsid w:val="1B9413C8"/>
    <w:rsid w:val="1B974A15"/>
    <w:rsid w:val="1B99078D"/>
    <w:rsid w:val="1BA209CF"/>
    <w:rsid w:val="1BA809D0"/>
    <w:rsid w:val="1BB455C7"/>
    <w:rsid w:val="1BB4777D"/>
    <w:rsid w:val="1BBE1FA1"/>
    <w:rsid w:val="1BC31CAE"/>
    <w:rsid w:val="1BC670A8"/>
    <w:rsid w:val="1BC81072"/>
    <w:rsid w:val="1BD143CB"/>
    <w:rsid w:val="1BD33001"/>
    <w:rsid w:val="1BD712B5"/>
    <w:rsid w:val="1BD75AB8"/>
    <w:rsid w:val="1BDE2644"/>
    <w:rsid w:val="1BE614F8"/>
    <w:rsid w:val="1BE91714"/>
    <w:rsid w:val="1BEA0FE8"/>
    <w:rsid w:val="1BEF2AA3"/>
    <w:rsid w:val="1BEF4851"/>
    <w:rsid w:val="1BFE6842"/>
    <w:rsid w:val="1C006A5E"/>
    <w:rsid w:val="1C0227D6"/>
    <w:rsid w:val="1C0459C2"/>
    <w:rsid w:val="1C085913"/>
    <w:rsid w:val="1C0C5403"/>
    <w:rsid w:val="1C0D20E1"/>
    <w:rsid w:val="1C112A1C"/>
    <w:rsid w:val="1C183DA8"/>
    <w:rsid w:val="1C1B3B4A"/>
    <w:rsid w:val="1C1B5646"/>
    <w:rsid w:val="1C2207D3"/>
    <w:rsid w:val="1C24274C"/>
    <w:rsid w:val="1C252021"/>
    <w:rsid w:val="1C2C33AF"/>
    <w:rsid w:val="1C47643B"/>
    <w:rsid w:val="1C493F61"/>
    <w:rsid w:val="1C512E16"/>
    <w:rsid w:val="1C566F8A"/>
    <w:rsid w:val="1C6963B1"/>
    <w:rsid w:val="1C6E39C8"/>
    <w:rsid w:val="1C6E7E6B"/>
    <w:rsid w:val="1C735482"/>
    <w:rsid w:val="1C7A05BE"/>
    <w:rsid w:val="1C7B60E4"/>
    <w:rsid w:val="1C821221"/>
    <w:rsid w:val="1C84143D"/>
    <w:rsid w:val="1C88086E"/>
    <w:rsid w:val="1C890801"/>
    <w:rsid w:val="1C940F54"/>
    <w:rsid w:val="1C9553F8"/>
    <w:rsid w:val="1C9571A6"/>
    <w:rsid w:val="1C9C6787"/>
    <w:rsid w:val="1C9F6277"/>
    <w:rsid w:val="1CA27B15"/>
    <w:rsid w:val="1CAD0994"/>
    <w:rsid w:val="1CB03FE0"/>
    <w:rsid w:val="1CB17D58"/>
    <w:rsid w:val="1CB6536F"/>
    <w:rsid w:val="1CC45CDD"/>
    <w:rsid w:val="1CC932F4"/>
    <w:rsid w:val="1CCB0E1A"/>
    <w:rsid w:val="1CCE26B8"/>
    <w:rsid w:val="1CD37CCF"/>
    <w:rsid w:val="1CD6156D"/>
    <w:rsid w:val="1CD852E5"/>
    <w:rsid w:val="1CD87093"/>
    <w:rsid w:val="1CE249B0"/>
    <w:rsid w:val="1CE26164"/>
    <w:rsid w:val="1CF10155"/>
    <w:rsid w:val="1CF2284B"/>
    <w:rsid w:val="1CF87735"/>
    <w:rsid w:val="1CFA2C37"/>
    <w:rsid w:val="1CFC5477"/>
    <w:rsid w:val="1CFE5619"/>
    <w:rsid w:val="1D00505A"/>
    <w:rsid w:val="1D0600A4"/>
    <w:rsid w:val="1D0936F0"/>
    <w:rsid w:val="1D0E6F59"/>
    <w:rsid w:val="1D17405F"/>
    <w:rsid w:val="1D187DD7"/>
    <w:rsid w:val="1D1E53EE"/>
    <w:rsid w:val="1D235971"/>
    <w:rsid w:val="1D2624F4"/>
    <w:rsid w:val="1D266CE1"/>
    <w:rsid w:val="1D306ECF"/>
    <w:rsid w:val="1D353C90"/>
    <w:rsid w:val="1D3544E5"/>
    <w:rsid w:val="1D3963AF"/>
    <w:rsid w:val="1D3D0010"/>
    <w:rsid w:val="1D3D339A"/>
    <w:rsid w:val="1D3F35B6"/>
    <w:rsid w:val="1D4204D3"/>
    <w:rsid w:val="1D4604A0"/>
    <w:rsid w:val="1D4961E3"/>
    <w:rsid w:val="1D4B1F5B"/>
    <w:rsid w:val="1D4E55A7"/>
    <w:rsid w:val="1D5A3F4C"/>
    <w:rsid w:val="1D5C4168"/>
    <w:rsid w:val="1D5C5F16"/>
    <w:rsid w:val="1D6A673C"/>
    <w:rsid w:val="1D6C56B8"/>
    <w:rsid w:val="1D80285F"/>
    <w:rsid w:val="1D840FC9"/>
    <w:rsid w:val="1D9247AE"/>
    <w:rsid w:val="1D992CC6"/>
    <w:rsid w:val="1D994A74"/>
    <w:rsid w:val="1D9B4C90"/>
    <w:rsid w:val="1DA022A7"/>
    <w:rsid w:val="1DAE2D0C"/>
    <w:rsid w:val="1DB567EC"/>
    <w:rsid w:val="1DC00253"/>
    <w:rsid w:val="1DC934B1"/>
    <w:rsid w:val="1DCB4E05"/>
    <w:rsid w:val="1DCB6BF8"/>
    <w:rsid w:val="1DCC309C"/>
    <w:rsid w:val="1DD41F50"/>
    <w:rsid w:val="1DD45AAC"/>
    <w:rsid w:val="1DD91315"/>
    <w:rsid w:val="1DE008F5"/>
    <w:rsid w:val="1DE76FE8"/>
    <w:rsid w:val="1DF20628"/>
    <w:rsid w:val="1DF223D6"/>
    <w:rsid w:val="1DF51A98"/>
    <w:rsid w:val="1DFE0D7B"/>
    <w:rsid w:val="1DFE6FCD"/>
    <w:rsid w:val="1E162569"/>
    <w:rsid w:val="1E197963"/>
    <w:rsid w:val="1E1B64A6"/>
    <w:rsid w:val="1E30246C"/>
    <w:rsid w:val="1E326C77"/>
    <w:rsid w:val="1E370E29"/>
    <w:rsid w:val="1E37428D"/>
    <w:rsid w:val="1E396257"/>
    <w:rsid w:val="1E3D060F"/>
    <w:rsid w:val="1E3D7AF5"/>
    <w:rsid w:val="1E3F7D2E"/>
    <w:rsid w:val="1E4134E4"/>
    <w:rsid w:val="1E4569AA"/>
    <w:rsid w:val="1E4F7829"/>
    <w:rsid w:val="1E50563C"/>
    <w:rsid w:val="1E5062B3"/>
    <w:rsid w:val="1E523514"/>
    <w:rsid w:val="1E58492F"/>
    <w:rsid w:val="1E592455"/>
    <w:rsid w:val="1E650DFA"/>
    <w:rsid w:val="1E6A4663"/>
    <w:rsid w:val="1E6C03DB"/>
    <w:rsid w:val="1E71154D"/>
    <w:rsid w:val="1E714A66"/>
    <w:rsid w:val="1E796654"/>
    <w:rsid w:val="1E7A08AF"/>
    <w:rsid w:val="1E7E3C6A"/>
    <w:rsid w:val="1E802593"/>
    <w:rsid w:val="1E8079E2"/>
    <w:rsid w:val="1E8B4251"/>
    <w:rsid w:val="1E8C282B"/>
    <w:rsid w:val="1E8C45D9"/>
    <w:rsid w:val="1E8E0351"/>
    <w:rsid w:val="1E94348E"/>
    <w:rsid w:val="1E982F7E"/>
    <w:rsid w:val="1E984D2C"/>
    <w:rsid w:val="1E990AA4"/>
    <w:rsid w:val="1EA25BAA"/>
    <w:rsid w:val="1EA703CC"/>
    <w:rsid w:val="1EA90CE7"/>
    <w:rsid w:val="1EAF02C7"/>
    <w:rsid w:val="1EB12291"/>
    <w:rsid w:val="1EB4768C"/>
    <w:rsid w:val="1EB63404"/>
    <w:rsid w:val="1EB7330C"/>
    <w:rsid w:val="1EBA7398"/>
    <w:rsid w:val="1EBC3110"/>
    <w:rsid w:val="1EBD29E4"/>
    <w:rsid w:val="1EC024D4"/>
    <w:rsid w:val="1EC04283"/>
    <w:rsid w:val="1ED657E9"/>
    <w:rsid w:val="1ED815CC"/>
    <w:rsid w:val="1EDB5833"/>
    <w:rsid w:val="1EE6018D"/>
    <w:rsid w:val="1EE61F3B"/>
    <w:rsid w:val="1EE77A61"/>
    <w:rsid w:val="1EF26B32"/>
    <w:rsid w:val="1EF36406"/>
    <w:rsid w:val="1EFC27C7"/>
    <w:rsid w:val="1EFD7285"/>
    <w:rsid w:val="1EFF4DAB"/>
    <w:rsid w:val="1F022AED"/>
    <w:rsid w:val="1F0423C1"/>
    <w:rsid w:val="1F0A0FF3"/>
    <w:rsid w:val="1F0B4912"/>
    <w:rsid w:val="1F0D0EF1"/>
    <w:rsid w:val="1F136AA8"/>
    <w:rsid w:val="1F15637C"/>
    <w:rsid w:val="1F1B770B"/>
    <w:rsid w:val="1F1F369F"/>
    <w:rsid w:val="1F221709"/>
    <w:rsid w:val="1F242A63"/>
    <w:rsid w:val="1F2962CC"/>
    <w:rsid w:val="1F2C538C"/>
    <w:rsid w:val="1F38206B"/>
    <w:rsid w:val="1F38650F"/>
    <w:rsid w:val="1F3A2287"/>
    <w:rsid w:val="1F3A4035"/>
    <w:rsid w:val="1F3E1D77"/>
    <w:rsid w:val="1F424E16"/>
    <w:rsid w:val="1F4934E4"/>
    <w:rsid w:val="1F4B6242"/>
    <w:rsid w:val="1F4C44AA"/>
    <w:rsid w:val="1F4C5B16"/>
    <w:rsid w:val="1F5771FF"/>
    <w:rsid w:val="1F6317DE"/>
    <w:rsid w:val="1F63358C"/>
    <w:rsid w:val="1F7601C1"/>
    <w:rsid w:val="1F817EB6"/>
    <w:rsid w:val="1F861028"/>
    <w:rsid w:val="1F881244"/>
    <w:rsid w:val="1F8A5A67"/>
    <w:rsid w:val="1F9574BD"/>
    <w:rsid w:val="1F964BFD"/>
    <w:rsid w:val="1F9951FF"/>
    <w:rsid w:val="1F9A5E47"/>
    <w:rsid w:val="1FA6660E"/>
    <w:rsid w:val="1FA6791C"/>
    <w:rsid w:val="1FAA11BB"/>
    <w:rsid w:val="1FAF67D1"/>
    <w:rsid w:val="1FB060A5"/>
    <w:rsid w:val="1FB262C1"/>
    <w:rsid w:val="1FB7784D"/>
    <w:rsid w:val="1FB913FE"/>
    <w:rsid w:val="1FBC0EEE"/>
    <w:rsid w:val="1FC35DD8"/>
    <w:rsid w:val="1FC61D6D"/>
    <w:rsid w:val="1FC7371A"/>
    <w:rsid w:val="1FC85AE5"/>
    <w:rsid w:val="1FCA53B9"/>
    <w:rsid w:val="1FD75D28"/>
    <w:rsid w:val="1FE67D19"/>
    <w:rsid w:val="1FE868A9"/>
    <w:rsid w:val="1FED10A7"/>
    <w:rsid w:val="1FF22B62"/>
    <w:rsid w:val="1FF93EF0"/>
    <w:rsid w:val="1FFC753C"/>
    <w:rsid w:val="2000702C"/>
    <w:rsid w:val="20034907"/>
    <w:rsid w:val="20075A36"/>
    <w:rsid w:val="200F04DE"/>
    <w:rsid w:val="200F54C2"/>
    <w:rsid w:val="20126D60"/>
    <w:rsid w:val="20126E5F"/>
    <w:rsid w:val="20173E4B"/>
    <w:rsid w:val="20176124"/>
    <w:rsid w:val="20196340"/>
    <w:rsid w:val="201A79C2"/>
    <w:rsid w:val="201B10CF"/>
    <w:rsid w:val="201E48A5"/>
    <w:rsid w:val="2020147D"/>
    <w:rsid w:val="20286583"/>
    <w:rsid w:val="202D1DEC"/>
    <w:rsid w:val="203647FC"/>
    <w:rsid w:val="20370574"/>
    <w:rsid w:val="20384A18"/>
    <w:rsid w:val="203D202F"/>
    <w:rsid w:val="2040567B"/>
    <w:rsid w:val="20410A86"/>
    <w:rsid w:val="204333BD"/>
    <w:rsid w:val="20452C91"/>
    <w:rsid w:val="20471345"/>
    <w:rsid w:val="204809D3"/>
    <w:rsid w:val="204E48BC"/>
    <w:rsid w:val="204F3B10"/>
    <w:rsid w:val="20547378"/>
    <w:rsid w:val="205C7FDB"/>
    <w:rsid w:val="20673637"/>
    <w:rsid w:val="206A26F8"/>
    <w:rsid w:val="206C6470"/>
    <w:rsid w:val="206D4D3C"/>
    <w:rsid w:val="2079293B"/>
    <w:rsid w:val="207E61A3"/>
    <w:rsid w:val="20803CC9"/>
    <w:rsid w:val="20875058"/>
    <w:rsid w:val="208921B3"/>
    <w:rsid w:val="208A0FEC"/>
    <w:rsid w:val="208A4B48"/>
    <w:rsid w:val="208B18B2"/>
    <w:rsid w:val="208C266E"/>
    <w:rsid w:val="208E288A"/>
    <w:rsid w:val="20973DEB"/>
    <w:rsid w:val="209B4FA7"/>
    <w:rsid w:val="20A200E4"/>
    <w:rsid w:val="20A35C0A"/>
    <w:rsid w:val="20A51982"/>
    <w:rsid w:val="20AF45AF"/>
    <w:rsid w:val="20B16579"/>
    <w:rsid w:val="20B26522"/>
    <w:rsid w:val="20B44310"/>
    <w:rsid w:val="20BD316F"/>
    <w:rsid w:val="20BE47F2"/>
    <w:rsid w:val="20BF0C96"/>
    <w:rsid w:val="20C52024"/>
    <w:rsid w:val="20C55B80"/>
    <w:rsid w:val="20CA763A"/>
    <w:rsid w:val="20D14525"/>
    <w:rsid w:val="20D34084"/>
    <w:rsid w:val="20D9162C"/>
    <w:rsid w:val="20DA5ACF"/>
    <w:rsid w:val="20DF4F0A"/>
    <w:rsid w:val="20E64474"/>
    <w:rsid w:val="20EF2BFD"/>
    <w:rsid w:val="20F070A1"/>
    <w:rsid w:val="20F546B7"/>
    <w:rsid w:val="20FB17E4"/>
    <w:rsid w:val="210C37AF"/>
    <w:rsid w:val="21110DC5"/>
    <w:rsid w:val="211116EB"/>
    <w:rsid w:val="21132D8F"/>
    <w:rsid w:val="21244F9D"/>
    <w:rsid w:val="21262AC3"/>
    <w:rsid w:val="212705E9"/>
    <w:rsid w:val="212A1E87"/>
    <w:rsid w:val="212C5BFF"/>
    <w:rsid w:val="21313216"/>
    <w:rsid w:val="213170F5"/>
    <w:rsid w:val="21352D06"/>
    <w:rsid w:val="21374CD0"/>
    <w:rsid w:val="213977FF"/>
    <w:rsid w:val="214C004F"/>
    <w:rsid w:val="21521B0A"/>
    <w:rsid w:val="21577120"/>
    <w:rsid w:val="215D225D"/>
    <w:rsid w:val="215F5FD5"/>
    <w:rsid w:val="216133FC"/>
    <w:rsid w:val="2164183D"/>
    <w:rsid w:val="21661111"/>
    <w:rsid w:val="21701C68"/>
    <w:rsid w:val="217C6B87"/>
    <w:rsid w:val="217F0425"/>
    <w:rsid w:val="21843C8D"/>
    <w:rsid w:val="218477E9"/>
    <w:rsid w:val="218872DA"/>
    <w:rsid w:val="218E68BA"/>
    <w:rsid w:val="21902632"/>
    <w:rsid w:val="21920158"/>
    <w:rsid w:val="21957C48"/>
    <w:rsid w:val="21A51B5B"/>
    <w:rsid w:val="21AA28FE"/>
    <w:rsid w:val="21B207FA"/>
    <w:rsid w:val="21B26104"/>
    <w:rsid w:val="21B87493"/>
    <w:rsid w:val="21BC3427"/>
    <w:rsid w:val="21D267A7"/>
    <w:rsid w:val="21D544E9"/>
    <w:rsid w:val="21D56769"/>
    <w:rsid w:val="21D818E3"/>
    <w:rsid w:val="21D97B35"/>
    <w:rsid w:val="21DB2344"/>
    <w:rsid w:val="21E40288"/>
    <w:rsid w:val="21E52EF3"/>
    <w:rsid w:val="21E93AF0"/>
    <w:rsid w:val="21EB1616"/>
    <w:rsid w:val="21EF55AB"/>
    <w:rsid w:val="21F229A5"/>
    <w:rsid w:val="21FB5D7B"/>
    <w:rsid w:val="21FF50C2"/>
    <w:rsid w:val="2205092A"/>
    <w:rsid w:val="220B1C3D"/>
    <w:rsid w:val="221072CF"/>
    <w:rsid w:val="2212366C"/>
    <w:rsid w:val="221355E2"/>
    <w:rsid w:val="22137BB5"/>
    <w:rsid w:val="22181A5A"/>
    <w:rsid w:val="221C2173"/>
    <w:rsid w:val="221D1D20"/>
    <w:rsid w:val="221E7C3E"/>
    <w:rsid w:val="221F7512"/>
    <w:rsid w:val="222039B6"/>
    <w:rsid w:val="222114DC"/>
    <w:rsid w:val="22213649"/>
    <w:rsid w:val="222F1E4B"/>
    <w:rsid w:val="22334A87"/>
    <w:rsid w:val="22346EEE"/>
    <w:rsid w:val="22364F87"/>
    <w:rsid w:val="223C00C4"/>
    <w:rsid w:val="223E777F"/>
    <w:rsid w:val="224156DA"/>
    <w:rsid w:val="22433E12"/>
    <w:rsid w:val="224A458F"/>
    <w:rsid w:val="224F6049"/>
    <w:rsid w:val="22573150"/>
    <w:rsid w:val="22576CAC"/>
    <w:rsid w:val="22596EC8"/>
    <w:rsid w:val="225C42C2"/>
    <w:rsid w:val="22635651"/>
    <w:rsid w:val="22664EDF"/>
    <w:rsid w:val="22697CD9"/>
    <w:rsid w:val="226D4721"/>
    <w:rsid w:val="22737F8A"/>
    <w:rsid w:val="22806203"/>
    <w:rsid w:val="22813DB4"/>
    <w:rsid w:val="22835CF3"/>
    <w:rsid w:val="228D26CE"/>
    <w:rsid w:val="228D7391"/>
    <w:rsid w:val="228F28EA"/>
    <w:rsid w:val="2291647A"/>
    <w:rsid w:val="22916662"/>
    <w:rsid w:val="22993768"/>
    <w:rsid w:val="229B303C"/>
    <w:rsid w:val="229E2B2D"/>
    <w:rsid w:val="22A00653"/>
    <w:rsid w:val="22A04AF7"/>
    <w:rsid w:val="22A30143"/>
    <w:rsid w:val="22A31EF1"/>
    <w:rsid w:val="22A448F0"/>
    <w:rsid w:val="22A939AB"/>
    <w:rsid w:val="22AD4512"/>
    <w:rsid w:val="22B440FE"/>
    <w:rsid w:val="22B70195"/>
    <w:rsid w:val="22B91715"/>
    <w:rsid w:val="22BB43D7"/>
    <w:rsid w:val="22BE6801"/>
    <w:rsid w:val="22CA2A17"/>
    <w:rsid w:val="22D12F02"/>
    <w:rsid w:val="22D327D6"/>
    <w:rsid w:val="22D93B65"/>
    <w:rsid w:val="22D95913"/>
    <w:rsid w:val="22DB168B"/>
    <w:rsid w:val="22F015DA"/>
    <w:rsid w:val="22F15352"/>
    <w:rsid w:val="22F8048F"/>
    <w:rsid w:val="22FB7F7F"/>
    <w:rsid w:val="23024E6A"/>
    <w:rsid w:val="2309444A"/>
    <w:rsid w:val="230961F8"/>
    <w:rsid w:val="230A01C2"/>
    <w:rsid w:val="230C5CE8"/>
    <w:rsid w:val="231026BB"/>
    <w:rsid w:val="23103A2A"/>
    <w:rsid w:val="231057D9"/>
    <w:rsid w:val="23137077"/>
    <w:rsid w:val="232C638A"/>
    <w:rsid w:val="232E5C5F"/>
    <w:rsid w:val="23305E7B"/>
    <w:rsid w:val="233500BF"/>
    <w:rsid w:val="23377FF7"/>
    <w:rsid w:val="23403BE4"/>
    <w:rsid w:val="23474F72"/>
    <w:rsid w:val="234C4BAE"/>
    <w:rsid w:val="23517B9F"/>
    <w:rsid w:val="23537507"/>
    <w:rsid w:val="23566F63"/>
    <w:rsid w:val="235C6C70"/>
    <w:rsid w:val="23621DAC"/>
    <w:rsid w:val="23627FFE"/>
    <w:rsid w:val="23675615"/>
    <w:rsid w:val="2369313B"/>
    <w:rsid w:val="236B425F"/>
    <w:rsid w:val="236C6787"/>
    <w:rsid w:val="23713D9D"/>
    <w:rsid w:val="237A203E"/>
    <w:rsid w:val="237D6BE6"/>
    <w:rsid w:val="23836192"/>
    <w:rsid w:val="23841D23"/>
    <w:rsid w:val="23847F75"/>
    <w:rsid w:val="23897339"/>
    <w:rsid w:val="238D507B"/>
    <w:rsid w:val="23901F29"/>
    <w:rsid w:val="23983A20"/>
    <w:rsid w:val="239C0061"/>
    <w:rsid w:val="239F090A"/>
    <w:rsid w:val="23A979DB"/>
    <w:rsid w:val="23AB5501"/>
    <w:rsid w:val="23B24AE2"/>
    <w:rsid w:val="23B3099D"/>
    <w:rsid w:val="23B4085A"/>
    <w:rsid w:val="23B819CC"/>
    <w:rsid w:val="23B908A4"/>
    <w:rsid w:val="23BA1BE8"/>
    <w:rsid w:val="23BE3486"/>
    <w:rsid w:val="23C10881"/>
    <w:rsid w:val="23C16AD3"/>
    <w:rsid w:val="23C640E9"/>
    <w:rsid w:val="23CD191B"/>
    <w:rsid w:val="23CD36CA"/>
    <w:rsid w:val="23CD4A35"/>
    <w:rsid w:val="23D762F6"/>
    <w:rsid w:val="23DF41E2"/>
    <w:rsid w:val="23DF51AB"/>
    <w:rsid w:val="23E26A49"/>
    <w:rsid w:val="23E40A13"/>
    <w:rsid w:val="23E95BEF"/>
    <w:rsid w:val="23ED5B1A"/>
    <w:rsid w:val="23F0560A"/>
    <w:rsid w:val="23FC3FAF"/>
    <w:rsid w:val="23FD0064"/>
    <w:rsid w:val="24003A9F"/>
    <w:rsid w:val="24015121"/>
    <w:rsid w:val="2403691B"/>
    <w:rsid w:val="240370EB"/>
    <w:rsid w:val="24082954"/>
    <w:rsid w:val="240B41F2"/>
    <w:rsid w:val="240B5FA0"/>
    <w:rsid w:val="2412732E"/>
    <w:rsid w:val="24194B61"/>
    <w:rsid w:val="2423778D"/>
    <w:rsid w:val="2426102C"/>
    <w:rsid w:val="24262DDA"/>
    <w:rsid w:val="242D23BA"/>
    <w:rsid w:val="2437353F"/>
    <w:rsid w:val="243B2E03"/>
    <w:rsid w:val="24443260"/>
    <w:rsid w:val="24457704"/>
    <w:rsid w:val="2446347C"/>
    <w:rsid w:val="24482D50"/>
    <w:rsid w:val="244D65B8"/>
    <w:rsid w:val="244F2331"/>
    <w:rsid w:val="245375B0"/>
    <w:rsid w:val="24561F7E"/>
    <w:rsid w:val="245B0CD5"/>
    <w:rsid w:val="245E07C6"/>
    <w:rsid w:val="246062EC"/>
    <w:rsid w:val="24642C0A"/>
    <w:rsid w:val="246851A0"/>
    <w:rsid w:val="246C1365"/>
    <w:rsid w:val="246D6C5B"/>
    <w:rsid w:val="246F4EFF"/>
    <w:rsid w:val="247022A7"/>
    <w:rsid w:val="24747FE9"/>
    <w:rsid w:val="247578BD"/>
    <w:rsid w:val="24773635"/>
    <w:rsid w:val="247973AD"/>
    <w:rsid w:val="247B3126"/>
    <w:rsid w:val="247C0C4C"/>
    <w:rsid w:val="247E2C16"/>
    <w:rsid w:val="24832617"/>
    <w:rsid w:val="248B0E8F"/>
    <w:rsid w:val="24970E04"/>
    <w:rsid w:val="249C183C"/>
    <w:rsid w:val="24A0493A"/>
    <w:rsid w:val="24A106B2"/>
    <w:rsid w:val="24A26904"/>
    <w:rsid w:val="24A73F1B"/>
    <w:rsid w:val="24A85EE5"/>
    <w:rsid w:val="24AB32DF"/>
    <w:rsid w:val="24AF4B7D"/>
    <w:rsid w:val="24B22173"/>
    <w:rsid w:val="24B93C4E"/>
    <w:rsid w:val="24B95AD9"/>
    <w:rsid w:val="24BB1774"/>
    <w:rsid w:val="24BE24DA"/>
    <w:rsid w:val="24C877AE"/>
    <w:rsid w:val="24CA5E5B"/>
    <w:rsid w:val="24CC1BD3"/>
    <w:rsid w:val="24CF5825"/>
    <w:rsid w:val="24D23A23"/>
    <w:rsid w:val="24D663E6"/>
    <w:rsid w:val="24D740D4"/>
    <w:rsid w:val="24D77F2B"/>
    <w:rsid w:val="24DE36B4"/>
    <w:rsid w:val="24E0551A"/>
    <w:rsid w:val="24E54A43"/>
    <w:rsid w:val="24EA02AB"/>
    <w:rsid w:val="24EF141E"/>
    <w:rsid w:val="24F35209"/>
    <w:rsid w:val="24F66C50"/>
    <w:rsid w:val="24F9229C"/>
    <w:rsid w:val="24FB2D60"/>
    <w:rsid w:val="25053989"/>
    <w:rsid w:val="25123C68"/>
    <w:rsid w:val="251610A0"/>
    <w:rsid w:val="251A0B90"/>
    <w:rsid w:val="251B2213"/>
    <w:rsid w:val="251C31E3"/>
    <w:rsid w:val="251C71CF"/>
    <w:rsid w:val="251D41DD"/>
    <w:rsid w:val="251F61A7"/>
    <w:rsid w:val="2527505B"/>
    <w:rsid w:val="25287F65"/>
    <w:rsid w:val="252A06A8"/>
    <w:rsid w:val="252C0373"/>
    <w:rsid w:val="252F3F10"/>
    <w:rsid w:val="25357BE4"/>
    <w:rsid w:val="253A30B9"/>
    <w:rsid w:val="253D662D"/>
    <w:rsid w:val="25416D14"/>
    <w:rsid w:val="254259F1"/>
    <w:rsid w:val="25453733"/>
    <w:rsid w:val="254554E2"/>
    <w:rsid w:val="254C4AC2"/>
    <w:rsid w:val="254D45A6"/>
    <w:rsid w:val="255045B2"/>
    <w:rsid w:val="25553977"/>
    <w:rsid w:val="255816B9"/>
    <w:rsid w:val="255B0278"/>
    <w:rsid w:val="255B2F57"/>
    <w:rsid w:val="255D6CCF"/>
    <w:rsid w:val="256040C9"/>
    <w:rsid w:val="25641E0C"/>
    <w:rsid w:val="25662653"/>
    <w:rsid w:val="25675458"/>
    <w:rsid w:val="256A4F48"/>
    <w:rsid w:val="257C53A7"/>
    <w:rsid w:val="257D4C7B"/>
    <w:rsid w:val="257F09F3"/>
    <w:rsid w:val="257F3FCC"/>
    <w:rsid w:val="258403C0"/>
    <w:rsid w:val="2584425C"/>
    <w:rsid w:val="258B00E2"/>
    <w:rsid w:val="258C4EBE"/>
    <w:rsid w:val="25965D3D"/>
    <w:rsid w:val="259C77F7"/>
    <w:rsid w:val="25A917A6"/>
    <w:rsid w:val="25A95A70"/>
    <w:rsid w:val="25AD37B3"/>
    <w:rsid w:val="25B61F3B"/>
    <w:rsid w:val="25BE27CC"/>
    <w:rsid w:val="25C64874"/>
    <w:rsid w:val="25CE197B"/>
    <w:rsid w:val="25D02FFD"/>
    <w:rsid w:val="25D32AED"/>
    <w:rsid w:val="25DA3E7C"/>
    <w:rsid w:val="25DF76E4"/>
    <w:rsid w:val="25EB6089"/>
    <w:rsid w:val="25EB7E37"/>
    <w:rsid w:val="25F25669"/>
    <w:rsid w:val="25F3318F"/>
    <w:rsid w:val="25F34F3E"/>
    <w:rsid w:val="25F52A64"/>
    <w:rsid w:val="25F74A5C"/>
    <w:rsid w:val="25FA451E"/>
    <w:rsid w:val="2601765A"/>
    <w:rsid w:val="260D24A3"/>
    <w:rsid w:val="26123616"/>
    <w:rsid w:val="261455E0"/>
    <w:rsid w:val="261E7009"/>
    <w:rsid w:val="2628662C"/>
    <w:rsid w:val="262D45DE"/>
    <w:rsid w:val="26325A66"/>
    <w:rsid w:val="263537A8"/>
    <w:rsid w:val="263A491A"/>
    <w:rsid w:val="263C68E5"/>
    <w:rsid w:val="26431A21"/>
    <w:rsid w:val="26437C73"/>
    <w:rsid w:val="26467763"/>
    <w:rsid w:val="26492DAF"/>
    <w:rsid w:val="264A7253"/>
    <w:rsid w:val="264D464E"/>
    <w:rsid w:val="26541E80"/>
    <w:rsid w:val="26555BF8"/>
    <w:rsid w:val="265579A6"/>
    <w:rsid w:val="265A320F"/>
    <w:rsid w:val="26667E05"/>
    <w:rsid w:val="2668592C"/>
    <w:rsid w:val="26695200"/>
    <w:rsid w:val="266A3452"/>
    <w:rsid w:val="266A4519"/>
    <w:rsid w:val="266B71CA"/>
    <w:rsid w:val="267918E7"/>
    <w:rsid w:val="267E0CAB"/>
    <w:rsid w:val="26812549"/>
    <w:rsid w:val="2685028B"/>
    <w:rsid w:val="26864004"/>
    <w:rsid w:val="268838D8"/>
    <w:rsid w:val="268A0303"/>
    <w:rsid w:val="268C786C"/>
    <w:rsid w:val="268F2EB8"/>
    <w:rsid w:val="268F4C66"/>
    <w:rsid w:val="269009DE"/>
    <w:rsid w:val="26906C30"/>
    <w:rsid w:val="26914E82"/>
    <w:rsid w:val="26962499"/>
    <w:rsid w:val="26A06E73"/>
    <w:rsid w:val="26A53EF9"/>
    <w:rsid w:val="26A94201"/>
    <w:rsid w:val="26AA5F44"/>
    <w:rsid w:val="26AB75C6"/>
    <w:rsid w:val="26AC274F"/>
    <w:rsid w:val="26B446CD"/>
    <w:rsid w:val="26BE554B"/>
    <w:rsid w:val="26CD1C32"/>
    <w:rsid w:val="26E054C2"/>
    <w:rsid w:val="26E36D60"/>
    <w:rsid w:val="26E74CBE"/>
    <w:rsid w:val="26ED7BDF"/>
    <w:rsid w:val="26EE0F6E"/>
    <w:rsid w:val="27005B64"/>
    <w:rsid w:val="270218DC"/>
    <w:rsid w:val="27044A29"/>
    <w:rsid w:val="270D0281"/>
    <w:rsid w:val="271138CD"/>
    <w:rsid w:val="27133AE9"/>
    <w:rsid w:val="27174C5C"/>
    <w:rsid w:val="271866BD"/>
    <w:rsid w:val="271A7B0E"/>
    <w:rsid w:val="271D34C8"/>
    <w:rsid w:val="271D6716"/>
    <w:rsid w:val="27207FB4"/>
    <w:rsid w:val="27231852"/>
    <w:rsid w:val="27233601"/>
    <w:rsid w:val="2725381D"/>
    <w:rsid w:val="272A0E33"/>
    <w:rsid w:val="272D0F38"/>
    <w:rsid w:val="272F6449"/>
    <w:rsid w:val="27363334"/>
    <w:rsid w:val="27383550"/>
    <w:rsid w:val="273D0B66"/>
    <w:rsid w:val="273F48DE"/>
    <w:rsid w:val="274E2D73"/>
    <w:rsid w:val="275B0FEC"/>
    <w:rsid w:val="275D4D64"/>
    <w:rsid w:val="275F0ADD"/>
    <w:rsid w:val="276142BF"/>
    <w:rsid w:val="276B73F4"/>
    <w:rsid w:val="277125BE"/>
    <w:rsid w:val="27724D2D"/>
    <w:rsid w:val="27734588"/>
    <w:rsid w:val="27783712"/>
    <w:rsid w:val="277D0EAD"/>
    <w:rsid w:val="27906EE8"/>
    <w:rsid w:val="27907362"/>
    <w:rsid w:val="27930786"/>
    <w:rsid w:val="27952750"/>
    <w:rsid w:val="279D33B3"/>
    <w:rsid w:val="27A110F5"/>
    <w:rsid w:val="27A6670B"/>
    <w:rsid w:val="27AC6324"/>
    <w:rsid w:val="27AC7A9A"/>
    <w:rsid w:val="27C052F3"/>
    <w:rsid w:val="27C05EBB"/>
    <w:rsid w:val="27C9064C"/>
    <w:rsid w:val="27CB335B"/>
    <w:rsid w:val="27CC1EEA"/>
    <w:rsid w:val="27CE17BE"/>
    <w:rsid w:val="27D019DA"/>
    <w:rsid w:val="27E35801"/>
    <w:rsid w:val="27E45486"/>
    <w:rsid w:val="27E62FAC"/>
    <w:rsid w:val="27EB2370"/>
    <w:rsid w:val="27EB411E"/>
    <w:rsid w:val="27EE1E60"/>
    <w:rsid w:val="27EE63F8"/>
    <w:rsid w:val="27F21951"/>
    <w:rsid w:val="27F54F9D"/>
    <w:rsid w:val="27F75178"/>
    <w:rsid w:val="28081174"/>
    <w:rsid w:val="28096C9A"/>
    <w:rsid w:val="28101024"/>
    <w:rsid w:val="28177609"/>
    <w:rsid w:val="2819186E"/>
    <w:rsid w:val="281C69CE"/>
    <w:rsid w:val="28201F93"/>
    <w:rsid w:val="28235FAE"/>
    <w:rsid w:val="282D0BDB"/>
    <w:rsid w:val="282E04AF"/>
    <w:rsid w:val="28304227"/>
    <w:rsid w:val="28333E1D"/>
    <w:rsid w:val="28341F69"/>
    <w:rsid w:val="28355CE1"/>
    <w:rsid w:val="283C7460"/>
    <w:rsid w:val="28425D08"/>
    <w:rsid w:val="28447CD2"/>
    <w:rsid w:val="28454BD6"/>
    <w:rsid w:val="28455253"/>
    <w:rsid w:val="28481571"/>
    <w:rsid w:val="28485A15"/>
    <w:rsid w:val="284F6DA3"/>
    <w:rsid w:val="28551971"/>
    <w:rsid w:val="2858552C"/>
    <w:rsid w:val="285A74F6"/>
    <w:rsid w:val="285B1C53"/>
    <w:rsid w:val="286D0FD7"/>
    <w:rsid w:val="286D7229"/>
    <w:rsid w:val="286F11F3"/>
    <w:rsid w:val="287405B8"/>
    <w:rsid w:val="287700A8"/>
    <w:rsid w:val="28771E56"/>
    <w:rsid w:val="28773C04"/>
    <w:rsid w:val="28795BCE"/>
    <w:rsid w:val="288325A9"/>
    <w:rsid w:val="288F53F1"/>
    <w:rsid w:val="28916E8B"/>
    <w:rsid w:val="2895052E"/>
    <w:rsid w:val="289F7086"/>
    <w:rsid w:val="28AB7D51"/>
    <w:rsid w:val="28AF7842"/>
    <w:rsid w:val="28B46C06"/>
    <w:rsid w:val="28B5472C"/>
    <w:rsid w:val="28BC1F5F"/>
    <w:rsid w:val="28C32028"/>
    <w:rsid w:val="28C66939"/>
    <w:rsid w:val="28CC490F"/>
    <w:rsid w:val="28CD7CC8"/>
    <w:rsid w:val="28D9666D"/>
    <w:rsid w:val="28DA4193"/>
    <w:rsid w:val="28DB23E5"/>
    <w:rsid w:val="28DE40AA"/>
    <w:rsid w:val="28E55011"/>
    <w:rsid w:val="28F9286B"/>
    <w:rsid w:val="28F96D0F"/>
    <w:rsid w:val="28FB65E3"/>
    <w:rsid w:val="28FC05AD"/>
    <w:rsid w:val="29023E15"/>
    <w:rsid w:val="290D4568"/>
    <w:rsid w:val="291469C0"/>
    <w:rsid w:val="2915627C"/>
    <w:rsid w:val="29183639"/>
    <w:rsid w:val="291B0A33"/>
    <w:rsid w:val="29226266"/>
    <w:rsid w:val="29256DEA"/>
    <w:rsid w:val="29262DDF"/>
    <w:rsid w:val="29282EA6"/>
    <w:rsid w:val="292E4C0A"/>
    <w:rsid w:val="29325D7D"/>
    <w:rsid w:val="29345E77"/>
    <w:rsid w:val="29385A89"/>
    <w:rsid w:val="29453D02"/>
    <w:rsid w:val="294A1318"/>
    <w:rsid w:val="294A57BC"/>
    <w:rsid w:val="294C5091"/>
    <w:rsid w:val="294C65AD"/>
    <w:rsid w:val="294D13A0"/>
    <w:rsid w:val="294E705B"/>
    <w:rsid w:val="29622B06"/>
    <w:rsid w:val="296E357B"/>
    <w:rsid w:val="297445E7"/>
    <w:rsid w:val="29806583"/>
    <w:rsid w:val="29824F56"/>
    <w:rsid w:val="2987431B"/>
    <w:rsid w:val="298B3C4C"/>
    <w:rsid w:val="298F1421"/>
    <w:rsid w:val="29910CF5"/>
    <w:rsid w:val="299407E6"/>
    <w:rsid w:val="29AC5B2F"/>
    <w:rsid w:val="29AE18A7"/>
    <w:rsid w:val="29BD1AEA"/>
    <w:rsid w:val="29C410CB"/>
    <w:rsid w:val="29C4731D"/>
    <w:rsid w:val="29C63095"/>
    <w:rsid w:val="29C941B3"/>
    <w:rsid w:val="29CF181E"/>
    <w:rsid w:val="29D46E34"/>
    <w:rsid w:val="29E3027D"/>
    <w:rsid w:val="29F26D24"/>
    <w:rsid w:val="29F6324E"/>
    <w:rsid w:val="29FD282F"/>
    <w:rsid w:val="29FD638B"/>
    <w:rsid w:val="2A042187"/>
    <w:rsid w:val="2A043BBD"/>
    <w:rsid w:val="2A0B4F4C"/>
    <w:rsid w:val="2A0B6CFA"/>
    <w:rsid w:val="2A106382"/>
    <w:rsid w:val="2A15033F"/>
    <w:rsid w:val="2A1662C1"/>
    <w:rsid w:val="2A17569E"/>
    <w:rsid w:val="2A1A6F3D"/>
    <w:rsid w:val="2A1C7367"/>
    <w:rsid w:val="2A1F4553"/>
    <w:rsid w:val="2A20382A"/>
    <w:rsid w:val="2A222295"/>
    <w:rsid w:val="2A261D85"/>
    <w:rsid w:val="2A273408"/>
    <w:rsid w:val="2A2815FA"/>
    <w:rsid w:val="2A290EB8"/>
    <w:rsid w:val="2A294452"/>
    <w:rsid w:val="2A2B2EF8"/>
    <w:rsid w:val="2A32072A"/>
    <w:rsid w:val="2A342FBE"/>
    <w:rsid w:val="2A385183"/>
    <w:rsid w:val="2A3873C3"/>
    <w:rsid w:val="2A3C5105"/>
    <w:rsid w:val="2A420242"/>
    <w:rsid w:val="2A44220C"/>
    <w:rsid w:val="2A467D32"/>
    <w:rsid w:val="2A491472"/>
    <w:rsid w:val="2A497822"/>
    <w:rsid w:val="2A4E45E1"/>
    <w:rsid w:val="2A506E02"/>
    <w:rsid w:val="2A587A65"/>
    <w:rsid w:val="2A5F317B"/>
    <w:rsid w:val="2A691C72"/>
    <w:rsid w:val="2A6B1546"/>
    <w:rsid w:val="2A6B59EA"/>
    <w:rsid w:val="2A6D6092"/>
    <w:rsid w:val="2A720B27"/>
    <w:rsid w:val="2A7228D5"/>
    <w:rsid w:val="2A7523C5"/>
    <w:rsid w:val="2A7D76B4"/>
    <w:rsid w:val="2A9036A3"/>
    <w:rsid w:val="2A922F77"/>
    <w:rsid w:val="2A9270B0"/>
    <w:rsid w:val="2A950CB9"/>
    <w:rsid w:val="2A9A6739"/>
    <w:rsid w:val="2A9C5BA4"/>
    <w:rsid w:val="2A9F38E6"/>
    <w:rsid w:val="2AA640E3"/>
    <w:rsid w:val="2AA809EC"/>
    <w:rsid w:val="2AA8279A"/>
    <w:rsid w:val="2AA9206F"/>
    <w:rsid w:val="2AAA4765"/>
    <w:rsid w:val="2AAB228B"/>
    <w:rsid w:val="2AB47391"/>
    <w:rsid w:val="2AB56C65"/>
    <w:rsid w:val="2AB70C30"/>
    <w:rsid w:val="2ABA427C"/>
    <w:rsid w:val="2ABB0720"/>
    <w:rsid w:val="2ABC4498"/>
    <w:rsid w:val="2ABE1FBE"/>
    <w:rsid w:val="2AC11AAE"/>
    <w:rsid w:val="2AC450FA"/>
    <w:rsid w:val="2AC46EA9"/>
    <w:rsid w:val="2AC966AE"/>
    <w:rsid w:val="2ACB6489"/>
    <w:rsid w:val="2ACF5F79"/>
    <w:rsid w:val="2AD52E64"/>
    <w:rsid w:val="2ADB6BD5"/>
    <w:rsid w:val="2ADC55F5"/>
    <w:rsid w:val="2ADE4F51"/>
    <w:rsid w:val="2AE636CE"/>
    <w:rsid w:val="2AE92A77"/>
    <w:rsid w:val="2AEB2687"/>
    <w:rsid w:val="2AEC3A3B"/>
    <w:rsid w:val="2AEF03C9"/>
    <w:rsid w:val="2AF53506"/>
    <w:rsid w:val="2AF7727E"/>
    <w:rsid w:val="2B033E75"/>
    <w:rsid w:val="2B0B2D29"/>
    <w:rsid w:val="2B0D0850"/>
    <w:rsid w:val="2B0F442A"/>
    <w:rsid w:val="2B1716CE"/>
    <w:rsid w:val="2B255CF1"/>
    <w:rsid w:val="2B2C33CC"/>
    <w:rsid w:val="2B2C517A"/>
    <w:rsid w:val="2B2D2CA0"/>
    <w:rsid w:val="2B2E2A0A"/>
    <w:rsid w:val="2B3109E2"/>
    <w:rsid w:val="2B3C1135"/>
    <w:rsid w:val="2B3D7387"/>
    <w:rsid w:val="2B404781"/>
    <w:rsid w:val="2B406E77"/>
    <w:rsid w:val="2B42499D"/>
    <w:rsid w:val="2B437463"/>
    <w:rsid w:val="2B457FE9"/>
    <w:rsid w:val="2B473D61"/>
    <w:rsid w:val="2B4F70BA"/>
    <w:rsid w:val="2B51698E"/>
    <w:rsid w:val="2B5244B4"/>
    <w:rsid w:val="2B593A95"/>
    <w:rsid w:val="2B603075"/>
    <w:rsid w:val="2B683CD8"/>
    <w:rsid w:val="2B6C37C8"/>
    <w:rsid w:val="2B6C7C6C"/>
    <w:rsid w:val="2B6D7540"/>
    <w:rsid w:val="2B6F5066"/>
    <w:rsid w:val="2B77216D"/>
    <w:rsid w:val="2B7807EE"/>
    <w:rsid w:val="2B794137"/>
    <w:rsid w:val="2B8054C5"/>
    <w:rsid w:val="2B852ADC"/>
    <w:rsid w:val="2B8723B0"/>
    <w:rsid w:val="2B8B0A09"/>
    <w:rsid w:val="2B91322F"/>
    <w:rsid w:val="2B942D1F"/>
    <w:rsid w:val="2B94474C"/>
    <w:rsid w:val="2B9845BD"/>
    <w:rsid w:val="2B996587"/>
    <w:rsid w:val="2B9D7E25"/>
    <w:rsid w:val="2BA935AA"/>
    <w:rsid w:val="2BAA0794"/>
    <w:rsid w:val="2BAA0E41"/>
    <w:rsid w:val="2BAA609E"/>
    <w:rsid w:val="2BB673E4"/>
    <w:rsid w:val="2BBF00EC"/>
    <w:rsid w:val="2BC37CFD"/>
    <w:rsid w:val="2BC43604"/>
    <w:rsid w:val="2BCC24B9"/>
    <w:rsid w:val="2BD5237F"/>
    <w:rsid w:val="2BDA2E28"/>
    <w:rsid w:val="2BE02A8B"/>
    <w:rsid w:val="2BE536CE"/>
    <w:rsid w:val="2BE664C3"/>
    <w:rsid w:val="2BE758D9"/>
    <w:rsid w:val="2BE9496F"/>
    <w:rsid w:val="2BE961B4"/>
    <w:rsid w:val="2BEE242F"/>
    <w:rsid w:val="2BEF7F55"/>
    <w:rsid w:val="2BFD2672"/>
    <w:rsid w:val="2BFD6B16"/>
    <w:rsid w:val="2C02237E"/>
    <w:rsid w:val="2C027C88"/>
    <w:rsid w:val="2C09049E"/>
    <w:rsid w:val="2C0A653C"/>
    <w:rsid w:val="2C0E2AD1"/>
    <w:rsid w:val="2C153E60"/>
    <w:rsid w:val="2C191F85"/>
    <w:rsid w:val="2C2440A3"/>
    <w:rsid w:val="2C33078A"/>
    <w:rsid w:val="2C365B84"/>
    <w:rsid w:val="2C3E47B1"/>
    <w:rsid w:val="2C4B162F"/>
    <w:rsid w:val="2C55425C"/>
    <w:rsid w:val="2C622E1D"/>
    <w:rsid w:val="2C631A05"/>
    <w:rsid w:val="2C70553A"/>
    <w:rsid w:val="2C7A0167"/>
    <w:rsid w:val="2C7D1A05"/>
    <w:rsid w:val="2C844B41"/>
    <w:rsid w:val="2C852611"/>
    <w:rsid w:val="2C92725E"/>
    <w:rsid w:val="2C932FD6"/>
    <w:rsid w:val="2C9452EB"/>
    <w:rsid w:val="2C954FA0"/>
    <w:rsid w:val="2C956D4E"/>
    <w:rsid w:val="2C985B8A"/>
    <w:rsid w:val="2C9A25B7"/>
    <w:rsid w:val="2C9C1E8B"/>
    <w:rsid w:val="2C9C632F"/>
    <w:rsid w:val="2CA13945"/>
    <w:rsid w:val="2CA23219"/>
    <w:rsid w:val="2CA60F5C"/>
    <w:rsid w:val="2CA67F3B"/>
    <w:rsid w:val="2CA90A4C"/>
    <w:rsid w:val="2CAA45D4"/>
    <w:rsid w:val="2CAE32CD"/>
    <w:rsid w:val="2CB371D5"/>
    <w:rsid w:val="2CC31B0E"/>
    <w:rsid w:val="2CC47634"/>
    <w:rsid w:val="2CC633AC"/>
    <w:rsid w:val="2CC704A7"/>
    <w:rsid w:val="2CC80ED2"/>
    <w:rsid w:val="2CD0422B"/>
    <w:rsid w:val="2CD31625"/>
    <w:rsid w:val="2CDC4BBF"/>
    <w:rsid w:val="2CDD4252"/>
    <w:rsid w:val="2CE51A84"/>
    <w:rsid w:val="2CE51DA6"/>
    <w:rsid w:val="2CE82D6F"/>
    <w:rsid w:val="2CED0939"/>
    <w:rsid w:val="2CF75313"/>
    <w:rsid w:val="2CFB12A7"/>
    <w:rsid w:val="2CFC5020"/>
    <w:rsid w:val="2D0B5263"/>
    <w:rsid w:val="2D1759B5"/>
    <w:rsid w:val="2D1934DC"/>
    <w:rsid w:val="2D1B36F8"/>
    <w:rsid w:val="2D2105E2"/>
    <w:rsid w:val="2D2325AC"/>
    <w:rsid w:val="2D26209C"/>
    <w:rsid w:val="2D287BC3"/>
    <w:rsid w:val="2D2C76B3"/>
    <w:rsid w:val="2D2D342B"/>
    <w:rsid w:val="2D343236"/>
    <w:rsid w:val="2D37238E"/>
    <w:rsid w:val="2D391DD0"/>
    <w:rsid w:val="2D430559"/>
    <w:rsid w:val="2D4349FC"/>
    <w:rsid w:val="2D485B6F"/>
    <w:rsid w:val="2D4A5D8B"/>
    <w:rsid w:val="2D4B38B1"/>
    <w:rsid w:val="2D4C4AC2"/>
    <w:rsid w:val="2D517119"/>
    <w:rsid w:val="2D5269EE"/>
    <w:rsid w:val="2D662499"/>
    <w:rsid w:val="2D686211"/>
    <w:rsid w:val="2D792E9C"/>
    <w:rsid w:val="2D7E5A35"/>
    <w:rsid w:val="2D83304B"/>
    <w:rsid w:val="2D865E3F"/>
    <w:rsid w:val="2D883422"/>
    <w:rsid w:val="2D8E211C"/>
    <w:rsid w:val="2D92328E"/>
    <w:rsid w:val="2D964B2C"/>
    <w:rsid w:val="2D9708A4"/>
    <w:rsid w:val="2D99461C"/>
    <w:rsid w:val="2DA134D1"/>
    <w:rsid w:val="2DA21723"/>
    <w:rsid w:val="2DAC5BF8"/>
    <w:rsid w:val="2DAF3E40"/>
    <w:rsid w:val="2DB43204"/>
    <w:rsid w:val="2DB72CF5"/>
    <w:rsid w:val="2DBE4083"/>
    <w:rsid w:val="2DC7118A"/>
    <w:rsid w:val="2DD15014"/>
    <w:rsid w:val="2DDF2977"/>
    <w:rsid w:val="2DE24215"/>
    <w:rsid w:val="2DEE2BBA"/>
    <w:rsid w:val="2DF72DE4"/>
    <w:rsid w:val="2DF950BB"/>
    <w:rsid w:val="2DFB7085"/>
    <w:rsid w:val="2DFD2DFD"/>
    <w:rsid w:val="2E0220AF"/>
    <w:rsid w:val="2E0C4DEE"/>
    <w:rsid w:val="2E163EBF"/>
    <w:rsid w:val="2E19750B"/>
    <w:rsid w:val="2E20089A"/>
    <w:rsid w:val="2E232138"/>
    <w:rsid w:val="2E382087"/>
    <w:rsid w:val="2E3A7BAD"/>
    <w:rsid w:val="2E3D585B"/>
    <w:rsid w:val="2E483EDC"/>
    <w:rsid w:val="2E4B082A"/>
    <w:rsid w:val="2E4C78E1"/>
    <w:rsid w:val="2E4E3659"/>
    <w:rsid w:val="2E536EC1"/>
    <w:rsid w:val="2E552C39"/>
    <w:rsid w:val="2E5A3DAC"/>
    <w:rsid w:val="2E5D4E86"/>
    <w:rsid w:val="2E5D790B"/>
    <w:rsid w:val="2E692241"/>
    <w:rsid w:val="2E6B020F"/>
    <w:rsid w:val="2E6B420B"/>
    <w:rsid w:val="2E6C3ADF"/>
    <w:rsid w:val="2E7035CF"/>
    <w:rsid w:val="2E713C96"/>
    <w:rsid w:val="2E7B108D"/>
    <w:rsid w:val="2E7D3F3E"/>
    <w:rsid w:val="2E7F1A64"/>
    <w:rsid w:val="2E8928E3"/>
    <w:rsid w:val="2E907392"/>
    <w:rsid w:val="2E9A3C18"/>
    <w:rsid w:val="2E9D1EEA"/>
    <w:rsid w:val="2E9D47C7"/>
    <w:rsid w:val="2EA66FF1"/>
    <w:rsid w:val="2EA94D33"/>
    <w:rsid w:val="2EB65DAC"/>
    <w:rsid w:val="2EBA484A"/>
    <w:rsid w:val="2EBB0FEE"/>
    <w:rsid w:val="2EBF00B3"/>
    <w:rsid w:val="2EC15BD9"/>
    <w:rsid w:val="2EC63002"/>
    <w:rsid w:val="2EC658E5"/>
    <w:rsid w:val="2EC92CDF"/>
    <w:rsid w:val="2ED0406E"/>
    <w:rsid w:val="2EDA4EED"/>
    <w:rsid w:val="2EDC6EB7"/>
    <w:rsid w:val="2EE26B1C"/>
    <w:rsid w:val="2EEA15D4"/>
    <w:rsid w:val="2EF73CF0"/>
    <w:rsid w:val="2EFC4E63"/>
    <w:rsid w:val="2EFE0F6B"/>
    <w:rsid w:val="2F0106CB"/>
    <w:rsid w:val="2F0A3A24"/>
    <w:rsid w:val="2F0A6B38"/>
    <w:rsid w:val="2F125CDF"/>
    <w:rsid w:val="2F154177"/>
    <w:rsid w:val="2F212B1B"/>
    <w:rsid w:val="2F234AE5"/>
    <w:rsid w:val="2F25260C"/>
    <w:rsid w:val="2F260132"/>
    <w:rsid w:val="2F266384"/>
    <w:rsid w:val="2F391C13"/>
    <w:rsid w:val="2F3960B7"/>
    <w:rsid w:val="2F416D1A"/>
    <w:rsid w:val="2F45680A"/>
    <w:rsid w:val="2F4B5DEA"/>
    <w:rsid w:val="2F4F7689"/>
    <w:rsid w:val="2F546A4D"/>
    <w:rsid w:val="2F594063"/>
    <w:rsid w:val="2F5A5701"/>
    <w:rsid w:val="2F656EAC"/>
    <w:rsid w:val="2F697F69"/>
    <w:rsid w:val="2F6B545A"/>
    <w:rsid w:val="2F7215C9"/>
    <w:rsid w:val="2F762E67"/>
    <w:rsid w:val="2F7E3ACA"/>
    <w:rsid w:val="2F7F41AC"/>
    <w:rsid w:val="2F807842"/>
    <w:rsid w:val="2F81180C"/>
    <w:rsid w:val="2F8161F0"/>
    <w:rsid w:val="2F8310E0"/>
    <w:rsid w:val="2F866E22"/>
    <w:rsid w:val="2F8D6403"/>
    <w:rsid w:val="2F946CCB"/>
    <w:rsid w:val="2F9B28CE"/>
    <w:rsid w:val="2FA02C09"/>
    <w:rsid w:val="2FA572A9"/>
    <w:rsid w:val="2FAF1ED5"/>
    <w:rsid w:val="2FAF3037"/>
    <w:rsid w:val="2FB120F1"/>
    <w:rsid w:val="2FB254A3"/>
    <w:rsid w:val="2FC75471"/>
    <w:rsid w:val="2FCC2A87"/>
    <w:rsid w:val="2FCE2CA3"/>
    <w:rsid w:val="2FCF0858"/>
    <w:rsid w:val="2FD25781"/>
    <w:rsid w:val="2FD302BA"/>
    <w:rsid w:val="2FD656B4"/>
    <w:rsid w:val="2FD858D0"/>
    <w:rsid w:val="2FD91648"/>
    <w:rsid w:val="2FD951A4"/>
    <w:rsid w:val="2FDD4C94"/>
    <w:rsid w:val="2FDE27BA"/>
    <w:rsid w:val="2FE9188B"/>
    <w:rsid w:val="2FEF2C1A"/>
    <w:rsid w:val="2FF10740"/>
    <w:rsid w:val="2FF86323"/>
    <w:rsid w:val="2FFD7934"/>
    <w:rsid w:val="30055F99"/>
    <w:rsid w:val="30074987"/>
    <w:rsid w:val="30112B90"/>
    <w:rsid w:val="30161F54"/>
    <w:rsid w:val="301A5EE8"/>
    <w:rsid w:val="302503E9"/>
    <w:rsid w:val="3029612C"/>
    <w:rsid w:val="302B3D82"/>
    <w:rsid w:val="302E3742"/>
    <w:rsid w:val="30354AD0"/>
    <w:rsid w:val="303625F7"/>
    <w:rsid w:val="3038011D"/>
    <w:rsid w:val="30395C43"/>
    <w:rsid w:val="303B7C0D"/>
    <w:rsid w:val="30403475"/>
    <w:rsid w:val="30466CDD"/>
    <w:rsid w:val="304A60A2"/>
    <w:rsid w:val="304B42F4"/>
    <w:rsid w:val="304F5466"/>
    <w:rsid w:val="30536D05"/>
    <w:rsid w:val="30542A7D"/>
    <w:rsid w:val="30586A11"/>
    <w:rsid w:val="306553A3"/>
    <w:rsid w:val="306709B5"/>
    <w:rsid w:val="30670A02"/>
    <w:rsid w:val="30733ACD"/>
    <w:rsid w:val="307B625B"/>
    <w:rsid w:val="307F7AFA"/>
    <w:rsid w:val="308570DA"/>
    <w:rsid w:val="308B46F0"/>
    <w:rsid w:val="308C3862"/>
    <w:rsid w:val="30913CD1"/>
    <w:rsid w:val="309379D8"/>
    <w:rsid w:val="309717A0"/>
    <w:rsid w:val="309C4B4F"/>
    <w:rsid w:val="30A25EDE"/>
    <w:rsid w:val="30A270F7"/>
    <w:rsid w:val="30A93E83"/>
    <w:rsid w:val="30B005FB"/>
    <w:rsid w:val="30B023A9"/>
    <w:rsid w:val="30B26121"/>
    <w:rsid w:val="30B579BF"/>
    <w:rsid w:val="30B8300C"/>
    <w:rsid w:val="30C145B6"/>
    <w:rsid w:val="30C47C02"/>
    <w:rsid w:val="30C61284"/>
    <w:rsid w:val="30CA3D76"/>
    <w:rsid w:val="30CD6E71"/>
    <w:rsid w:val="30CE14CF"/>
    <w:rsid w:val="30CE6CD3"/>
    <w:rsid w:val="30D140CD"/>
    <w:rsid w:val="30D342E9"/>
    <w:rsid w:val="30D77936"/>
    <w:rsid w:val="30DC319E"/>
    <w:rsid w:val="30DD6F16"/>
    <w:rsid w:val="30DF1478"/>
    <w:rsid w:val="30E738F1"/>
    <w:rsid w:val="30E958BB"/>
    <w:rsid w:val="30EB33E1"/>
    <w:rsid w:val="30EC586F"/>
    <w:rsid w:val="30F304E8"/>
    <w:rsid w:val="30F54260"/>
    <w:rsid w:val="30F71D86"/>
    <w:rsid w:val="30FC55EE"/>
    <w:rsid w:val="3106646D"/>
    <w:rsid w:val="31070655"/>
    <w:rsid w:val="310821E5"/>
    <w:rsid w:val="310B5831"/>
    <w:rsid w:val="31126BC0"/>
    <w:rsid w:val="311346E6"/>
    <w:rsid w:val="31172428"/>
    <w:rsid w:val="31181CFC"/>
    <w:rsid w:val="311C17EC"/>
    <w:rsid w:val="311E37B6"/>
    <w:rsid w:val="31271F3F"/>
    <w:rsid w:val="312D1C4B"/>
    <w:rsid w:val="3140197F"/>
    <w:rsid w:val="31413001"/>
    <w:rsid w:val="3148438F"/>
    <w:rsid w:val="31496359"/>
    <w:rsid w:val="3152520E"/>
    <w:rsid w:val="31540F86"/>
    <w:rsid w:val="31554CFE"/>
    <w:rsid w:val="31592A40"/>
    <w:rsid w:val="316350FE"/>
    <w:rsid w:val="31653193"/>
    <w:rsid w:val="3166515D"/>
    <w:rsid w:val="31717D8A"/>
    <w:rsid w:val="31772EC7"/>
    <w:rsid w:val="317909ED"/>
    <w:rsid w:val="318B0720"/>
    <w:rsid w:val="318C4BC4"/>
    <w:rsid w:val="318D26EA"/>
    <w:rsid w:val="31903F88"/>
    <w:rsid w:val="3195334D"/>
    <w:rsid w:val="319A0963"/>
    <w:rsid w:val="319B054E"/>
    <w:rsid w:val="319C6071"/>
    <w:rsid w:val="319D4FDA"/>
    <w:rsid w:val="31A0241D"/>
    <w:rsid w:val="31A11CF2"/>
    <w:rsid w:val="31A517E2"/>
    <w:rsid w:val="31A67308"/>
    <w:rsid w:val="31A737AC"/>
    <w:rsid w:val="31A74E07"/>
    <w:rsid w:val="31A82D30"/>
    <w:rsid w:val="31A87524"/>
    <w:rsid w:val="31AC176B"/>
    <w:rsid w:val="31AC537E"/>
    <w:rsid w:val="31B163D9"/>
    <w:rsid w:val="31B25CAD"/>
    <w:rsid w:val="31B5579D"/>
    <w:rsid w:val="31BB4D3B"/>
    <w:rsid w:val="31C3610C"/>
    <w:rsid w:val="31C37EBA"/>
    <w:rsid w:val="31C53C32"/>
    <w:rsid w:val="31D16A7B"/>
    <w:rsid w:val="31D40319"/>
    <w:rsid w:val="31D67BED"/>
    <w:rsid w:val="31DB3455"/>
    <w:rsid w:val="31DB5204"/>
    <w:rsid w:val="31DC0F7C"/>
    <w:rsid w:val="31DD04C4"/>
    <w:rsid w:val="31E3679B"/>
    <w:rsid w:val="31E732FD"/>
    <w:rsid w:val="31ED3189"/>
    <w:rsid w:val="31F345DE"/>
    <w:rsid w:val="31F3626B"/>
    <w:rsid w:val="31F462C5"/>
    <w:rsid w:val="31FB4569"/>
    <w:rsid w:val="32026C34"/>
    <w:rsid w:val="32081D71"/>
    <w:rsid w:val="32116E77"/>
    <w:rsid w:val="32140715"/>
    <w:rsid w:val="321C75CA"/>
    <w:rsid w:val="322A7F39"/>
    <w:rsid w:val="32335040"/>
    <w:rsid w:val="323668DE"/>
    <w:rsid w:val="323922EC"/>
    <w:rsid w:val="32427031"/>
    <w:rsid w:val="32452FC5"/>
    <w:rsid w:val="324F79A0"/>
    <w:rsid w:val="32517576"/>
    <w:rsid w:val="3260395B"/>
    <w:rsid w:val="327D62BB"/>
    <w:rsid w:val="327F0285"/>
    <w:rsid w:val="32827D75"/>
    <w:rsid w:val="328B4E7C"/>
    <w:rsid w:val="32913C86"/>
    <w:rsid w:val="329B4993"/>
    <w:rsid w:val="32A001FB"/>
    <w:rsid w:val="32A61CB5"/>
    <w:rsid w:val="32A970B0"/>
    <w:rsid w:val="32B11D6B"/>
    <w:rsid w:val="32B332E4"/>
    <w:rsid w:val="32B934BB"/>
    <w:rsid w:val="32BA306B"/>
    <w:rsid w:val="32BD0DAD"/>
    <w:rsid w:val="32BE5C2C"/>
    <w:rsid w:val="32BF0681"/>
    <w:rsid w:val="32BF68D3"/>
    <w:rsid w:val="32CC3B66"/>
    <w:rsid w:val="32CF5E49"/>
    <w:rsid w:val="32D83E39"/>
    <w:rsid w:val="32E97DF4"/>
    <w:rsid w:val="32EF2C26"/>
    <w:rsid w:val="32F04CDF"/>
    <w:rsid w:val="32F522F5"/>
    <w:rsid w:val="32FB6478"/>
    <w:rsid w:val="32FD11AA"/>
    <w:rsid w:val="32FF13C6"/>
    <w:rsid w:val="330469DC"/>
    <w:rsid w:val="33062754"/>
    <w:rsid w:val="330662B0"/>
    <w:rsid w:val="33095DA0"/>
    <w:rsid w:val="330B7D6A"/>
    <w:rsid w:val="331309CD"/>
    <w:rsid w:val="331F55C4"/>
    <w:rsid w:val="33240E2C"/>
    <w:rsid w:val="33244988"/>
    <w:rsid w:val="33263B3F"/>
    <w:rsid w:val="33294694"/>
    <w:rsid w:val="33296443"/>
    <w:rsid w:val="332B3F69"/>
    <w:rsid w:val="332E1CAB"/>
    <w:rsid w:val="333170A5"/>
    <w:rsid w:val="333F7A14"/>
    <w:rsid w:val="3341378C"/>
    <w:rsid w:val="33446DD8"/>
    <w:rsid w:val="33525999"/>
    <w:rsid w:val="33576B0C"/>
    <w:rsid w:val="335D7E9A"/>
    <w:rsid w:val="335F00B6"/>
    <w:rsid w:val="336074D2"/>
    <w:rsid w:val="336963EB"/>
    <w:rsid w:val="336F02F9"/>
    <w:rsid w:val="33705E1F"/>
    <w:rsid w:val="33816EEB"/>
    <w:rsid w:val="3392223A"/>
    <w:rsid w:val="33955886"/>
    <w:rsid w:val="339733AC"/>
    <w:rsid w:val="339935C8"/>
    <w:rsid w:val="339A10EE"/>
    <w:rsid w:val="339A2E9C"/>
    <w:rsid w:val="339C09C3"/>
    <w:rsid w:val="339C4E66"/>
    <w:rsid w:val="339E5D33"/>
    <w:rsid w:val="33A06705"/>
    <w:rsid w:val="33A855B9"/>
    <w:rsid w:val="33AB6E58"/>
    <w:rsid w:val="33AD7074"/>
    <w:rsid w:val="33B26438"/>
    <w:rsid w:val="33B977C6"/>
    <w:rsid w:val="33BE302F"/>
    <w:rsid w:val="33BE4DDD"/>
    <w:rsid w:val="33BE6B8B"/>
    <w:rsid w:val="33C57F19"/>
    <w:rsid w:val="33D20888"/>
    <w:rsid w:val="33D44600"/>
    <w:rsid w:val="33D53ED4"/>
    <w:rsid w:val="33DC5263"/>
    <w:rsid w:val="33E505BB"/>
    <w:rsid w:val="33EA5BD2"/>
    <w:rsid w:val="33EB55CD"/>
    <w:rsid w:val="33EC4C02"/>
    <w:rsid w:val="33ED121E"/>
    <w:rsid w:val="33ED56C2"/>
    <w:rsid w:val="33FF738F"/>
    <w:rsid w:val="340547BA"/>
    <w:rsid w:val="34076784"/>
    <w:rsid w:val="340842AA"/>
    <w:rsid w:val="340D2360"/>
    <w:rsid w:val="340D366E"/>
    <w:rsid w:val="340E30B5"/>
    <w:rsid w:val="3410665D"/>
    <w:rsid w:val="341E7629"/>
    <w:rsid w:val="34211214"/>
    <w:rsid w:val="34264730"/>
    <w:rsid w:val="342E63AB"/>
    <w:rsid w:val="342F5CDB"/>
    <w:rsid w:val="34311DA7"/>
    <w:rsid w:val="3431735D"/>
    <w:rsid w:val="343520A9"/>
    <w:rsid w:val="34355450"/>
    <w:rsid w:val="343B01DB"/>
    <w:rsid w:val="343B467F"/>
    <w:rsid w:val="343E5F1E"/>
    <w:rsid w:val="3442156A"/>
    <w:rsid w:val="344A041F"/>
    <w:rsid w:val="3454129D"/>
    <w:rsid w:val="345474EF"/>
    <w:rsid w:val="345B6AD0"/>
    <w:rsid w:val="345F06BD"/>
    <w:rsid w:val="346040E6"/>
    <w:rsid w:val="34607C42"/>
    <w:rsid w:val="34621C0C"/>
    <w:rsid w:val="346F60D7"/>
    <w:rsid w:val="34781430"/>
    <w:rsid w:val="347B2CCE"/>
    <w:rsid w:val="34950E68"/>
    <w:rsid w:val="34986E94"/>
    <w:rsid w:val="349A75F8"/>
    <w:rsid w:val="349F0D00"/>
    <w:rsid w:val="34A02734"/>
    <w:rsid w:val="34AF4725"/>
    <w:rsid w:val="34AF62C9"/>
    <w:rsid w:val="34B508AF"/>
    <w:rsid w:val="34B72695"/>
    <w:rsid w:val="34BF2BBB"/>
    <w:rsid w:val="34BF5C85"/>
    <w:rsid w:val="34C12DD7"/>
    <w:rsid w:val="34C20AA1"/>
    <w:rsid w:val="34C72E2C"/>
    <w:rsid w:val="34CB4388"/>
    <w:rsid w:val="34D128EE"/>
    <w:rsid w:val="34D36666"/>
    <w:rsid w:val="34D4239F"/>
    <w:rsid w:val="34D522FE"/>
    <w:rsid w:val="34E46AC5"/>
    <w:rsid w:val="34E56399"/>
    <w:rsid w:val="34E61774"/>
    <w:rsid w:val="34E6283D"/>
    <w:rsid w:val="34E72111"/>
    <w:rsid w:val="34E73EBF"/>
    <w:rsid w:val="34F14D3E"/>
    <w:rsid w:val="34FA3BF3"/>
    <w:rsid w:val="34FA6E12"/>
    <w:rsid w:val="35026F4B"/>
    <w:rsid w:val="3502780C"/>
    <w:rsid w:val="350902DA"/>
    <w:rsid w:val="350B4052"/>
    <w:rsid w:val="350C1B78"/>
    <w:rsid w:val="35101668"/>
    <w:rsid w:val="35156C7E"/>
    <w:rsid w:val="351D1FD7"/>
    <w:rsid w:val="352769B2"/>
    <w:rsid w:val="352E5F92"/>
    <w:rsid w:val="352E7D40"/>
    <w:rsid w:val="353115DE"/>
    <w:rsid w:val="3538296D"/>
    <w:rsid w:val="353E4427"/>
    <w:rsid w:val="353F3CFB"/>
    <w:rsid w:val="3546508A"/>
    <w:rsid w:val="35470E02"/>
    <w:rsid w:val="354C01C6"/>
    <w:rsid w:val="35523A2F"/>
    <w:rsid w:val="355754E9"/>
    <w:rsid w:val="35602758"/>
    <w:rsid w:val="35690D78"/>
    <w:rsid w:val="35702107"/>
    <w:rsid w:val="357065AB"/>
    <w:rsid w:val="35780FBB"/>
    <w:rsid w:val="357D0A8C"/>
    <w:rsid w:val="35814314"/>
    <w:rsid w:val="358160C2"/>
    <w:rsid w:val="358856A2"/>
    <w:rsid w:val="358A766C"/>
    <w:rsid w:val="358B5193"/>
    <w:rsid w:val="358C3A4B"/>
    <w:rsid w:val="358D0F0B"/>
    <w:rsid w:val="358D5588"/>
    <w:rsid w:val="358E07DF"/>
    <w:rsid w:val="359009FB"/>
    <w:rsid w:val="35906305"/>
    <w:rsid w:val="35935DF5"/>
    <w:rsid w:val="359978AF"/>
    <w:rsid w:val="359D6D3A"/>
    <w:rsid w:val="359E6C74"/>
    <w:rsid w:val="35A61FCC"/>
    <w:rsid w:val="35AA386B"/>
    <w:rsid w:val="35AB75E3"/>
    <w:rsid w:val="35AD335B"/>
    <w:rsid w:val="35AD4532"/>
    <w:rsid w:val="35AD5109"/>
    <w:rsid w:val="35AF0926"/>
    <w:rsid w:val="35B244CD"/>
    <w:rsid w:val="35B50461"/>
    <w:rsid w:val="35B91D00"/>
    <w:rsid w:val="35C16E06"/>
    <w:rsid w:val="35CB37E1"/>
    <w:rsid w:val="35CB558F"/>
    <w:rsid w:val="35D00DF7"/>
    <w:rsid w:val="35DE3514"/>
    <w:rsid w:val="35DE52C2"/>
    <w:rsid w:val="35E328D9"/>
    <w:rsid w:val="35E36D7D"/>
    <w:rsid w:val="35E52AF5"/>
    <w:rsid w:val="35E825E5"/>
    <w:rsid w:val="35EB79DF"/>
    <w:rsid w:val="35ED3757"/>
    <w:rsid w:val="35F04FF6"/>
    <w:rsid w:val="35F1149A"/>
    <w:rsid w:val="35F26FC0"/>
    <w:rsid w:val="35FA5E74"/>
    <w:rsid w:val="35FC399A"/>
    <w:rsid w:val="360A255B"/>
    <w:rsid w:val="360B4FFE"/>
    <w:rsid w:val="36140CE4"/>
    <w:rsid w:val="361707D4"/>
    <w:rsid w:val="36272755"/>
    <w:rsid w:val="363475D8"/>
    <w:rsid w:val="363A3B40"/>
    <w:rsid w:val="36401AD9"/>
    <w:rsid w:val="36407D2B"/>
    <w:rsid w:val="36486BE0"/>
    <w:rsid w:val="364F61C0"/>
    <w:rsid w:val="365302AE"/>
    <w:rsid w:val="365437D6"/>
    <w:rsid w:val="365B4B65"/>
    <w:rsid w:val="36607A0A"/>
    <w:rsid w:val="36655284"/>
    <w:rsid w:val="366652B8"/>
    <w:rsid w:val="36687282"/>
    <w:rsid w:val="366B28CE"/>
    <w:rsid w:val="366D6646"/>
    <w:rsid w:val="366E227C"/>
    <w:rsid w:val="366F2E0D"/>
    <w:rsid w:val="36712734"/>
    <w:rsid w:val="367348CA"/>
    <w:rsid w:val="36783969"/>
    <w:rsid w:val="3679148F"/>
    <w:rsid w:val="367B6A5C"/>
    <w:rsid w:val="367E325A"/>
    <w:rsid w:val="36873BAC"/>
    <w:rsid w:val="368F2A60"/>
    <w:rsid w:val="368F6CAC"/>
    <w:rsid w:val="36965B9D"/>
    <w:rsid w:val="369736C3"/>
    <w:rsid w:val="36987B67"/>
    <w:rsid w:val="369B31B3"/>
    <w:rsid w:val="36A422C5"/>
    <w:rsid w:val="36A74ADA"/>
    <w:rsid w:val="36AC3C67"/>
    <w:rsid w:val="36AD60D5"/>
    <w:rsid w:val="36B224F9"/>
    <w:rsid w:val="36B2364A"/>
    <w:rsid w:val="36B64491"/>
    <w:rsid w:val="36BD75CE"/>
    <w:rsid w:val="36BE4631"/>
    <w:rsid w:val="36D026DB"/>
    <w:rsid w:val="36D05553"/>
    <w:rsid w:val="36D6068F"/>
    <w:rsid w:val="36E56B24"/>
    <w:rsid w:val="36E903C3"/>
    <w:rsid w:val="36EC0CC9"/>
    <w:rsid w:val="36EF52AD"/>
    <w:rsid w:val="36F04CBD"/>
    <w:rsid w:val="36F86858"/>
    <w:rsid w:val="37064312"/>
    <w:rsid w:val="370A4574"/>
    <w:rsid w:val="37164F30"/>
    <w:rsid w:val="37167242"/>
    <w:rsid w:val="371F3DE4"/>
    <w:rsid w:val="372431A9"/>
    <w:rsid w:val="372E5DD5"/>
    <w:rsid w:val="373A6E70"/>
    <w:rsid w:val="373B2DA6"/>
    <w:rsid w:val="373D070E"/>
    <w:rsid w:val="373F410B"/>
    <w:rsid w:val="37405B09"/>
    <w:rsid w:val="37411FAD"/>
    <w:rsid w:val="37450DA6"/>
    <w:rsid w:val="37491867"/>
    <w:rsid w:val="374C2700"/>
    <w:rsid w:val="374E46CA"/>
    <w:rsid w:val="375810A4"/>
    <w:rsid w:val="375A6BCB"/>
    <w:rsid w:val="37623183"/>
    <w:rsid w:val="37663253"/>
    <w:rsid w:val="3768578B"/>
    <w:rsid w:val="376B0DD8"/>
    <w:rsid w:val="376D0FF4"/>
    <w:rsid w:val="37702892"/>
    <w:rsid w:val="37713AED"/>
    <w:rsid w:val="3776777C"/>
    <w:rsid w:val="377A101B"/>
    <w:rsid w:val="377D6D5D"/>
    <w:rsid w:val="378B76CC"/>
    <w:rsid w:val="37974803"/>
    <w:rsid w:val="379B0CB8"/>
    <w:rsid w:val="379C5435"/>
    <w:rsid w:val="379E11AD"/>
    <w:rsid w:val="37A147F9"/>
    <w:rsid w:val="37A161FF"/>
    <w:rsid w:val="37AB5678"/>
    <w:rsid w:val="37AF33BA"/>
    <w:rsid w:val="37B26A07"/>
    <w:rsid w:val="37C130EE"/>
    <w:rsid w:val="37C404E8"/>
    <w:rsid w:val="37CD55EE"/>
    <w:rsid w:val="37D90437"/>
    <w:rsid w:val="37DA5F5D"/>
    <w:rsid w:val="37E3148D"/>
    <w:rsid w:val="37E82428"/>
    <w:rsid w:val="37EE7094"/>
    <w:rsid w:val="37F214F9"/>
    <w:rsid w:val="37F52D97"/>
    <w:rsid w:val="37F708BD"/>
    <w:rsid w:val="37FC5ED4"/>
    <w:rsid w:val="37FD193B"/>
    <w:rsid w:val="38044D88"/>
    <w:rsid w:val="38115424"/>
    <w:rsid w:val="38163439"/>
    <w:rsid w:val="38170F5F"/>
    <w:rsid w:val="381A45AC"/>
    <w:rsid w:val="381C47C8"/>
    <w:rsid w:val="381E0825"/>
    <w:rsid w:val="381F1BC2"/>
    <w:rsid w:val="382316B2"/>
    <w:rsid w:val="3824626D"/>
    <w:rsid w:val="3825542A"/>
    <w:rsid w:val="38262F51"/>
    <w:rsid w:val="38296C89"/>
    <w:rsid w:val="382B0567"/>
    <w:rsid w:val="382C4A0B"/>
    <w:rsid w:val="383002EB"/>
    <w:rsid w:val="383218F5"/>
    <w:rsid w:val="383B2EA0"/>
    <w:rsid w:val="38451629"/>
    <w:rsid w:val="38471845"/>
    <w:rsid w:val="3848736B"/>
    <w:rsid w:val="38521F98"/>
    <w:rsid w:val="38586797"/>
    <w:rsid w:val="385A62F6"/>
    <w:rsid w:val="385B0E4C"/>
    <w:rsid w:val="386661FC"/>
    <w:rsid w:val="38675D29"/>
    <w:rsid w:val="386C12AB"/>
    <w:rsid w:val="386F48F8"/>
    <w:rsid w:val="387B14EE"/>
    <w:rsid w:val="38867E71"/>
    <w:rsid w:val="388A7983"/>
    <w:rsid w:val="389820A0"/>
    <w:rsid w:val="38A8605B"/>
    <w:rsid w:val="38A87E0A"/>
    <w:rsid w:val="38AC5B4C"/>
    <w:rsid w:val="38B62526"/>
    <w:rsid w:val="38B810AA"/>
    <w:rsid w:val="38BC0149"/>
    <w:rsid w:val="38BD5663"/>
    <w:rsid w:val="38C06F01"/>
    <w:rsid w:val="38C509BB"/>
    <w:rsid w:val="38CC1D4A"/>
    <w:rsid w:val="38CE5AC2"/>
    <w:rsid w:val="38D87D1C"/>
    <w:rsid w:val="38DE55D9"/>
    <w:rsid w:val="38EC7CF6"/>
    <w:rsid w:val="38EE7F12"/>
    <w:rsid w:val="38EF77E6"/>
    <w:rsid w:val="38F51EA2"/>
    <w:rsid w:val="39007C46"/>
    <w:rsid w:val="39070FD4"/>
    <w:rsid w:val="390A63CE"/>
    <w:rsid w:val="390C65EA"/>
    <w:rsid w:val="3911775D"/>
    <w:rsid w:val="39205BF2"/>
    <w:rsid w:val="392A6A70"/>
    <w:rsid w:val="392C27E9"/>
    <w:rsid w:val="39317DFF"/>
    <w:rsid w:val="39356C7B"/>
    <w:rsid w:val="393618B9"/>
    <w:rsid w:val="393F42CA"/>
    <w:rsid w:val="394144E6"/>
    <w:rsid w:val="39416688"/>
    <w:rsid w:val="39416962"/>
    <w:rsid w:val="39475874"/>
    <w:rsid w:val="394B628A"/>
    <w:rsid w:val="39551D3F"/>
    <w:rsid w:val="3958538C"/>
    <w:rsid w:val="39627FB8"/>
    <w:rsid w:val="39636459"/>
    <w:rsid w:val="39643D30"/>
    <w:rsid w:val="396843AB"/>
    <w:rsid w:val="39691347"/>
    <w:rsid w:val="396957EB"/>
    <w:rsid w:val="396B7F6C"/>
    <w:rsid w:val="39755F3E"/>
    <w:rsid w:val="39761CB6"/>
    <w:rsid w:val="39777F08"/>
    <w:rsid w:val="39783C80"/>
    <w:rsid w:val="39793576"/>
    <w:rsid w:val="397C3D0A"/>
    <w:rsid w:val="39813B1B"/>
    <w:rsid w:val="39815F30"/>
    <w:rsid w:val="3986639D"/>
    <w:rsid w:val="39893797"/>
    <w:rsid w:val="39904B26"/>
    <w:rsid w:val="399860D0"/>
    <w:rsid w:val="39A93E39"/>
    <w:rsid w:val="39AC56D7"/>
    <w:rsid w:val="39B12CEE"/>
    <w:rsid w:val="39B417A9"/>
    <w:rsid w:val="39BA22C9"/>
    <w:rsid w:val="39BF18AF"/>
    <w:rsid w:val="39BF540B"/>
    <w:rsid w:val="39CB0253"/>
    <w:rsid w:val="39CD7B28"/>
    <w:rsid w:val="39D8471E"/>
    <w:rsid w:val="39DC7D6B"/>
    <w:rsid w:val="39E135D3"/>
    <w:rsid w:val="39EF3F42"/>
    <w:rsid w:val="39F2758E"/>
    <w:rsid w:val="39F350B4"/>
    <w:rsid w:val="39F52FF7"/>
    <w:rsid w:val="39FC5695"/>
    <w:rsid w:val="39FF3A59"/>
    <w:rsid w:val="3A006D8E"/>
    <w:rsid w:val="3A0D261A"/>
    <w:rsid w:val="3A0F6392"/>
    <w:rsid w:val="3A137505"/>
    <w:rsid w:val="3A1C285D"/>
    <w:rsid w:val="3A1C73C2"/>
    <w:rsid w:val="3A211C22"/>
    <w:rsid w:val="3A236B67"/>
    <w:rsid w:val="3A2636DC"/>
    <w:rsid w:val="3A3651E5"/>
    <w:rsid w:val="3A3B0A53"/>
    <w:rsid w:val="3A3B7187"/>
    <w:rsid w:val="3A3F02FA"/>
    <w:rsid w:val="3A4122C4"/>
    <w:rsid w:val="3A461688"/>
    <w:rsid w:val="3A4D6EBA"/>
    <w:rsid w:val="3A4F49E1"/>
    <w:rsid w:val="3A5169AB"/>
    <w:rsid w:val="3A56234B"/>
    <w:rsid w:val="3A60099C"/>
    <w:rsid w:val="3A744481"/>
    <w:rsid w:val="3A7E7074"/>
    <w:rsid w:val="3A802DEC"/>
    <w:rsid w:val="3A8C7BEF"/>
    <w:rsid w:val="3A906246"/>
    <w:rsid w:val="3A970136"/>
    <w:rsid w:val="3A9B7C26"/>
    <w:rsid w:val="3A9C399E"/>
    <w:rsid w:val="3A9E3272"/>
    <w:rsid w:val="3AA007DD"/>
    <w:rsid w:val="3AAA7E69"/>
    <w:rsid w:val="3AB1799E"/>
    <w:rsid w:val="3AC32CD9"/>
    <w:rsid w:val="3AD1189A"/>
    <w:rsid w:val="3AD2116E"/>
    <w:rsid w:val="3AD71050"/>
    <w:rsid w:val="3ADA3168"/>
    <w:rsid w:val="3ADB379F"/>
    <w:rsid w:val="3ADB44C6"/>
    <w:rsid w:val="3ADD023E"/>
    <w:rsid w:val="3ADD1FEC"/>
    <w:rsid w:val="3ADF5842"/>
    <w:rsid w:val="3AE35129"/>
    <w:rsid w:val="3AE570F3"/>
    <w:rsid w:val="3AEE244B"/>
    <w:rsid w:val="3AF17CC7"/>
    <w:rsid w:val="3AF31810"/>
    <w:rsid w:val="3AF46C72"/>
    <w:rsid w:val="3B0357CB"/>
    <w:rsid w:val="3B091033"/>
    <w:rsid w:val="3B133C60"/>
    <w:rsid w:val="3B163750"/>
    <w:rsid w:val="3B196D9D"/>
    <w:rsid w:val="3B1A3241"/>
    <w:rsid w:val="3B1B2B15"/>
    <w:rsid w:val="3B1B56C3"/>
    <w:rsid w:val="3B2349B7"/>
    <w:rsid w:val="3B27770B"/>
    <w:rsid w:val="3B2B2593"/>
    <w:rsid w:val="3B2E0A9A"/>
    <w:rsid w:val="3B334302"/>
    <w:rsid w:val="3B351E28"/>
    <w:rsid w:val="3B3A743F"/>
    <w:rsid w:val="3B3F2CA7"/>
    <w:rsid w:val="3B424545"/>
    <w:rsid w:val="3B454DA3"/>
    <w:rsid w:val="3B457B92"/>
    <w:rsid w:val="3B471B5C"/>
    <w:rsid w:val="3B5D4EDB"/>
    <w:rsid w:val="3B616CFF"/>
    <w:rsid w:val="3B6224F2"/>
    <w:rsid w:val="3B6259F6"/>
    <w:rsid w:val="3B6C511E"/>
    <w:rsid w:val="3B6E0026"/>
    <w:rsid w:val="3B7010B2"/>
    <w:rsid w:val="3B714E2B"/>
    <w:rsid w:val="3B762441"/>
    <w:rsid w:val="3B7641EF"/>
    <w:rsid w:val="3B781D15"/>
    <w:rsid w:val="3B842468"/>
    <w:rsid w:val="3B8701AA"/>
    <w:rsid w:val="3B8B1A48"/>
    <w:rsid w:val="3B8B7C9A"/>
    <w:rsid w:val="3B914B85"/>
    <w:rsid w:val="3B9452F4"/>
    <w:rsid w:val="3B974891"/>
    <w:rsid w:val="3B976654"/>
    <w:rsid w:val="3B986F4A"/>
    <w:rsid w:val="3B9F3746"/>
    <w:rsid w:val="3BA64AD4"/>
    <w:rsid w:val="3BA945C4"/>
    <w:rsid w:val="3BAB20EB"/>
    <w:rsid w:val="3BB05953"/>
    <w:rsid w:val="3BB527F9"/>
    <w:rsid w:val="3BB97490"/>
    <w:rsid w:val="3BBA4E12"/>
    <w:rsid w:val="3BBD1E1E"/>
    <w:rsid w:val="3BC01EFC"/>
    <w:rsid w:val="3BC2010C"/>
    <w:rsid w:val="3BCA786A"/>
    <w:rsid w:val="3BCD02B3"/>
    <w:rsid w:val="3BD31E2F"/>
    <w:rsid w:val="3BD553B9"/>
    <w:rsid w:val="3BDA29D0"/>
    <w:rsid w:val="3BDA477E"/>
    <w:rsid w:val="3BDF7FE6"/>
    <w:rsid w:val="3BF15831"/>
    <w:rsid w:val="3BF808DD"/>
    <w:rsid w:val="3BFA097C"/>
    <w:rsid w:val="3BFA4E20"/>
    <w:rsid w:val="3C017F5D"/>
    <w:rsid w:val="3C0417FB"/>
    <w:rsid w:val="3C047A4D"/>
    <w:rsid w:val="3C0E61D6"/>
    <w:rsid w:val="3C105946"/>
    <w:rsid w:val="3C1063F2"/>
    <w:rsid w:val="3C125CC6"/>
    <w:rsid w:val="3C185099"/>
    <w:rsid w:val="3C1E0B0E"/>
    <w:rsid w:val="3C2123AD"/>
    <w:rsid w:val="3C221C81"/>
    <w:rsid w:val="3C236125"/>
    <w:rsid w:val="3C355E58"/>
    <w:rsid w:val="3C3678E1"/>
    <w:rsid w:val="3C3C2D43"/>
    <w:rsid w:val="3C3C7EA1"/>
    <w:rsid w:val="3C3D6ABB"/>
    <w:rsid w:val="3C461E13"/>
    <w:rsid w:val="3C471448"/>
    <w:rsid w:val="3C4A1903"/>
    <w:rsid w:val="3C4C0A09"/>
    <w:rsid w:val="3C5207B8"/>
    <w:rsid w:val="3C5F759A"/>
    <w:rsid w:val="3C65673D"/>
    <w:rsid w:val="3C687FDC"/>
    <w:rsid w:val="3C6B187A"/>
    <w:rsid w:val="3C6C525A"/>
    <w:rsid w:val="3C746980"/>
    <w:rsid w:val="3C7B1AF0"/>
    <w:rsid w:val="3C7E77FF"/>
    <w:rsid w:val="3C850B8E"/>
    <w:rsid w:val="3C8666B4"/>
    <w:rsid w:val="3C885F88"/>
    <w:rsid w:val="3C8F7316"/>
    <w:rsid w:val="3CA1529C"/>
    <w:rsid w:val="3CA56B3A"/>
    <w:rsid w:val="3CAA05F4"/>
    <w:rsid w:val="3CAD3C40"/>
    <w:rsid w:val="3CB52AF5"/>
    <w:rsid w:val="3CB90837"/>
    <w:rsid w:val="3CBB45AF"/>
    <w:rsid w:val="3CC316B6"/>
    <w:rsid w:val="3CC35212"/>
    <w:rsid w:val="3CC52D38"/>
    <w:rsid w:val="3CCA02B2"/>
    <w:rsid w:val="3CCA2A44"/>
    <w:rsid w:val="3CCA65A0"/>
    <w:rsid w:val="3CCB2319"/>
    <w:rsid w:val="3CCE23CB"/>
    <w:rsid w:val="3CD17D17"/>
    <w:rsid w:val="3CD45671"/>
    <w:rsid w:val="3CD70F57"/>
    <w:rsid w:val="3CD92C87"/>
    <w:rsid w:val="3CDD2778"/>
    <w:rsid w:val="3CE138EA"/>
    <w:rsid w:val="3CEA09F1"/>
    <w:rsid w:val="3CF74EBC"/>
    <w:rsid w:val="3CF96E86"/>
    <w:rsid w:val="3D113ED7"/>
    <w:rsid w:val="3D121CF5"/>
    <w:rsid w:val="3D136199"/>
    <w:rsid w:val="3D145A6E"/>
    <w:rsid w:val="3D1617E6"/>
    <w:rsid w:val="3D22462E"/>
    <w:rsid w:val="3D271C45"/>
    <w:rsid w:val="3D2C725B"/>
    <w:rsid w:val="3D2E4D81"/>
    <w:rsid w:val="3D2F0AF9"/>
    <w:rsid w:val="3D3103CE"/>
    <w:rsid w:val="3D314198"/>
    <w:rsid w:val="3D3305EA"/>
    <w:rsid w:val="3D392A58"/>
    <w:rsid w:val="3D3C7F39"/>
    <w:rsid w:val="3D424389"/>
    <w:rsid w:val="3D440F09"/>
    <w:rsid w:val="3D4445A5"/>
    <w:rsid w:val="3D4504A0"/>
    <w:rsid w:val="3D4D0CA1"/>
    <w:rsid w:val="3D4F2F4A"/>
    <w:rsid w:val="3D504B04"/>
    <w:rsid w:val="3D5139EC"/>
    <w:rsid w:val="3D5347E8"/>
    <w:rsid w:val="3D5567B2"/>
    <w:rsid w:val="3D580050"/>
    <w:rsid w:val="3D583BAC"/>
    <w:rsid w:val="3D5B241B"/>
    <w:rsid w:val="3D5F13DF"/>
    <w:rsid w:val="3D5F318D"/>
    <w:rsid w:val="3D6469F5"/>
    <w:rsid w:val="3D65276D"/>
    <w:rsid w:val="3D6562C9"/>
    <w:rsid w:val="3D673DEF"/>
    <w:rsid w:val="3D687B67"/>
    <w:rsid w:val="3D6E0B5B"/>
    <w:rsid w:val="3D733273"/>
    <w:rsid w:val="3D734E6A"/>
    <w:rsid w:val="3D7952EF"/>
    <w:rsid w:val="3D804EB1"/>
    <w:rsid w:val="3D8175A7"/>
    <w:rsid w:val="3D826E7B"/>
    <w:rsid w:val="3D8734BB"/>
    <w:rsid w:val="3D891FB8"/>
    <w:rsid w:val="3D8C5F4C"/>
    <w:rsid w:val="3D8F1598"/>
    <w:rsid w:val="3D9A11D4"/>
    <w:rsid w:val="3D9B1CEB"/>
    <w:rsid w:val="3DA11A6A"/>
    <w:rsid w:val="3DA16D89"/>
    <w:rsid w:val="3DA364BE"/>
    <w:rsid w:val="3DA420A1"/>
    <w:rsid w:val="3DA94A83"/>
    <w:rsid w:val="3DB334D8"/>
    <w:rsid w:val="3DBA6615"/>
    <w:rsid w:val="3DBB413B"/>
    <w:rsid w:val="3DC96858"/>
    <w:rsid w:val="3DCB0822"/>
    <w:rsid w:val="3DD1395F"/>
    <w:rsid w:val="3DD1570D"/>
    <w:rsid w:val="3DD84CED"/>
    <w:rsid w:val="3DDA0A65"/>
    <w:rsid w:val="3DDF42CD"/>
    <w:rsid w:val="3DE041CB"/>
    <w:rsid w:val="3DE25B6C"/>
    <w:rsid w:val="3DE43692"/>
    <w:rsid w:val="3DEA67CE"/>
    <w:rsid w:val="3DED69EA"/>
    <w:rsid w:val="3DF67C85"/>
    <w:rsid w:val="3DF71617"/>
    <w:rsid w:val="3DF80EEB"/>
    <w:rsid w:val="3DFC4E7F"/>
    <w:rsid w:val="3DFD6502"/>
    <w:rsid w:val="3E043D34"/>
    <w:rsid w:val="3E0C5604"/>
    <w:rsid w:val="3E0D48F6"/>
    <w:rsid w:val="3E0E6961"/>
    <w:rsid w:val="3E1868B4"/>
    <w:rsid w:val="3E1F0B6E"/>
    <w:rsid w:val="3E2148E6"/>
    <w:rsid w:val="3E2B12C1"/>
    <w:rsid w:val="3E300685"/>
    <w:rsid w:val="3E377251"/>
    <w:rsid w:val="3E3F2FBE"/>
    <w:rsid w:val="3E3F6B1A"/>
    <w:rsid w:val="3E412892"/>
    <w:rsid w:val="3E42664B"/>
    <w:rsid w:val="3E497999"/>
    <w:rsid w:val="3E4D7489"/>
    <w:rsid w:val="3E5325C6"/>
    <w:rsid w:val="3E546A69"/>
    <w:rsid w:val="3E570308"/>
    <w:rsid w:val="3E595E2E"/>
    <w:rsid w:val="3E5A7334"/>
    <w:rsid w:val="3E5C76CC"/>
    <w:rsid w:val="3E5D6110"/>
    <w:rsid w:val="3E66054B"/>
    <w:rsid w:val="3E6842C3"/>
    <w:rsid w:val="3E6B3DB3"/>
    <w:rsid w:val="3E725142"/>
    <w:rsid w:val="3E7A2BF0"/>
    <w:rsid w:val="3E7B5D6B"/>
    <w:rsid w:val="3E843E66"/>
    <w:rsid w:val="3E88226F"/>
    <w:rsid w:val="3E8A248B"/>
    <w:rsid w:val="3E8F51FE"/>
    <w:rsid w:val="3E921340"/>
    <w:rsid w:val="3E926F87"/>
    <w:rsid w:val="3E9A59DE"/>
    <w:rsid w:val="3EAD1CD6"/>
    <w:rsid w:val="3EAD7F28"/>
    <w:rsid w:val="3EAF1EF2"/>
    <w:rsid w:val="3EAF4836"/>
    <w:rsid w:val="3EB07A18"/>
    <w:rsid w:val="3EB2553E"/>
    <w:rsid w:val="3EB96BF2"/>
    <w:rsid w:val="3EBC016B"/>
    <w:rsid w:val="3EC11C25"/>
    <w:rsid w:val="3EC33DFA"/>
    <w:rsid w:val="3EC60FE9"/>
    <w:rsid w:val="3EC62D97"/>
    <w:rsid w:val="3ED731F7"/>
    <w:rsid w:val="3EDA6843"/>
    <w:rsid w:val="3EDB4A95"/>
    <w:rsid w:val="3EE85525"/>
    <w:rsid w:val="3EEA117C"/>
    <w:rsid w:val="3EF47905"/>
    <w:rsid w:val="3EFE4C27"/>
    <w:rsid w:val="3F0062A9"/>
    <w:rsid w:val="3F0518E8"/>
    <w:rsid w:val="3F060E16"/>
    <w:rsid w:val="3F141D55"/>
    <w:rsid w:val="3F1C50AD"/>
    <w:rsid w:val="3F1D1096"/>
    <w:rsid w:val="3F204B9E"/>
    <w:rsid w:val="3F214472"/>
    <w:rsid w:val="3F261A88"/>
    <w:rsid w:val="3F2D1069"/>
    <w:rsid w:val="3F2F0234"/>
    <w:rsid w:val="3F312907"/>
    <w:rsid w:val="3F402B4A"/>
    <w:rsid w:val="3F4C14EF"/>
    <w:rsid w:val="3F520ACF"/>
    <w:rsid w:val="3F52287D"/>
    <w:rsid w:val="3F626F64"/>
    <w:rsid w:val="3F6363FE"/>
    <w:rsid w:val="3F6E5909"/>
    <w:rsid w:val="3F7171A7"/>
    <w:rsid w:val="3F732F1F"/>
    <w:rsid w:val="3F756B8F"/>
    <w:rsid w:val="3F79605C"/>
    <w:rsid w:val="3F846264"/>
    <w:rsid w:val="3F8C36E0"/>
    <w:rsid w:val="3F95482B"/>
    <w:rsid w:val="3F982986"/>
    <w:rsid w:val="3F9D61EE"/>
    <w:rsid w:val="3FA806EF"/>
    <w:rsid w:val="3FAC01DF"/>
    <w:rsid w:val="3FB35A12"/>
    <w:rsid w:val="3FBD063E"/>
    <w:rsid w:val="3FBD419A"/>
    <w:rsid w:val="3FC714BD"/>
    <w:rsid w:val="3FD15E98"/>
    <w:rsid w:val="3FD80FD4"/>
    <w:rsid w:val="3FDA4D4C"/>
    <w:rsid w:val="3FDD2A8F"/>
    <w:rsid w:val="3FF027C2"/>
    <w:rsid w:val="3FF12096"/>
    <w:rsid w:val="3FFFD583"/>
    <w:rsid w:val="40063D93"/>
    <w:rsid w:val="400C3FD4"/>
    <w:rsid w:val="400D3374"/>
    <w:rsid w:val="400E2C48"/>
    <w:rsid w:val="4019356B"/>
    <w:rsid w:val="401A15ED"/>
    <w:rsid w:val="401A339B"/>
    <w:rsid w:val="40210BCD"/>
    <w:rsid w:val="402266F3"/>
    <w:rsid w:val="40251D40"/>
    <w:rsid w:val="402E6E46"/>
    <w:rsid w:val="40322FF5"/>
    <w:rsid w:val="40387CC5"/>
    <w:rsid w:val="403A40E6"/>
    <w:rsid w:val="404448BC"/>
    <w:rsid w:val="405014B2"/>
    <w:rsid w:val="40580367"/>
    <w:rsid w:val="40592157"/>
    <w:rsid w:val="405C1C05"/>
    <w:rsid w:val="406D5BC1"/>
    <w:rsid w:val="406E1939"/>
    <w:rsid w:val="406E1CAE"/>
    <w:rsid w:val="406E36E7"/>
    <w:rsid w:val="407707ED"/>
    <w:rsid w:val="407D392A"/>
    <w:rsid w:val="40860A30"/>
    <w:rsid w:val="408A0E04"/>
    <w:rsid w:val="408F77C2"/>
    <w:rsid w:val="40980764"/>
    <w:rsid w:val="40985A3E"/>
    <w:rsid w:val="409A272E"/>
    <w:rsid w:val="409E3FCC"/>
    <w:rsid w:val="409F1AF2"/>
    <w:rsid w:val="409F7D44"/>
    <w:rsid w:val="40A0133A"/>
    <w:rsid w:val="40A634B2"/>
    <w:rsid w:val="40A86BF9"/>
    <w:rsid w:val="40AE7F87"/>
    <w:rsid w:val="40B05AAD"/>
    <w:rsid w:val="40B437EF"/>
    <w:rsid w:val="40B557B9"/>
    <w:rsid w:val="40C03865"/>
    <w:rsid w:val="40C17CBA"/>
    <w:rsid w:val="40C31A53"/>
    <w:rsid w:val="40CA3575"/>
    <w:rsid w:val="40CD665F"/>
    <w:rsid w:val="40D0614F"/>
    <w:rsid w:val="40D21EC7"/>
    <w:rsid w:val="40D23C76"/>
    <w:rsid w:val="40D53766"/>
    <w:rsid w:val="40E1210B"/>
    <w:rsid w:val="40E35E83"/>
    <w:rsid w:val="40E57E4D"/>
    <w:rsid w:val="40E83499"/>
    <w:rsid w:val="40E85247"/>
    <w:rsid w:val="40E90FBF"/>
    <w:rsid w:val="40EB11DB"/>
    <w:rsid w:val="40F40090"/>
    <w:rsid w:val="40F7192E"/>
    <w:rsid w:val="40FF545D"/>
    <w:rsid w:val="410067C8"/>
    <w:rsid w:val="41015EE4"/>
    <w:rsid w:val="410F0A26"/>
    <w:rsid w:val="4110479E"/>
    <w:rsid w:val="41115446"/>
    <w:rsid w:val="41173D7E"/>
    <w:rsid w:val="411C75E7"/>
    <w:rsid w:val="412169AB"/>
    <w:rsid w:val="41232723"/>
    <w:rsid w:val="412546ED"/>
    <w:rsid w:val="41265D6F"/>
    <w:rsid w:val="41287D39"/>
    <w:rsid w:val="413761CE"/>
    <w:rsid w:val="413B5CBF"/>
    <w:rsid w:val="413E130B"/>
    <w:rsid w:val="41436921"/>
    <w:rsid w:val="414B31CA"/>
    <w:rsid w:val="41586871"/>
    <w:rsid w:val="415C79E3"/>
    <w:rsid w:val="41727207"/>
    <w:rsid w:val="4177481D"/>
    <w:rsid w:val="41780CC1"/>
    <w:rsid w:val="417C1E33"/>
    <w:rsid w:val="418036D2"/>
    <w:rsid w:val="41831414"/>
    <w:rsid w:val="41847666"/>
    <w:rsid w:val="41856F3A"/>
    <w:rsid w:val="418D4040"/>
    <w:rsid w:val="418F0D2A"/>
    <w:rsid w:val="41986C6D"/>
    <w:rsid w:val="419B675D"/>
    <w:rsid w:val="419E53BB"/>
    <w:rsid w:val="41A575DC"/>
    <w:rsid w:val="41AC096A"/>
    <w:rsid w:val="41AC2719"/>
    <w:rsid w:val="41AD023F"/>
    <w:rsid w:val="41B617E9"/>
    <w:rsid w:val="41BD0482"/>
    <w:rsid w:val="41BD4926"/>
    <w:rsid w:val="41BF069E"/>
    <w:rsid w:val="41C07F72"/>
    <w:rsid w:val="41CF4659"/>
    <w:rsid w:val="41D01505"/>
    <w:rsid w:val="41D028AB"/>
    <w:rsid w:val="41D877E8"/>
    <w:rsid w:val="41DB3089"/>
    <w:rsid w:val="41E9571B"/>
    <w:rsid w:val="41EA4FEF"/>
    <w:rsid w:val="41EE2D31"/>
    <w:rsid w:val="41F07711"/>
    <w:rsid w:val="41F850FE"/>
    <w:rsid w:val="41F93484"/>
    <w:rsid w:val="41FD11C6"/>
    <w:rsid w:val="41FF0A9A"/>
    <w:rsid w:val="42010CB6"/>
    <w:rsid w:val="4205007B"/>
    <w:rsid w:val="421502BE"/>
    <w:rsid w:val="421B33FA"/>
    <w:rsid w:val="422C3859"/>
    <w:rsid w:val="422F6EA6"/>
    <w:rsid w:val="423A41C8"/>
    <w:rsid w:val="423B584A"/>
    <w:rsid w:val="423F533B"/>
    <w:rsid w:val="42415557"/>
    <w:rsid w:val="42462B6D"/>
    <w:rsid w:val="4246491B"/>
    <w:rsid w:val="42474939"/>
    <w:rsid w:val="424B0183"/>
    <w:rsid w:val="424B1F31"/>
    <w:rsid w:val="424B29EB"/>
    <w:rsid w:val="424B3CDF"/>
    <w:rsid w:val="424C3C57"/>
    <w:rsid w:val="424C5CAA"/>
    <w:rsid w:val="424E557E"/>
    <w:rsid w:val="425C413F"/>
    <w:rsid w:val="425F59DD"/>
    <w:rsid w:val="42613FF3"/>
    <w:rsid w:val="426254CD"/>
    <w:rsid w:val="42660D96"/>
    <w:rsid w:val="42664FBD"/>
    <w:rsid w:val="42723962"/>
    <w:rsid w:val="42731488"/>
    <w:rsid w:val="42756FAE"/>
    <w:rsid w:val="42786A9F"/>
    <w:rsid w:val="427D40B5"/>
    <w:rsid w:val="428667D2"/>
    <w:rsid w:val="428A4DB8"/>
    <w:rsid w:val="42976F25"/>
    <w:rsid w:val="42997141"/>
    <w:rsid w:val="429D02B3"/>
    <w:rsid w:val="42A41642"/>
    <w:rsid w:val="42A60D98"/>
    <w:rsid w:val="42A653BA"/>
    <w:rsid w:val="42A96C58"/>
    <w:rsid w:val="42AC04F6"/>
    <w:rsid w:val="42AE426E"/>
    <w:rsid w:val="42BC4BDD"/>
    <w:rsid w:val="42BE6BA7"/>
    <w:rsid w:val="42C34E0B"/>
    <w:rsid w:val="42CD1CE0"/>
    <w:rsid w:val="42CD2946"/>
    <w:rsid w:val="42D82601"/>
    <w:rsid w:val="42E1381E"/>
    <w:rsid w:val="42E67EAC"/>
    <w:rsid w:val="42E83C24"/>
    <w:rsid w:val="42EA174A"/>
    <w:rsid w:val="42ED6459"/>
    <w:rsid w:val="42F205FF"/>
    <w:rsid w:val="42F223AD"/>
    <w:rsid w:val="42F75C15"/>
    <w:rsid w:val="42FC147E"/>
    <w:rsid w:val="42FE58DD"/>
    <w:rsid w:val="43016A94"/>
    <w:rsid w:val="43030A5E"/>
    <w:rsid w:val="430345BA"/>
    <w:rsid w:val="43040332"/>
    <w:rsid w:val="430805CF"/>
    <w:rsid w:val="43087E22"/>
    <w:rsid w:val="430F2F5F"/>
    <w:rsid w:val="43104F29"/>
    <w:rsid w:val="431247FD"/>
    <w:rsid w:val="43174B3D"/>
    <w:rsid w:val="431C567C"/>
    <w:rsid w:val="43236A0A"/>
    <w:rsid w:val="432A76B1"/>
    <w:rsid w:val="432B30AA"/>
    <w:rsid w:val="432B495E"/>
    <w:rsid w:val="432D5ADB"/>
    <w:rsid w:val="432E715D"/>
    <w:rsid w:val="43344580"/>
    <w:rsid w:val="43364990"/>
    <w:rsid w:val="43370708"/>
    <w:rsid w:val="43374264"/>
    <w:rsid w:val="43421586"/>
    <w:rsid w:val="434B790E"/>
    <w:rsid w:val="434B7D0F"/>
    <w:rsid w:val="434F15AD"/>
    <w:rsid w:val="43560B8E"/>
    <w:rsid w:val="43597FF0"/>
    <w:rsid w:val="4360274F"/>
    <w:rsid w:val="43707776"/>
    <w:rsid w:val="43776D56"/>
    <w:rsid w:val="4379487C"/>
    <w:rsid w:val="437B2314"/>
    <w:rsid w:val="4383394D"/>
    <w:rsid w:val="43866F99"/>
    <w:rsid w:val="438A4CDB"/>
    <w:rsid w:val="438A6A89"/>
    <w:rsid w:val="438D20D6"/>
    <w:rsid w:val="43977AB6"/>
    <w:rsid w:val="439B2A45"/>
    <w:rsid w:val="43A3342B"/>
    <w:rsid w:val="43A77473"/>
    <w:rsid w:val="43AA0EDA"/>
    <w:rsid w:val="43B21B3C"/>
    <w:rsid w:val="43B50336"/>
    <w:rsid w:val="43B6162D"/>
    <w:rsid w:val="43C401ED"/>
    <w:rsid w:val="43C77C27"/>
    <w:rsid w:val="43CC0E50"/>
    <w:rsid w:val="43D47D05"/>
    <w:rsid w:val="43DE09EE"/>
    <w:rsid w:val="43E50164"/>
    <w:rsid w:val="43E73EDC"/>
    <w:rsid w:val="43FE4D82"/>
    <w:rsid w:val="44002FAD"/>
    <w:rsid w:val="4404683C"/>
    <w:rsid w:val="44071E88"/>
    <w:rsid w:val="440A02CD"/>
    <w:rsid w:val="440B5E1C"/>
    <w:rsid w:val="441308E0"/>
    <w:rsid w:val="44150A49"/>
    <w:rsid w:val="441B5933"/>
    <w:rsid w:val="441D16AC"/>
    <w:rsid w:val="44223166"/>
    <w:rsid w:val="44231455"/>
    <w:rsid w:val="442701F2"/>
    <w:rsid w:val="4427252A"/>
    <w:rsid w:val="442A3DC9"/>
    <w:rsid w:val="442E38B9"/>
    <w:rsid w:val="44330ECF"/>
    <w:rsid w:val="44380293"/>
    <w:rsid w:val="443D58AA"/>
    <w:rsid w:val="444A4FF2"/>
    <w:rsid w:val="445A2900"/>
    <w:rsid w:val="445F0B62"/>
    <w:rsid w:val="4464552C"/>
    <w:rsid w:val="44692B43"/>
    <w:rsid w:val="446948F1"/>
    <w:rsid w:val="446E1F07"/>
    <w:rsid w:val="446E63AB"/>
    <w:rsid w:val="4476700E"/>
    <w:rsid w:val="44782D86"/>
    <w:rsid w:val="447D214A"/>
    <w:rsid w:val="44823C05"/>
    <w:rsid w:val="448654A3"/>
    <w:rsid w:val="44890AEF"/>
    <w:rsid w:val="449101DD"/>
    <w:rsid w:val="4492209A"/>
    <w:rsid w:val="449F0313"/>
    <w:rsid w:val="44AB4F09"/>
    <w:rsid w:val="44AF71F4"/>
    <w:rsid w:val="44B33DBE"/>
    <w:rsid w:val="44B54022"/>
    <w:rsid w:val="44B55D88"/>
    <w:rsid w:val="44B85878"/>
    <w:rsid w:val="44BA6EFA"/>
    <w:rsid w:val="44BD6179"/>
    <w:rsid w:val="44BF2763"/>
    <w:rsid w:val="44BF6C07"/>
    <w:rsid w:val="44C45FCB"/>
    <w:rsid w:val="44C95EA8"/>
    <w:rsid w:val="44CE0BF8"/>
    <w:rsid w:val="44D02BC2"/>
    <w:rsid w:val="44D53D34"/>
    <w:rsid w:val="44DC4156"/>
    <w:rsid w:val="44DE1391"/>
    <w:rsid w:val="44DF1057"/>
    <w:rsid w:val="44F468B0"/>
    <w:rsid w:val="44F87A23"/>
    <w:rsid w:val="44FC5765"/>
    <w:rsid w:val="44FC7513"/>
    <w:rsid w:val="45034D45"/>
    <w:rsid w:val="450A60D4"/>
    <w:rsid w:val="45140D01"/>
    <w:rsid w:val="45151268"/>
    <w:rsid w:val="451B225C"/>
    <w:rsid w:val="451C7BB5"/>
    <w:rsid w:val="451F3201"/>
    <w:rsid w:val="4521341D"/>
    <w:rsid w:val="45216F7A"/>
    <w:rsid w:val="452410C9"/>
    <w:rsid w:val="452B604A"/>
    <w:rsid w:val="452D3B70"/>
    <w:rsid w:val="45317DFB"/>
    <w:rsid w:val="453273D9"/>
    <w:rsid w:val="45356EC9"/>
    <w:rsid w:val="45367649"/>
    <w:rsid w:val="454809AA"/>
    <w:rsid w:val="454B2248"/>
    <w:rsid w:val="454D5FC1"/>
    <w:rsid w:val="454D75BE"/>
    <w:rsid w:val="45634690"/>
    <w:rsid w:val="45655845"/>
    <w:rsid w:val="4568104C"/>
    <w:rsid w:val="456D3CE4"/>
    <w:rsid w:val="45717F01"/>
    <w:rsid w:val="457277D5"/>
    <w:rsid w:val="45763769"/>
    <w:rsid w:val="4577303D"/>
    <w:rsid w:val="4579042C"/>
    <w:rsid w:val="457B2B2E"/>
    <w:rsid w:val="457B307A"/>
    <w:rsid w:val="457F0571"/>
    <w:rsid w:val="45851176"/>
    <w:rsid w:val="45863281"/>
    <w:rsid w:val="458D2861"/>
    <w:rsid w:val="45905EAD"/>
    <w:rsid w:val="459704BE"/>
    <w:rsid w:val="4597723C"/>
    <w:rsid w:val="459D6B25"/>
    <w:rsid w:val="459E05CA"/>
    <w:rsid w:val="45AA6F6F"/>
    <w:rsid w:val="45AD4CB1"/>
    <w:rsid w:val="45AF0A29"/>
    <w:rsid w:val="45B1403F"/>
    <w:rsid w:val="45B147A1"/>
    <w:rsid w:val="45B20519"/>
    <w:rsid w:val="45B717E5"/>
    <w:rsid w:val="45C269AF"/>
    <w:rsid w:val="45C63B94"/>
    <w:rsid w:val="45CA13BF"/>
    <w:rsid w:val="45D87F80"/>
    <w:rsid w:val="45D95AA6"/>
    <w:rsid w:val="45DD7344"/>
    <w:rsid w:val="45E22BAD"/>
    <w:rsid w:val="45E2495B"/>
    <w:rsid w:val="45E5269D"/>
    <w:rsid w:val="45ED50AE"/>
    <w:rsid w:val="45F36B68"/>
    <w:rsid w:val="45F428E0"/>
    <w:rsid w:val="45F440B0"/>
    <w:rsid w:val="45F97EF6"/>
    <w:rsid w:val="46001285"/>
    <w:rsid w:val="46024FFD"/>
    <w:rsid w:val="46050649"/>
    <w:rsid w:val="46081EE8"/>
    <w:rsid w:val="460E7DA5"/>
    <w:rsid w:val="46130FB8"/>
    <w:rsid w:val="46144D30"/>
    <w:rsid w:val="461643C7"/>
    <w:rsid w:val="461865CE"/>
    <w:rsid w:val="46192347"/>
    <w:rsid w:val="461A0599"/>
    <w:rsid w:val="461F5BAF"/>
    <w:rsid w:val="46250CEB"/>
    <w:rsid w:val="462C3E28"/>
    <w:rsid w:val="462E7BA0"/>
    <w:rsid w:val="462E7E88"/>
    <w:rsid w:val="462F1B6A"/>
    <w:rsid w:val="46326F64"/>
    <w:rsid w:val="463902F3"/>
    <w:rsid w:val="46422483"/>
    <w:rsid w:val="46445615"/>
    <w:rsid w:val="4646138E"/>
    <w:rsid w:val="464B1B2F"/>
    <w:rsid w:val="464B6EA4"/>
    <w:rsid w:val="464C0026"/>
    <w:rsid w:val="464C07A8"/>
    <w:rsid w:val="465670F7"/>
    <w:rsid w:val="4659254A"/>
    <w:rsid w:val="465B0637"/>
    <w:rsid w:val="465D66D7"/>
    <w:rsid w:val="465E3F0D"/>
    <w:rsid w:val="466060B3"/>
    <w:rsid w:val="466A16E6"/>
    <w:rsid w:val="466A4950"/>
    <w:rsid w:val="466B0DF4"/>
    <w:rsid w:val="466C06C8"/>
    <w:rsid w:val="46712183"/>
    <w:rsid w:val="46737CA9"/>
    <w:rsid w:val="46753A21"/>
    <w:rsid w:val="46810B28"/>
    <w:rsid w:val="46875502"/>
    <w:rsid w:val="46893F2B"/>
    <w:rsid w:val="468A0B4E"/>
    <w:rsid w:val="46902609"/>
    <w:rsid w:val="46923508"/>
    <w:rsid w:val="469A3487"/>
    <w:rsid w:val="469B0FAE"/>
    <w:rsid w:val="46A14816"/>
    <w:rsid w:val="46A55988"/>
    <w:rsid w:val="46A75BA4"/>
    <w:rsid w:val="46B04A59"/>
    <w:rsid w:val="46B94C58"/>
    <w:rsid w:val="46BA1434"/>
    <w:rsid w:val="46BF4C9C"/>
    <w:rsid w:val="46BF6A4A"/>
    <w:rsid w:val="46C16C66"/>
    <w:rsid w:val="46C4686E"/>
    <w:rsid w:val="46C87FF5"/>
    <w:rsid w:val="46CB3641"/>
    <w:rsid w:val="46CB53EF"/>
    <w:rsid w:val="46CF6E21"/>
    <w:rsid w:val="46DC57DE"/>
    <w:rsid w:val="46E44703"/>
    <w:rsid w:val="46E464B1"/>
    <w:rsid w:val="46EC0F77"/>
    <w:rsid w:val="46EC3316"/>
    <w:rsid w:val="46EE732F"/>
    <w:rsid w:val="46EF4D27"/>
    <w:rsid w:val="46F2729A"/>
    <w:rsid w:val="46F30DEA"/>
    <w:rsid w:val="46F56910"/>
    <w:rsid w:val="46F87BA3"/>
    <w:rsid w:val="46F96400"/>
    <w:rsid w:val="46FE7677"/>
    <w:rsid w:val="470D15F2"/>
    <w:rsid w:val="470E1780"/>
    <w:rsid w:val="47136D96"/>
    <w:rsid w:val="471C20EE"/>
    <w:rsid w:val="4723522B"/>
    <w:rsid w:val="472471F5"/>
    <w:rsid w:val="47264D1B"/>
    <w:rsid w:val="47305B9A"/>
    <w:rsid w:val="4732546E"/>
    <w:rsid w:val="473311E6"/>
    <w:rsid w:val="473A4323"/>
    <w:rsid w:val="473F7B8B"/>
    <w:rsid w:val="47451645"/>
    <w:rsid w:val="474A6C5C"/>
    <w:rsid w:val="474C59F4"/>
    <w:rsid w:val="474C7708"/>
    <w:rsid w:val="474D674C"/>
    <w:rsid w:val="475C698F"/>
    <w:rsid w:val="4760647F"/>
    <w:rsid w:val="47637D1D"/>
    <w:rsid w:val="47655843"/>
    <w:rsid w:val="476A10AC"/>
    <w:rsid w:val="476A1887"/>
    <w:rsid w:val="47777325"/>
    <w:rsid w:val="477B778F"/>
    <w:rsid w:val="478203EC"/>
    <w:rsid w:val="47841A42"/>
    <w:rsid w:val="478A6475"/>
    <w:rsid w:val="47906638"/>
    <w:rsid w:val="4791488A"/>
    <w:rsid w:val="47946129"/>
    <w:rsid w:val="47953C4F"/>
    <w:rsid w:val="479B74B7"/>
    <w:rsid w:val="47A143A2"/>
    <w:rsid w:val="47B025FA"/>
    <w:rsid w:val="47B16CDB"/>
    <w:rsid w:val="47B40579"/>
    <w:rsid w:val="47BE6D02"/>
    <w:rsid w:val="47CD5197"/>
    <w:rsid w:val="47D14C87"/>
    <w:rsid w:val="47D4536A"/>
    <w:rsid w:val="47E349BA"/>
    <w:rsid w:val="47F46BC7"/>
    <w:rsid w:val="47FB1D04"/>
    <w:rsid w:val="47FC782A"/>
    <w:rsid w:val="47FE7A46"/>
    <w:rsid w:val="48036E0A"/>
    <w:rsid w:val="4809698F"/>
    <w:rsid w:val="480C0A95"/>
    <w:rsid w:val="480F3A01"/>
    <w:rsid w:val="480F57AF"/>
    <w:rsid w:val="4810535C"/>
    <w:rsid w:val="4811697D"/>
    <w:rsid w:val="481E1E96"/>
    <w:rsid w:val="48233009"/>
    <w:rsid w:val="48270D4B"/>
    <w:rsid w:val="48272AF9"/>
    <w:rsid w:val="482A5921"/>
    <w:rsid w:val="482C010F"/>
    <w:rsid w:val="482C0F94"/>
    <w:rsid w:val="48323804"/>
    <w:rsid w:val="48413FDC"/>
    <w:rsid w:val="48425B85"/>
    <w:rsid w:val="48444AAE"/>
    <w:rsid w:val="48455675"/>
    <w:rsid w:val="48480CC1"/>
    <w:rsid w:val="484A2C8B"/>
    <w:rsid w:val="484A4A39"/>
    <w:rsid w:val="48580F04"/>
    <w:rsid w:val="485B4B32"/>
    <w:rsid w:val="485D651B"/>
    <w:rsid w:val="485E2293"/>
    <w:rsid w:val="48643D4D"/>
    <w:rsid w:val="48735D3E"/>
    <w:rsid w:val="487A3E25"/>
    <w:rsid w:val="48816CAD"/>
    <w:rsid w:val="488B5503"/>
    <w:rsid w:val="48937E21"/>
    <w:rsid w:val="489A0361"/>
    <w:rsid w:val="489A776F"/>
    <w:rsid w:val="489F6B33"/>
    <w:rsid w:val="48A028AB"/>
    <w:rsid w:val="48A31E3E"/>
    <w:rsid w:val="48AC1250"/>
    <w:rsid w:val="48AC2FFE"/>
    <w:rsid w:val="48B545A9"/>
    <w:rsid w:val="48B60321"/>
    <w:rsid w:val="48B819A3"/>
    <w:rsid w:val="48B84099"/>
    <w:rsid w:val="48B94FF3"/>
    <w:rsid w:val="48BE7F80"/>
    <w:rsid w:val="48C26CC5"/>
    <w:rsid w:val="48C52312"/>
    <w:rsid w:val="48C60564"/>
    <w:rsid w:val="48C742DC"/>
    <w:rsid w:val="48CB5B7A"/>
    <w:rsid w:val="48CC544E"/>
    <w:rsid w:val="48D03190"/>
    <w:rsid w:val="48D7140D"/>
    <w:rsid w:val="48D83DF3"/>
    <w:rsid w:val="48DF3E68"/>
    <w:rsid w:val="48E37AAB"/>
    <w:rsid w:val="48E44E8E"/>
    <w:rsid w:val="48E7672C"/>
    <w:rsid w:val="48EE7ABB"/>
    <w:rsid w:val="48F03833"/>
    <w:rsid w:val="48F055E1"/>
    <w:rsid w:val="48F86243"/>
    <w:rsid w:val="48FD4B4C"/>
    <w:rsid w:val="48FE2C52"/>
    <w:rsid w:val="49033566"/>
    <w:rsid w:val="49045382"/>
    <w:rsid w:val="490525B3"/>
    <w:rsid w:val="490868D4"/>
    <w:rsid w:val="49090450"/>
    <w:rsid w:val="490A68E0"/>
    <w:rsid w:val="4910358D"/>
    <w:rsid w:val="491055FE"/>
    <w:rsid w:val="49117305"/>
    <w:rsid w:val="49144E77"/>
    <w:rsid w:val="492359B6"/>
    <w:rsid w:val="49296D45"/>
    <w:rsid w:val="492B6619"/>
    <w:rsid w:val="49331971"/>
    <w:rsid w:val="49395702"/>
    <w:rsid w:val="4941408E"/>
    <w:rsid w:val="494B2817"/>
    <w:rsid w:val="4953791E"/>
    <w:rsid w:val="495518E8"/>
    <w:rsid w:val="495D254A"/>
    <w:rsid w:val="495F5B3E"/>
    <w:rsid w:val="49675177"/>
    <w:rsid w:val="496F77D7"/>
    <w:rsid w:val="49731D6E"/>
    <w:rsid w:val="49755AE6"/>
    <w:rsid w:val="497654FD"/>
    <w:rsid w:val="49787384"/>
    <w:rsid w:val="497A75A0"/>
    <w:rsid w:val="49845D29"/>
    <w:rsid w:val="49867CF3"/>
    <w:rsid w:val="49883A6B"/>
    <w:rsid w:val="498E6BA8"/>
    <w:rsid w:val="499046CE"/>
    <w:rsid w:val="49942410"/>
    <w:rsid w:val="499C3073"/>
    <w:rsid w:val="499E503D"/>
    <w:rsid w:val="499F2B63"/>
    <w:rsid w:val="49A14B2D"/>
    <w:rsid w:val="49A95790"/>
    <w:rsid w:val="49AA39E1"/>
    <w:rsid w:val="49AB775A"/>
    <w:rsid w:val="49B04D70"/>
    <w:rsid w:val="49B52386"/>
    <w:rsid w:val="49B64211"/>
    <w:rsid w:val="49BC1967"/>
    <w:rsid w:val="49C64593"/>
    <w:rsid w:val="49D2118A"/>
    <w:rsid w:val="49D40A5E"/>
    <w:rsid w:val="49D61A36"/>
    <w:rsid w:val="49D722FD"/>
    <w:rsid w:val="49D942C7"/>
    <w:rsid w:val="49DE368B"/>
    <w:rsid w:val="49E113CD"/>
    <w:rsid w:val="49E14F29"/>
    <w:rsid w:val="49E8275C"/>
    <w:rsid w:val="49EA2030"/>
    <w:rsid w:val="49F6167F"/>
    <w:rsid w:val="49F70BF1"/>
    <w:rsid w:val="49FB248F"/>
    <w:rsid w:val="4A007AA5"/>
    <w:rsid w:val="4A033589"/>
    <w:rsid w:val="4A037596"/>
    <w:rsid w:val="4A05330E"/>
    <w:rsid w:val="4A064FA0"/>
    <w:rsid w:val="4A080708"/>
    <w:rsid w:val="4A16615C"/>
    <w:rsid w:val="4A176B9D"/>
    <w:rsid w:val="4A196EAA"/>
    <w:rsid w:val="4A1C2405"/>
    <w:rsid w:val="4A1C41B3"/>
    <w:rsid w:val="4A2319E6"/>
    <w:rsid w:val="4A2512BA"/>
    <w:rsid w:val="4A286FFC"/>
    <w:rsid w:val="4A2A2D74"/>
    <w:rsid w:val="4A315EB1"/>
    <w:rsid w:val="4A3459A1"/>
    <w:rsid w:val="4A365275"/>
    <w:rsid w:val="4A3855BE"/>
    <w:rsid w:val="4A3F3BEF"/>
    <w:rsid w:val="4A4008F9"/>
    <w:rsid w:val="4A413C1A"/>
    <w:rsid w:val="4A4424D7"/>
    <w:rsid w:val="4A4A1D68"/>
    <w:rsid w:val="4A4F0ECC"/>
    <w:rsid w:val="4A510301"/>
    <w:rsid w:val="4A5971B6"/>
    <w:rsid w:val="4A5E47CC"/>
    <w:rsid w:val="4A6A13C3"/>
    <w:rsid w:val="4A6A3171"/>
    <w:rsid w:val="4A712751"/>
    <w:rsid w:val="4A7162AD"/>
    <w:rsid w:val="4A847E10"/>
    <w:rsid w:val="4A8561FD"/>
    <w:rsid w:val="4A8C30E7"/>
    <w:rsid w:val="4A8E3303"/>
    <w:rsid w:val="4A914BA1"/>
    <w:rsid w:val="4A9B332A"/>
    <w:rsid w:val="4AA23939"/>
    <w:rsid w:val="4AA85A47"/>
    <w:rsid w:val="4AA93C99"/>
    <w:rsid w:val="4AB56AE2"/>
    <w:rsid w:val="4AB60164"/>
    <w:rsid w:val="4AB82D0F"/>
    <w:rsid w:val="4AB83EDC"/>
    <w:rsid w:val="4AB97C54"/>
    <w:rsid w:val="4ABF34BD"/>
    <w:rsid w:val="4AC00FE3"/>
    <w:rsid w:val="4AC42881"/>
    <w:rsid w:val="4AC477B5"/>
    <w:rsid w:val="4AC64CA6"/>
    <w:rsid w:val="4AC960E9"/>
    <w:rsid w:val="4ACC7988"/>
    <w:rsid w:val="4AD64BDE"/>
    <w:rsid w:val="4ADA02F6"/>
    <w:rsid w:val="4AE051E1"/>
    <w:rsid w:val="4AE66C9B"/>
    <w:rsid w:val="4AE7656F"/>
    <w:rsid w:val="4AE86B80"/>
    <w:rsid w:val="4AEB7664"/>
    <w:rsid w:val="4AEC627C"/>
    <w:rsid w:val="4AF173EE"/>
    <w:rsid w:val="4AF40C8C"/>
    <w:rsid w:val="4AF56EDE"/>
    <w:rsid w:val="4AF60EA8"/>
    <w:rsid w:val="4AFD7C19"/>
    <w:rsid w:val="4B005BCD"/>
    <w:rsid w:val="4B052E99"/>
    <w:rsid w:val="4B0567D1"/>
    <w:rsid w:val="4B0B04B0"/>
    <w:rsid w:val="4B0C247A"/>
    <w:rsid w:val="4B180E1F"/>
    <w:rsid w:val="4B1A4B97"/>
    <w:rsid w:val="4B223A4B"/>
    <w:rsid w:val="4B236AAE"/>
    <w:rsid w:val="4B2C0426"/>
    <w:rsid w:val="4B320132"/>
    <w:rsid w:val="4B3317B5"/>
    <w:rsid w:val="4B375749"/>
    <w:rsid w:val="4B3814C1"/>
    <w:rsid w:val="4B3901F4"/>
    <w:rsid w:val="4B413ED2"/>
    <w:rsid w:val="4B427C4A"/>
    <w:rsid w:val="4B4439C2"/>
    <w:rsid w:val="4B46773A"/>
    <w:rsid w:val="4B4B7123"/>
    <w:rsid w:val="4B4C0AC8"/>
    <w:rsid w:val="4B571947"/>
    <w:rsid w:val="4B5F6A4E"/>
    <w:rsid w:val="4B652B55"/>
    <w:rsid w:val="4B66323D"/>
    <w:rsid w:val="4B667DDC"/>
    <w:rsid w:val="4B6E4EE3"/>
    <w:rsid w:val="4B700C5B"/>
    <w:rsid w:val="4B704048"/>
    <w:rsid w:val="4B707271"/>
    <w:rsid w:val="4B726781"/>
    <w:rsid w:val="4B775B45"/>
    <w:rsid w:val="4B7A3887"/>
    <w:rsid w:val="4B7B411C"/>
    <w:rsid w:val="4B83273C"/>
    <w:rsid w:val="4B86222C"/>
    <w:rsid w:val="4B863FDA"/>
    <w:rsid w:val="4B8A01B9"/>
    <w:rsid w:val="4B8B7843"/>
    <w:rsid w:val="4B8D5369"/>
    <w:rsid w:val="4B8D7117"/>
    <w:rsid w:val="4B9739F7"/>
    <w:rsid w:val="4B983D0E"/>
    <w:rsid w:val="4B991F60"/>
    <w:rsid w:val="4BA3693A"/>
    <w:rsid w:val="4BAB1C93"/>
    <w:rsid w:val="4BAD77B9"/>
    <w:rsid w:val="4BAE52DF"/>
    <w:rsid w:val="4BAF3531"/>
    <w:rsid w:val="4BB1658B"/>
    <w:rsid w:val="4BC52D55"/>
    <w:rsid w:val="4BC62629"/>
    <w:rsid w:val="4BC863A1"/>
    <w:rsid w:val="4BCF3BD3"/>
    <w:rsid w:val="4BD74836"/>
    <w:rsid w:val="4BDA4326"/>
    <w:rsid w:val="4BDA60D4"/>
    <w:rsid w:val="4BE40D01"/>
    <w:rsid w:val="4BE8259F"/>
    <w:rsid w:val="4BE86A43"/>
    <w:rsid w:val="4BEA4569"/>
    <w:rsid w:val="4BEE2503"/>
    <w:rsid w:val="4BEE392E"/>
    <w:rsid w:val="4BF4363A"/>
    <w:rsid w:val="4BF70A34"/>
    <w:rsid w:val="4BFA0524"/>
    <w:rsid w:val="4BFE0015"/>
    <w:rsid w:val="4BFF5B3B"/>
    <w:rsid w:val="4C043151"/>
    <w:rsid w:val="4C06511B"/>
    <w:rsid w:val="4C0D64AA"/>
    <w:rsid w:val="4C0F5D7E"/>
    <w:rsid w:val="4C115F9A"/>
    <w:rsid w:val="4C1635B0"/>
    <w:rsid w:val="4C177328"/>
    <w:rsid w:val="4C1930A0"/>
    <w:rsid w:val="4C214A44"/>
    <w:rsid w:val="4C231829"/>
    <w:rsid w:val="4C245A30"/>
    <w:rsid w:val="4C2832E3"/>
    <w:rsid w:val="4C2F6420"/>
    <w:rsid w:val="4C374650"/>
    <w:rsid w:val="4C3954F1"/>
    <w:rsid w:val="4C3E2B07"/>
    <w:rsid w:val="4C3E48B5"/>
    <w:rsid w:val="4C423CE6"/>
    <w:rsid w:val="4C4243A5"/>
    <w:rsid w:val="4C4A14AC"/>
    <w:rsid w:val="4C5B45D0"/>
    <w:rsid w:val="4C6228AF"/>
    <w:rsid w:val="4C651E42"/>
    <w:rsid w:val="4C7210A9"/>
    <w:rsid w:val="4C76404F"/>
    <w:rsid w:val="4C765DFD"/>
    <w:rsid w:val="4C7B4735"/>
    <w:rsid w:val="4C856040"/>
    <w:rsid w:val="4CAC7A71"/>
    <w:rsid w:val="4CB6685F"/>
    <w:rsid w:val="4CB9218D"/>
    <w:rsid w:val="4CBD66EA"/>
    <w:rsid w:val="4CC367FE"/>
    <w:rsid w:val="4CC94969"/>
    <w:rsid w:val="4CCF550D"/>
    <w:rsid w:val="4CD314A1"/>
    <w:rsid w:val="4CDE39A2"/>
    <w:rsid w:val="4CDF7E46"/>
    <w:rsid w:val="4CE03BBE"/>
    <w:rsid w:val="4CE511D4"/>
    <w:rsid w:val="4CE90CC5"/>
    <w:rsid w:val="4CF51418"/>
    <w:rsid w:val="4CF83F29"/>
    <w:rsid w:val="4CFD02CC"/>
    <w:rsid w:val="4CFD651E"/>
    <w:rsid w:val="4D057181"/>
    <w:rsid w:val="4D063625"/>
    <w:rsid w:val="4D07739D"/>
    <w:rsid w:val="4D077F3C"/>
    <w:rsid w:val="4D094EC3"/>
    <w:rsid w:val="4D0B7988"/>
    <w:rsid w:val="4D0C050F"/>
    <w:rsid w:val="4D123355"/>
    <w:rsid w:val="4D184D62"/>
    <w:rsid w:val="4D1A2C2C"/>
    <w:rsid w:val="4D1F6494"/>
    <w:rsid w:val="4D2A3B31"/>
    <w:rsid w:val="4D2A6BE7"/>
    <w:rsid w:val="4D2C0BB1"/>
    <w:rsid w:val="4D2D62EB"/>
    <w:rsid w:val="4D2E777B"/>
    <w:rsid w:val="4D312C52"/>
    <w:rsid w:val="4D3637DE"/>
    <w:rsid w:val="4D3857A8"/>
    <w:rsid w:val="4D3A1520"/>
    <w:rsid w:val="4D3D691B"/>
    <w:rsid w:val="4D4128AF"/>
    <w:rsid w:val="4D422183"/>
    <w:rsid w:val="4D453A21"/>
    <w:rsid w:val="4D4B7289"/>
    <w:rsid w:val="4D4D4194"/>
    <w:rsid w:val="4D4E0B28"/>
    <w:rsid w:val="4D502AF2"/>
    <w:rsid w:val="4D5048A0"/>
    <w:rsid w:val="4D510618"/>
    <w:rsid w:val="4D52655E"/>
    <w:rsid w:val="4D573E80"/>
    <w:rsid w:val="4D616AAD"/>
    <w:rsid w:val="4D671BE9"/>
    <w:rsid w:val="4D700A9E"/>
    <w:rsid w:val="4D7367E0"/>
    <w:rsid w:val="4D7B7443"/>
    <w:rsid w:val="4D7E765F"/>
    <w:rsid w:val="4D8008D1"/>
    <w:rsid w:val="4D814A59"/>
    <w:rsid w:val="4D8602C2"/>
    <w:rsid w:val="4D8973D9"/>
    <w:rsid w:val="4D8B3B2A"/>
    <w:rsid w:val="4D8D78A2"/>
    <w:rsid w:val="4D8E53C8"/>
    <w:rsid w:val="4D905305"/>
    <w:rsid w:val="4D964A72"/>
    <w:rsid w:val="4D9C1254"/>
    <w:rsid w:val="4DA150FB"/>
    <w:rsid w:val="4DA4699A"/>
    <w:rsid w:val="4DA70238"/>
    <w:rsid w:val="4DAB5F7A"/>
    <w:rsid w:val="4DBC1F35"/>
    <w:rsid w:val="4DBE3EFF"/>
    <w:rsid w:val="4DBF37D4"/>
    <w:rsid w:val="4DC332C4"/>
    <w:rsid w:val="4DC94652"/>
    <w:rsid w:val="4DD03C33"/>
    <w:rsid w:val="4DD3727F"/>
    <w:rsid w:val="4DD76D6F"/>
    <w:rsid w:val="4DDD3C5A"/>
    <w:rsid w:val="4DE1199C"/>
    <w:rsid w:val="4DE14B44"/>
    <w:rsid w:val="4DE60D60"/>
    <w:rsid w:val="4DEA6AA2"/>
    <w:rsid w:val="4DF14773"/>
    <w:rsid w:val="4DF711BF"/>
    <w:rsid w:val="4DF94F37"/>
    <w:rsid w:val="4DFA0CB0"/>
    <w:rsid w:val="4DFC0584"/>
    <w:rsid w:val="4DFC4EBC"/>
    <w:rsid w:val="4E0833CC"/>
    <w:rsid w:val="4E127DA7"/>
    <w:rsid w:val="4E165AE9"/>
    <w:rsid w:val="4E1E04FA"/>
    <w:rsid w:val="4E1F4272"/>
    <w:rsid w:val="4E265601"/>
    <w:rsid w:val="4E28581D"/>
    <w:rsid w:val="4E323FA5"/>
    <w:rsid w:val="4E3F66C2"/>
    <w:rsid w:val="4E465CA3"/>
    <w:rsid w:val="4E54216E"/>
    <w:rsid w:val="4E593C28"/>
    <w:rsid w:val="4E612ADD"/>
    <w:rsid w:val="4E6C395B"/>
    <w:rsid w:val="4E6D3230"/>
    <w:rsid w:val="4E740A62"/>
    <w:rsid w:val="4E7630B5"/>
    <w:rsid w:val="4E793892"/>
    <w:rsid w:val="4E7F2AFD"/>
    <w:rsid w:val="4E800872"/>
    <w:rsid w:val="4E810A89"/>
    <w:rsid w:val="4E8567CB"/>
    <w:rsid w:val="4E881E17"/>
    <w:rsid w:val="4E8862BB"/>
    <w:rsid w:val="4E9702AC"/>
    <w:rsid w:val="4E9E77F7"/>
    <w:rsid w:val="4E9E788D"/>
    <w:rsid w:val="4EA053B3"/>
    <w:rsid w:val="4EA529C9"/>
    <w:rsid w:val="4EA62211"/>
    <w:rsid w:val="4EA74993"/>
    <w:rsid w:val="4EB2452C"/>
    <w:rsid w:val="4EB32690"/>
    <w:rsid w:val="4EB46D26"/>
    <w:rsid w:val="4EB812D7"/>
    <w:rsid w:val="4EBF723F"/>
    <w:rsid w:val="4EC15329"/>
    <w:rsid w:val="4EC30082"/>
    <w:rsid w:val="4EC569ED"/>
    <w:rsid w:val="4EC76DE4"/>
    <w:rsid w:val="4ED50EA1"/>
    <w:rsid w:val="4ED82BCE"/>
    <w:rsid w:val="4ED92673"/>
    <w:rsid w:val="4EDD03B5"/>
    <w:rsid w:val="4EDD2163"/>
    <w:rsid w:val="4EE23C1E"/>
    <w:rsid w:val="4EE71234"/>
    <w:rsid w:val="4EEC050C"/>
    <w:rsid w:val="4EEC05F8"/>
    <w:rsid w:val="4EEC684A"/>
    <w:rsid w:val="4EEF00E8"/>
    <w:rsid w:val="4EF676C9"/>
    <w:rsid w:val="4EFB6A8D"/>
    <w:rsid w:val="4F0A10D5"/>
    <w:rsid w:val="4F0A4F22"/>
    <w:rsid w:val="4F0E4A13"/>
    <w:rsid w:val="4F104997"/>
    <w:rsid w:val="4F104EC3"/>
    <w:rsid w:val="4F132029"/>
    <w:rsid w:val="4F157E66"/>
    <w:rsid w:val="4F1B2C8C"/>
    <w:rsid w:val="4F240A83"/>
    <w:rsid w:val="4F29184C"/>
    <w:rsid w:val="4F361873"/>
    <w:rsid w:val="4F391364"/>
    <w:rsid w:val="4F3D2C02"/>
    <w:rsid w:val="4F44293C"/>
    <w:rsid w:val="4F47354A"/>
    <w:rsid w:val="4F587A3C"/>
    <w:rsid w:val="4F5C39D0"/>
    <w:rsid w:val="4F6B59C1"/>
    <w:rsid w:val="4F6E725F"/>
    <w:rsid w:val="4F702FD7"/>
    <w:rsid w:val="4F730D1A"/>
    <w:rsid w:val="4F7D13F7"/>
    <w:rsid w:val="4F822D0B"/>
    <w:rsid w:val="4F87040F"/>
    <w:rsid w:val="4F895E47"/>
    <w:rsid w:val="4F8B7E11"/>
    <w:rsid w:val="4F8C69B7"/>
    <w:rsid w:val="4F911C54"/>
    <w:rsid w:val="4F912F4E"/>
    <w:rsid w:val="4F952A3E"/>
    <w:rsid w:val="4F9B5B7A"/>
    <w:rsid w:val="4FA47125"/>
    <w:rsid w:val="4FAE2DF6"/>
    <w:rsid w:val="4FB530E0"/>
    <w:rsid w:val="4FB82BD0"/>
    <w:rsid w:val="4FC56BA9"/>
    <w:rsid w:val="4FC7696F"/>
    <w:rsid w:val="4FCE41A2"/>
    <w:rsid w:val="4FD07F1A"/>
    <w:rsid w:val="4FD56B27"/>
    <w:rsid w:val="4FD61243"/>
    <w:rsid w:val="4FDA2B47"/>
    <w:rsid w:val="4FE45773"/>
    <w:rsid w:val="4FE625E0"/>
    <w:rsid w:val="4FFD05E3"/>
    <w:rsid w:val="50084580"/>
    <w:rsid w:val="500951DA"/>
    <w:rsid w:val="50111D35"/>
    <w:rsid w:val="501C6DDC"/>
    <w:rsid w:val="50211ADF"/>
    <w:rsid w:val="5021480F"/>
    <w:rsid w:val="50355FCF"/>
    <w:rsid w:val="5035610E"/>
    <w:rsid w:val="503B1837"/>
    <w:rsid w:val="50447FC0"/>
    <w:rsid w:val="50485D02"/>
    <w:rsid w:val="50493828"/>
    <w:rsid w:val="504F52E3"/>
    <w:rsid w:val="50504BB7"/>
    <w:rsid w:val="505F4DFA"/>
    <w:rsid w:val="50672CDB"/>
    <w:rsid w:val="50697A27"/>
    <w:rsid w:val="506F14E1"/>
    <w:rsid w:val="5071004A"/>
    <w:rsid w:val="50781640"/>
    <w:rsid w:val="50854860"/>
    <w:rsid w:val="508825A3"/>
    <w:rsid w:val="50913BDC"/>
    <w:rsid w:val="50962ECB"/>
    <w:rsid w:val="50964CC0"/>
    <w:rsid w:val="5099030C"/>
    <w:rsid w:val="509C7DFC"/>
    <w:rsid w:val="509F49C6"/>
    <w:rsid w:val="50A42E38"/>
    <w:rsid w:val="50A4577F"/>
    <w:rsid w:val="50A76ECD"/>
    <w:rsid w:val="50A82C45"/>
    <w:rsid w:val="50A849F3"/>
    <w:rsid w:val="50AB003F"/>
    <w:rsid w:val="50B73D1F"/>
    <w:rsid w:val="50BB4726"/>
    <w:rsid w:val="50BD5BC9"/>
    <w:rsid w:val="50BE4F65"/>
    <w:rsid w:val="50C11EEE"/>
    <w:rsid w:val="50C23D07"/>
    <w:rsid w:val="50C3182D"/>
    <w:rsid w:val="50C47696"/>
    <w:rsid w:val="50C57353"/>
    <w:rsid w:val="50C636F7"/>
    <w:rsid w:val="50C64E79"/>
    <w:rsid w:val="50E023F9"/>
    <w:rsid w:val="50E0418D"/>
    <w:rsid w:val="50E27F05"/>
    <w:rsid w:val="50E517A3"/>
    <w:rsid w:val="50E97CFC"/>
    <w:rsid w:val="50EF2890"/>
    <w:rsid w:val="50F25C6E"/>
    <w:rsid w:val="50F96FFC"/>
    <w:rsid w:val="50FA4028"/>
    <w:rsid w:val="51037E7B"/>
    <w:rsid w:val="51051E45"/>
    <w:rsid w:val="51053BF3"/>
    <w:rsid w:val="510A2FB8"/>
    <w:rsid w:val="510D65B7"/>
    <w:rsid w:val="511157AB"/>
    <w:rsid w:val="511300BE"/>
    <w:rsid w:val="51134562"/>
    <w:rsid w:val="51143E36"/>
    <w:rsid w:val="51145BE4"/>
    <w:rsid w:val="51172F9F"/>
    <w:rsid w:val="511D6297"/>
    <w:rsid w:val="511E4CB5"/>
    <w:rsid w:val="51220301"/>
    <w:rsid w:val="51273B6A"/>
    <w:rsid w:val="51387B25"/>
    <w:rsid w:val="513D513B"/>
    <w:rsid w:val="5142540C"/>
    <w:rsid w:val="514566E6"/>
    <w:rsid w:val="5147420C"/>
    <w:rsid w:val="51477D68"/>
    <w:rsid w:val="515406D7"/>
    <w:rsid w:val="51556929"/>
    <w:rsid w:val="51583D23"/>
    <w:rsid w:val="515B3813"/>
    <w:rsid w:val="517D5E7F"/>
    <w:rsid w:val="51864D34"/>
    <w:rsid w:val="518832C8"/>
    <w:rsid w:val="518965D2"/>
    <w:rsid w:val="518E1E3B"/>
    <w:rsid w:val="51907961"/>
    <w:rsid w:val="51954F77"/>
    <w:rsid w:val="519E2BC7"/>
    <w:rsid w:val="51A0432A"/>
    <w:rsid w:val="51A76A58"/>
    <w:rsid w:val="51A86090"/>
    <w:rsid w:val="51AA02F7"/>
    <w:rsid w:val="51B03B5F"/>
    <w:rsid w:val="51B15B29"/>
    <w:rsid w:val="51B318A1"/>
    <w:rsid w:val="51B7396D"/>
    <w:rsid w:val="51BD44CE"/>
    <w:rsid w:val="51C21AE4"/>
    <w:rsid w:val="51C55131"/>
    <w:rsid w:val="51C70EA9"/>
    <w:rsid w:val="51D04201"/>
    <w:rsid w:val="51D57A6A"/>
    <w:rsid w:val="51E63A25"/>
    <w:rsid w:val="51F53C68"/>
    <w:rsid w:val="51FE0D6E"/>
    <w:rsid w:val="52053204"/>
    <w:rsid w:val="520774F7"/>
    <w:rsid w:val="5208399B"/>
    <w:rsid w:val="52097713"/>
    <w:rsid w:val="520B5935"/>
    <w:rsid w:val="520E6201"/>
    <w:rsid w:val="521265C8"/>
    <w:rsid w:val="5217598C"/>
    <w:rsid w:val="521A1920"/>
    <w:rsid w:val="521A36CE"/>
    <w:rsid w:val="521A722A"/>
    <w:rsid w:val="522602C5"/>
    <w:rsid w:val="52263E21"/>
    <w:rsid w:val="522B768A"/>
    <w:rsid w:val="522E4CC3"/>
    <w:rsid w:val="523302EC"/>
    <w:rsid w:val="52344790"/>
    <w:rsid w:val="52391DA6"/>
    <w:rsid w:val="523D116B"/>
    <w:rsid w:val="52412A09"/>
    <w:rsid w:val="5244713B"/>
    <w:rsid w:val="52466271"/>
    <w:rsid w:val="52495D62"/>
    <w:rsid w:val="5253098E"/>
    <w:rsid w:val="5253273C"/>
    <w:rsid w:val="525A052F"/>
    <w:rsid w:val="525C7843"/>
    <w:rsid w:val="52615633"/>
    <w:rsid w:val="526A6404"/>
    <w:rsid w:val="527B23BF"/>
    <w:rsid w:val="528B0128"/>
    <w:rsid w:val="528B637A"/>
    <w:rsid w:val="52977FD4"/>
    <w:rsid w:val="52A25790"/>
    <w:rsid w:val="52A35472"/>
    <w:rsid w:val="52A96B6F"/>
    <w:rsid w:val="52B45975"/>
    <w:rsid w:val="52B4767F"/>
    <w:rsid w:val="52B753C1"/>
    <w:rsid w:val="52B92EE7"/>
    <w:rsid w:val="52BE22AC"/>
    <w:rsid w:val="52C13A04"/>
    <w:rsid w:val="52C61160"/>
    <w:rsid w:val="52CA50F4"/>
    <w:rsid w:val="52D01FDF"/>
    <w:rsid w:val="52D04EBA"/>
    <w:rsid w:val="52D40D42"/>
    <w:rsid w:val="52D94AA4"/>
    <w:rsid w:val="52E00474"/>
    <w:rsid w:val="52EA3A62"/>
    <w:rsid w:val="52F263F9"/>
    <w:rsid w:val="52F50BB8"/>
    <w:rsid w:val="52FB52AE"/>
    <w:rsid w:val="53061FB1"/>
    <w:rsid w:val="53097272"/>
    <w:rsid w:val="530F2B07"/>
    <w:rsid w:val="53163E96"/>
    <w:rsid w:val="531E2D4A"/>
    <w:rsid w:val="53281E1B"/>
    <w:rsid w:val="532A16EF"/>
    <w:rsid w:val="532C35FB"/>
    <w:rsid w:val="533407C0"/>
    <w:rsid w:val="5334431C"/>
    <w:rsid w:val="53364538"/>
    <w:rsid w:val="533B7DA0"/>
    <w:rsid w:val="534704F3"/>
    <w:rsid w:val="53544462"/>
    <w:rsid w:val="5358625C"/>
    <w:rsid w:val="535C0F98"/>
    <w:rsid w:val="536F17F8"/>
    <w:rsid w:val="536F35A6"/>
    <w:rsid w:val="536F5F7E"/>
    <w:rsid w:val="53715570"/>
    <w:rsid w:val="53746E0E"/>
    <w:rsid w:val="53764934"/>
    <w:rsid w:val="537E1A3B"/>
    <w:rsid w:val="538232D9"/>
    <w:rsid w:val="538C05FC"/>
    <w:rsid w:val="53946809"/>
    <w:rsid w:val="5397158E"/>
    <w:rsid w:val="539D0113"/>
    <w:rsid w:val="539D45B7"/>
    <w:rsid w:val="53A07C03"/>
    <w:rsid w:val="53AC47FA"/>
    <w:rsid w:val="53AC65A8"/>
    <w:rsid w:val="53AD703B"/>
    <w:rsid w:val="53B316E5"/>
    <w:rsid w:val="53B37937"/>
    <w:rsid w:val="53B4545D"/>
    <w:rsid w:val="53B536AF"/>
    <w:rsid w:val="53B8319F"/>
    <w:rsid w:val="53BD07B5"/>
    <w:rsid w:val="53BF62DB"/>
    <w:rsid w:val="53C9715A"/>
    <w:rsid w:val="53D0673A"/>
    <w:rsid w:val="53D53D51"/>
    <w:rsid w:val="53D55AFF"/>
    <w:rsid w:val="53D8114B"/>
    <w:rsid w:val="53D855EF"/>
    <w:rsid w:val="53E43F94"/>
    <w:rsid w:val="53E47AF0"/>
    <w:rsid w:val="53EB70D0"/>
    <w:rsid w:val="53EE096F"/>
    <w:rsid w:val="53FD5056"/>
    <w:rsid w:val="54013861"/>
    <w:rsid w:val="54014B46"/>
    <w:rsid w:val="5402441A"/>
    <w:rsid w:val="54085ED4"/>
    <w:rsid w:val="540D674C"/>
    <w:rsid w:val="54104D89"/>
    <w:rsid w:val="54134879"/>
    <w:rsid w:val="54176117"/>
    <w:rsid w:val="541A79B6"/>
    <w:rsid w:val="541D74A6"/>
    <w:rsid w:val="542B1BC3"/>
    <w:rsid w:val="542B3971"/>
    <w:rsid w:val="542D593B"/>
    <w:rsid w:val="54336CC9"/>
    <w:rsid w:val="54396C30"/>
    <w:rsid w:val="543A3BB4"/>
    <w:rsid w:val="543D36A4"/>
    <w:rsid w:val="543E202D"/>
    <w:rsid w:val="543F566E"/>
    <w:rsid w:val="54487265"/>
    <w:rsid w:val="544D6070"/>
    <w:rsid w:val="545509EE"/>
    <w:rsid w:val="54551654"/>
    <w:rsid w:val="54554E92"/>
    <w:rsid w:val="54576514"/>
    <w:rsid w:val="545A24A8"/>
    <w:rsid w:val="54605E1E"/>
    <w:rsid w:val="54684D4C"/>
    <w:rsid w:val="546B6463"/>
    <w:rsid w:val="54752E3E"/>
    <w:rsid w:val="547A48F8"/>
    <w:rsid w:val="54890697"/>
    <w:rsid w:val="548B2661"/>
    <w:rsid w:val="548E5CAE"/>
    <w:rsid w:val="54931516"/>
    <w:rsid w:val="549A0AF6"/>
    <w:rsid w:val="549B6C4C"/>
    <w:rsid w:val="549E05E7"/>
    <w:rsid w:val="549E2395"/>
    <w:rsid w:val="54A0435F"/>
    <w:rsid w:val="54A11E85"/>
    <w:rsid w:val="54A454D1"/>
    <w:rsid w:val="54AD25D8"/>
    <w:rsid w:val="54B25E40"/>
    <w:rsid w:val="54B27BEE"/>
    <w:rsid w:val="54B3506A"/>
    <w:rsid w:val="54B43966"/>
    <w:rsid w:val="54B75204"/>
    <w:rsid w:val="54B971CF"/>
    <w:rsid w:val="54BB3A03"/>
    <w:rsid w:val="54BE47E5"/>
    <w:rsid w:val="54BF40B9"/>
    <w:rsid w:val="54C0055D"/>
    <w:rsid w:val="54C53DC5"/>
    <w:rsid w:val="54CA0D16"/>
    <w:rsid w:val="54CD4A28"/>
    <w:rsid w:val="54CD6388"/>
    <w:rsid w:val="54D1276A"/>
    <w:rsid w:val="54D758A7"/>
    <w:rsid w:val="54DB5397"/>
    <w:rsid w:val="54DD4057"/>
    <w:rsid w:val="54E7490F"/>
    <w:rsid w:val="54EA7388"/>
    <w:rsid w:val="54EB4EAE"/>
    <w:rsid w:val="54EC75A4"/>
    <w:rsid w:val="54EE06AE"/>
    <w:rsid w:val="54F16968"/>
    <w:rsid w:val="54F93A6F"/>
    <w:rsid w:val="55012924"/>
    <w:rsid w:val="55061CE8"/>
    <w:rsid w:val="550764A4"/>
    <w:rsid w:val="550B2BF6"/>
    <w:rsid w:val="550D12C8"/>
    <w:rsid w:val="551E7668"/>
    <w:rsid w:val="55214EB5"/>
    <w:rsid w:val="552705DC"/>
    <w:rsid w:val="55287EB0"/>
    <w:rsid w:val="552D3875"/>
    <w:rsid w:val="55346855"/>
    <w:rsid w:val="5536081F"/>
    <w:rsid w:val="553625CD"/>
    <w:rsid w:val="55364EFD"/>
    <w:rsid w:val="55393E6B"/>
    <w:rsid w:val="554271C4"/>
    <w:rsid w:val="55432F3C"/>
    <w:rsid w:val="554A42CB"/>
    <w:rsid w:val="554C1DF1"/>
    <w:rsid w:val="554C3B9F"/>
    <w:rsid w:val="555060C5"/>
    <w:rsid w:val="555D4828"/>
    <w:rsid w:val="555E1B24"/>
    <w:rsid w:val="55603AEE"/>
    <w:rsid w:val="557430F6"/>
    <w:rsid w:val="55770087"/>
    <w:rsid w:val="55782BE6"/>
    <w:rsid w:val="557A4C8B"/>
    <w:rsid w:val="558931E1"/>
    <w:rsid w:val="558A2919"/>
    <w:rsid w:val="558F1CDD"/>
    <w:rsid w:val="558F36ED"/>
    <w:rsid w:val="55923347"/>
    <w:rsid w:val="55925180"/>
    <w:rsid w:val="55983B1B"/>
    <w:rsid w:val="559A7000"/>
    <w:rsid w:val="559B4B26"/>
    <w:rsid w:val="559E63C4"/>
    <w:rsid w:val="55A51501"/>
    <w:rsid w:val="55A8376B"/>
    <w:rsid w:val="55AF4167"/>
    <w:rsid w:val="55B55BE8"/>
    <w:rsid w:val="55B61960"/>
    <w:rsid w:val="55B87486"/>
    <w:rsid w:val="55BF6A67"/>
    <w:rsid w:val="55C91693"/>
    <w:rsid w:val="55DC29B6"/>
    <w:rsid w:val="55DD4241"/>
    <w:rsid w:val="55E42029"/>
    <w:rsid w:val="55E97640"/>
    <w:rsid w:val="55EC35D4"/>
    <w:rsid w:val="55F06C20"/>
    <w:rsid w:val="55F40616"/>
    <w:rsid w:val="560E354A"/>
    <w:rsid w:val="56101070"/>
    <w:rsid w:val="561548D9"/>
    <w:rsid w:val="56223C82"/>
    <w:rsid w:val="5624780D"/>
    <w:rsid w:val="56261B79"/>
    <w:rsid w:val="56292132"/>
    <w:rsid w:val="5630526E"/>
    <w:rsid w:val="56312D95"/>
    <w:rsid w:val="56321D83"/>
    <w:rsid w:val="56333318"/>
    <w:rsid w:val="56352885"/>
    <w:rsid w:val="563805C7"/>
    <w:rsid w:val="563C00B7"/>
    <w:rsid w:val="56446F6C"/>
    <w:rsid w:val="564E3947"/>
    <w:rsid w:val="56530F5D"/>
    <w:rsid w:val="56535401"/>
    <w:rsid w:val="56554CD5"/>
    <w:rsid w:val="565D3B8A"/>
    <w:rsid w:val="565F3DA6"/>
    <w:rsid w:val="56670CF5"/>
    <w:rsid w:val="566B274A"/>
    <w:rsid w:val="566B6D1E"/>
    <w:rsid w:val="567E6711"/>
    <w:rsid w:val="5684380C"/>
    <w:rsid w:val="5695489C"/>
    <w:rsid w:val="56995ED8"/>
    <w:rsid w:val="569E585C"/>
    <w:rsid w:val="569E667C"/>
    <w:rsid w:val="56A63783"/>
    <w:rsid w:val="56AB2F3F"/>
    <w:rsid w:val="56B252F6"/>
    <w:rsid w:val="56B539C6"/>
    <w:rsid w:val="56C854A7"/>
    <w:rsid w:val="56CB4F97"/>
    <w:rsid w:val="56D54068"/>
    <w:rsid w:val="56DD6C8E"/>
    <w:rsid w:val="56E12A0D"/>
    <w:rsid w:val="56E46059"/>
    <w:rsid w:val="56E803BD"/>
    <w:rsid w:val="56F444EE"/>
    <w:rsid w:val="56F75D8C"/>
    <w:rsid w:val="56F94885"/>
    <w:rsid w:val="56FB1D20"/>
    <w:rsid w:val="56FE35BF"/>
    <w:rsid w:val="57032A2C"/>
    <w:rsid w:val="570566FB"/>
    <w:rsid w:val="57064221"/>
    <w:rsid w:val="570F5219"/>
    <w:rsid w:val="5714693E"/>
    <w:rsid w:val="57172725"/>
    <w:rsid w:val="571B7CCD"/>
    <w:rsid w:val="571C57F3"/>
    <w:rsid w:val="572648C3"/>
    <w:rsid w:val="5737087F"/>
    <w:rsid w:val="574014E1"/>
    <w:rsid w:val="57454D4A"/>
    <w:rsid w:val="57476D14"/>
    <w:rsid w:val="574B60D8"/>
    <w:rsid w:val="574F5BC8"/>
    <w:rsid w:val="575D12B5"/>
    <w:rsid w:val="575D6537"/>
    <w:rsid w:val="57610A87"/>
    <w:rsid w:val="57622855"/>
    <w:rsid w:val="57631674"/>
    <w:rsid w:val="57650F48"/>
    <w:rsid w:val="576B22D6"/>
    <w:rsid w:val="577B1140"/>
    <w:rsid w:val="577B7F21"/>
    <w:rsid w:val="577F181B"/>
    <w:rsid w:val="57867388"/>
    <w:rsid w:val="578735B4"/>
    <w:rsid w:val="578D66F1"/>
    <w:rsid w:val="57921984"/>
    <w:rsid w:val="57923D07"/>
    <w:rsid w:val="57945CD1"/>
    <w:rsid w:val="579737F0"/>
    <w:rsid w:val="579D2DD8"/>
    <w:rsid w:val="57A001D2"/>
    <w:rsid w:val="57A777B2"/>
    <w:rsid w:val="57AB7B30"/>
    <w:rsid w:val="57AD28EF"/>
    <w:rsid w:val="57AF5251"/>
    <w:rsid w:val="57AF6667"/>
    <w:rsid w:val="57B123DF"/>
    <w:rsid w:val="57B26373"/>
    <w:rsid w:val="57B32A0E"/>
    <w:rsid w:val="57B63F04"/>
    <w:rsid w:val="57B7551B"/>
    <w:rsid w:val="57BA2943"/>
    <w:rsid w:val="57BD0D84"/>
    <w:rsid w:val="57C7A969"/>
    <w:rsid w:val="57CD20C2"/>
    <w:rsid w:val="57CD4D3F"/>
    <w:rsid w:val="57D165DD"/>
    <w:rsid w:val="57D52571"/>
    <w:rsid w:val="57D675AB"/>
    <w:rsid w:val="57D83E10"/>
    <w:rsid w:val="57D95FDD"/>
    <w:rsid w:val="57DF519E"/>
    <w:rsid w:val="57E00F16"/>
    <w:rsid w:val="57E02CC4"/>
    <w:rsid w:val="57EE3633"/>
    <w:rsid w:val="57F0234F"/>
    <w:rsid w:val="57F329F7"/>
    <w:rsid w:val="57F4051E"/>
    <w:rsid w:val="57F64296"/>
    <w:rsid w:val="57F95B34"/>
    <w:rsid w:val="58022C3B"/>
    <w:rsid w:val="580249E9"/>
    <w:rsid w:val="58070251"/>
    <w:rsid w:val="58095D77"/>
    <w:rsid w:val="580E5A83"/>
    <w:rsid w:val="580F7106"/>
    <w:rsid w:val="58112E7E"/>
    <w:rsid w:val="581D7A74"/>
    <w:rsid w:val="581F559B"/>
    <w:rsid w:val="58207565"/>
    <w:rsid w:val="582232DD"/>
    <w:rsid w:val="582B2191"/>
    <w:rsid w:val="582C7CB7"/>
    <w:rsid w:val="58333CC5"/>
    <w:rsid w:val="583600E9"/>
    <w:rsid w:val="58366D88"/>
    <w:rsid w:val="58382B00"/>
    <w:rsid w:val="58403763"/>
    <w:rsid w:val="584D65AC"/>
    <w:rsid w:val="58507E4A"/>
    <w:rsid w:val="585F1E3B"/>
    <w:rsid w:val="5866766D"/>
    <w:rsid w:val="58690F0C"/>
    <w:rsid w:val="586E207E"/>
    <w:rsid w:val="58801DB1"/>
    <w:rsid w:val="58876800"/>
    <w:rsid w:val="588D2799"/>
    <w:rsid w:val="58917D2F"/>
    <w:rsid w:val="58931AE5"/>
    <w:rsid w:val="5894085C"/>
    <w:rsid w:val="589C6BEB"/>
    <w:rsid w:val="589F66DB"/>
    <w:rsid w:val="58A106A5"/>
    <w:rsid w:val="58A27F7A"/>
    <w:rsid w:val="58AB6E2E"/>
    <w:rsid w:val="58AE2DC2"/>
    <w:rsid w:val="58AE4F0C"/>
    <w:rsid w:val="58B24A28"/>
    <w:rsid w:val="58B71C77"/>
    <w:rsid w:val="58B85899"/>
    <w:rsid w:val="58BF28DA"/>
    <w:rsid w:val="58BF5B9C"/>
    <w:rsid w:val="58C319FE"/>
    <w:rsid w:val="58C61EBA"/>
    <w:rsid w:val="58CB5722"/>
    <w:rsid w:val="58CF092A"/>
    <w:rsid w:val="58DC4708"/>
    <w:rsid w:val="58DC7930"/>
    <w:rsid w:val="58E363A9"/>
    <w:rsid w:val="58E6255C"/>
    <w:rsid w:val="58E80082"/>
    <w:rsid w:val="58E81E30"/>
    <w:rsid w:val="58ED46D8"/>
    <w:rsid w:val="58F00CE5"/>
    <w:rsid w:val="58F46A27"/>
    <w:rsid w:val="58FC58DC"/>
    <w:rsid w:val="5900361E"/>
    <w:rsid w:val="59044790"/>
    <w:rsid w:val="590F1AB3"/>
    <w:rsid w:val="591075D9"/>
    <w:rsid w:val="59152A6E"/>
    <w:rsid w:val="59170968"/>
    <w:rsid w:val="591A2206"/>
    <w:rsid w:val="591C1ADA"/>
    <w:rsid w:val="591C7D2C"/>
    <w:rsid w:val="59215342"/>
    <w:rsid w:val="592D3CE7"/>
    <w:rsid w:val="593037D7"/>
    <w:rsid w:val="593212FE"/>
    <w:rsid w:val="593432C8"/>
    <w:rsid w:val="59350DEE"/>
    <w:rsid w:val="5936458D"/>
    <w:rsid w:val="5939268C"/>
    <w:rsid w:val="593A6404"/>
    <w:rsid w:val="593C3F2A"/>
    <w:rsid w:val="593D188F"/>
    <w:rsid w:val="59413C36"/>
    <w:rsid w:val="5943175D"/>
    <w:rsid w:val="595079D6"/>
    <w:rsid w:val="59592D2E"/>
    <w:rsid w:val="595E0345"/>
    <w:rsid w:val="595E1678"/>
    <w:rsid w:val="596A6CE9"/>
    <w:rsid w:val="596D5BD4"/>
    <w:rsid w:val="59723DF0"/>
    <w:rsid w:val="59747B68"/>
    <w:rsid w:val="597E3DD8"/>
    <w:rsid w:val="598002BB"/>
    <w:rsid w:val="5980516A"/>
    <w:rsid w:val="59875AED"/>
    <w:rsid w:val="598853C1"/>
    <w:rsid w:val="598C3104"/>
    <w:rsid w:val="5991071A"/>
    <w:rsid w:val="59945B14"/>
    <w:rsid w:val="599678C9"/>
    <w:rsid w:val="5999312B"/>
    <w:rsid w:val="599C0E6D"/>
    <w:rsid w:val="59A321FB"/>
    <w:rsid w:val="59A815C0"/>
    <w:rsid w:val="59B12B6A"/>
    <w:rsid w:val="59B241EC"/>
    <w:rsid w:val="59BA41A7"/>
    <w:rsid w:val="59BB1895"/>
    <w:rsid w:val="59BF6BFF"/>
    <w:rsid w:val="59CA59DA"/>
    <w:rsid w:val="59DE4FE1"/>
    <w:rsid w:val="59DF76D7"/>
    <w:rsid w:val="59E051FD"/>
    <w:rsid w:val="59E06FAB"/>
    <w:rsid w:val="59E20F76"/>
    <w:rsid w:val="59E24AD2"/>
    <w:rsid w:val="59E87171"/>
    <w:rsid w:val="59E940B2"/>
    <w:rsid w:val="59EA5DA3"/>
    <w:rsid w:val="59EC5950"/>
    <w:rsid w:val="59EC76FE"/>
    <w:rsid w:val="59F1740B"/>
    <w:rsid w:val="59F46E55"/>
    <w:rsid w:val="59F80043"/>
    <w:rsid w:val="59FA62BF"/>
    <w:rsid w:val="59FB5B93"/>
    <w:rsid w:val="59FC1447"/>
    <w:rsid w:val="59FD7B5D"/>
    <w:rsid w:val="5A04694A"/>
    <w:rsid w:val="5A056A12"/>
    <w:rsid w:val="5A09252F"/>
    <w:rsid w:val="5A0A4028"/>
    <w:rsid w:val="5A0A5DD6"/>
    <w:rsid w:val="5A0B2778"/>
    <w:rsid w:val="5A0C1B4F"/>
    <w:rsid w:val="5A113609"/>
    <w:rsid w:val="5A13112F"/>
    <w:rsid w:val="5A1F4B06"/>
    <w:rsid w:val="5A1F7AD4"/>
    <w:rsid w:val="5A2275C4"/>
    <w:rsid w:val="5A250E62"/>
    <w:rsid w:val="5A255C83"/>
    <w:rsid w:val="5A2A46CB"/>
    <w:rsid w:val="5A2A7C7B"/>
    <w:rsid w:val="5A2E5F69"/>
    <w:rsid w:val="5A2E7D17"/>
    <w:rsid w:val="5A307F33"/>
    <w:rsid w:val="5A355549"/>
    <w:rsid w:val="5A3612C1"/>
    <w:rsid w:val="5A380B96"/>
    <w:rsid w:val="5A382944"/>
    <w:rsid w:val="5A3E2560"/>
    <w:rsid w:val="5A47527D"/>
    <w:rsid w:val="5A490FF5"/>
    <w:rsid w:val="5A4F5EDF"/>
    <w:rsid w:val="5A517EA9"/>
    <w:rsid w:val="5A581238"/>
    <w:rsid w:val="5A5D3B6E"/>
    <w:rsid w:val="5A5F4374"/>
    <w:rsid w:val="5A6279C1"/>
    <w:rsid w:val="5A637A76"/>
    <w:rsid w:val="5A696FA1"/>
    <w:rsid w:val="5A6D33BA"/>
    <w:rsid w:val="5A7122F9"/>
    <w:rsid w:val="5A7140A7"/>
    <w:rsid w:val="5A736072"/>
    <w:rsid w:val="5A792B1F"/>
    <w:rsid w:val="5A7A2F5C"/>
    <w:rsid w:val="5A7B6CD4"/>
    <w:rsid w:val="5A84202D"/>
    <w:rsid w:val="5A871B1D"/>
    <w:rsid w:val="5A874767"/>
    <w:rsid w:val="5A981634"/>
    <w:rsid w:val="5A9A53AC"/>
    <w:rsid w:val="5AA004E9"/>
    <w:rsid w:val="5AA1498D"/>
    <w:rsid w:val="5AA63D51"/>
    <w:rsid w:val="5AA91A93"/>
    <w:rsid w:val="5AA955EF"/>
    <w:rsid w:val="5AAC50E0"/>
    <w:rsid w:val="5AAD1584"/>
    <w:rsid w:val="5AAD6F28"/>
    <w:rsid w:val="5AB53F94"/>
    <w:rsid w:val="5ABF3065"/>
    <w:rsid w:val="5AC16DDD"/>
    <w:rsid w:val="5ACC7530"/>
    <w:rsid w:val="5ACE14FA"/>
    <w:rsid w:val="5ACE5056"/>
    <w:rsid w:val="5AD63A24"/>
    <w:rsid w:val="5AD7215D"/>
    <w:rsid w:val="5ADA1C4D"/>
    <w:rsid w:val="5ADA39FB"/>
    <w:rsid w:val="5ADE1E7A"/>
    <w:rsid w:val="5ADF3707"/>
    <w:rsid w:val="5AF10470"/>
    <w:rsid w:val="5AF21780"/>
    <w:rsid w:val="5AFA409D"/>
    <w:rsid w:val="5AFB58C0"/>
    <w:rsid w:val="5AFD593B"/>
    <w:rsid w:val="5AFF16B3"/>
    <w:rsid w:val="5B084A0C"/>
    <w:rsid w:val="5B0A0784"/>
    <w:rsid w:val="5B123195"/>
    <w:rsid w:val="5B1D473C"/>
    <w:rsid w:val="5B24111A"/>
    <w:rsid w:val="5B280C0A"/>
    <w:rsid w:val="5B2E1A1D"/>
    <w:rsid w:val="5B3A26EB"/>
    <w:rsid w:val="5B3C46B5"/>
    <w:rsid w:val="5B433C96"/>
    <w:rsid w:val="5B435A44"/>
    <w:rsid w:val="5B4812AC"/>
    <w:rsid w:val="5B4A6DD2"/>
    <w:rsid w:val="5B4D241F"/>
    <w:rsid w:val="5B5437AD"/>
    <w:rsid w:val="5B5639C9"/>
    <w:rsid w:val="5B5C08B4"/>
    <w:rsid w:val="5B637E94"/>
    <w:rsid w:val="5B70435F"/>
    <w:rsid w:val="5B7E6A7C"/>
    <w:rsid w:val="5B81031A"/>
    <w:rsid w:val="5B843A1C"/>
    <w:rsid w:val="5B857E0A"/>
    <w:rsid w:val="5B873E3F"/>
    <w:rsid w:val="5B8D4F11"/>
    <w:rsid w:val="5B8D6CBF"/>
    <w:rsid w:val="5B953DC6"/>
    <w:rsid w:val="5BAC183B"/>
    <w:rsid w:val="5BBE71A1"/>
    <w:rsid w:val="5BC00E43"/>
    <w:rsid w:val="5BC14BBB"/>
    <w:rsid w:val="5BC326E1"/>
    <w:rsid w:val="5BD26DC8"/>
    <w:rsid w:val="5BD42B40"/>
    <w:rsid w:val="5BDC19F5"/>
    <w:rsid w:val="5BE2700B"/>
    <w:rsid w:val="5BE80399"/>
    <w:rsid w:val="5BED4606"/>
    <w:rsid w:val="5BF52B2A"/>
    <w:rsid w:val="5C02690E"/>
    <w:rsid w:val="5C0F1DCA"/>
    <w:rsid w:val="5C115B42"/>
    <w:rsid w:val="5C142F3C"/>
    <w:rsid w:val="5C163158"/>
    <w:rsid w:val="5C1631F6"/>
    <w:rsid w:val="5C190553"/>
    <w:rsid w:val="5C196DA7"/>
    <w:rsid w:val="5C1B1F35"/>
    <w:rsid w:val="5C1F202C"/>
    <w:rsid w:val="5C220805"/>
    <w:rsid w:val="5C2A048C"/>
    <w:rsid w:val="5C2F5FC8"/>
    <w:rsid w:val="5C333BAD"/>
    <w:rsid w:val="5C3655A9"/>
    <w:rsid w:val="5C3B496D"/>
    <w:rsid w:val="5C3D2493"/>
    <w:rsid w:val="5C531CB7"/>
    <w:rsid w:val="5C563555"/>
    <w:rsid w:val="5C583771"/>
    <w:rsid w:val="5C5B0B6B"/>
    <w:rsid w:val="5C602626"/>
    <w:rsid w:val="5C642116"/>
    <w:rsid w:val="5C643EC4"/>
    <w:rsid w:val="5C7659A5"/>
    <w:rsid w:val="5C7A36E7"/>
    <w:rsid w:val="5C80234E"/>
    <w:rsid w:val="5C8A680C"/>
    <w:rsid w:val="5C8C320C"/>
    <w:rsid w:val="5C8E7193"/>
    <w:rsid w:val="5C9E3D89"/>
    <w:rsid w:val="5C9F4EFC"/>
    <w:rsid w:val="5CA2297D"/>
    <w:rsid w:val="5CA93FCD"/>
    <w:rsid w:val="5CAC13C7"/>
    <w:rsid w:val="5CBA3AE4"/>
    <w:rsid w:val="5CBD2518"/>
    <w:rsid w:val="5CC130C4"/>
    <w:rsid w:val="5CCD7CBB"/>
    <w:rsid w:val="5CD01559"/>
    <w:rsid w:val="5CD252D1"/>
    <w:rsid w:val="5CD54DC2"/>
    <w:rsid w:val="5CD8040E"/>
    <w:rsid w:val="5CDC004C"/>
    <w:rsid w:val="5CEB1EEF"/>
    <w:rsid w:val="5CEC3A93"/>
    <w:rsid w:val="5CEC5C67"/>
    <w:rsid w:val="5CED210B"/>
    <w:rsid w:val="5CEE378D"/>
    <w:rsid w:val="5CF214D0"/>
    <w:rsid w:val="5CF3349A"/>
    <w:rsid w:val="5CF61401"/>
    <w:rsid w:val="5CF8285E"/>
    <w:rsid w:val="5CFD1C22"/>
    <w:rsid w:val="5D0C4701"/>
    <w:rsid w:val="5D0D455B"/>
    <w:rsid w:val="5D0E2082"/>
    <w:rsid w:val="5D0F0395"/>
    <w:rsid w:val="5D107BA8"/>
    <w:rsid w:val="5D1458EA"/>
    <w:rsid w:val="5D153410"/>
    <w:rsid w:val="5D1A4582"/>
    <w:rsid w:val="5D221076"/>
    <w:rsid w:val="5D243653"/>
    <w:rsid w:val="5D284EF1"/>
    <w:rsid w:val="5D2B49E2"/>
    <w:rsid w:val="5D2B6790"/>
    <w:rsid w:val="5D361DC4"/>
    <w:rsid w:val="5D3970FE"/>
    <w:rsid w:val="5D397964"/>
    <w:rsid w:val="5D3D1EAB"/>
    <w:rsid w:val="5D3D64C3"/>
    <w:rsid w:val="5D4E06D0"/>
    <w:rsid w:val="5D524382"/>
    <w:rsid w:val="5D5850AB"/>
    <w:rsid w:val="5D5A391C"/>
    <w:rsid w:val="5D5E4DB7"/>
    <w:rsid w:val="5D5F10C0"/>
    <w:rsid w:val="5D6677C8"/>
    <w:rsid w:val="5D681792"/>
    <w:rsid w:val="5D6B3030"/>
    <w:rsid w:val="5D70362F"/>
    <w:rsid w:val="5D7161CA"/>
    <w:rsid w:val="5D746389"/>
    <w:rsid w:val="5D755C5D"/>
    <w:rsid w:val="5D7C348F"/>
    <w:rsid w:val="5D8440F2"/>
    <w:rsid w:val="5D861C18"/>
    <w:rsid w:val="5D885990"/>
    <w:rsid w:val="5D891B7B"/>
    <w:rsid w:val="5D8A5BAC"/>
    <w:rsid w:val="5D8D744A"/>
    <w:rsid w:val="5D8F31C2"/>
    <w:rsid w:val="5D964551"/>
    <w:rsid w:val="5D9A56C3"/>
    <w:rsid w:val="5D9C143B"/>
    <w:rsid w:val="5D9E3405"/>
    <w:rsid w:val="5D9E6F62"/>
    <w:rsid w:val="5DA0717E"/>
    <w:rsid w:val="5DA14CA4"/>
    <w:rsid w:val="5DA60F54"/>
    <w:rsid w:val="5DAD38EE"/>
    <w:rsid w:val="5DB06C95"/>
    <w:rsid w:val="5DB9023F"/>
    <w:rsid w:val="5DBF512A"/>
    <w:rsid w:val="5DC664B8"/>
    <w:rsid w:val="5DC7295C"/>
    <w:rsid w:val="5DCB1D21"/>
    <w:rsid w:val="5DCC7F73"/>
    <w:rsid w:val="5DCD5A99"/>
    <w:rsid w:val="5DD07337"/>
    <w:rsid w:val="5DD46E27"/>
    <w:rsid w:val="5DD60DF1"/>
    <w:rsid w:val="5DE23008"/>
    <w:rsid w:val="5DE51034"/>
    <w:rsid w:val="5DE74DAC"/>
    <w:rsid w:val="5DEF3C61"/>
    <w:rsid w:val="5DF03535"/>
    <w:rsid w:val="5DF70D68"/>
    <w:rsid w:val="5E006862"/>
    <w:rsid w:val="5E0207B9"/>
    <w:rsid w:val="5E021BE6"/>
    <w:rsid w:val="5E0771FD"/>
    <w:rsid w:val="5E0F7E5F"/>
    <w:rsid w:val="5E145476"/>
    <w:rsid w:val="5E1834A1"/>
    <w:rsid w:val="5E1B2CA8"/>
    <w:rsid w:val="5E1C432A"/>
    <w:rsid w:val="5E1E00A2"/>
    <w:rsid w:val="5E231B5D"/>
    <w:rsid w:val="5E257683"/>
    <w:rsid w:val="5E261785"/>
    <w:rsid w:val="5E2C0A11"/>
    <w:rsid w:val="5E2E29DB"/>
    <w:rsid w:val="5E3873B6"/>
    <w:rsid w:val="5E3B0C54"/>
    <w:rsid w:val="5E4A0E97"/>
    <w:rsid w:val="5E4A7017"/>
    <w:rsid w:val="5E4D2736"/>
    <w:rsid w:val="5E541D16"/>
    <w:rsid w:val="5E552BBA"/>
    <w:rsid w:val="5E5E2B95"/>
    <w:rsid w:val="5E611C10"/>
    <w:rsid w:val="5E6C52B2"/>
    <w:rsid w:val="5E710B1A"/>
    <w:rsid w:val="5E760849"/>
    <w:rsid w:val="5E7E6D93"/>
    <w:rsid w:val="5E8425FB"/>
    <w:rsid w:val="5E8C7702"/>
    <w:rsid w:val="5E8E5228"/>
    <w:rsid w:val="5E912F6A"/>
    <w:rsid w:val="5E916AC6"/>
    <w:rsid w:val="5E9860A7"/>
    <w:rsid w:val="5E987E55"/>
    <w:rsid w:val="5E9C5E97"/>
    <w:rsid w:val="5EA42C9D"/>
    <w:rsid w:val="5EA93E10"/>
    <w:rsid w:val="5EB033F0"/>
    <w:rsid w:val="5EBB1D95"/>
    <w:rsid w:val="5EBD3D5F"/>
    <w:rsid w:val="5ECC7AFE"/>
    <w:rsid w:val="5ECD49E5"/>
    <w:rsid w:val="5ECE1AC8"/>
    <w:rsid w:val="5ECE7D1A"/>
    <w:rsid w:val="5ED54C05"/>
    <w:rsid w:val="5ED82947"/>
    <w:rsid w:val="5EDB5F93"/>
    <w:rsid w:val="5EDF3CD6"/>
    <w:rsid w:val="5EE412EC"/>
    <w:rsid w:val="5EE4309A"/>
    <w:rsid w:val="5EEB267A"/>
    <w:rsid w:val="5EEE216B"/>
    <w:rsid w:val="5EEE3F19"/>
    <w:rsid w:val="5EF05EE3"/>
    <w:rsid w:val="5EF534F9"/>
    <w:rsid w:val="5EFC7377"/>
    <w:rsid w:val="5EFF7ED4"/>
    <w:rsid w:val="5F025C16"/>
    <w:rsid w:val="5F06174D"/>
    <w:rsid w:val="5F125E59"/>
    <w:rsid w:val="5F155949"/>
    <w:rsid w:val="5F1C2834"/>
    <w:rsid w:val="5F1F0C94"/>
    <w:rsid w:val="5F221E14"/>
    <w:rsid w:val="5F257BD5"/>
    <w:rsid w:val="5F313E05"/>
    <w:rsid w:val="5F322057"/>
    <w:rsid w:val="5F3A3602"/>
    <w:rsid w:val="5F3C2ED6"/>
    <w:rsid w:val="5F3F29C6"/>
    <w:rsid w:val="5F3F5EF4"/>
    <w:rsid w:val="5F4104EC"/>
    <w:rsid w:val="5F4678B1"/>
    <w:rsid w:val="5F49114F"/>
    <w:rsid w:val="5F4F0E5B"/>
    <w:rsid w:val="5F5226F9"/>
    <w:rsid w:val="5F557AF4"/>
    <w:rsid w:val="5F593A88"/>
    <w:rsid w:val="5F5C5326"/>
    <w:rsid w:val="5F610B8F"/>
    <w:rsid w:val="5F6277C6"/>
    <w:rsid w:val="5F630463"/>
    <w:rsid w:val="5F667F53"/>
    <w:rsid w:val="5F677827"/>
    <w:rsid w:val="5F6D0B1D"/>
    <w:rsid w:val="5F700DD2"/>
    <w:rsid w:val="5F7268F8"/>
    <w:rsid w:val="5F73441E"/>
    <w:rsid w:val="5F751F44"/>
    <w:rsid w:val="5F8108E9"/>
    <w:rsid w:val="5F851089"/>
    <w:rsid w:val="5F893C41"/>
    <w:rsid w:val="5F8B79B9"/>
    <w:rsid w:val="5F8D0B82"/>
    <w:rsid w:val="5F950838"/>
    <w:rsid w:val="5F9F5213"/>
    <w:rsid w:val="5FAD7930"/>
    <w:rsid w:val="5FB92779"/>
    <w:rsid w:val="5FBA3DFB"/>
    <w:rsid w:val="5FBF1411"/>
    <w:rsid w:val="5FBF3369"/>
    <w:rsid w:val="5FC353A5"/>
    <w:rsid w:val="5FCA04E2"/>
    <w:rsid w:val="5FCC5339"/>
    <w:rsid w:val="5FD0361E"/>
    <w:rsid w:val="5FD4310E"/>
    <w:rsid w:val="5FD70E51"/>
    <w:rsid w:val="5FD924D3"/>
    <w:rsid w:val="5FDC7A97"/>
    <w:rsid w:val="5FDF3861"/>
    <w:rsid w:val="5FE01AB3"/>
    <w:rsid w:val="5FE34A5B"/>
    <w:rsid w:val="5FEC05A4"/>
    <w:rsid w:val="5FEC4B7C"/>
    <w:rsid w:val="5FEF7F48"/>
    <w:rsid w:val="5FF11845"/>
    <w:rsid w:val="5FF4555F"/>
    <w:rsid w:val="5FFD5643"/>
    <w:rsid w:val="5FFE1E36"/>
    <w:rsid w:val="5FFF5CB2"/>
    <w:rsid w:val="6005151A"/>
    <w:rsid w:val="60067040"/>
    <w:rsid w:val="600D4872"/>
    <w:rsid w:val="60116111"/>
    <w:rsid w:val="60123C37"/>
    <w:rsid w:val="60220673"/>
    <w:rsid w:val="60232584"/>
    <w:rsid w:val="60297C51"/>
    <w:rsid w:val="602F6597"/>
    <w:rsid w:val="603718EF"/>
    <w:rsid w:val="60395667"/>
    <w:rsid w:val="603E67DA"/>
    <w:rsid w:val="60402552"/>
    <w:rsid w:val="6045400C"/>
    <w:rsid w:val="60483AFC"/>
    <w:rsid w:val="604A33D1"/>
    <w:rsid w:val="604C0EF7"/>
    <w:rsid w:val="604D2EC1"/>
    <w:rsid w:val="604F4E8B"/>
    <w:rsid w:val="60563B24"/>
    <w:rsid w:val="605E6E7C"/>
    <w:rsid w:val="606745F8"/>
    <w:rsid w:val="607246D5"/>
    <w:rsid w:val="607330CE"/>
    <w:rsid w:val="607641C6"/>
    <w:rsid w:val="607C127E"/>
    <w:rsid w:val="60825176"/>
    <w:rsid w:val="60844B35"/>
    <w:rsid w:val="608763D3"/>
    <w:rsid w:val="6089214B"/>
    <w:rsid w:val="60911000"/>
    <w:rsid w:val="60912DAE"/>
    <w:rsid w:val="60997EB4"/>
    <w:rsid w:val="609B00D0"/>
    <w:rsid w:val="609F2AC4"/>
    <w:rsid w:val="60A01243"/>
    <w:rsid w:val="60A24FBB"/>
    <w:rsid w:val="60A26D69"/>
    <w:rsid w:val="60A52CFD"/>
    <w:rsid w:val="60A70823"/>
    <w:rsid w:val="60A9459B"/>
    <w:rsid w:val="60AC5E39"/>
    <w:rsid w:val="60B30F76"/>
    <w:rsid w:val="60BB42CE"/>
    <w:rsid w:val="60C05441"/>
    <w:rsid w:val="60C43183"/>
    <w:rsid w:val="60C82547"/>
    <w:rsid w:val="60CF38D6"/>
    <w:rsid w:val="60D13AF2"/>
    <w:rsid w:val="60D61108"/>
    <w:rsid w:val="60D96503"/>
    <w:rsid w:val="60DB227B"/>
    <w:rsid w:val="60E03D35"/>
    <w:rsid w:val="60E23609"/>
    <w:rsid w:val="60E94998"/>
    <w:rsid w:val="60EA0710"/>
    <w:rsid w:val="60EE1FAE"/>
    <w:rsid w:val="60F375C4"/>
    <w:rsid w:val="60F65306"/>
    <w:rsid w:val="60F670B5"/>
    <w:rsid w:val="60F90953"/>
    <w:rsid w:val="60FA2EE8"/>
    <w:rsid w:val="61007F33"/>
    <w:rsid w:val="61025A59"/>
    <w:rsid w:val="61054A27"/>
    <w:rsid w:val="61077514"/>
    <w:rsid w:val="61093C77"/>
    <w:rsid w:val="610A52BC"/>
    <w:rsid w:val="610B7004"/>
    <w:rsid w:val="61197766"/>
    <w:rsid w:val="611B6B1B"/>
    <w:rsid w:val="611D2366"/>
    <w:rsid w:val="61271964"/>
    <w:rsid w:val="612969D8"/>
    <w:rsid w:val="612E684E"/>
    <w:rsid w:val="61306A6A"/>
    <w:rsid w:val="61330309"/>
    <w:rsid w:val="613C71BD"/>
    <w:rsid w:val="61421856"/>
    <w:rsid w:val="61493688"/>
    <w:rsid w:val="614B11AE"/>
    <w:rsid w:val="614D13CA"/>
    <w:rsid w:val="615148D9"/>
    <w:rsid w:val="615227C4"/>
    <w:rsid w:val="61581B1D"/>
    <w:rsid w:val="61587D6F"/>
    <w:rsid w:val="615A3AE7"/>
    <w:rsid w:val="615D0EE2"/>
    <w:rsid w:val="615D7134"/>
    <w:rsid w:val="615F66CC"/>
    <w:rsid w:val="61616C24"/>
    <w:rsid w:val="61642270"/>
    <w:rsid w:val="61654E3F"/>
    <w:rsid w:val="61655B26"/>
    <w:rsid w:val="61693D2A"/>
    <w:rsid w:val="616E7593"/>
    <w:rsid w:val="6171498D"/>
    <w:rsid w:val="617F4683"/>
    <w:rsid w:val="617F70AA"/>
    <w:rsid w:val="61812E22"/>
    <w:rsid w:val="6182233B"/>
    <w:rsid w:val="6182292A"/>
    <w:rsid w:val="61834822"/>
    <w:rsid w:val="6189617B"/>
    <w:rsid w:val="618D5C6B"/>
    <w:rsid w:val="6198016C"/>
    <w:rsid w:val="619863BE"/>
    <w:rsid w:val="619A3EE4"/>
    <w:rsid w:val="619F7F92"/>
    <w:rsid w:val="61A25613"/>
    <w:rsid w:val="61A3723C"/>
    <w:rsid w:val="61AA2A3C"/>
    <w:rsid w:val="61AD00BB"/>
    <w:rsid w:val="61AD1E69"/>
    <w:rsid w:val="61B12F8D"/>
    <w:rsid w:val="61BD395C"/>
    <w:rsid w:val="61C60E62"/>
    <w:rsid w:val="61C80A51"/>
    <w:rsid w:val="61CD250B"/>
    <w:rsid w:val="61D54F1C"/>
    <w:rsid w:val="61D92C5E"/>
    <w:rsid w:val="61DB4C79"/>
    <w:rsid w:val="61DB7676"/>
    <w:rsid w:val="61E138C1"/>
    <w:rsid w:val="61ED04B8"/>
    <w:rsid w:val="61F21F72"/>
    <w:rsid w:val="61F37E6F"/>
    <w:rsid w:val="61F51B1A"/>
    <w:rsid w:val="61F94C26"/>
    <w:rsid w:val="61FC694D"/>
    <w:rsid w:val="61FE26C5"/>
    <w:rsid w:val="62000E56"/>
    <w:rsid w:val="620121B5"/>
    <w:rsid w:val="62031A89"/>
    <w:rsid w:val="62065A1D"/>
    <w:rsid w:val="620F48D2"/>
    <w:rsid w:val="621517BC"/>
    <w:rsid w:val="621912AD"/>
    <w:rsid w:val="621C2B4B"/>
    <w:rsid w:val="622A34BA"/>
    <w:rsid w:val="622C5484"/>
    <w:rsid w:val="622D6B06"/>
    <w:rsid w:val="622F7EFB"/>
    <w:rsid w:val="62426A55"/>
    <w:rsid w:val="624520A2"/>
    <w:rsid w:val="62456545"/>
    <w:rsid w:val="624E31A6"/>
    <w:rsid w:val="624F3E49"/>
    <w:rsid w:val="62586279"/>
    <w:rsid w:val="62620EA5"/>
    <w:rsid w:val="62632286"/>
    <w:rsid w:val="62683FE2"/>
    <w:rsid w:val="62685D90"/>
    <w:rsid w:val="626A7D5A"/>
    <w:rsid w:val="627209BD"/>
    <w:rsid w:val="627604AD"/>
    <w:rsid w:val="627961EF"/>
    <w:rsid w:val="627B3D15"/>
    <w:rsid w:val="62856942"/>
    <w:rsid w:val="62885958"/>
    <w:rsid w:val="62894684"/>
    <w:rsid w:val="628E1C9B"/>
    <w:rsid w:val="62960B4F"/>
    <w:rsid w:val="629848C7"/>
    <w:rsid w:val="629B43B7"/>
    <w:rsid w:val="629E17B2"/>
    <w:rsid w:val="62A0377C"/>
    <w:rsid w:val="62A41BB4"/>
    <w:rsid w:val="62A80882"/>
    <w:rsid w:val="62AB0917"/>
    <w:rsid w:val="62BD2580"/>
    <w:rsid w:val="62C0797A"/>
    <w:rsid w:val="62C236F2"/>
    <w:rsid w:val="62C456BC"/>
    <w:rsid w:val="62C84A81"/>
    <w:rsid w:val="62CA07F9"/>
    <w:rsid w:val="62D653F0"/>
    <w:rsid w:val="62D82F16"/>
    <w:rsid w:val="62DD22DA"/>
    <w:rsid w:val="62DD6A50"/>
    <w:rsid w:val="62E33669"/>
    <w:rsid w:val="62E55633"/>
    <w:rsid w:val="62E573E1"/>
    <w:rsid w:val="62EC69C1"/>
    <w:rsid w:val="62F30C76"/>
    <w:rsid w:val="62F40B65"/>
    <w:rsid w:val="62F85366"/>
    <w:rsid w:val="62FB30A8"/>
    <w:rsid w:val="62FB6C04"/>
    <w:rsid w:val="62FC2CFE"/>
    <w:rsid w:val="62FF4946"/>
    <w:rsid w:val="630127BE"/>
    <w:rsid w:val="63024505"/>
    <w:rsid w:val="63041F5D"/>
    <w:rsid w:val="630C0E11"/>
    <w:rsid w:val="631A52DC"/>
    <w:rsid w:val="631B1054"/>
    <w:rsid w:val="631F6D97"/>
    <w:rsid w:val="632048BD"/>
    <w:rsid w:val="6320666B"/>
    <w:rsid w:val="63216475"/>
    <w:rsid w:val="63253C81"/>
    <w:rsid w:val="632B573B"/>
    <w:rsid w:val="63343EC4"/>
    <w:rsid w:val="633A597E"/>
    <w:rsid w:val="633C21FE"/>
    <w:rsid w:val="63414F5F"/>
    <w:rsid w:val="63497970"/>
    <w:rsid w:val="634E31D8"/>
    <w:rsid w:val="634E4F86"/>
    <w:rsid w:val="63536A40"/>
    <w:rsid w:val="63585E05"/>
    <w:rsid w:val="635B1DB5"/>
    <w:rsid w:val="636B1FDC"/>
    <w:rsid w:val="636D5D54"/>
    <w:rsid w:val="63711FED"/>
    <w:rsid w:val="637846F9"/>
    <w:rsid w:val="637C1C1B"/>
    <w:rsid w:val="637D586B"/>
    <w:rsid w:val="63807109"/>
    <w:rsid w:val="63822E81"/>
    <w:rsid w:val="638259C1"/>
    <w:rsid w:val="63880DDC"/>
    <w:rsid w:val="638D750D"/>
    <w:rsid w:val="638F7068"/>
    <w:rsid w:val="63950E07"/>
    <w:rsid w:val="6397692D"/>
    <w:rsid w:val="639D7CBB"/>
    <w:rsid w:val="639F3A33"/>
    <w:rsid w:val="63A213FB"/>
    <w:rsid w:val="63AB687C"/>
    <w:rsid w:val="63AC6CC0"/>
    <w:rsid w:val="63B75221"/>
    <w:rsid w:val="63B868A3"/>
    <w:rsid w:val="63C30AC9"/>
    <w:rsid w:val="63C94F54"/>
    <w:rsid w:val="63CD05A1"/>
    <w:rsid w:val="63D95197"/>
    <w:rsid w:val="63DC07E4"/>
    <w:rsid w:val="63E4144F"/>
    <w:rsid w:val="63E61662"/>
    <w:rsid w:val="63E678B4"/>
    <w:rsid w:val="63E91153"/>
    <w:rsid w:val="63EE6769"/>
    <w:rsid w:val="63F7561D"/>
    <w:rsid w:val="63F975E8"/>
    <w:rsid w:val="63FC0E86"/>
    <w:rsid w:val="63FD4638"/>
    <w:rsid w:val="640334E7"/>
    <w:rsid w:val="64055776"/>
    <w:rsid w:val="64063AB3"/>
    <w:rsid w:val="64085A7D"/>
    <w:rsid w:val="640970FF"/>
    <w:rsid w:val="640A35A3"/>
    <w:rsid w:val="640E2967"/>
    <w:rsid w:val="64236413"/>
    <w:rsid w:val="64240056"/>
    <w:rsid w:val="64264155"/>
    <w:rsid w:val="642B176B"/>
    <w:rsid w:val="642E6B65"/>
    <w:rsid w:val="642E76C5"/>
    <w:rsid w:val="643423CE"/>
    <w:rsid w:val="64354398"/>
    <w:rsid w:val="64356146"/>
    <w:rsid w:val="643C74D4"/>
    <w:rsid w:val="643E143A"/>
    <w:rsid w:val="64416899"/>
    <w:rsid w:val="64446389"/>
    <w:rsid w:val="644545DB"/>
    <w:rsid w:val="64466BF9"/>
    <w:rsid w:val="644840CB"/>
    <w:rsid w:val="644D16E1"/>
    <w:rsid w:val="644F0FB6"/>
    <w:rsid w:val="64590086"/>
    <w:rsid w:val="6461518D"/>
    <w:rsid w:val="646A4041"/>
    <w:rsid w:val="64713622"/>
    <w:rsid w:val="64744EC0"/>
    <w:rsid w:val="6477675E"/>
    <w:rsid w:val="647924D6"/>
    <w:rsid w:val="64794284"/>
    <w:rsid w:val="647A067F"/>
    <w:rsid w:val="647A3F6A"/>
    <w:rsid w:val="64874BF3"/>
    <w:rsid w:val="648A0240"/>
    <w:rsid w:val="648B3FB8"/>
    <w:rsid w:val="648B6EEF"/>
    <w:rsid w:val="648C045C"/>
    <w:rsid w:val="648D1ADE"/>
    <w:rsid w:val="648F5856"/>
    <w:rsid w:val="64915A72"/>
    <w:rsid w:val="64970BAF"/>
    <w:rsid w:val="64990483"/>
    <w:rsid w:val="649966D5"/>
    <w:rsid w:val="649D4417"/>
    <w:rsid w:val="64A216CA"/>
    <w:rsid w:val="64A55079"/>
    <w:rsid w:val="64B259E8"/>
    <w:rsid w:val="64B72EBA"/>
    <w:rsid w:val="64B81251"/>
    <w:rsid w:val="64BB489D"/>
    <w:rsid w:val="64BE438D"/>
    <w:rsid w:val="64C158BF"/>
    <w:rsid w:val="64C51278"/>
    <w:rsid w:val="64CA0F84"/>
    <w:rsid w:val="64CA15FC"/>
    <w:rsid w:val="64CA2D32"/>
    <w:rsid w:val="64CE2EAA"/>
    <w:rsid w:val="64CE4172"/>
    <w:rsid w:val="64D051A2"/>
    <w:rsid w:val="64D43BB1"/>
    <w:rsid w:val="64D63485"/>
    <w:rsid w:val="64D70FAB"/>
    <w:rsid w:val="64E44810"/>
    <w:rsid w:val="64E77440"/>
    <w:rsid w:val="64E8140A"/>
    <w:rsid w:val="64E9765C"/>
    <w:rsid w:val="64EE6A20"/>
    <w:rsid w:val="64EF09EB"/>
    <w:rsid w:val="64F16511"/>
    <w:rsid w:val="64F41B5D"/>
    <w:rsid w:val="65031DA0"/>
    <w:rsid w:val="650A312E"/>
    <w:rsid w:val="651641C9"/>
    <w:rsid w:val="65183A9D"/>
    <w:rsid w:val="651A5A67"/>
    <w:rsid w:val="651D1ECC"/>
    <w:rsid w:val="651D7306"/>
    <w:rsid w:val="65200BA4"/>
    <w:rsid w:val="652341F0"/>
    <w:rsid w:val="65297A59"/>
    <w:rsid w:val="652F0DE7"/>
    <w:rsid w:val="652F2B95"/>
    <w:rsid w:val="65332685"/>
    <w:rsid w:val="65393A14"/>
    <w:rsid w:val="653B32D9"/>
    <w:rsid w:val="653B59DE"/>
    <w:rsid w:val="653B778C"/>
    <w:rsid w:val="653C3090"/>
    <w:rsid w:val="65493C57"/>
    <w:rsid w:val="654A5C21"/>
    <w:rsid w:val="654E3963"/>
    <w:rsid w:val="65510D5D"/>
    <w:rsid w:val="655A5E64"/>
    <w:rsid w:val="655E20CB"/>
    <w:rsid w:val="65654809"/>
    <w:rsid w:val="65660CAD"/>
    <w:rsid w:val="656942F9"/>
    <w:rsid w:val="656E5DB3"/>
    <w:rsid w:val="657449B3"/>
    <w:rsid w:val="65784910"/>
    <w:rsid w:val="657D7DA4"/>
    <w:rsid w:val="657F58CB"/>
    <w:rsid w:val="65817895"/>
    <w:rsid w:val="65854376"/>
    <w:rsid w:val="6587305C"/>
    <w:rsid w:val="6587477F"/>
    <w:rsid w:val="658767BE"/>
    <w:rsid w:val="65892531"/>
    <w:rsid w:val="658D65D9"/>
    <w:rsid w:val="65905D2A"/>
    <w:rsid w:val="659F41BF"/>
    <w:rsid w:val="659F5F6D"/>
    <w:rsid w:val="65AB2B63"/>
    <w:rsid w:val="65AB6F91"/>
    <w:rsid w:val="65B5026D"/>
    <w:rsid w:val="65B8702E"/>
    <w:rsid w:val="65BD4645"/>
    <w:rsid w:val="65BD63F3"/>
    <w:rsid w:val="65BF03BD"/>
    <w:rsid w:val="65BF216B"/>
    <w:rsid w:val="65C14135"/>
    <w:rsid w:val="65C6799D"/>
    <w:rsid w:val="65CC4888"/>
    <w:rsid w:val="65CC6636"/>
    <w:rsid w:val="65D379C4"/>
    <w:rsid w:val="65D57BE0"/>
    <w:rsid w:val="65D75707"/>
    <w:rsid w:val="65D976D1"/>
    <w:rsid w:val="65DB492F"/>
    <w:rsid w:val="65DC0F6F"/>
    <w:rsid w:val="65DC2D1D"/>
    <w:rsid w:val="65E46F79"/>
    <w:rsid w:val="65E73470"/>
    <w:rsid w:val="65EB2F60"/>
    <w:rsid w:val="65EE2A50"/>
    <w:rsid w:val="65F067C8"/>
    <w:rsid w:val="65F362B8"/>
    <w:rsid w:val="65FA13F5"/>
    <w:rsid w:val="65FA31A3"/>
    <w:rsid w:val="65FD2C93"/>
    <w:rsid w:val="66061B48"/>
    <w:rsid w:val="660B132F"/>
    <w:rsid w:val="66195831"/>
    <w:rsid w:val="661A1A97"/>
    <w:rsid w:val="661E3335"/>
    <w:rsid w:val="6626043C"/>
    <w:rsid w:val="6626688C"/>
    <w:rsid w:val="662E75B1"/>
    <w:rsid w:val="66304E17"/>
    <w:rsid w:val="66320B8F"/>
    <w:rsid w:val="663366B5"/>
    <w:rsid w:val="66342C2E"/>
    <w:rsid w:val="66372649"/>
    <w:rsid w:val="663E784C"/>
    <w:rsid w:val="66430FEE"/>
    <w:rsid w:val="664459EA"/>
    <w:rsid w:val="66456B14"/>
    <w:rsid w:val="66477750"/>
    <w:rsid w:val="664B39FF"/>
    <w:rsid w:val="6655487D"/>
    <w:rsid w:val="6660394E"/>
    <w:rsid w:val="66613222"/>
    <w:rsid w:val="66636F9A"/>
    <w:rsid w:val="666D7E19"/>
    <w:rsid w:val="666F593F"/>
    <w:rsid w:val="667411A7"/>
    <w:rsid w:val="667941AD"/>
    <w:rsid w:val="667F18FA"/>
    <w:rsid w:val="66805D9E"/>
    <w:rsid w:val="66833198"/>
    <w:rsid w:val="6683763C"/>
    <w:rsid w:val="668533B4"/>
    <w:rsid w:val="668B6A45"/>
    <w:rsid w:val="6692162D"/>
    <w:rsid w:val="669E0497"/>
    <w:rsid w:val="669E7FD2"/>
    <w:rsid w:val="66A77FCB"/>
    <w:rsid w:val="66A870A3"/>
    <w:rsid w:val="66B23A7E"/>
    <w:rsid w:val="66B71094"/>
    <w:rsid w:val="66B912B0"/>
    <w:rsid w:val="66BB5F1A"/>
    <w:rsid w:val="66CC0FE3"/>
    <w:rsid w:val="66CC430B"/>
    <w:rsid w:val="66CD6B09"/>
    <w:rsid w:val="66D35001"/>
    <w:rsid w:val="66DE4873"/>
    <w:rsid w:val="66E16111"/>
    <w:rsid w:val="66E64119"/>
    <w:rsid w:val="66E8749F"/>
    <w:rsid w:val="66F127F8"/>
    <w:rsid w:val="66F2031E"/>
    <w:rsid w:val="66F83B86"/>
    <w:rsid w:val="66F916AD"/>
    <w:rsid w:val="66FB3677"/>
    <w:rsid w:val="66FC2F4B"/>
    <w:rsid w:val="67006EDF"/>
    <w:rsid w:val="67010561"/>
    <w:rsid w:val="670342D9"/>
    <w:rsid w:val="670359C1"/>
    <w:rsid w:val="670818F0"/>
    <w:rsid w:val="671169F6"/>
    <w:rsid w:val="67144738"/>
    <w:rsid w:val="67177D85"/>
    <w:rsid w:val="67184229"/>
    <w:rsid w:val="67185FD7"/>
    <w:rsid w:val="6723497B"/>
    <w:rsid w:val="6727621A"/>
    <w:rsid w:val="672A5D0A"/>
    <w:rsid w:val="672F3F24"/>
    <w:rsid w:val="67334BBF"/>
    <w:rsid w:val="6736645D"/>
    <w:rsid w:val="673E055F"/>
    <w:rsid w:val="674072DB"/>
    <w:rsid w:val="6744501E"/>
    <w:rsid w:val="67486190"/>
    <w:rsid w:val="67530DBD"/>
    <w:rsid w:val="67551CE3"/>
    <w:rsid w:val="675E6510"/>
    <w:rsid w:val="677156E7"/>
    <w:rsid w:val="678673E4"/>
    <w:rsid w:val="67917B37"/>
    <w:rsid w:val="67980D82"/>
    <w:rsid w:val="67A22552"/>
    <w:rsid w:val="67B04461"/>
    <w:rsid w:val="67B22471"/>
    <w:rsid w:val="67B22DCC"/>
    <w:rsid w:val="67B667A3"/>
    <w:rsid w:val="67B83316"/>
    <w:rsid w:val="67BE71AA"/>
    <w:rsid w:val="67C65A33"/>
    <w:rsid w:val="67CA4DF7"/>
    <w:rsid w:val="67CC0B6F"/>
    <w:rsid w:val="67D90273"/>
    <w:rsid w:val="67DE5875"/>
    <w:rsid w:val="67E452A7"/>
    <w:rsid w:val="67E55852"/>
    <w:rsid w:val="67EB1AB4"/>
    <w:rsid w:val="67EE0AE5"/>
    <w:rsid w:val="67F0485E"/>
    <w:rsid w:val="67F24A7A"/>
    <w:rsid w:val="67F72090"/>
    <w:rsid w:val="67FA1285"/>
    <w:rsid w:val="67FC4133"/>
    <w:rsid w:val="67FF7197"/>
    <w:rsid w:val="68016A6B"/>
    <w:rsid w:val="68142C42"/>
    <w:rsid w:val="681F15E7"/>
    <w:rsid w:val="68246BFD"/>
    <w:rsid w:val="68262975"/>
    <w:rsid w:val="68264723"/>
    <w:rsid w:val="68294213"/>
    <w:rsid w:val="682B7F8C"/>
    <w:rsid w:val="682D3D04"/>
    <w:rsid w:val="682E182A"/>
    <w:rsid w:val="683A1F7D"/>
    <w:rsid w:val="683B72E1"/>
    <w:rsid w:val="683C5CF5"/>
    <w:rsid w:val="6841330B"/>
    <w:rsid w:val="684150B9"/>
    <w:rsid w:val="684352D5"/>
    <w:rsid w:val="68437083"/>
    <w:rsid w:val="684A23F5"/>
    <w:rsid w:val="684D3A5E"/>
    <w:rsid w:val="684E5A28"/>
    <w:rsid w:val="68551F4F"/>
    <w:rsid w:val="68555008"/>
    <w:rsid w:val="685748DD"/>
    <w:rsid w:val="685E5C6B"/>
    <w:rsid w:val="68646FFA"/>
    <w:rsid w:val="686F60CA"/>
    <w:rsid w:val="68725606"/>
    <w:rsid w:val="687A4A6F"/>
    <w:rsid w:val="687A681D"/>
    <w:rsid w:val="687C10C9"/>
    <w:rsid w:val="687F5BE1"/>
    <w:rsid w:val="68817BAC"/>
    <w:rsid w:val="68840C16"/>
    <w:rsid w:val="688431F8"/>
    <w:rsid w:val="68876EFB"/>
    <w:rsid w:val="68884654"/>
    <w:rsid w:val="688A4CB2"/>
    <w:rsid w:val="688B27D8"/>
    <w:rsid w:val="688F22C8"/>
    <w:rsid w:val="68906041"/>
    <w:rsid w:val="68914293"/>
    <w:rsid w:val="689A2A1B"/>
    <w:rsid w:val="689F444F"/>
    <w:rsid w:val="68A613C0"/>
    <w:rsid w:val="68AA0EB0"/>
    <w:rsid w:val="68AD274F"/>
    <w:rsid w:val="68AD6BF3"/>
    <w:rsid w:val="68B63CF9"/>
    <w:rsid w:val="68B731E7"/>
    <w:rsid w:val="68B735CD"/>
    <w:rsid w:val="68B96DBB"/>
    <w:rsid w:val="68BB130F"/>
    <w:rsid w:val="68BC6E36"/>
    <w:rsid w:val="68C006D4"/>
    <w:rsid w:val="68C14587"/>
    <w:rsid w:val="68C301C4"/>
    <w:rsid w:val="68CA1553"/>
    <w:rsid w:val="68CA2805"/>
    <w:rsid w:val="68CA77A4"/>
    <w:rsid w:val="68CD2DF1"/>
    <w:rsid w:val="68D221B5"/>
    <w:rsid w:val="68D45F2D"/>
    <w:rsid w:val="68DC3034"/>
    <w:rsid w:val="68DE4FFE"/>
    <w:rsid w:val="68DE6DAC"/>
    <w:rsid w:val="68E048D2"/>
    <w:rsid w:val="68E1689C"/>
    <w:rsid w:val="68E6495E"/>
    <w:rsid w:val="68E87C2B"/>
    <w:rsid w:val="68E937A3"/>
    <w:rsid w:val="68EC771B"/>
    <w:rsid w:val="68ED6FEF"/>
    <w:rsid w:val="68F71C1C"/>
    <w:rsid w:val="68F93BE6"/>
    <w:rsid w:val="6908207B"/>
    <w:rsid w:val="69083E29"/>
    <w:rsid w:val="690A5DF3"/>
    <w:rsid w:val="690C3919"/>
    <w:rsid w:val="691427CE"/>
    <w:rsid w:val="691B3B5C"/>
    <w:rsid w:val="691E189E"/>
    <w:rsid w:val="69205616"/>
    <w:rsid w:val="69256789"/>
    <w:rsid w:val="692C6117"/>
    <w:rsid w:val="69366BE8"/>
    <w:rsid w:val="69382960"/>
    <w:rsid w:val="693E15D3"/>
    <w:rsid w:val="693E5A9D"/>
    <w:rsid w:val="694503FF"/>
    <w:rsid w:val="694A4441"/>
    <w:rsid w:val="694D5CE0"/>
    <w:rsid w:val="695452C0"/>
    <w:rsid w:val="6954706E"/>
    <w:rsid w:val="69584DB0"/>
    <w:rsid w:val="69586B5E"/>
    <w:rsid w:val="69627681"/>
    <w:rsid w:val="69650895"/>
    <w:rsid w:val="696527CC"/>
    <w:rsid w:val="696574CD"/>
    <w:rsid w:val="696F20FA"/>
    <w:rsid w:val="697317CC"/>
    <w:rsid w:val="69731BEA"/>
    <w:rsid w:val="6977531D"/>
    <w:rsid w:val="69823BDB"/>
    <w:rsid w:val="698C4A5A"/>
    <w:rsid w:val="69955386"/>
    <w:rsid w:val="69981651"/>
    <w:rsid w:val="699A7177"/>
    <w:rsid w:val="69A43B52"/>
    <w:rsid w:val="69B23C2A"/>
    <w:rsid w:val="69B30239"/>
    <w:rsid w:val="69B55D5F"/>
    <w:rsid w:val="69BA3375"/>
    <w:rsid w:val="69BE2739"/>
    <w:rsid w:val="69C02956"/>
    <w:rsid w:val="69C51D1A"/>
    <w:rsid w:val="69C57E01"/>
    <w:rsid w:val="69C97A5C"/>
    <w:rsid w:val="69CA10DE"/>
    <w:rsid w:val="69CC2BFF"/>
    <w:rsid w:val="69D5399A"/>
    <w:rsid w:val="69DA3A17"/>
    <w:rsid w:val="69DA7573"/>
    <w:rsid w:val="69DB153D"/>
    <w:rsid w:val="69DF38CB"/>
    <w:rsid w:val="69E14DA6"/>
    <w:rsid w:val="69E421A0"/>
    <w:rsid w:val="69E93C5A"/>
    <w:rsid w:val="69F820EF"/>
    <w:rsid w:val="69FB10EF"/>
    <w:rsid w:val="69FD55B8"/>
    <w:rsid w:val="6A040A94"/>
    <w:rsid w:val="6A042842"/>
    <w:rsid w:val="6A0942FC"/>
    <w:rsid w:val="6A0B1C62"/>
    <w:rsid w:val="6A0C7949"/>
    <w:rsid w:val="6A0E546F"/>
    <w:rsid w:val="6A113133"/>
    <w:rsid w:val="6A1567FD"/>
    <w:rsid w:val="6A184540"/>
    <w:rsid w:val="6A1A3E14"/>
    <w:rsid w:val="6A202D2A"/>
    <w:rsid w:val="6A2406C8"/>
    <w:rsid w:val="6A244C92"/>
    <w:rsid w:val="6A274783"/>
    <w:rsid w:val="6A3550F2"/>
    <w:rsid w:val="6A3A44B6"/>
    <w:rsid w:val="6A3C6480"/>
    <w:rsid w:val="6A3D1DC1"/>
    <w:rsid w:val="6A3D3FA6"/>
    <w:rsid w:val="6A4D41E9"/>
    <w:rsid w:val="6A4D4C1B"/>
    <w:rsid w:val="6A5437CA"/>
    <w:rsid w:val="6A5F216E"/>
    <w:rsid w:val="6A611A43"/>
    <w:rsid w:val="6A6921D7"/>
    <w:rsid w:val="6A6D488B"/>
    <w:rsid w:val="6A6D6639"/>
    <w:rsid w:val="6A8614A9"/>
    <w:rsid w:val="6A8F4802"/>
    <w:rsid w:val="6A9739A1"/>
    <w:rsid w:val="6A99742E"/>
    <w:rsid w:val="6AAB7162"/>
    <w:rsid w:val="6AAE45FC"/>
    <w:rsid w:val="6AB53B3C"/>
    <w:rsid w:val="6AB853DB"/>
    <w:rsid w:val="6AB97AD1"/>
    <w:rsid w:val="6ABA55F7"/>
    <w:rsid w:val="6ABC4ECB"/>
    <w:rsid w:val="6ABF6769"/>
    <w:rsid w:val="6AC34B1A"/>
    <w:rsid w:val="6AC36259"/>
    <w:rsid w:val="6ACA640D"/>
    <w:rsid w:val="6ACD0E86"/>
    <w:rsid w:val="6ACD70D8"/>
    <w:rsid w:val="6AD611D4"/>
    <w:rsid w:val="6AD71D05"/>
    <w:rsid w:val="6AD761A9"/>
    <w:rsid w:val="6ADE0BD1"/>
    <w:rsid w:val="6ADF0BB9"/>
    <w:rsid w:val="6AE0505D"/>
    <w:rsid w:val="6AE34B4E"/>
    <w:rsid w:val="6AE371E6"/>
    <w:rsid w:val="6AE6019A"/>
    <w:rsid w:val="6AE96859"/>
    <w:rsid w:val="6AED1528"/>
    <w:rsid w:val="6AEF5A9A"/>
    <w:rsid w:val="6AFB0AEC"/>
    <w:rsid w:val="6B142F59"/>
    <w:rsid w:val="6B144D07"/>
    <w:rsid w:val="6B146AB5"/>
    <w:rsid w:val="6B147746"/>
    <w:rsid w:val="6B19231D"/>
    <w:rsid w:val="6B1940CB"/>
    <w:rsid w:val="6B1C1E0E"/>
    <w:rsid w:val="6B24787C"/>
    <w:rsid w:val="6B272C8C"/>
    <w:rsid w:val="6B2C2051"/>
    <w:rsid w:val="6B32518D"/>
    <w:rsid w:val="6B347157"/>
    <w:rsid w:val="6B361121"/>
    <w:rsid w:val="6B362ECF"/>
    <w:rsid w:val="6B38456F"/>
    <w:rsid w:val="6B39651C"/>
    <w:rsid w:val="6B476E8A"/>
    <w:rsid w:val="6B482C03"/>
    <w:rsid w:val="6B4A697B"/>
    <w:rsid w:val="6B4F3F91"/>
    <w:rsid w:val="6B517D09"/>
    <w:rsid w:val="6B5477F9"/>
    <w:rsid w:val="6B573233"/>
    <w:rsid w:val="6B596BBE"/>
    <w:rsid w:val="6B5B6274"/>
    <w:rsid w:val="6B637A3C"/>
    <w:rsid w:val="6B6537B4"/>
    <w:rsid w:val="6B680BAF"/>
    <w:rsid w:val="6B6F1F3D"/>
    <w:rsid w:val="6B7C465A"/>
    <w:rsid w:val="6B80239C"/>
    <w:rsid w:val="6B842586"/>
    <w:rsid w:val="6B8D6867"/>
    <w:rsid w:val="6B9145AA"/>
    <w:rsid w:val="6B923E7E"/>
    <w:rsid w:val="6B935D53"/>
    <w:rsid w:val="6BA442DD"/>
    <w:rsid w:val="6BAD3FDE"/>
    <w:rsid w:val="6BB77FE6"/>
    <w:rsid w:val="6BBB5183"/>
    <w:rsid w:val="6BBD0EFB"/>
    <w:rsid w:val="6BC06C3D"/>
    <w:rsid w:val="6BD5099E"/>
    <w:rsid w:val="6BD61FBC"/>
    <w:rsid w:val="6BDF5315"/>
    <w:rsid w:val="6BDF70C3"/>
    <w:rsid w:val="6BE10682"/>
    <w:rsid w:val="6BE4292B"/>
    <w:rsid w:val="6BE831A7"/>
    <w:rsid w:val="6BE91CF0"/>
    <w:rsid w:val="6BEE5558"/>
    <w:rsid w:val="6BF012D0"/>
    <w:rsid w:val="6BF84629"/>
    <w:rsid w:val="6BFB1A23"/>
    <w:rsid w:val="6BFF1513"/>
    <w:rsid w:val="6C021003"/>
    <w:rsid w:val="6C040ADE"/>
    <w:rsid w:val="6C103720"/>
    <w:rsid w:val="6C1825D5"/>
    <w:rsid w:val="6C186A79"/>
    <w:rsid w:val="6C196F71"/>
    <w:rsid w:val="6C1F5711"/>
    <w:rsid w:val="6C2063E9"/>
    <w:rsid w:val="6C21592D"/>
    <w:rsid w:val="6C226FCB"/>
    <w:rsid w:val="6C2947E2"/>
    <w:rsid w:val="6C29576E"/>
    <w:rsid w:val="6C2C42D2"/>
    <w:rsid w:val="6C303DC2"/>
    <w:rsid w:val="6C31226F"/>
    <w:rsid w:val="6C313EC9"/>
    <w:rsid w:val="6C353187"/>
    <w:rsid w:val="6C375151"/>
    <w:rsid w:val="6C397AD4"/>
    <w:rsid w:val="6C3A079D"/>
    <w:rsid w:val="6C3A69EF"/>
    <w:rsid w:val="6C44161C"/>
    <w:rsid w:val="6C4433CA"/>
    <w:rsid w:val="6C4B29AA"/>
    <w:rsid w:val="6C4C227F"/>
    <w:rsid w:val="6C552F0B"/>
    <w:rsid w:val="6C5C0714"/>
    <w:rsid w:val="6C5C6966"/>
    <w:rsid w:val="6C5F0204"/>
    <w:rsid w:val="6C5F6456"/>
    <w:rsid w:val="6C67530A"/>
    <w:rsid w:val="6C6B6BA9"/>
    <w:rsid w:val="6C6D2921"/>
    <w:rsid w:val="6C7A3290"/>
    <w:rsid w:val="6C7E4523"/>
    <w:rsid w:val="6C832144"/>
    <w:rsid w:val="6C8C67B7"/>
    <w:rsid w:val="6C8C6B1F"/>
    <w:rsid w:val="6C8E2897"/>
    <w:rsid w:val="6C9205D9"/>
    <w:rsid w:val="6C9A748E"/>
    <w:rsid w:val="6C9D744C"/>
    <w:rsid w:val="6C9E6F7E"/>
    <w:rsid w:val="6C9F6852"/>
    <w:rsid w:val="6CA200F0"/>
    <w:rsid w:val="6CA4030D"/>
    <w:rsid w:val="6CA43E69"/>
    <w:rsid w:val="6CA81BAB"/>
    <w:rsid w:val="6CB56076"/>
    <w:rsid w:val="6CB70040"/>
    <w:rsid w:val="6CBC11B2"/>
    <w:rsid w:val="6CC62031"/>
    <w:rsid w:val="6CCB3AEB"/>
    <w:rsid w:val="6CCB5899"/>
    <w:rsid w:val="6CCD33BF"/>
    <w:rsid w:val="6CDA3D2E"/>
    <w:rsid w:val="6CE66B6E"/>
    <w:rsid w:val="6CEE3336"/>
    <w:rsid w:val="6CF272CA"/>
    <w:rsid w:val="6CF50EC1"/>
    <w:rsid w:val="6CF92406"/>
    <w:rsid w:val="6CF941B4"/>
    <w:rsid w:val="6CFF5543"/>
    <w:rsid w:val="6D0112BB"/>
    <w:rsid w:val="6D091F08"/>
    <w:rsid w:val="6D0D5EB2"/>
    <w:rsid w:val="6D0F1C2A"/>
    <w:rsid w:val="6D1303C6"/>
    <w:rsid w:val="6D140FEE"/>
    <w:rsid w:val="6D167928"/>
    <w:rsid w:val="6D1C60F5"/>
    <w:rsid w:val="6D26299B"/>
    <w:rsid w:val="6D286848"/>
    <w:rsid w:val="6D297DB1"/>
    <w:rsid w:val="6D3276C6"/>
    <w:rsid w:val="6D3E2288"/>
    <w:rsid w:val="6D401DE3"/>
    <w:rsid w:val="6D4318D3"/>
    <w:rsid w:val="6D4772EC"/>
    <w:rsid w:val="6D4D2ACF"/>
    <w:rsid w:val="6D5533B5"/>
    <w:rsid w:val="6D64710E"/>
    <w:rsid w:val="6D6830E8"/>
    <w:rsid w:val="6D723F67"/>
    <w:rsid w:val="6D853C9A"/>
    <w:rsid w:val="6D8A7502"/>
    <w:rsid w:val="6D8F4B19"/>
    <w:rsid w:val="6D9078AF"/>
    <w:rsid w:val="6D91263F"/>
    <w:rsid w:val="6D9263B7"/>
    <w:rsid w:val="6D9640F9"/>
    <w:rsid w:val="6D965EA7"/>
    <w:rsid w:val="6D9B526C"/>
    <w:rsid w:val="6DA700B4"/>
    <w:rsid w:val="6DAA3FEF"/>
    <w:rsid w:val="6DB14A8F"/>
    <w:rsid w:val="6DB30807"/>
    <w:rsid w:val="6DBB3B60"/>
    <w:rsid w:val="6DBB590E"/>
    <w:rsid w:val="6DC0172B"/>
    <w:rsid w:val="6DCA78FF"/>
    <w:rsid w:val="6DCB690C"/>
    <w:rsid w:val="6DCE5641"/>
    <w:rsid w:val="6DD10C8D"/>
    <w:rsid w:val="6DD16EDF"/>
    <w:rsid w:val="6DD41A5B"/>
    <w:rsid w:val="6DD8026E"/>
    <w:rsid w:val="6DE2733E"/>
    <w:rsid w:val="6DE44E65"/>
    <w:rsid w:val="6DEC1F6B"/>
    <w:rsid w:val="6DEC505A"/>
    <w:rsid w:val="6DF43C2E"/>
    <w:rsid w:val="6DF51CA3"/>
    <w:rsid w:val="6DF80910"/>
    <w:rsid w:val="6DF901E4"/>
    <w:rsid w:val="6DFB5D0A"/>
    <w:rsid w:val="6DFF1C9E"/>
    <w:rsid w:val="6E005A16"/>
    <w:rsid w:val="6E032E11"/>
    <w:rsid w:val="6E075A8E"/>
    <w:rsid w:val="6E274D51"/>
    <w:rsid w:val="6E2E7E8E"/>
    <w:rsid w:val="6E3631E6"/>
    <w:rsid w:val="6E3A2CD6"/>
    <w:rsid w:val="6E3B6A4F"/>
    <w:rsid w:val="6E3F209B"/>
    <w:rsid w:val="6E4050A7"/>
    <w:rsid w:val="6E531FEA"/>
    <w:rsid w:val="6E535B46"/>
    <w:rsid w:val="6E5A5127"/>
    <w:rsid w:val="6E5D69C5"/>
    <w:rsid w:val="6E602011"/>
    <w:rsid w:val="6E62222D"/>
    <w:rsid w:val="6E645FA5"/>
    <w:rsid w:val="6E69248F"/>
    <w:rsid w:val="6E6B10E2"/>
    <w:rsid w:val="6E7066F8"/>
    <w:rsid w:val="6E7361E8"/>
    <w:rsid w:val="6E763BDC"/>
    <w:rsid w:val="6E7A1325"/>
    <w:rsid w:val="6E7B6E4B"/>
    <w:rsid w:val="6E8335BD"/>
    <w:rsid w:val="6E846FB1"/>
    <w:rsid w:val="6E857CCC"/>
    <w:rsid w:val="6E8757F0"/>
    <w:rsid w:val="6E891568"/>
    <w:rsid w:val="6E8B1784"/>
    <w:rsid w:val="6E8B3532"/>
    <w:rsid w:val="6E8E12EF"/>
    <w:rsid w:val="6E8E3022"/>
    <w:rsid w:val="6E91041D"/>
    <w:rsid w:val="6E972936"/>
    <w:rsid w:val="6EBD1212"/>
    <w:rsid w:val="6EBD4657"/>
    <w:rsid w:val="6EC0794E"/>
    <w:rsid w:val="6EC151A6"/>
    <w:rsid w:val="6EC82EAB"/>
    <w:rsid w:val="6ECE341F"/>
    <w:rsid w:val="6ED0363B"/>
    <w:rsid w:val="6ED3687D"/>
    <w:rsid w:val="6ED446C5"/>
    <w:rsid w:val="6EDC3D8E"/>
    <w:rsid w:val="6EE42C42"/>
    <w:rsid w:val="6EE449F0"/>
    <w:rsid w:val="6EEB2223"/>
    <w:rsid w:val="6EEB3FD1"/>
    <w:rsid w:val="6EED7D49"/>
    <w:rsid w:val="6EFC1D3A"/>
    <w:rsid w:val="6F0917CE"/>
    <w:rsid w:val="6F1846E3"/>
    <w:rsid w:val="6F1B634E"/>
    <w:rsid w:val="6F241291"/>
    <w:rsid w:val="6F282B2F"/>
    <w:rsid w:val="6F2A7D94"/>
    <w:rsid w:val="6F2D6397"/>
    <w:rsid w:val="6F3E2352"/>
    <w:rsid w:val="6F410095"/>
    <w:rsid w:val="6F433E0D"/>
    <w:rsid w:val="6F451933"/>
    <w:rsid w:val="6F4831D1"/>
    <w:rsid w:val="6F490CF7"/>
    <w:rsid w:val="6F5002D8"/>
    <w:rsid w:val="6F5558EE"/>
    <w:rsid w:val="6F593630"/>
    <w:rsid w:val="6F60676D"/>
    <w:rsid w:val="6F63000B"/>
    <w:rsid w:val="6F6873CF"/>
    <w:rsid w:val="6F6D0E8A"/>
    <w:rsid w:val="6F71097A"/>
    <w:rsid w:val="6F8166E3"/>
    <w:rsid w:val="6F8331F1"/>
    <w:rsid w:val="6F834209"/>
    <w:rsid w:val="6F8561D3"/>
    <w:rsid w:val="6F8A031E"/>
    <w:rsid w:val="6F9208F0"/>
    <w:rsid w:val="6F926B42"/>
    <w:rsid w:val="6F983DC8"/>
    <w:rsid w:val="6F984159"/>
    <w:rsid w:val="6FA06B69"/>
    <w:rsid w:val="6FA7614A"/>
    <w:rsid w:val="6FA80114"/>
    <w:rsid w:val="6FAD572A"/>
    <w:rsid w:val="6FAE1A09"/>
    <w:rsid w:val="6FAF3250"/>
    <w:rsid w:val="6FB24AEE"/>
    <w:rsid w:val="6FBB1BF5"/>
    <w:rsid w:val="6FBB39A3"/>
    <w:rsid w:val="6FC34F4E"/>
    <w:rsid w:val="6FC36CFC"/>
    <w:rsid w:val="6FCA1E38"/>
    <w:rsid w:val="6FCD36D6"/>
    <w:rsid w:val="6FCF38F2"/>
    <w:rsid w:val="6FD1766A"/>
    <w:rsid w:val="6FD26F3F"/>
    <w:rsid w:val="6FD75BF8"/>
    <w:rsid w:val="6FD809F9"/>
    <w:rsid w:val="6FE56C72"/>
    <w:rsid w:val="6FF11ABB"/>
    <w:rsid w:val="6FF173C5"/>
    <w:rsid w:val="6FF944CB"/>
    <w:rsid w:val="6FFB6495"/>
    <w:rsid w:val="6FFE5F86"/>
    <w:rsid w:val="7000585A"/>
    <w:rsid w:val="700510C2"/>
    <w:rsid w:val="70052E70"/>
    <w:rsid w:val="700A0487"/>
    <w:rsid w:val="700D7F77"/>
    <w:rsid w:val="70122428"/>
    <w:rsid w:val="7015387B"/>
    <w:rsid w:val="701D28B0"/>
    <w:rsid w:val="70205EFC"/>
    <w:rsid w:val="70271038"/>
    <w:rsid w:val="703A6FBE"/>
    <w:rsid w:val="705363EE"/>
    <w:rsid w:val="70542388"/>
    <w:rsid w:val="70587444"/>
    <w:rsid w:val="705A7660"/>
    <w:rsid w:val="705C33D8"/>
    <w:rsid w:val="705D4A5A"/>
    <w:rsid w:val="706202C3"/>
    <w:rsid w:val="706E6C67"/>
    <w:rsid w:val="70700C31"/>
    <w:rsid w:val="70716758"/>
    <w:rsid w:val="707324D0"/>
    <w:rsid w:val="7073427E"/>
    <w:rsid w:val="707723D0"/>
    <w:rsid w:val="707A1AB0"/>
    <w:rsid w:val="707B3132"/>
    <w:rsid w:val="708244C1"/>
    <w:rsid w:val="708446DD"/>
    <w:rsid w:val="708741CD"/>
    <w:rsid w:val="709A5CAE"/>
    <w:rsid w:val="709B5583"/>
    <w:rsid w:val="70A1528F"/>
    <w:rsid w:val="70A24B63"/>
    <w:rsid w:val="70A42689"/>
    <w:rsid w:val="70A95EF1"/>
    <w:rsid w:val="70A97C9F"/>
    <w:rsid w:val="70AE3508"/>
    <w:rsid w:val="70B0102E"/>
    <w:rsid w:val="70B76860"/>
    <w:rsid w:val="70B84386"/>
    <w:rsid w:val="70C25205"/>
    <w:rsid w:val="70C96594"/>
    <w:rsid w:val="70CD7E32"/>
    <w:rsid w:val="70DA42FD"/>
    <w:rsid w:val="70DC62C7"/>
    <w:rsid w:val="70DD3DED"/>
    <w:rsid w:val="70EB02B8"/>
    <w:rsid w:val="70EB650A"/>
    <w:rsid w:val="70F42B31"/>
    <w:rsid w:val="70F5661B"/>
    <w:rsid w:val="70FC0717"/>
    <w:rsid w:val="70FE448F"/>
    <w:rsid w:val="70FF1FB5"/>
    <w:rsid w:val="71025602"/>
    <w:rsid w:val="71031AA6"/>
    <w:rsid w:val="71033854"/>
    <w:rsid w:val="71105F71"/>
    <w:rsid w:val="71145A61"/>
    <w:rsid w:val="7115062F"/>
    <w:rsid w:val="71153587"/>
    <w:rsid w:val="711A294B"/>
    <w:rsid w:val="711C66C3"/>
    <w:rsid w:val="711D243B"/>
    <w:rsid w:val="71235CA4"/>
    <w:rsid w:val="712832BA"/>
    <w:rsid w:val="71297032"/>
    <w:rsid w:val="712B4B58"/>
    <w:rsid w:val="712F289B"/>
    <w:rsid w:val="71306613"/>
    <w:rsid w:val="71324139"/>
    <w:rsid w:val="71353C29"/>
    <w:rsid w:val="71360107"/>
    <w:rsid w:val="7137174F"/>
    <w:rsid w:val="713752AB"/>
    <w:rsid w:val="713B688E"/>
    <w:rsid w:val="713C0B14"/>
    <w:rsid w:val="713E4306"/>
    <w:rsid w:val="71405103"/>
    <w:rsid w:val="71453E6C"/>
    <w:rsid w:val="714D016C"/>
    <w:rsid w:val="71526589"/>
    <w:rsid w:val="71573B9F"/>
    <w:rsid w:val="715776FB"/>
    <w:rsid w:val="71584C32"/>
    <w:rsid w:val="715A71EC"/>
    <w:rsid w:val="715E0A8A"/>
    <w:rsid w:val="71630796"/>
    <w:rsid w:val="7164006A"/>
    <w:rsid w:val="71665B90"/>
    <w:rsid w:val="716D5171"/>
    <w:rsid w:val="717209D9"/>
    <w:rsid w:val="717C7162"/>
    <w:rsid w:val="718030F6"/>
    <w:rsid w:val="71804EA4"/>
    <w:rsid w:val="718B55F7"/>
    <w:rsid w:val="71902C0D"/>
    <w:rsid w:val="71926986"/>
    <w:rsid w:val="71946BA2"/>
    <w:rsid w:val="719941B8"/>
    <w:rsid w:val="71A1306D"/>
    <w:rsid w:val="71A861A9"/>
    <w:rsid w:val="71AA1F21"/>
    <w:rsid w:val="71B44B4E"/>
    <w:rsid w:val="71B903B6"/>
    <w:rsid w:val="71C034F3"/>
    <w:rsid w:val="71C1726B"/>
    <w:rsid w:val="71CA4371"/>
    <w:rsid w:val="71CD0CEF"/>
    <w:rsid w:val="71D376CA"/>
    <w:rsid w:val="71D43752"/>
    <w:rsid w:val="71D60F68"/>
    <w:rsid w:val="71DC5E53"/>
    <w:rsid w:val="71DD634E"/>
    <w:rsid w:val="71EA67C2"/>
    <w:rsid w:val="71EC3115"/>
    <w:rsid w:val="71EF5B86"/>
    <w:rsid w:val="71F1796A"/>
    <w:rsid w:val="72001B41"/>
    <w:rsid w:val="72007D93"/>
    <w:rsid w:val="7209439E"/>
    <w:rsid w:val="72154626"/>
    <w:rsid w:val="721970A7"/>
    <w:rsid w:val="72262B5D"/>
    <w:rsid w:val="72283FF7"/>
    <w:rsid w:val="722C2936"/>
    <w:rsid w:val="722D66AE"/>
    <w:rsid w:val="722E2B52"/>
    <w:rsid w:val="722E7212"/>
    <w:rsid w:val="72343EE1"/>
    <w:rsid w:val="72367C59"/>
    <w:rsid w:val="723932A5"/>
    <w:rsid w:val="723A0474"/>
    <w:rsid w:val="723E08BB"/>
    <w:rsid w:val="724E32D1"/>
    <w:rsid w:val="72541E8D"/>
    <w:rsid w:val="72565C05"/>
    <w:rsid w:val="7257373A"/>
    <w:rsid w:val="725923E4"/>
    <w:rsid w:val="725956F5"/>
    <w:rsid w:val="726447C6"/>
    <w:rsid w:val="72693B8A"/>
    <w:rsid w:val="726E2F4F"/>
    <w:rsid w:val="72750781"/>
    <w:rsid w:val="72864BF7"/>
    <w:rsid w:val="728704B4"/>
    <w:rsid w:val="728E539F"/>
    <w:rsid w:val="72901CD2"/>
    <w:rsid w:val="729023FC"/>
    <w:rsid w:val="72920575"/>
    <w:rsid w:val="729609C1"/>
    <w:rsid w:val="72991384"/>
    <w:rsid w:val="729B5D0E"/>
    <w:rsid w:val="729B7ABC"/>
    <w:rsid w:val="729C5939"/>
    <w:rsid w:val="729D1A86"/>
    <w:rsid w:val="72A03324"/>
    <w:rsid w:val="72A44BC2"/>
    <w:rsid w:val="72A66B8C"/>
    <w:rsid w:val="72A72905"/>
    <w:rsid w:val="72B875F5"/>
    <w:rsid w:val="72BB015E"/>
    <w:rsid w:val="72BF7C4E"/>
    <w:rsid w:val="72C139C6"/>
    <w:rsid w:val="72D8187A"/>
    <w:rsid w:val="72DF5BFA"/>
    <w:rsid w:val="72E2393D"/>
    <w:rsid w:val="72E74AAF"/>
    <w:rsid w:val="72F07E08"/>
    <w:rsid w:val="72F86CBC"/>
    <w:rsid w:val="72FA2A34"/>
    <w:rsid w:val="72FB055A"/>
    <w:rsid w:val="72FD0776"/>
    <w:rsid w:val="730D6C0C"/>
    <w:rsid w:val="730F10D1"/>
    <w:rsid w:val="73260244"/>
    <w:rsid w:val="732D4BB8"/>
    <w:rsid w:val="73334198"/>
    <w:rsid w:val="733C129F"/>
    <w:rsid w:val="733D0B73"/>
    <w:rsid w:val="73426189"/>
    <w:rsid w:val="734343DB"/>
    <w:rsid w:val="734939BC"/>
    <w:rsid w:val="734B7734"/>
    <w:rsid w:val="734D7008"/>
    <w:rsid w:val="73530396"/>
    <w:rsid w:val="735941EA"/>
    <w:rsid w:val="73611486"/>
    <w:rsid w:val="73691968"/>
    <w:rsid w:val="736C3B18"/>
    <w:rsid w:val="736D1458"/>
    <w:rsid w:val="737427E7"/>
    <w:rsid w:val="737478AA"/>
    <w:rsid w:val="7379604F"/>
    <w:rsid w:val="737B6A68"/>
    <w:rsid w:val="737F2F3A"/>
    <w:rsid w:val="73832A2A"/>
    <w:rsid w:val="738D38A8"/>
    <w:rsid w:val="73920EBF"/>
    <w:rsid w:val="739A7D73"/>
    <w:rsid w:val="73A40BF2"/>
    <w:rsid w:val="73A86934"/>
    <w:rsid w:val="73AD3F4B"/>
    <w:rsid w:val="73AD5CF9"/>
    <w:rsid w:val="73C0646E"/>
    <w:rsid w:val="73C80D84"/>
    <w:rsid w:val="73CD1EF7"/>
    <w:rsid w:val="73CE2E42"/>
    <w:rsid w:val="73D239B1"/>
    <w:rsid w:val="73F76F74"/>
    <w:rsid w:val="73F874CE"/>
    <w:rsid w:val="73F97190"/>
    <w:rsid w:val="73FC0A2E"/>
    <w:rsid w:val="740A4EF9"/>
    <w:rsid w:val="740C6EC3"/>
    <w:rsid w:val="740D2C3B"/>
    <w:rsid w:val="74122000"/>
    <w:rsid w:val="74213FF1"/>
    <w:rsid w:val="742222F5"/>
    <w:rsid w:val="742448B0"/>
    <w:rsid w:val="7428616B"/>
    <w:rsid w:val="74320EBF"/>
    <w:rsid w:val="74341F76"/>
    <w:rsid w:val="743C0E2B"/>
    <w:rsid w:val="743E2DF5"/>
    <w:rsid w:val="74401CBE"/>
    <w:rsid w:val="744228E5"/>
    <w:rsid w:val="74476126"/>
    <w:rsid w:val="744D3038"/>
    <w:rsid w:val="744F6BF8"/>
    <w:rsid w:val="74546174"/>
    <w:rsid w:val="74575C64"/>
    <w:rsid w:val="745A5E80"/>
    <w:rsid w:val="745B39A7"/>
    <w:rsid w:val="745B7503"/>
    <w:rsid w:val="745F3497"/>
    <w:rsid w:val="7460720F"/>
    <w:rsid w:val="74624D35"/>
    <w:rsid w:val="74652D5C"/>
    <w:rsid w:val="746740F9"/>
    <w:rsid w:val="74706664"/>
    <w:rsid w:val="74716D26"/>
    <w:rsid w:val="74746816"/>
    <w:rsid w:val="747B1953"/>
    <w:rsid w:val="747B5DF7"/>
    <w:rsid w:val="747D1B6F"/>
    <w:rsid w:val="747F3682"/>
    <w:rsid w:val="74836A59"/>
    <w:rsid w:val="74844CAB"/>
    <w:rsid w:val="74934EEE"/>
    <w:rsid w:val="74980757"/>
    <w:rsid w:val="74996FAB"/>
    <w:rsid w:val="749C4185"/>
    <w:rsid w:val="749E3893"/>
    <w:rsid w:val="74A0585D"/>
    <w:rsid w:val="74AC7D5E"/>
    <w:rsid w:val="74AF784E"/>
    <w:rsid w:val="74B35591"/>
    <w:rsid w:val="74B44E65"/>
    <w:rsid w:val="74B70434"/>
    <w:rsid w:val="74BB4445"/>
    <w:rsid w:val="74BD1F6B"/>
    <w:rsid w:val="74BD640F"/>
    <w:rsid w:val="74BF3F35"/>
    <w:rsid w:val="74C652C4"/>
    <w:rsid w:val="74CE23CA"/>
    <w:rsid w:val="74D516AE"/>
    <w:rsid w:val="74DD0860"/>
    <w:rsid w:val="74E76FE8"/>
    <w:rsid w:val="74E92D60"/>
    <w:rsid w:val="74EE481B"/>
    <w:rsid w:val="74F02341"/>
    <w:rsid w:val="74F636CF"/>
    <w:rsid w:val="74FC6F38"/>
    <w:rsid w:val="750202C6"/>
    <w:rsid w:val="75067759"/>
    <w:rsid w:val="75091655"/>
    <w:rsid w:val="751122B7"/>
    <w:rsid w:val="75137DDD"/>
    <w:rsid w:val="75151DA7"/>
    <w:rsid w:val="751C036B"/>
    <w:rsid w:val="75221C72"/>
    <w:rsid w:val="75267B11"/>
    <w:rsid w:val="752913AF"/>
    <w:rsid w:val="752E6DCD"/>
    <w:rsid w:val="753A35BC"/>
    <w:rsid w:val="75412B9C"/>
    <w:rsid w:val="75436915"/>
    <w:rsid w:val="754B57C9"/>
    <w:rsid w:val="754E7DE2"/>
    <w:rsid w:val="75501031"/>
    <w:rsid w:val="7551380D"/>
    <w:rsid w:val="7553467E"/>
    <w:rsid w:val="75556648"/>
    <w:rsid w:val="75600BE5"/>
    <w:rsid w:val="75630D65"/>
    <w:rsid w:val="7564475C"/>
    <w:rsid w:val="75824101"/>
    <w:rsid w:val="7583797F"/>
    <w:rsid w:val="75862CA5"/>
    <w:rsid w:val="75866801"/>
    <w:rsid w:val="75894543"/>
    <w:rsid w:val="759233F8"/>
    <w:rsid w:val="75952EE8"/>
    <w:rsid w:val="759A04FF"/>
    <w:rsid w:val="759A6441"/>
    <w:rsid w:val="759E7FEF"/>
    <w:rsid w:val="75A35605"/>
    <w:rsid w:val="75A849CA"/>
    <w:rsid w:val="75B415C0"/>
    <w:rsid w:val="75C17839"/>
    <w:rsid w:val="75C335B1"/>
    <w:rsid w:val="75C4732A"/>
    <w:rsid w:val="75CE1F56"/>
    <w:rsid w:val="75CF63FA"/>
    <w:rsid w:val="75D20F1D"/>
    <w:rsid w:val="75D339A9"/>
    <w:rsid w:val="75D51537"/>
    <w:rsid w:val="75D73501"/>
    <w:rsid w:val="75D758FA"/>
    <w:rsid w:val="75D7705D"/>
    <w:rsid w:val="75DA08FB"/>
    <w:rsid w:val="75DA2C18"/>
    <w:rsid w:val="75E26752"/>
    <w:rsid w:val="75E8126A"/>
    <w:rsid w:val="75E874BC"/>
    <w:rsid w:val="75F02ED1"/>
    <w:rsid w:val="75F10BA3"/>
    <w:rsid w:val="75F220E9"/>
    <w:rsid w:val="75F47C0F"/>
    <w:rsid w:val="75F54412"/>
    <w:rsid w:val="75F95225"/>
    <w:rsid w:val="75FC6AC3"/>
    <w:rsid w:val="761279AC"/>
    <w:rsid w:val="76165DD7"/>
    <w:rsid w:val="761A519B"/>
    <w:rsid w:val="761D08E0"/>
    <w:rsid w:val="762027B2"/>
    <w:rsid w:val="76283D5C"/>
    <w:rsid w:val="762C55FB"/>
    <w:rsid w:val="76363F76"/>
    <w:rsid w:val="763C15B6"/>
    <w:rsid w:val="764364A0"/>
    <w:rsid w:val="76481D09"/>
    <w:rsid w:val="764B35A7"/>
    <w:rsid w:val="764C17F9"/>
    <w:rsid w:val="76522B87"/>
    <w:rsid w:val="7653494C"/>
    <w:rsid w:val="76564426"/>
    <w:rsid w:val="76593F16"/>
    <w:rsid w:val="76595CC4"/>
    <w:rsid w:val="765D347C"/>
    <w:rsid w:val="765E152C"/>
    <w:rsid w:val="765E32DA"/>
    <w:rsid w:val="7662101C"/>
    <w:rsid w:val="766308F1"/>
    <w:rsid w:val="76684159"/>
    <w:rsid w:val="766C3C49"/>
    <w:rsid w:val="766D176F"/>
    <w:rsid w:val="766D79C1"/>
    <w:rsid w:val="767567D8"/>
    <w:rsid w:val="76785C13"/>
    <w:rsid w:val="767A772A"/>
    <w:rsid w:val="767B0330"/>
    <w:rsid w:val="768076F4"/>
    <w:rsid w:val="76826699"/>
    <w:rsid w:val="76832D41"/>
    <w:rsid w:val="76854D0B"/>
    <w:rsid w:val="76982C90"/>
    <w:rsid w:val="769D2054"/>
    <w:rsid w:val="769E5DCD"/>
    <w:rsid w:val="769E7B7B"/>
    <w:rsid w:val="76A258BD"/>
    <w:rsid w:val="76A33DD6"/>
    <w:rsid w:val="76A41635"/>
    <w:rsid w:val="76AC673B"/>
    <w:rsid w:val="76B8141B"/>
    <w:rsid w:val="76B86E8E"/>
    <w:rsid w:val="76BD44A5"/>
    <w:rsid w:val="76BD6253"/>
    <w:rsid w:val="76BE7544"/>
    <w:rsid w:val="76C07AF1"/>
    <w:rsid w:val="76C65D5C"/>
    <w:rsid w:val="76C87133"/>
    <w:rsid w:val="76CD08D5"/>
    <w:rsid w:val="76CE0460"/>
    <w:rsid w:val="76CF5F86"/>
    <w:rsid w:val="76D161A2"/>
    <w:rsid w:val="76D17F50"/>
    <w:rsid w:val="76D37824"/>
    <w:rsid w:val="76D637B8"/>
    <w:rsid w:val="76D812DE"/>
    <w:rsid w:val="76D87530"/>
    <w:rsid w:val="76DB4B92"/>
    <w:rsid w:val="76E25CB9"/>
    <w:rsid w:val="76E61C4D"/>
    <w:rsid w:val="76EA1012"/>
    <w:rsid w:val="76EC08E6"/>
    <w:rsid w:val="76EE28B0"/>
    <w:rsid w:val="76F459ED"/>
    <w:rsid w:val="76F679B7"/>
    <w:rsid w:val="770025E3"/>
    <w:rsid w:val="77052AA4"/>
    <w:rsid w:val="77057BFA"/>
    <w:rsid w:val="7706409E"/>
    <w:rsid w:val="770976EA"/>
    <w:rsid w:val="770B3462"/>
    <w:rsid w:val="770C2D36"/>
    <w:rsid w:val="77136511"/>
    <w:rsid w:val="77197ED4"/>
    <w:rsid w:val="771D13E7"/>
    <w:rsid w:val="7722255A"/>
    <w:rsid w:val="77274014"/>
    <w:rsid w:val="7731279D"/>
    <w:rsid w:val="77340A39"/>
    <w:rsid w:val="77351FD0"/>
    <w:rsid w:val="77472422"/>
    <w:rsid w:val="774B1AB0"/>
    <w:rsid w:val="77536BB7"/>
    <w:rsid w:val="77626DFA"/>
    <w:rsid w:val="776C1A27"/>
    <w:rsid w:val="776E1C43"/>
    <w:rsid w:val="77707769"/>
    <w:rsid w:val="77770AF7"/>
    <w:rsid w:val="777A2396"/>
    <w:rsid w:val="777F31F2"/>
    <w:rsid w:val="777F5BFE"/>
    <w:rsid w:val="778C0BCB"/>
    <w:rsid w:val="778C3E77"/>
    <w:rsid w:val="779015FC"/>
    <w:rsid w:val="77950F7E"/>
    <w:rsid w:val="779A77D8"/>
    <w:rsid w:val="77A17922"/>
    <w:rsid w:val="77AB254F"/>
    <w:rsid w:val="77B27D81"/>
    <w:rsid w:val="77BF2C96"/>
    <w:rsid w:val="77C17FC5"/>
    <w:rsid w:val="77C41863"/>
    <w:rsid w:val="77C67389"/>
    <w:rsid w:val="77CF26E1"/>
    <w:rsid w:val="77D1700D"/>
    <w:rsid w:val="77D47CF8"/>
    <w:rsid w:val="77D575CC"/>
    <w:rsid w:val="77DC4DFE"/>
    <w:rsid w:val="77DF669D"/>
    <w:rsid w:val="77E54CD2"/>
    <w:rsid w:val="77E67A2B"/>
    <w:rsid w:val="77E872FF"/>
    <w:rsid w:val="77EC04CC"/>
    <w:rsid w:val="77EF68E0"/>
    <w:rsid w:val="77FE6B23"/>
    <w:rsid w:val="780103C1"/>
    <w:rsid w:val="780305DD"/>
    <w:rsid w:val="7803238B"/>
    <w:rsid w:val="78104AA8"/>
    <w:rsid w:val="78106856"/>
    <w:rsid w:val="781520BE"/>
    <w:rsid w:val="78244A52"/>
    <w:rsid w:val="7826607A"/>
    <w:rsid w:val="7834054B"/>
    <w:rsid w:val="78342545"/>
    <w:rsid w:val="783469E8"/>
    <w:rsid w:val="783A38D3"/>
    <w:rsid w:val="7840713B"/>
    <w:rsid w:val="78420472"/>
    <w:rsid w:val="784A620C"/>
    <w:rsid w:val="784C3D32"/>
    <w:rsid w:val="784F55D0"/>
    <w:rsid w:val="78511348"/>
    <w:rsid w:val="785458E3"/>
    <w:rsid w:val="7855070D"/>
    <w:rsid w:val="785726D7"/>
    <w:rsid w:val="785E3A65"/>
    <w:rsid w:val="78680440"/>
    <w:rsid w:val="786A41B8"/>
    <w:rsid w:val="786D3CA8"/>
    <w:rsid w:val="78775729"/>
    <w:rsid w:val="78857244"/>
    <w:rsid w:val="788D60F9"/>
    <w:rsid w:val="789D0631"/>
    <w:rsid w:val="789D27E0"/>
    <w:rsid w:val="789E20B4"/>
    <w:rsid w:val="78A21BA4"/>
    <w:rsid w:val="78A33E37"/>
    <w:rsid w:val="78A42DB0"/>
    <w:rsid w:val="78A656AB"/>
    <w:rsid w:val="78A70F68"/>
    <w:rsid w:val="78B10039"/>
    <w:rsid w:val="78B13B95"/>
    <w:rsid w:val="78B2245C"/>
    <w:rsid w:val="78B32063"/>
    <w:rsid w:val="78B611AB"/>
    <w:rsid w:val="78B673FD"/>
    <w:rsid w:val="78C37D6C"/>
    <w:rsid w:val="78CA4C57"/>
    <w:rsid w:val="78D14237"/>
    <w:rsid w:val="78DF4BA6"/>
    <w:rsid w:val="78E172CC"/>
    <w:rsid w:val="78E201F2"/>
    <w:rsid w:val="78E33F6B"/>
    <w:rsid w:val="78E421BD"/>
    <w:rsid w:val="78EA1D1F"/>
    <w:rsid w:val="78EE6B97"/>
    <w:rsid w:val="78F41CD4"/>
    <w:rsid w:val="78F44C22"/>
    <w:rsid w:val="78F87A16"/>
    <w:rsid w:val="78FB12B4"/>
    <w:rsid w:val="78FD6DDA"/>
    <w:rsid w:val="78FE2B52"/>
    <w:rsid w:val="79030169"/>
    <w:rsid w:val="7904172F"/>
    <w:rsid w:val="79050385"/>
    <w:rsid w:val="79052133"/>
    <w:rsid w:val="79077C59"/>
    <w:rsid w:val="790E548B"/>
    <w:rsid w:val="790F4D60"/>
    <w:rsid w:val="790F7E27"/>
    <w:rsid w:val="79102FB2"/>
    <w:rsid w:val="79134850"/>
    <w:rsid w:val="7919798C"/>
    <w:rsid w:val="791A69E7"/>
    <w:rsid w:val="791D56CF"/>
    <w:rsid w:val="791D747D"/>
    <w:rsid w:val="79206F6D"/>
    <w:rsid w:val="792410CB"/>
    <w:rsid w:val="7925031F"/>
    <w:rsid w:val="792627D5"/>
    <w:rsid w:val="79273E57"/>
    <w:rsid w:val="792A231A"/>
    <w:rsid w:val="792A3948"/>
    <w:rsid w:val="79316829"/>
    <w:rsid w:val="79333A86"/>
    <w:rsid w:val="79382508"/>
    <w:rsid w:val="793B5B55"/>
    <w:rsid w:val="793B60A2"/>
    <w:rsid w:val="793E2143"/>
    <w:rsid w:val="793F3897"/>
    <w:rsid w:val="793F5645"/>
    <w:rsid w:val="79442C5B"/>
    <w:rsid w:val="79444A09"/>
    <w:rsid w:val="7947274B"/>
    <w:rsid w:val="794C7D62"/>
    <w:rsid w:val="794E5888"/>
    <w:rsid w:val="795F1383"/>
    <w:rsid w:val="79702308"/>
    <w:rsid w:val="797057FE"/>
    <w:rsid w:val="797E66A9"/>
    <w:rsid w:val="79825532"/>
    <w:rsid w:val="798474FC"/>
    <w:rsid w:val="79865022"/>
    <w:rsid w:val="79876FEC"/>
    <w:rsid w:val="799040F2"/>
    <w:rsid w:val="79921C19"/>
    <w:rsid w:val="799B65F3"/>
    <w:rsid w:val="79A279F4"/>
    <w:rsid w:val="79A33E26"/>
    <w:rsid w:val="79A97383"/>
    <w:rsid w:val="79AA3928"/>
    <w:rsid w:val="79AB6836"/>
    <w:rsid w:val="79B4528C"/>
    <w:rsid w:val="79C1605A"/>
    <w:rsid w:val="79C773E8"/>
    <w:rsid w:val="79C8388C"/>
    <w:rsid w:val="79C8563A"/>
    <w:rsid w:val="79CB6ED9"/>
    <w:rsid w:val="79CD2C51"/>
    <w:rsid w:val="79CE4C1B"/>
    <w:rsid w:val="79CE69C9"/>
    <w:rsid w:val="79D95265"/>
    <w:rsid w:val="79DC10E6"/>
    <w:rsid w:val="79DE4E5E"/>
    <w:rsid w:val="79DF0BD6"/>
    <w:rsid w:val="79E27E8B"/>
    <w:rsid w:val="79EA0DBB"/>
    <w:rsid w:val="79EE2BC7"/>
    <w:rsid w:val="79EF706B"/>
    <w:rsid w:val="79F301DD"/>
    <w:rsid w:val="79F850CE"/>
    <w:rsid w:val="79FA77BE"/>
    <w:rsid w:val="79FD443C"/>
    <w:rsid w:val="79FF3026"/>
    <w:rsid w:val="79FF36E3"/>
    <w:rsid w:val="79FF4DD4"/>
    <w:rsid w:val="7A02057D"/>
    <w:rsid w:val="7A0917AF"/>
    <w:rsid w:val="7A0D5743"/>
    <w:rsid w:val="7A1244BA"/>
    <w:rsid w:val="7A1B7E60"/>
    <w:rsid w:val="7A1C14E2"/>
    <w:rsid w:val="7A1D1975"/>
    <w:rsid w:val="7A1E0312"/>
    <w:rsid w:val="7A1E34AC"/>
    <w:rsid w:val="7A24780B"/>
    <w:rsid w:val="7A291E51"/>
    <w:rsid w:val="7A2C0B6E"/>
    <w:rsid w:val="7A344A7E"/>
    <w:rsid w:val="7A3A401F"/>
    <w:rsid w:val="7A3C1B84"/>
    <w:rsid w:val="7A3E5150"/>
    <w:rsid w:val="7A401675"/>
    <w:rsid w:val="7A4153ED"/>
    <w:rsid w:val="7A4670D6"/>
    <w:rsid w:val="7A49604F"/>
    <w:rsid w:val="7A534B63"/>
    <w:rsid w:val="7A546ECE"/>
    <w:rsid w:val="7A5769BE"/>
    <w:rsid w:val="7A5E5F9F"/>
    <w:rsid w:val="7A603AC5"/>
    <w:rsid w:val="7A615382"/>
    <w:rsid w:val="7A61783D"/>
    <w:rsid w:val="7A65732D"/>
    <w:rsid w:val="7A666C01"/>
    <w:rsid w:val="7A67303B"/>
    <w:rsid w:val="7A6F427A"/>
    <w:rsid w:val="7A7632E8"/>
    <w:rsid w:val="7A794B87"/>
    <w:rsid w:val="7A884DCA"/>
    <w:rsid w:val="7A8D2CB9"/>
    <w:rsid w:val="7A925C48"/>
    <w:rsid w:val="7A94376E"/>
    <w:rsid w:val="7A9C2623"/>
    <w:rsid w:val="7A9E639B"/>
    <w:rsid w:val="7AA31C03"/>
    <w:rsid w:val="7AAB1D04"/>
    <w:rsid w:val="7AB21E46"/>
    <w:rsid w:val="7AB91427"/>
    <w:rsid w:val="7ABA4368"/>
    <w:rsid w:val="7AC202DC"/>
    <w:rsid w:val="7AC57DCC"/>
    <w:rsid w:val="7ACA53E2"/>
    <w:rsid w:val="7ACD0A2E"/>
    <w:rsid w:val="7ACD6C80"/>
    <w:rsid w:val="7ACE4ED2"/>
    <w:rsid w:val="7ACF29F8"/>
    <w:rsid w:val="7AD05746"/>
    <w:rsid w:val="7AD24297"/>
    <w:rsid w:val="7AD7365B"/>
    <w:rsid w:val="7AD95625"/>
    <w:rsid w:val="7AE244DA"/>
    <w:rsid w:val="7AE77D42"/>
    <w:rsid w:val="7AF661D7"/>
    <w:rsid w:val="7AF75AAB"/>
    <w:rsid w:val="7AFD57B8"/>
    <w:rsid w:val="7AFE6E3A"/>
    <w:rsid w:val="7B022DCE"/>
    <w:rsid w:val="7B087CB8"/>
    <w:rsid w:val="7B0C77A9"/>
    <w:rsid w:val="7B0E1773"/>
    <w:rsid w:val="7B0F7299"/>
    <w:rsid w:val="7B184D84"/>
    <w:rsid w:val="7B18614D"/>
    <w:rsid w:val="7B1B5C3E"/>
    <w:rsid w:val="7B25086A"/>
    <w:rsid w:val="7B257FFD"/>
    <w:rsid w:val="7B2D0220"/>
    <w:rsid w:val="7B310FBD"/>
    <w:rsid w:val="7B315461"/>
    <w:rsid w:val="7B343476"/>
    <w:rsid w:val="7B346CFF"/>
    <w:rsid w:val="7B3867F0"/>
    <w:rsid w:val="7B3E36DA"/>
    <w:rsid w:val="7B3F7B7E"/>
    <w:rsid w:val="7B3F97B1"/>
    <w:rsid w:val="7B4428FF"/>
    <w:rsid w:val="7B450F0D"/>
    <w:rsid w:val="7B474C85"/>
    <w:rsid w:val="7B4909FD"/>
    <w:rsid w:val="7B4B6523"/>
    <w:rsid w:val="7B4C5DF7"/>
    <w:rsid w:val="7B4E1B6F"/>
    <w:rsid w:val="7B4F7695"/>
    <w:rsid w:val="7B58479C"/>
    <w:rsid w:val="7B5A2978"/>
    <w:rsid w:val="7B5A7E4C"/>
    <w:rsid w:val="7B5B603A"/>
    <w:rsid w:val="7B65510B"/>
    <w:rsid w:val="7B667AF9"/>
    <w:rsid w:val="7B670E83"/>
    <w:rsid w:val="7B7468F8"/>
    <w:rsid w:val="7B7470FC"/>
    <w:rsid w:val="7B7E2A90"/>
    <w:rsid w:val="7B841A35"/>
    <w:rsid w:val="7B8E4662"/>
    <w:rsid w:val="7B963516"/>
    <w:rsid w:val="7B9F061D"/>
    <w:rsid w:val="7BA172BA"/>
    <w:rsid w:val="7BA63759"/>
    <w:rsid w:val="7BAE260E"/>
    <w:rsid w:val="7BB37C24"/>
    <w:rsid w:val="7BBA5457"/>
    <w:rsid w:val="7BBC2F7D"/>
    <w:rsid w:val="7BC167E5"/>
    <w:rsid w:val="7BC260B9"/>
    <w:rsid w:val="7BCB7664"/>
    <w:rsid w:val="7BCE4A5E"/>
    <w:rsid w:val="7BD302C6"/>
    <w:rsid w:val="7BD61B65"/>
    <w:rsid w:val="7BDD1145"/>
    <w:rsid w:val="7BDF4EBD"/>
    <w:rsid w:val="7BE40725"/>
    <w:rsid w:val="7BED75DA"/>
    <w:rsid w:val="7BEE0103"/>
    <w:rsid w:val="7BEE5100"/>
    <w:rsid w:val="7BF302A3"/>
    <w:rsid w:val="7BF546E1"/>
    <w:rsid w:val="7BFA1CF7"/>
    <w:rsid w:val="7BFD3595"/>
    <w:rsid w:val="7C084414"/>
    <w:rsid w:val="7C093CE8"/>
    <w:rsid w:val="7C0A0FE4"/>
    <w:rsid w:val="7C105077"/>
    <w:rsid w:val="7C1508DF"/>
    <w:rsid w:val="7C15268D"/>
    <w:rsid w:val="7C1A7CA3"/>
    <w:rsid w:val="7C23124E"/>
    <w:rsid w:val="7C240B22"/>
    <w:rsid w:val="7C254906"/>
    <w:rsid w:val="7C272C0F"/>
    <w:rsid w:val="7C280623"/>
    <w:rsid w:val="7C29438A"/>
    <w:rsid w:val="7C330D65"/>
    <w:rsid w:val="7C336FB7"/>
    <w:rsid w:val="7C3A6597"/>
    <w:rsid w:val="7C3F3BAE"/>
    <w:rsid w:val="7C3F770A"/>
    <w:rsid w:val="7C417926"/>
    <w:rsid w:val="7C422690"/>
    <w:rsid w:val="7C46246B"/>
    <w:rsid w:val="7C492337"/>
    <w:rsid w:val="7C4A67DB"/>
    <w:rsid w:val="7C4D1E27"/>
    <w:rsid w:val="7C4E41EC"/>
    <w:rsid w:val="7C5036C5"/>
    <w:rsid w:val="7C507B69"/>
    <w:rsid w:val="7C55517F"/>
    <w:rsid w:val="7C590818"/>
    <w:rsid w:val="7C594C70"/>
    <w:rsid w:val="7C5950EA"/>
    <w:rsid w:val="7C5F1CF3"/>
    <w:rsid w:val="7C6453C2"/>
    <w:rsid w:val="7C6D24C9"/>
    <w:rsid w:val="7C7056D8"/>
    <w:rsid w:val="7C725D31"/>
    <w:rsid w:val="7C743857"/>
    <w:rsid w:val="7C7575D0"/>
    <w:rsid w:val="7C7C10F6"/>
    <w:rsid w:val="7C7E46D6"/>
    <w:rsid w:val="7C835849"/>
    <w:rsid w:val="7C853BEA"/>
    <w:rsid w:val="7C86358B"/>
    <w:rsid w:val="7C881368"/>
    <w:rsid w:val="7C8A307B"/>
    <w:rsid w:val="7C8F68E3"/>
    <w:rsid w:val="7C907F65"/>
    <w:rsid w:val="7C9C4B5C"/>
    <w:rsid w:val="7C9E2682"/>
    <w:rsid w:val="7CA35EEB"/>
    <w:rsid w:val="7CAD5269"/>
    <w:rsid w:val="7CB24380"/>
    <w:rsid w:val="7CB9570E"/>
    <w:rsid w:val="7CBB1486"/>
    <w:rsid w:val="7CC06A9D"/>
    <w:rsid w:val="7CD9190C"/>
    <w:rsid w:val="7CDC13FD"/>
    <w:rsid w:val="7CE03211"/>
    <w:rsid w:val="7CE27788"/>
    <w:rsid w:val="7CE85FF3"/>
    <w:rsid w:val="7CF90201"/>
    <w:rsid w:val="7CF91FAF"/>
    <w:rsid w:val="7CFC6AAB"/>
    <w:rsid w:val="7D0C32F1"/>
    <w:rsid w:val="7D0F408D"/>
    <w:rsid w:val="7D0F532E"/>
    <w:rsid w:val="7D1961AD"/>
    <w:rsid w:val="7D197F5B"/>
    <w:rsid w:val="7D1B1F25"/>
    <w:rsid w:val="7D1D3EEF"/>
    <w:rsid w:val="7D382AD7"/>
    <w:rsid w:val="7D3923AB"/>
    <w:rsid w:val="7D3B4375"/>
    <w:rsid w:val="7D3D633F"/>
    <w:rsid w:val="7D425704"/>
    <w:rsid w:val="7D491C6C"/>
    <w:rsid w:val="7D4F7E21"/>
    <w:rsid w:val="7D5429C0"/>
    <w:rsid w:val="7D567401"/>
    <w:rsid w:val="7D5947FB"/>
    <w:rsid w:val="7D5E0064"/>
    <w:rsid w:val="7D5F62B6"/>
    <w:rsid w:val="7D603DDC"/>
    <w:rsid w:val="7D641B1E"/>
    <w:rsid w:val="7D6679FD"/>
    <w:rsid w:val="7D692C90"/>
    <w:rsid w:val="7D6E64F9"/>
    <w:rsid w:val="7D6E6D43"/>
    <w:rsid w:val="7D755AD9"/>
    <w:rsid w:val="7D7653AD"/>
    <w:rsid w:val="7D7D498E"/>
    <w:rsid w:val="7D80622C"/>
    <w:rsid w:val="7D8335F7"/>
    <w:rsid w:val="7D871368"/>
    <w:rsid w:val="7D891584"/>
    <w:rsid w:val="7D8E6B9B"/>
    <w:rsid w:val="7DA4016C"/>
    <w:rsid w:val="7DA43CC8"/>
    <w:rsid w:val="7DA912DF"/>
    <w:rsid w:val="7DA91877"/>
    <w:rsid w:val="7DB57A34"/>
    <w:rsid w:val="7DBB7264"/>
    <w:rsid w:val="7DBD4D8A"/>
    <w:rsid w:val="7DD00A7F"/>
    <w:rsid w:val="7DD345AE"/>
    <w:rsid w:val="7DD83D60"/>
    <w:rsid w:val="7DD870F9"/>
    <w:rsid w:val="7DE467BB"/>
    <w:rsid w:val="7DE60973"/>
    <w:rsid w:val="7DE92023"/>
    <w:rsid w:val="7DEA3E93"/>
    <w:rsid w:val="7DEF0916"/>
    <w:rsid w:val="7DF52776"/>
    <w:rsid w:val="7DF80E09"/>
    <w:rsid w:val="7DFA5FDE"/>
    <w:rsid w:val="7DFA7D8C"/>
    <w:rsid w:val="7E132BFC"/>
    <w:rsid w:val="7E152E18"/>
    <w:rsid w:val="7E175822"/>
    <w:rsid w:val="7E19B834"/>
    <w:rsid w:val="7E1C5F55"/>
    <w:rsid w:val="7E1C763D"/>
    <w:rsid w:val="7E1D1CCD"/>
    <w:rsid w:val="7E1E5218"/>
    <w:rsid w:val="7E2412AD"/>
    <w:rsid w:val="7E2A260C"/>
    <w:rsid w:val="7E327526"/>
    <w:rsid w:val="7E3F7E95"/>
    <w:rsid w:val="7E462FD2"/>
    <w:rsid w:val="7E464D80"/>
    <w:rsid w:val="7E4B683A"/>
    <w:rsid w:val="7E551467"/>
    <w:rsid w:val="7E5576B9"/>
    <w:rsid w:val="7E5751DF"/>
    <w:rsid w:val="7E5C0A47"/>
    <w:rsid w:val="7E5C37D1"/>
    <w:rsid w:val="7E5E47BF"/>
    <w:rsid w:val="7E66131A"/>
    <w:rsid w:val="7E6D67B0"/>
    <w:rsid w:val="7E6E2528"/>
    <w:rsid w:val="7E745D91"/>
    <w:rsid w:val="7E751B09"/>
    <w:rsid w:val="7E7538B7"/>
    <w:rsid w:val="7E781FEE"/>
    <w:rsid w:val="7E795155"/>
    <w:rsid w:val="7E7E276B"/>
    <w:rsid w:val="7E865AC4"/>
    <w:rsid w:val="7E906943"/>
    <w:rsid w:val="7E9A4E1F"/>
    <w:rsid w:val="7EA36676"/>
    <w:rsid w:val="7EA7723A"/>
    <w:rsid w:val="7EA83C8C"/>
    <w:rsid w:val="7EAD12A3"/>
    <w:rsid w:val="7EBC09D3"/>
    <w:rsid w:val="7EBF106A"/>
    <w:rsid w:val="7EC108AA"/>
    <w:rsid w:val="7EC34622"/>
    <w:rsid w:val="7EC565EC"/>
    <w:rsid w:val="7EC860DC"/>
    <w:rsid w:val="7ECB34D7"/>
    <w:rsid w:val="7ECD36F3"/>
    <w:rsid w:val="7ED14F91"/>
    <w:rsid w:val="7ED607F9"/>
    <w:rsid w:val="7ED71E7C"/>
    <w:rsid w:val="7ED95BF4"/>
    <w:rsid w:val="7EDC1B88"/>
    <w:rsid w:val="7EE225C8"/>
    <w:rsid w:val="7EEF5417"/>
    <w:rsid w:val="7EEF71C5"/>
    <w:rsid w:val="7EF56FBB"/>
    <w:rsid w:val="7EF7251E"/>
    <w:rsid w:val="7EF944E8"/>
    <w:rsid w:val="7EF96296"/>
    <w:rsid w:val="7EFC5D86"/>
    <w:rsid w:val="7F0768EB"/>
    <w:rsid w:val="7F1135E0"/>
    <w:rsid w:val="7F143BEC"/>
    <w:rsid w:val="7F17671C"/>
    <w:rsid w:val="7F21759B"/>
    <w:rsid w:val="7F2E23E3"/>
    <w:rsid w:val="7F345520"/>
    <w:rsid w:val="7F370B6C"/>
    <w:rsid w:val="7F3B065C"/>
    <w:rsid w:val="7F480FCB"/>
    <w:rsid w:val="7F4A08A0"/>
    <w:rsid w:val="7F4A7735"/>
    <w:rsid w:val="7F4C4618"/>
    <w:rsid w:val="7F4D213E"/>
    <w:rsid w:val="7F5160D2"/>
    <w:rsid w:val="7F531E4A"/>
    <w:rsid w:val="7F54171E"/>
    <w:rsid w:val="7F587460"/>
    <w:rsid w:val="7F5931D8"/>
    <w:rsid w:val="7F5E259D"/>
    <w:rsid w:val="7F625BE9"/>
    <w:rsid w:val="7F637BB3"/>
    <w:rsid w:val="7F651B7D"/>
    <w:rsid w:val="7F6556D9"/>
    <w:rsid w:val="7F714848"/>
    <w:rsid w:val="7F715AF2"/>
    <w:rsid w:val="7F737DF6"/>
    <w:rsid w:val="7F743B6E"/>
    <w:rsid w:val="7F7678E7"/>
    <w:rsid w:val="7F7818B1"/>
    <w:rsid w:val="7F7E49ED"/>
    <w:rsid w:val="7F8042C1"/>
    <w:rsid w:val="7F840255"/>
    <w:rsid w:val="7F853FCE"/>
    <w:rsid w:val="7F871AF4"/>
    <w:rsid w:val="7F886E69"/>
    <w:rsid w:val="7F8A15E4"/>
    <w:rsid w:val="7F8A164E"/>
    <w:rsid w:val="7F8C0EB8"/>
    <w:rsid w:val="7F8F09A8"/>
    <w:rsid w:val="7F9145F0"/>
    <w:rsid w:val="7F96031C"/>
    <w:rsid w:val="7F985AAF"/>
    <w:rsid w:val="7F9B4A72"/>
    <w:rsid w:val="7F9E0BEB"/>
    <w:rsid w:val="7F9E2999"/>
    <w:rsid w:val="7FB16B71"/>
    <w:rsid w:val="7FB36445"/>
    <w:rsid w:val="7FB4040F"/>
    <w:rsid w:val="7FBA5A25"/>
    <w:rsid w:val="7FBD5515"/>
    <w:rsid w:val="7FC70142"/>
    <w:rsid w:val="7FC95C68"/>
    <w:rsid w:val="7FCE0033"/>
    <w:rsid w:val="7FD36931"/>
    <w:rsid w:val="7FD5E1F0"/>
    <w:rsid w:val="7FE707E4"/>
    <w:rsid w:val="7FE752AB"/>
    <w:rsid w:val="7FEE1B73"/>
    <w:rsid w:val="7FF32CE5"/>
    <w:rsid w:val="7FF4427A"/>
    <w:rsid w:val="7FF54CAF"/>
    <w:rsid w:val="7FFC4290"/>
    <w:rsid w:val="7FFD1DB6"/>
    <w:rsid w:val="BB7FA927"/>
    <w:rsid w:val="BB9F468C"/>
    <w:rsid w:val="BCEF73CD"/>
    <w:rsid w:val="BFD6262E"/>
    <w:rsid w:val="F5FFD31F"/>
    <w:rsid w:val="FBDE30A6"/>
    <w:rsid w:val="FCF5D1C7"/>
    <w:rsid w:val="FE775F58"/>
    <w:rsid w:val="FFBBF57C"/>
    <w:rsid w:val="FFFF54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3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9"/>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269"/>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8"/>
    <w:qFormat/>
    <w:uiPriority w:val="0"/>
    <w:pPr>
      <w:ind w:left="100" w:leftChars="2500"/>
    </w:pPr>
    <w:rPr>
      <w:rFonts w:ascii="宋体"/>
      <w:sz w:val="24"/>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95"/>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4"/>
    <w:qFormat/>
    <w:uiPriority w:val="0"/>
    <w:pPr>
      <w:spacing w:after="120" w:line="480" w:lineRule="auto"/>
    </w:pPr>
  </w:style>
  <w:style w:type="paragraph" w:styleId="56">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next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105"/>
    <w:qFormat/>
    <w:uiPriority w:val="0"/>
    <w:rPr>
      <w:b/>
      <w:bCs/>
    </w:rPr>
  </w:style>
  <w:style w:type="paragraph" w:styleId="60">
    <w:name w:val="Body Text First Indent"/>
    <w:basedOn w:val="2"/>
    <w:next w:val="50"/>
    <w:link w:val="323"/>
    <w:qFormat/>
    <w:uiPriority w:val="0"/>
    <w:pPr>
      <w:ind w:firstLine="420"/>
    </w:pPr>
    <w:rPr>
      <w:rFonts w:hAnsi="Calibri" w:cs="Times New Roman"/>
      <w:snapToGrid/>
      <w:szCs w:val="20"/>
    </w:rPr>
  </w:style>
  <w:style w:type="paragraph" w:styleId="61">
    <w:name w:val="Body Text First Indent 2"/>
    <w:basedOn w:val="24"/>
    <w:link w:val="12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Default"/>
    <w:next w:val="57"/>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1">
    <w:name w:val="标题 1 Char"/>
    <w:link w:val="3"/>
    <w:qFormat/>
    <w:uiPriority w:val="9"/>
    <w:rPr>
      <w:b/>
      <w:bCs/>
      <w:kern w:val="44"/>
      <w:sz w:val="44"/>
      <w:szCs w:val="44"/>
    </w:rPr>
  </w:style>
  <w:style w:type="character" w:customStyle="1" w:styleId="82">
    <w:name w:val="标题 2 Char"/>
    <w:qFormat/>
    <w:uiPriority w:val="0"/>
    <w:rPr>
      <w:rFonts w:ascii="Arial" w:hAnsi="Arial" w:eastAsia="黑体"/>
      <w:b/>
      <w:kern w:val="2"/>
      <w:sz w:val="32"/>
      <w:lang w:val="en-US" w:eastAsia="zh-CN"/>
    </w:rPr>
  </w:style>
  <w:style w:type="character" w:customStyle="1" w:styleId="83">
    <w:name w:val="标题 4 字符"/>
    <w:qFormat/>
    <w:uiPriority w:val="9"/>
    <w:rPr>
      <w:rFonts w:ascii="等线 Light" w:hAnsi="等线 Light" w:eastAsia="等线 Light" w:cs="Times New Roman"/>
      <w:b/>
      <w:bCs/>
      <w:snapToGrid w:val="0"/>
      <w:kern w:val="0"/>
      <w:sz w:val="28"/>
      <w:szCs w:val="28"/>
    </w:rPr>
  </w:style>
  <w:style w:type="character" w:customStyle="1" w:styleId="84">
    <w:name w:val="标题 2 字符"/>
    <w:qFormat/>
    <w:uiPriority w:val="1"/>
    <w:rPr>
      <w:rFonts w:ascii="仿宋_GB2312" w:hAnsi="Times New Roman" w:eastAsia="仿宋_GB2312" w:cs="Times New Roman"/>
      <w:b/>
      <w:kern w:val="2"/>
      <w:sz w:val="24"/>
      <w:lang w:val="zh-CN"/>
    </w:rPr>
  </w:style>
  <w:style w:type="paragraph" w:styleId="85">
    <w:name w:val="List Paragraph"/>
    <w:basedOn w:val="1"/>
    <w:next w:val="1"/>
    <w:qFormat/>
    <w:uiPriority w:val="34"/>
    <w:pPr>
      <w:spacing w:line="360" w:lineRule="auto"/>
      <w:ind w:firstLine="200" w:firstLineChars="200"/>
    </w:pPr>
    <w:rPr>
      <w:rFonts w:eastAsia="楷体_GB2312" w:cs="Lucida Sans"/>
      <w:sz w:val="24"/>
    </w:rPr>
  </w:style>
  <w:style w:type="character" w:customStyle="1" w:styleId="86">
    <w:name w:val="正文缩进 字符"/>
    <w:qFormat/>
    <w:uiPriority w:val="0"/>
    <w:rPr>
      <w:rFonts w:ascii="宋体" w:eastAsia="宋体"/>
      <w:snapToGrid w:val="0"/>
      <w:color w:val="000000"/>
      <w:kern w:val="28"/>
      <w:sz w:val="28"/>
      <w:lang w:val="en-US" w:eastAsia="zh-CN" w:bidi="ar-SA"/>
    </w:rPr>
  </w:style>
  <w:style w:type="character" w:customStyle="1" w:styleId="87">
    <w:name w:val="正文文本 Char"/>
    <w:qFormat/>
    <w:uiPriority w:val="0"/>
    <w:rPr>
      <w:rFonts w:eastAsia="宋体"/>
      <w:kern w:val="2"/>
      <w:sz w:val="24"/>
      <w:szCs w:val="24"/>
      <w:lang w:val="en-US" w:eastAsia="zh-CN" w:bidi="ar-SA"/>
    </w:rPr>
  </w:style>
  <w:style w:type="paragraph" w:customStyle="1" w:styleId="88">
    <w:name w:val="样式6"/>
    <w:basedOn w:val="32"/>
    <w:next w:val="2"/>
    <w:qFormat/>
    <w:uiPriority w:val="0"/>
    <w:pPr>
      <w:spacing w:line="460" w:lineRule="exact"/>
      <w:outlineLvl w:val="2"/>
    </w:pPr>
    <w:rPr>
      <w:rFonts w:ascii="仿宋_GB2312" w:hAnsi="宋体" w:eastAsia="仿宋_GB2312"/>
      <w:b/>
      <w:bCs/>
      <w:sz w:val="24"/>
      <w:szCs w:val="24"/>
    </w:rPr>
  </w:style>
  <w:style w:type="character" w:customStyle="1" w:styleId="89">
    <w:name w:val="标题 1 字符"/>
    <w:qFormat/>
    <w:uiPriority w:val="9"/>
    <w:rPr>
      <w:rFonts w:ascii="Arial" w:hAnsi="Arial" w:eastAsia="黑体" w:cs="Arial"/>
      <w:b/>
      <w:bCs/>
      <w:snapToGrid w:val="0"/>
      <w:kern w:val="44"/>
      <w:sz w:val="44"/>
      <w:szCs w:val="44"/>
    </w:rPr>
  </w:style>
  <w:style w:type="character" w:customStyle="1" w:styleId="90">
    <w:name w:val="标题 3 字符"/>
    <w:qFormat/>
    <w:uiPriority w:val="9"/>
    <w:rPr>
      <w:b/>
      <w:bCs/>
      <w:kern w:val="2"/>
      <w:sz w:val="32"/>
      <w:szCs w:val="32"/>
    </w:rPr>
  </w:style>
  <w:style w:type="character" w:customStyle="1" w:styleId="91">
    <w:name w:val="表格非标题文字 Char"/>
    <w:link w:val="92"/>
    <w:qFormat/>
    <w:uiPriority w:val="0"/>
    <w:rPr>
      <w:rFonts w:ascii="Futura Bk" w:hAnsi="Futura Bk"/>
      <w:kern w:val="2"/>
      <w:sz w:val="18"/>
      <w:szCs w:val="21"/>
      <w:lang w:val="en-US" w:eastAsia="zh-CN" w:bidi="ar-SA"/>
    </w:rPr>
  </w:style>
  <w:style w:type="paragraph" w:customStyle="1" w:styleId="92">
    <w:name w:val="表格非标题文字"/>
    <w:link w:val="9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qFormat/>
    <w:locked/>
    <w:uiPriority w:val="0"/>
    <w:rPr>
      <w:rFonts w:ascii="宋体" w:hAnsi="宋体"/>
      <w:sz w:val="24"/>
    </w:rPr>
  </w:style>
  <w:style w:type="paragraph" w:customStyle="1" w:styleId="94">
    <w:name w:val="*正文"/>
    <w:basedOn w:val="1"/>
    <w:link w:val="93"/>
    <w:qFormat/>
    <w:uiPriority w:val="0"/>
    <w:pPr>
      <w:snapToGrid w:val="0"/>
      <w:spacing w:line="360" w:lineRule="auto"/>
      <w:ind w:firstLine="482"/>
      <w:jc w:val="left"/>
    </w:pPr>
    <w:rPr>
      <w:rFonts w:ascii="宋体" w:hAnsi="宋体"/>
      <w:kern w:val="0"/>
      <w:sz w:val="24"/>
      <w:szCs w:val="20"/>
    </w:rPr>
  </w:style>
  <w:style w:type="character" w:customStyle="1" w:styleId="95">
    <w:name w:val="Char Char71"/>
    <w:semiHidden/>
    <w:qFormat/>
    <w:uiPriority w:val="0"/>
    <w:rPr>
      <w:rFonts w:eastAsia="宋体"/>
      <w:kern w:val="2"/>
      <w:sz w:val="21"/>
      <w:szCs w:val="24"/>
      <w:lang w:val="en-US" w:eastAsia="zh-CN" w:bidi="ar-SA"/>
    </w:rPr>
  </w:style>
  <w:style w:type="character" w:customStyle="1" w:styleId="96">
    <w:name w:val="Char Char6"/>
    <w:qFormat/>
    <w:uiPriority w:val="0"/>
    <w:rPr>
      <w:rFonts w:eastAsia="宋体"/>
      <w:kern w:val="2"/>
      <w:sz w:val="21"/>
      <w:szCs w:val="24"/>
      <w:lang w:val="en-US" w:eastAsia="zh-CN" w:bidi="ar-SA"/>
    </w:rPr>
  </w:style>
  <w:style w:type="character" w:customStyle="1" w:styleId="97">
    <w:name w:val="正文缩进 Char"/>
    <w:qFormat/>
    <w:uiPriority w:val="0"/>
    <w:rPr>
      <w:rFonts w:eastAsia="宋体"/>
      <w:kern w:val="2"/>
      <w:sz w:val="21"/>
      <w:lang w:val="en-US" w:eastAsia="zh-CN"/>
    </w:rPr>
  </w:style>
  <w:style w:type="character" w:customStyle="1" w:styleId="98">
    <w:name w:val="正文首行缩进 Char1"/>
    <w:qFormat/>
    <w:uiPriority w:val="0"/>
    <w:rPr>
      <w:rFonts w:ascii="宋体" w:hAnsi="Times New Roman" w:eastAsia="宋体" w:cs="Times New Roman"/>
      <w:snapToGrid w:val="0"/>
      <w:kern w:val="2"/>
      <w:sz w:val="24"/>
      <w:szCs w:val="21"/>
      <w:lang w:val="zh-CN"/>
    </w:rPr>
  </w:style>
  <w:style w:type="character" w:customStyle="1" w:styleId="99">
    <w:name w:val="Char Char28"/>
    <w:qFormat/>
    <w:uiPriority w:val="6"/>
    <w:rPr>
      <w:rFonts w:ascii="仿宋_GB2312" w:hAnsi="仿宋_GB2312" w:eastAsia="仿宋_GB2312"/>
      <w:kern w:val="1"/>
      <w:sz w:val="28"/>
    </w:rPr>
  </w:style>
  <w:style w:type="character" w:customStyle="1" w:styleId="10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qFormat/>
    <w:uiPriority w:val="6"/>
    <w:rPr>
      <w:rFonts w:ascii="Times New Roman" w:hAnsi="Times New Roman" w:eastAsia="黑体" w:cs="Times New Roman"/>
      <w:b/>
      <w:kern w:val="0"/>
      <w:sz w:val="24"/>
      <w:szCs w:val="24"/>
    </w:rPr>
  </w:style>
  <w:style w:type="character" w:customStyle="1" w:styleId="102">
    <w:name w:val="U_正文 Char"/>
    <w:link w:val="103"/>
    <w:qFormat/>
    <w:uiPriority w:val="0"/>
    <w:rPr>
      <w:sz w:val="24"/>
      <w:szCs w:val="24"/>
    </w:rPr>
  </w:style>
  <w:style w:type="paragraph" w:customStyle="1" w:styleId="103">
    <w:name w:val="U_正文"/>
    <w:basedOn w:val="1"/>
    <w:link w:val="102"/>
    <w:qFormat/>
    <w:uiPriority w:val="0"/>
    <w:pPr>
      <w:adjustRightInd/>
      <w:spacing w:beforeLines="20" w:afterLines="20" w:line="300" w:lineRule="auto"/>
      <w:ind w:firstLine="200" w:firstLineChars="200"/>
    </w:pPr>
    <w:rPr>
      <w:kern w:val="0"/>
      <w:sz w:val="24"/>
    </w:rPr>
  </w:style>
  <w:style w:type="character" w:customStyle="1" w:styleId="104">
    <w:name w:val="HTML 地址 Char1"/>
    <w:qFormat/>
    <w:uiPriority w:val="0"/>
    <w:rPr>
      <w:rFonts w:ascii="Times New Roman" w:hAnsi="Times New Roman" w:eastAsia="宋体" w:cs="Times New Roman"/>
      <w:i/>
      <w:iCs/>
      <w:szCs w:val="24"/>
    </w:rPr>
  </w:style>
  <w:style w:type="character" w:customStyle="1" w:styleId="105">
    <w:name w:val="批注主题 Char1"/>
    <w:link w:val="59"/>
    <w:qFormat/>
    <w:uiPriority w:val="0"/>
    <w:rPr>
      <w:b/>
      <w:bCs/>
      <w:kern w:val="2"/>
      <w:sz w:val="21"/>
      <w:szCs w:val="24"/>
    </w:rPr>
  </w:style>
  <w:style w:type="character" w:customStyle="1" w:styleId="106">
    <w:name w:val="Char Char51"/>
    <w:qFormat/>
    <w:uiPriority w:val="0"/>
    <w:rPr>
      <w:rFonts w:ascii="宋体" w:hAnsi="Courier New" w:eastAsia="宋体"/>
      <w:kern w:val="2"/>
      <w:sz w:val="21"/>
      <w:lang w:val="en-US" w:eastAsia="zh-CN"/>
    </w:rPr>
  </w:style>
  <w:style w:type="character" w:customStyle="1" w:styleId="107">
    <w:name w:val="表正文 Char"/>
    <w:qFormat/>
    <w:uiPriority w:val="0"/>
    <w:rPr>
      <w:rFonts w:ascii="宋体" w:eastAsia="宋体"/>
      <w:snapToGrid w:val="0"/>
      <w:color w:val="000000"/>
      <w:kern w:val="28"/>
      <w:sz w:val="28"/>
      <w:lang w:val="en-US" w:eastAsia="zh-CN" w:bidi="ar-SA"/>
    </w:rPr>
  </w:style>
  <w:style w:type="character" w:customStyle="1" w:styleId="108">
    <w:name w:val="Char Char34"/>
    <w:qFormat/>
    <w:uiPriority w:val="6"/>
    <w:rPr>
      <w:b/>
      <w:kern w:val="1"/>
      <w:sz w:val="28"/>
      <w:szCs w:val="28"/>
    </w:rPr>
  </w:style>
  <w:style w:type="character" w:customStyle="1" w:styleId="10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qFormat/>
    <w:uiPriority w:val="0"/>
    <w:rPr>
      <w:rFonts w:ascii="宋体" w:hAnsi="宋体" w:eastAsia="宋体"/>
      <w:kern w:val="2"/>
      <w:sz w:val="24"/>
      <w:lang w:bidi="ar-SA"/>
    </w:rPr>
  </w:style>
  <w:style w:type="paragraph" w:customStyle="1" w:styleId="111">
    <w:name w:val="哈哈正文"/>
    <w:basedOn w:val="1"/>
    <w:link w:val="110"/>
    <w:qFormat/>
    <w:uiPriority w:val="0"/>
    <w:pPr>
      <w:adjustRightInd/>
      <w:spacing w:line="360" w:lineRule="auto"/>
      <w:ind w:firstLine="200" w:firstLineChars="200"/>
    </w:pPr>
    <w:rPr>
      <w:rFonts w:ascii="宋体" w:hAnsi="宋体"/>
      <w:sz w:val="24"/>
      <w:szCs w:val="20"/>
    </w:rPr>
  </w:style>
  <w:style w:type="character" w:customStyle="1" w:styleId="112">
    <w:name w:val="未处理的提及1"/>
    <w:qFormat/>
    <w:uiPriority w:val="0"/>
    <w:rPr>
      <w:color w:val="808080"/>
      <w:shd w:val="clear" w:color="auto" w:fill="E6E6E6"/>
    </w:rPr>
  </w:style>
  <w:style w:type="character" w:customStyle="1" w:styleId="113">
    <w:name w:val="txt"/>
    <w:qFormat/>
    <w:uiPriority w:val="0"/>
    <w:rPr>
      <w:rFonts w:ascii="仿宋_GB2312" w:eastAsia="微软雅黑"/>
      <w:b/>
      <w:kern w:val="2"/>
      <w:sz w:val="32"/>
      <w:szCs w:val="32"/>
      <w:lang w:val="en-US" w:eastAsia="zh-CN" w:bidi="ar-SA"/>
    </w:rPr>
  </w:style>
  <w:style w:type="character" w:customStyle="1" w:styleId="114">
    <w:name w:val="二级标题 Char Char"/>
    <w:qFormat/>
    <w:uiPriority w:val="0"/>
    <w:rPr>
      <w:rFonts w:ascii="宋体" w:hAnsi="宋体" w:eastAsia="宋体"/>
      <w:b/>
      <w:snapToGrid w:val="0"/>
      <w:kern w:val="2"/>
      <w:sz w:val="24"/>
      <w:szCs w:val="24"/>
      <w:lang w:val="en-US" w:eastAsia="zh-CN" w:bidi="ar-SA"/>
    </w:rPr>
  </w:style>
  <w:style w:type="character" w:customStyle="1" w:styleId="115">
    <w:name w:val="Char Char32"/>
    <w:qFormat/>
    <w:uiPriority w:val="6"/>
    <w:rPr>
      <w:b/>
      <w:kern w:val="1"/>
      <w:sz w:val="24"/>
      <w:szCs w:val="24"/>
    </w:rPr>
  </w:style>
  <w:style w:type="character" w:customStyle="1" w:styleId="116">
    <w:name w:val="PI Char1"/>
    <w:qFormat/>
    <w:uiPriority w:val="0"/>
    <w:rPr>
      <w:rFonts w:ascii="宋体" w:hAnsi="宋体"/>
      <w:kern w:val="2"/>
      <w:sz w:val="24"/>
      <w:szCs w:val="24"/>
    </w:rPr>
  </w:style>
  <w:style w:type="character" w:customStyle="1" w:styleId="117">
    <w:name w:val="tw4winTerm"/>
    <w:qFormat/>
    <w:uiPriority w:val="0"/>
    <w:rPr>
      <w:color w:val="0000FF"/>
    </w:rPr>
  </w:style>
  <w:style w:type="character" w:customStyle="1" w:styleId="118">
    <w:name w:val="Footer Char"/>
    <w:qFormat/>
    <w:locked/>
    <w:uiPriority w:val="0"/>
    <w:rPr>
      <w:rFonts w:eastAsia="宋体"/>
      <w:kern w:val="2"/>
      <w:sz w:val="18"/>
      <w:lang w:val="en-US" w:eastAsia="zh-CN" w:bidi="ar-SA"/>
    </w:rPr>
  </w:style>
  <w:style w:type="character" w:customStyle="1" w:styleId="119">
    <w:name w:val="普通文字 Char Char1"/>
    <w:qFormat/>
    <w:uiPriority w:val="0"/>
    <w:rPr>
      <w:rFonts w:ascii="宋体" w:hAnsi="Courier New"/>
      <w:kern w:val="2"/>
      <w:sz w:val="21"/>
    </w:rPr>
  </w:style>
  <w:style w:type="character" w:customStyle="1" w:styleId="120">
    <w:name w:val="Char Char101"/>
    <w:qFormat/>
    <w:uiPriority w:val="6"/>
    <w:rPr>
      <w:rFonts w:ascii="宋体" w:hAnsi="宋体"/>
      <w:kern w:val="2"/>
      <w:sz w:val="21"/>
      <w:szCs w:val="24"/>
      <w:lang w:val="en-US" w:eastAsia="zh-CN"/>
    </w:rPr>
  </w:style>
  <w:style w:type="character" w:customStyle="1" w:styleId="121">
    <w:name w:val="标题 4 Char"/>
    <w:qFormat/>
    <w:uiPriority w:val="0"/>
    <w:rPr>
      <w:rFonts w:ascii="Arial" w:hAnsi="Arial" w:eastAsia="黑体"/>
      <w:b/>
      <w:kern w:val="2"/>
      <w:sz w:val="28"/>
    </w:rPr>
  </w:style>
  <w:style w:type="character" w:customStyle="1" w:styleId="122">
    <w:name w:val="链接"/>
    <w:qFormat/>
    <w:uiPriority w:val="0"/>
    <w:rPr>
      <w:color w:val="0000FF"/>
      <w:sz w:val="21"/>
      <w:szCs w:val="21"/>
      <w:u w:val="single"/>
    </w:rPr>
  </w:style>
  <w:style w:type="character" w:customStyle="1" w:styleId="123">
    <w:name w:val="h4 Char"/>
    <w:qFormat/>
    <w:uiPriority w:val="0"/>
    <w:rPr>
      <w:rFonts w:ascii="Arial" w:hAnsi="Arial" w:eastAsia="黑体"/>
      <w:b/>
      <w:bCs/>
      <w:kern w:val="2"/>
      <w:sz w:val="28"/>
      <w:szCs w:val="28"/>
      <w:lang w:val="zh-CN" w:eastAsia="zh-CN" w:bidi="ar-SA"/>
    </w:rPr>
  </w:style>
  <w:style w:type="character" w:customStyle="1" w:styleId="124">
    <w:name w:val="5正文 Char"/>
    <w:link w:val="125"/>
    <w:qFormat/>
    <w:uiPriority w:val="0"/>
    <w:rPr>
      <w:rFonts w:ascii="仿宋_GB2312" w:hAnsi="微软雅黑" w:eastAsia="仿宋_GB2312"/>
      <w:sz w:val="28"/>
      <w:szCs w:val="21"/>
    </w:rPr>
  </w:style>
  <w:style w:type="paragraph" w:customStyle="1" w:styleId="125">
    <w:name w:val="5正文"/>
    <w:basedOn w:val="1"/>
    <w:link w:val="12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首行缩进 2 Char"/>
    <w:link w:val="61"/>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69"/>
    <w:qFormat/>
    <w:uiPriority w:val="0"/>
    <w:rPr>
      <w:rFonts w:ascii="Arial" w:hAnsi="Arial" w:eastAsia="黑体" w:cs="Arial"/>
      <w:snapToGrid w:val="0"/>
      <w:kern w:val="0"/>
      <w:szCs w:val="21"/>
    </w:rPr>
  </w:style>
  <w:style w:type="character" w:customStyle="1" w:styleId="13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Char"/>
    <w:link w:val="46"/>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semiHidden/>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locked/>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Char"/>
    <w:link w:val="9"/>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locked/>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locked/>
    <w:uiPriority w:val="0"/>
    <w:rPr>
      <w:rFonts w:ascii="宋体" w:hAnsi="宋体" w:eastAsia="宋体"/>
      <w:kern w:val="2"/>
      <w:sz w:val="24"/>
      <w:lang w:val="en-US" w:eastAsia="zh-CN" w:bidi="ar-SA"/>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4"/>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Char"/>
    <w:link w:val="35"/>
    <w:qFormat/>
    <w:uiPriority w:val="0"/>
    <w:rPr>
      <w:rFonts w:ascii="宋体"/>
      <w:kern w:val="2"/>
      <w:sz w:val="24"/>
      <w:szCs w:val="21"/>
      <w:lang w:val="zh-CN"/>
    </w:rPr>
  </w:style>
  <w:style w:type="character" w:customStyle="1" w:styleId="189">
    <w:name w:val="标题 9 Char"/>
    <w:link w:val="12"/>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Char"/>
    <w:link w:val="38"/>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Char2"/>
    <w:link w:val="6"/>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Char1"/>
    <w:link w:val="19"/>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69"/>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6"/>
    <w:qFormat/>
    <w:uiPriority w:val="0"/>
    <w:rPr>
      <w:rFonts w:ascii="仿宋_GB2312" w:hAnsi="仿宋" w:eastAsia="仿宋_GB2312" w:cs="仿宋_GB2312"/>
      <w:sz w:val="32"/>
      <w:szCs w:val="30"/>
      <w:lang w:val="zh-CN"/>
    </w:rPr>
  </w:style>
  <w:style w:type="character" w:customStyle="1" w:styleId="225">
    <w:name w:val="HTML 地址 Char"/>
    <w:link w:val="29"/>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7"/>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7"/>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0"/>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5"/>
    <w:link w:val="261"/>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4"/>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8"/>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8"/>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HTML 预设格式 Char"/>
    <w:link w:val="56"/>
    <w:qFormat/>
    <w:uiPriority w:val="0"/>
    <w:rPr>
      <w:rFonts w:ascii="黑体" w:hAnsi="Courier New" w:eastAsia="黑体"/>
    </w:rPr>
  </w:style>
  <w:style w:type="character" w:customStyle="1" w:styleId="304">
    <w:name w:val="正文文本 2 Char1"/>
    <w:link w:val="55"/>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49"/>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0"/>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99"/>
    <w:rPr>
      <w:kern w:val="2"/>
      <w:sz w:val="21"/>
      <w:szCs w:val="24"/>
    </w:rPr>
  </w:style>
  <w:style w:type="character" w:customStyle="1" w:styleId="347">
    <w:name w:val="签名 Char"/>
    <w:link w:val="41"/>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8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0"/>
    <w:next w:val="80"/>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0"/>
    <w:next w:val="80"/>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5"/>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5"/>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11437</Words>
  <Characters>12270</Characters>
  <Lines>321</Lines>
  <Paragraphs>90</Paragraphs>
  <TotalTime>15</TotalTime>
  <ScaleCrop>false</ScaleCrop>
  <LinksUpToDate>false</LinksUpToDate>
  <CharactersWithSpaces>12605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2021-08-02T16:22:00Z</dcterms:created>
  <dc:creator>玥</dc:creator>
  <cp:lastModifiedBy>苑洪春</cp:lastModifiedBy>
  <cp:lastPrinted>2023-06-21T23:15:00Z</cp:lastPrinted>
  <dcterms:modified xsi:type="dcterms:W3CDTF">2024-11-19T13:40:22Z</dcterms:modified>
  <dc:title>杭州市市民卡扩大发卡工程</dc:title>
  <cp:revision>595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F94920E392E14E73968A599FB3EF7841_13</vt:lpwstr>
  </property>
  <property fmtid="{D5CDD505-2E9C-101B-9397-08002B2CF9AE}" pid="5" name="MSIP_Label_af615ef3-aa90-4fa2-9d66-c4f70f9fc413_Enabled">
    <vt:lpwstr>true</vt:lpwstr>
  </property>
  <property fmtid="{D5CDD505-2E9C-101B-9397-08002B2CF9AE}" pid="6" name="MSIP_Label_af615ef3-aa90-4fa2-9d66-c4f70f9fc413_SetDate">
    <vt:lpwstr>2023-06-13T03:52:38Z</vt:lpwstr>
  </property>
  <property fmtid="{D5CDD505-2E9C-101B-9397-08002B2CF9AE}" pid="7" name="MSIP_Label_af615ef3-aa90-4fa2-9d66-c4f70f9fc413_Method">
    <vt:lpwstr>Standard</vt:lpwstr>
  </property>
  <property fmtid="{D5CDD505-2E9C-101B-9397-08002B2CF9AE}" pid="8" name="MSIP_Label_af615ef3-aa90-4fa2-9d66-c4f70f9fc413_Name">
    <vt:lpwstr>Confidential</vt:lpwstr>
  </property>
  <property fmtid="{D5CDD505-2E9C-101B-9397-08002B2CF9AE}" pid="9" name="MSIP_Label_af615ef3-aa90-4fa2-9d66-c4f70f9fc413_SiteId">
    <vt:lpwstr>fb4c0aee-6cd2-482f-a1a5-717e7c02496b</vt:lpwstr>
  </property>
  <property fmtid="{D5CDD505-2E9C-101B-9397-08002B2CF9AE}" pid="10" name="MSIP_Label_af615ef3-aa90-4fa2-9d66-c4f70f9fc413_ActionId">
    <vt:lpwstr>2c76dee2-027f-4640-bb67-d8e8d596ebed</vt:lpwstr>
  </property>
  <property fmtid="{D5CDD505-2E9C-101B-9397-08002B2CF9AE}" pid="11" name="MSIP_Label_af615ef3-aa90-4fa2-9d66-c4f70f9fc413_ContentBits">
    <vt:lpwstr>0</vt:lpwstr>
  </property>
</Properties>
</file>