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90DBC0">
      <w:pPr>
        <w:spacing w:line="360" w:lineRule="auto"/>
        <w:jc w:val="center"/>
        <w:rPr>
          <w:rFonts w:ascii="仿宋" w:hAnsi="仿宋" w:eastAsia="仿宋" w:cs="仿宋"/>
          <w:b/>
          <w:color w:val="auto"/>
          <w:sz w:val="24"/>
          <w:highlight w:val="none"/>
        </w:rPr>
      </w:pPr>
    </w:p>
    <w:p w14:paraId="22CD1521">
      <w:pPr>
        <w:spacing w:line="360" w:lineRule="auto"/>
        <w:jc w:val="center"/>
        <w:rPr>
          <w:rFonts w:ascii="仿宋" w:hAnsi="仿宋" w:eastAsia="仿宋" w:cs="仿宋"/>
          <w:b/>
          <w:color w:val="auto"/>
          <w:sz w:val="24"/>
          <w:highlight w:val="none"/>
        </w:rPr>
      </w:pPr>
    </w:p>
    <w:p w14:paraId="39425813">
      <w:pPr>
        <w:adjustRightInd/>
        <w:spacing w:line="360" w:lineRule="auto"/>
        <w:jc w:val="center"/>
        <w:rPr>
          <w:rFonts w:ascii="仿宋" w:hAnsi="仿宋" w:eastAsia="仿宋" w:cs="仿宋"/>
          <w:b/>
          <w:color w:val="auto"/>
          <w:sz w:val="44"/>
          <w:szCs w:val="44"/>
          <w:highlight w:val="none"/>
        </w:rPr>
      </w:pPr>
    </w:p>
    <w:p w14:paraId="4052262D">
      <w:pPr>
        <w:adjustRightInd/>
        <w:snapToGrid w:val="0"/>
        <w:spacing w:line="360" w:lineRule="auto"/>
        <w:jc w:val="center"/>
        <w:rPr>
          <w:rFonts w:hint="eastAsia" w:ascii="仿宋" w:hAnsi="仿宋" w:eastAsia="仿宋" w:cs="仿宋"/>
          <w:b/>
          <w:bCs/>
          <w:color w:val="auto"/>
          <w:w w:val="80"/>
          <w:sz w:val="52"/>
          <w:szCs w:val="52"/>
          <w:highlight w:val="none"/>
          <w:lang w:eastAsia="zh-CN" w:bidi="th-TH"/>
        </w:rPr>
      </w:pPr>
      <w:r>
        <w:rPr>
          <w:rFonts w:hint="eastAsia" w:ascii="仿宋" w:hAnsi="仿宋" w:eastAsia="仿宋" w:cs="仿宋"/>
          <w:b/>
          <w:bCs/>
          <w:color w:val="auto"/>
          <w:w w:val="80"/>
          <w:sz w:val="52"/>
          <w:szCs w:val="52"/>
          <w:highlight w:val="none"/>
          <w:lang w:eastAsia="zh-CN" w:bidi="th-TH"/>
        </w:rPr>
        <w:t>杭州市</w:t>
      </w:r>
      <w:r>
        <w:rPr>
          <w:rFonts w:hint="eastAsia" w:ascii="仿宋" w:hAnsi="仿宋" w:eastAsia="仿宋" w:cs="仿宋"/>
          <w:b/>
          <w:bCs/>
          <w:color w:val="auto"/>
          <w:w w:val="80"/>
          <w:sz w:val="52"/>
          <w:szCs w:val="52"/>
          <w:highlight w:val="none"/>
          <w:lang w:val="en-US" w:eastAsia="zh-CN" w:bidi="th-TH"/>
        </w:rPr>
        <w:t>上城区</w:t>
      </w:r>
      <w:r>
        <w:rPr>
          <w:rFonts w:hint="eastAsia" w:ascii="仿宋" w:hAnsi="仿宋" w:eastAsia="仿宋" w:cs="仿宋"/>
          <w:b/>
          <w:bCs/>
          <w:color w:val="auto"/>
          <w:w w:val="80"/>
          <w:sz w:val="52"/>
          <w:szCs w:val="52"/>
          <w:highlight w:val="none"/>
          <w:lang w:eastAsia="zh-CN" w:bidi="th-TH"/>
        </w:rPr>
        <w:t>人民政府</w:t>
      </w:r>
    </w:p>
    <w:p w14:paraId="43F9CE3A">
      <w:pPr>
        <w:adjustRightInd/>
        <w:snapToGrid w:val="0"/>
        <w:spacing w:line="360" w:lineRule="auto"/>
        <w:jc w:val="center"/>
        <w:rPr>
          <w:rFonts w:ascii="仿宋" w:hAnsi="仿宋" w:eastAsia="仿宋" w:cs="仿宋"/>
          <w:b/>
          <w:bCs/>
          <w:color w:val="auto"/>
          <w:w w:val="80"/>
          <w:sz w:val="52"/>
          <w:szCs w:val="52"/>
          <w:highlight w:val="none"/>
          <w:lang w:bidi="th-TH"/>
        </w:rPr>
      </w:pPr>
      <w:r>
        <w:rPr>
          <w:rFonts w:hint="eastAsia" w:ascii="仿宋" w:hAnsi="仿宋" w:eastAsia="仿宋" w:cs="仿宋"/>
          <w:b/>
          <w:bCs/>
          <w:color w:val="auto"/>
          <w:w w:val="80"/>
          <w:sz w:val="52"/>
          <w:szCs w:val="52"/>
          <w:highlight w:val="none"/>
          <w:lang w:eastAsia="zh-CN" w:bidi="th-TH"/>
        </w:rPr>
        <w:t>复议应诉法律服务项目</w:t>
      </w:r>
    </w:p>
    <w:p w14:paraId="1DC88C7B">
      <w:pPr>
        <w:pStyle w:val="59"/>
        <w:ind w:firstLine="420"/>
        <w:rPr>
          <w:rFonts w:ascii="仿宋" w:hAnsi="仿宋" w:eastAsia="仿宋" w:cs="仿宋"/>
          <w:color w:val="auto"/>
          <w:highlight w:val="none"/>
        </w:rPr>
      </w:pPr>
    </w:p>
    <w:p w14:paraId="135F8BEC">
      <w:pPr>
        <w:pStyle w:val="59"/>
        <w:ind w:firstLine="420"/>
        <w:rPr>
          <w:rFonts w:ascii="仿宋" w:hAnsi="仿宋" w:eastAsia="仿宋" w:cs="仿宋"/>
          <w:color w:val="auto"/>
          <w:highlight w:val="none"/>
        </w:rPr>
      </w:pPr>
    </w:p>
    <w:p w14:paraId="0F5F2E3A">
      <w:pPr>
        <w:pStyle w:val="59"/>
        <w:ind w:firstLine="420"/>
        <w:rPr>
          <w:rFonts w:ascii="仿宋" w:hAnsi="仿宋" w:eastAsia="仿宋" w:cs="仿宋"/>
          <w:color w:val="auto"/>
          <w:highlight w:val="none"/>
        </w:rPr>
      </w:pPr>
    </w:p>
    <w:p w14:paraId="03D70A04">
      <w:pPr>
        <w:adjustRightInd/>
        <w:spacing w:line="360" w:lineRule="auto"/>
        <w:jc w:val="center"/>
        <w:rPr>
          <w:rFonts w:ascii="仿宋" w:hAnsi="仿宋" w:eastAsia="仿宋" w:cs="仿宋"/>
          <w:b/>
          <w:color w:val="auto"/>
          <w:sz w:val="56"/>
          <w:szCs w:val="56"/>
          <w:highlight w:val="none"/>
        </w:rPr>
      </w:pPr>
      <w:r>
        <w:rPr>
          <w:rFonts w:hint="eastAsia" w:ascii="仿宋" w:hAnsi="仿宋" w:eastAsia="仿宋" w:cs="仿宋"/>
          <w:b/>
          <w:bCs/>
          <w:color w:val="auto"/>
          <w:spacing w:val="40"/>
          <w:w w:val="80"/>
          <w:sz w:val="72"/>
          <w:szCs w:val="72"/>
          <w:highlight w:val="none"/>
          <w:lang w:val="zh-CN" w:bidi="th-TH"/>
        </w:rPr>
        <w:t>竞争性磋商</w:t>
      </w:r>
      <w:r>
        <w:rPr>
          <w:rFonts w:hint="eastAsia" w:ascii="仿宋" w:hAnsi="仿宋" w:eastAsia="仿宋" w:cs="仿宋"/>
          <w:b/>
          <w:bCs/>
          <w:color w:val="auto"/>
          <w:spacing w:val="40"/>
          <w:w w:val="80"/>
          <w:sz w:val="72"/>
          <w:szCs w:val="72"/>
          <w:highlight w:val="none"/>
          <w:lang w:bidi="th-TH"/>
        </w:rPr>
        <w:t>文件</w:t>
      </w:r>
    </w:p>
    <w:p w14:paraId="26717D65">
      <w:pPr>
        <w:adjustRightInd/>
        <w:spacing w:line="360" w:lineRule="auto"/>
        <w:jc w:val="center"/>
        <w:rPr>
          <w:rFonts w:ascii="仿宋" w:hAnsi="仿宋" w:eastAsia="仿宋" w:cs="仿宋"/>
          <w:b/>
          <w:color w:val="auto"/>
          <w:sz w:val="44"/>
          <w:szCs w:val="44"/>
          <w:highlight w:val="none"/>
        </w:rPr>
      </w:pPr>
      <w:r>
        <w:rPr>
          <w:rFonts w:hint="eastAsia" w:ascii="仿宋" w:hAnsi="仿宋" w:eastAsia="仿宋" w:cs="仿宋"/>
          <w:bCs/>
          <w:color w:val="auto"/>
          <w:sz w:val="28"/>
          <w:szCs w:val="28"/>
          <w:highlight w:val="none"/>
        </w:rPr>
        <w:t>（电子交易）</w:t>
      </w:r>
    </w:p>
    <w:p w14:paraId="2DACFCBC">
      <w:pPr>
        <w:snapToGrid w:val="0"/>
        <w:spacing w:line="360" w:lineRule="auto"/>
        <w:jc w:val="center"/>
        <w:rPr>
          <w:rFonts w:ascii="仿宋" w:hAnsi="仿宋" w:eastAsia="仿宋" w:cs="仿宋"/>
          <w:color w:val="auto"/>
          <w:sz w:val="30"/>
          <w:szCs w:val="30"/>
          <w:highlight w:val="none"/>
        </w:rPr>
      </w:pPr>
    </w:p>
    <w:p w14:paraId="2D2C5F38">
      <w:pPr>
        <w:adjustRightInd/>
        <w:snapToGrid w:val="0"/>
        <w:spacing w:line="360" w:lineRule="auto"/>
        <w:jc w:val="center"/>
        <w:rPr>
          <w:rFonts w:hint="eastAsia" w:ascii="仿宋" w:hAnsi="仿宋" w:eastAsia="仿宋" w:cs="仿宋"/>
          <w:color w:val="auto"/>
          <w:w w:val="80"/>
          <w:sz w:val="30"/>
          <w:szCs w:val="30"/>
          <w:highlight w:val="none"/>
          <w:lang w:eastAsia="zh-CN" w:bidi="th-TH"/>
        </w:rPr>
      </w:pPr>
      <w:r>
        <w:rPr>
          <w:rFonts w:hint="eastAsia" w:ascii="仿宋" w:hAnsi="仿宋" w:eastAsia="仿宋" w:cs="仿宋"/>
          <w:color w:val="auto"/>
          <w:w w:val="80"/>
          <w:sz w:val="36"/>
          <w:szCs w:val="36"/>
          <w:highlight w:val="none"/>
          <w:lang w:val="en-US" w:eastAsia="zh-CN" w:bidi="th-TH"/>
        </w:rPr>
        <w:t>项目</w:t>
      </w:r>
      <w:r>
        <w:rPr>
          <w:rFonts w:hint="eastAsia" w:ascii="仿宋" w:hAnsi="仿宋" w:eastAsia="仿宋" w:cs="仿宋"/>
          <w:color w:val="auto"/>
          <w:w w:val="80"/>
          <w:sz w:val="36"/>
          <w:szCs w:val="36"/>
          <w:highlight w:val="none"/>
          <w:lang w:bidi="th-TH"/>
        </w:rPr>
        <w:t>编号:</w:t>
      </w:r>
      <w:r>
        <w:rPr>
          <w:rFonts w:hint="eastAsia" w:ascii="仿宋" w:hAnsi="仿宋" w:eastAsia="仿宋" w:cs="仿宋"/>
          <w:color w:val="auto"/>
          <w:w w:val="80"/>
          <w:sz w:val="36"/>
          <w:szCs w:val="36"/>
          <w:highlight w:val="none"/>
          <w:lang w:eastAsia="zh-CN" w:bidi="th-TH"/>
        </w:rPr>
        <w:t>ZJ-2540643</w:t>
      </w:r>
    </w:p>
    <w:p w14:paraId="61479FE6">
      <w:pPr>
        <w:snapToGrid w:val="0"/>
        <w:spacing w:line="360" w:lineRule="auto"/>
        <w:jc w:val="center"/>
        <w:rPr>
          <w:rFonts w:ascii="仿宋" w:hAnsi="仿宋" w:eastAsia="仿宋" w:cs="仿宋"/>
          <w:color w:val="auto"/>
          <w:sz w:val="30"/>
          <w:szCs w:val="30"/>
          <w:highlight w:val="none"/>
        </w:rPr>
      </w:pPr>
    </w:p>
    <w:p w14:paraId="256BA723">
      <w:pPr>
        <w:spacing w:line="360" w:lineRule="auto"/>
        <w:jc w:val="center"/>
        <w:rPr>
          <w:rFonts w:ascii="仿宋" w:hAnsi="仿宋" w:eastAsia="仿宋" w:cs="仿宋"/>
          <w:color w:val="auto"/>
          <w:sz w:val="24"/>
          <w:highlight w:val="none"/>
        </w:rPr>
      </w:pPr>
    </w:p>
    <w:p w14:paraId="0202E9CF">
      <w:pPr>
        <w:spacing w:line="360" w:lineRule="auto"/>
        <w:jc w:val="center"/>
        <w:rPr>
          <w:rFonts w:ascii="仿宋" w:hAnsi="仿宋" w:eastAsia="仿宋" w:cs="仿宋"/>
          <w:color w:val="auto"/>
          <w:sz w:val="24"/>
          <w:highlight w:val="none"/>
        </w:rPr>
      </w:pPr>
    </w:p>
    <w:p w14:paraId="2B01866E">
      <w:pPr>
        <w:pStyle w:val="186"/>
        <w:widowControl w:val="0"/>
        <w:spacing w:before="0" w:beforeAutospacing="0" w:after="0" w:afterAutospacing="0" w:line="360" w:lineRule="auto"/>
        <w:textAlignment w:val="auto"/>
        <w:rPr>
          <w:rFonts w:hint="default" w:ascii="仿宋" w:hAnsi="仿宋" w:eastAsia="仿宋" w:cs="仿宋"/>
          <w:color w:val="auto"/>
          <w:kern w:val="2"/>
          <w:highlight w:val="none"/>
        </w:rPr>
      </w:pPr>
    </w:p>
    <w:p w14:paraId="4FF0F2D9">
      <w:pPr>
        <w:spacing w:line="360" w:lineRule="auto"/>
        <w:rPr>
          <w:rFonts w:ascii="仿宋" w:hAnsi="仿宋" w:eastAsia="仿宋" w:cs="仿宋"/>
          <w:b/>
          <w:color w:val="auto"/>
          <w:sz w:val="24"/>
          <w:highlight w:val="none"/>
        </w:rPr>
      </w:pPr>
      <w:r>
        <w:rPr>
          <w:rFonts w:hint="eastAsia" w:ascii="仿宋" w:hAnsi="仿宋" w:eastAsia="仿宋" w:cs="仿宋"/>
          <w:color w:val="auto"/>
          <w:sz w:val="24"/>
          <w:highlight w:val="none"/>
        </w:rPr>
        <w:t xml:space="preserve">                                      </w:t>
      </w:r>
    </w:p>
    <w:tbl>
      <w:tblPr>
        <w:tblStyle w:val="60"/>
        <w:tblW w:w="6170" w:type="dxa"/>
        <w:jc w:val="center"/>
        <w:tblLayout w:type="fixed"/>
        <w:tblCellMar>
          <w:top w:w="0" w:type="dxa"/>
          <w:left w:w="108" w:type="dxa"/>
          <w:bottom w:w="0" w:type="dxa"/>
          <w:right w:w="108" w:type="dxa"/>
        </w:tblCellMar>
      </w:tblPr>
      <w:tblGrid>
        <w:gridCol w:w="2032"/>
        <w:gridCol w:w="516"/>
        <w:gridCol w:w="3622"/>
      </w:tblGrid>
      <w:tr w14:paraId="1A35B410">
        <w:tblPrEx>
          <w:tblCellMar>
            <w:top w:w="0" w:type="dxa"/>
            <w:left w:w="108" w:type="dxa"/>
            <w:bottom w:w="0" w:type="dxa"/>
            <w:right w:w="108" w:type="dxa"/>
          </w:tblCellMar>
        </w:tblPrEx>
        <w:trPr>
          <w:trHeight w:val="680" w:hRule="atLeast"/>
          <w:jc w:val="center"/>
        </w:trPr>
        <w:tc>
          <w:tcPr>
            <w:tcW w:w="2032" w:type="dxa"/>
            <w:vAlign w:val="center"/>
          </w:tcPr>
          <w:p w14:paraId="0AA73E53">
            <w:pPr>
              <w:snapToGrid w:val="0"/>
              <w:jc w:val="distribute"/>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采购人</w:t>
            </w:r>
          </w:p>
        </w:tc>
        <w:tc>
          <w:tcPr>
            <w:tcW w:w="516" w:type="dxa"/>
            <w:vAlign w:val="center"/>
          </w:tcPr>
          <w:p w14:paraId="4ED2B44E">
            <w:pPr>
              <w:snapToGrid w:val="0"/>
              <w:jc w:val="distribute"/>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w:t>
            </w:r>
          </w:p>
        </w:tc>
        <w:tc>
          <w:tcPr>
            <w:tcW w:w="3622" w:type="dxa"/>
            <w:vAlign w:val="center"/>
          </w:tcPr>
          <w:p w14:paraId="5AEE4525">
            <w:pPr>
              <w:snapToGrid w:val="0"/>
              <w:jc w:val="distribute"/>
              <w:rPr>
                <w:rFonts w:hint="default" w:ascii="仿宋" w:hAnsi="仿宋" w:eastAsia="仿宋" w:cs="仿宋"/>
                <w:b/>
                <w:bCs/>
                <w:color w:val="auto"/>
                <w:sz w:val="30"/>
                <w:szCs w:val="30"/>
                <w:highlight w:val="none"/>
                <w:lang w:val="en-US" w:eastAsia="zh-CN"/>
              </w:rPr>
            </w:pPr>
            <w:r>
              <w:rPr>
                <w:rFonts w:hint="eastAsia" w:ascii="仿宋" w:hAnsi="仿宋" w:eastAsia="仿宋" w:cs="仿宋"/>
                <w:b/>
                <w:bCs/>
                <w:color w:val="auto"/>
                <w:sz w:val="30"/>
                <w:szCs w:val="30"/>
                <w:highlight w:val="none"/>
                <w:lang w:val="en-US" w:eastAsia="zh-CN"/>
              </w:rPr>
              <w:t>杭州市上城区司法局</w:t>
            </w:r>
          </w:p>
        </w:tc>
      </w:tr>
      <w:tr w14:paraId="4131845B">
        <w:tblPrEx>
          <w:tblCellMar>
            <w:top w:w="0" w:type="dxa"/>
            <w:left w:w="108" w:type="dxa"/>
            <w:bottom w:w="0" w:type="dxa"/>
            <w:right w:w="108" w:type="dxa"/>
          </w:tblCellMar>
        </w:tblPrEx>
        <w:trPr>
          <w:trHeight w:val="297" w:hRule="atLeast"/>
          <w:jc w:val="center"/>
        </w:trPr>
        <w:tc>
          <w:tcPr>
            <w:tcW w:w="2032" w:type="dxa"/>
            <w:vAlign w:val="center"/>
          </w:tcPr>
          <w:p w14:paraId="203448EE">
            <w:pPr>
              <w:snapToGrid w:val="0"/>
              <w:jc w:val="distribute"/>
              <w:rPr>
                <w:rFonts w:ascii="仿宋" w:hAnsi="仿宋" w:eastAsia="仿宋" w:cs="仿宋"/>
                <w:b/>
                <w:bCs/>
                <w:color w:val="auto"/>
                <w:szCs w:val="21"/>
                <w:highlight w:val="none"/>
              </w:rPr>
            </w:pPr>
          </w:p>
        </w:tc>
        <w:tc>
          <w:tcPr>
            <w:tcW w:w="516" w:type="dxa"/>
            <w:vAlign w:val="center"/>
          </w:tcPr>
          <w:p w14:paraId="13BEE07B">
            <w:pPr>
              <w:snapToGrid w:val="0"/>
              <w:jc w:val="distribute"/>
              <w:rPr>
                <w:rFonts w:ascii="仿宋" w:hAnsi="仿宋" w:eastAsia="仿宋" w:cs="仿宋"/>
                <w:b/>
                <w:bCs/>
                <w:color w:val="auto"/>
                <w:szCs w:val="21"/>
                <w:highlight w:val="none"/>
              </w:rPr>
            </w:pPr>
          </w:p>
        </w:tc>
        <w:tc>
          <w:tcPr>
            <w:tcW w:w="3622" w:type="dxa"/>
            <w:vAlign w:val="center"/>
          </w:tcPr>
          <w:p w14:paraId="1B3B4211">
            <w:pPr>
              <w:snapToGrid w:val="0"/>
              <w:jc w:val="distribute"/>
              <w:rPr>
                <w:rFonts w:ascii="仿宋" w:hAnsi="仿宋" w:eastAsia="仿宋" w:cs="仿宋"/>
                <w:b/>
                <w:bCs/>
                <w:color w:val="auto"/>
                <w:szCs w:val="21"/>
                <w:highlight w:val="none"/>
              </w:rPr>
            </w:pPr>
          </w:p>
        </w:tc>
      </w:tr>
      <w:tr w14:paraId="4C158FFE">
        <w:tblPrEx>
          <w:tblCellMar>
            <w:top w:w="0" w:type="dxa"/>
            <w:left w:w="108" w:type="dxa"/>
            <w:bottom w:w="0" w:type="dxa"/>
            <w:right w:w="108" w:type="dxa"/>
          </w:tblCellMar>
        </w:tblPrEx>
        <w:trPr>
          <w:trHeight w:val="680" w:hRule="atLeast"/>
          <w:jc w:val="center"/>
        </w:trPr>
        <w:tc>
          <w:tcPr>
            <w:tcW w:w="2032" w:type="dxa"/>
            <w:vAlign w:val="center"/>
          </w:tcPr>
          <w:p w14:paraId="23BCE663">
            <w:pPr>
              <w:snapToGrid w:val="0"/>
              <w:jc w:val="distribute"/>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采购代理机构</w:t>
            </w:r>
          </w:p>
        </w:tc>
        <w:tc>
          <w:tcPr>
            <w:tcW w:w="516" w:type="dxa"/>
            <w:vAlign w:val="center"/>
          </w:tcPr>
          <w:p w14:paraId="7A5F1482">
            <w:pPr>
              <w:snapToGrid w:val="0"/>
              <w:jc w:val="distribute"/>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w:t>
            </w:r>
          </w:p>
        </w:tc>
        <w:tc>
          <w:tcPr>
            <w:tcW w:w="3622" w:type="dxa"/>
            <w:vAlign w:val="center"/>
          </w:tcPr>
          <w:p w14:paraId="04F3897C">
            <w:pPr>
              <w:snapToGrid w:val="0"/>
              <w:jc w:val="distribute"/>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浙江国际招投标有限公司</w:t>
            </w:r>
          </w:p>
        </w:tc>
      </w:tr>
      <w:tr w14:paraId="0175E31B">
        <w:tblPrEx>
          <w:tblCellMar>
            <w:top w:w="0" w:type="dxa"/>
            <w:left w:w="108" w:type="dxa"/>
            <w:bottom w:w="0" w:type="dxa"/>
            <w:right w:w="108" w:type="dxa"/>
          </w:tblCellMar>
        </w:tblPrEx>
        <w:trPr>
          <w:trHeight w:val="680" w:hRule="atLeast"/>
          <w:jc w:val="center"/>
        </w:trPr>
        <w:tc>
          <w:tcPr>
            <w:tcW w:w="6170" w:type="dxa"/>
            <w:gridSpan w:val="3"/>
            <w:vAlign w:val="bottom"/>
          </w:tcPr>
          <w:p w14:paraId="51F63DC8">
            <w:pPr>
              <w:snapToGrid w:val="0"/>
              <w:jc w:val="center"/>
              <w:rPr>
                <w:rFonts w:ascii="仿宋" w:hAnsi="仿宋" w:eastAsia="仿宋" w:cs="仿宋"/>
                <w:b/>
                <w:bCs/>
                <w:color w:val="auto"/>
                <w:sz w:val="30"/>
                <w:szCs w:val="30"/>
                <w:highlight w:val="none"/>
              </w:rPr>
            </w:pPr>
          </w:p>
          <w:p w14:paraId="04B04FBE">
            <w:pPr>
              <w:snapToGrid w:val="0"/>
              <w:jc w:val="center"/>
              <w:rPr>
                <w:rFonts w:ascii="仿宋" w:hAnsi="仿宋" w:eastAsia="仿宋" w:cs="仿宋"/>
                <w:b/>
                <w:bCs/>
                <w:color w:val="auto"/>
                <w:sz w:val="30"/>
                <w:szCs w:val="30"/>
                <w:highlight w:val="none"/>
              </w:rPr>
            </w:pPr>
          </w:p>
          <w:p w14:paraId="799BE66B">
            <w:pPr>
              <w:snapToGrid w:val="0"/>
              <w:jc w:val="center"/>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202</w:t>
            </w:r>
            <w:r>
              <w:rPr>
                <w:rFonts w:hint="eastAsia" w:ascii="仿宋" w:hAnsi="仿宋" w:eastAsia="仿宋" w:cs="仿宋"/>
                <w:b/>
                <w:bCs/>
                <w:color w:val="auto"/>
                <w:sz w:val="30"/>
                <w:szCs w:val="30"/>
                <w:highlight w:val="none"/>
                <w:lang w:val="en-US" w:eastAsia="zh-CN"/>
              </w:rPr>
              <w:t>5</w:t>
            </w:r>
            <w:r>
              <w:rPr>
                <w:rFonts w:hint="eastAsia" w:ascii="仿宋" w:hAnsi="仿宋" w:eastAsia="仿宋" w:cs="仿宋"/>
                <w:b/>
                <w:bCs/>
                <w:color w:val="auto"/>
                <w:sz w:val="30"/>
                <w:szCs w:val="30"/>
                <w:highlight w:val="none"/>
              </w:rPr>
              <w:t>年</w:t>
            </w:r>
            <w:r>
              <w:rPr>
                <w:rFonts w:hint="eastAsia" w:ascii="仿宋" w:hAnsi="仿宋" w:eastAsia="仿宋" w:cs="仿宋"/>
                <w:b/>
                <w:bCs/>
                <w:color w:val="auto"/>
                <w:sz w:val="30"/>
                <w:szCs w:val="30"/>
                <w:highlight w:val="none"/>
                <w:lang w:val="en-US" w:eastAsia="zh-CN"/>
              </w:rPr>
              <w:t>03</w:t>
            </w:r>
            <w:r>
              <w:rPr>
                <w:rFonts w:hint="eastAsia" w:ascii="仿宋" w:hAnsi="仿宋" w:eastAsia="仿宋" w:cs="仿宋"/>
                <w:b/>
                <w:bCs/>
                <w:color w:val="auto"/>
                <w:sz w:val="30"/>
                <w:szCs w:val="30"/>
                <w:highlight w:val="none"/>
              </w:rPr>
              <w:t>月</w:t>
            </w:r>
          </w:p>
        </w:tc>
      </w:tr>
    </w:tbl>
    <w:p w14:paraId="25D7A713">
      <w:pPr>
        <w:snapToGrid w:val="0"/>
        <w:spacing w:line="360" w:lineRule="auto"/>
        <w:jc w:val="center"/>
        <w:rPr>
          <w:rFonts w:ascii="仿宋" w:hAnsi="仿宋" w:eastAsia="仿宋" w:cs="仿宋"/>
          <w:bCs/>
          <w:color w:val="auto"/>
          <w:sz w:val="32"/>
          <w:szCs w:val="32"/>
          <w:highlight w:val="none"/>
        </w:rPr>
        <w:sectPr>
          <w:headerReference r:id="rId4" w:type="first"/>
          <w:headerReference r:id="rId3" w:type="default"/>
          <w:footerReference r:id="rId5" w:type="even"/>
          <w:pgSz w:w="11906" w:h="16838"/>
          <w:pgMar w:top="1440" w:right="1800" w:bottom="1440" w:left="1800" w:header="851" w:footer="992" w:gutter="0"/>
          <w:pgBorders>
            <w:top w:val="none" w:sz="0" w:space="0"/>
            <w:left w:val="none" w:sz="0" w:space="0"/>
            <w:bottom w:val="none" w:sz="0" w:space="0"/>
            <w:right w:val="none" w:sz="0" w:space="0"/>
          </w:pgBorders>
          <w:cols w:space="720" w:num="1"/>
          <w:titlePg/>
          <w:docGrid w:linePitch="312" w:charSpace="0"/>
        </w:sectPr>
      </w:pPr>
    </w:p>
    <w:p w14:paraId="0E498FF7">
      <w:pPr>
        <w:spacing w:line="360" w:lineRule="auto"/>
        <w:jc w:val="center"/>
        <w:rPr>
          <w:rFonts w:ascii="仿宋" w:hAnsi="仿宋" w:eastAsia="仿宋" w:cs="仿宋"/>
          <w:color w:val="auto"/>
          <w:sz w:val="24"/>
          <w:highlight w:val="none"/>
        </w:rPr>
      </w:pPr>
      <w:bookmarkStart w:id="0" w:name="_Hlt67893495"/>
      <w:bookmarkEnd w:id="0"/>
    </w:p>
    <w:p w14:paraId="46CF6A18">
      <w:pPr>
        <w:tabs>
          <w:tab w:val="left" w:pos="2268"/>
        </w:tabs>
        <w:spacing w:line="360" w:lineRule="auto"/>
        <w:jc w:val="center"/>
        <w:rPr>
          <w:rFonts w:ascii="仿宋" w:hAnsi="仿宋" w:eastAsia="仿宋" w:cs="仿宋"/>
          <w:color w:val="auto"/>
          <w:sz w:val="24"/>
          <w:highlight w:val="none"/>
        </w:rPr>
      </w:pPr>
    </w:p>
    <w:p w14:paraId="6E3D183E">
      <w:pPr>
        <w:spacing w:line="360" w:lineRule="auto"/>
        <w:jc w:val="center"/>
        <w:rPr>
          <w:rFonts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036D88ED">
      <w:pPr>
        <w:spacing w:line="360" w:lineRule="auto"/>
        <w:rPr>
          <w:rFonts w:ascii="仿宋" w:hAnsi="仿宋" w:eastAsia="仿宋" w:cs="仿宋"/>
          <w:color w:val="auto"/>
          <w:sz w:val="32"/>
          <w:szCs w:val="32"/>
          <w:highlight w:val="none"/>
        </w:rPr>
      </w:pPr>
    </w:p>
    <w:p w14:paraId="5673E15A">
      <w:pPr>
        <w:spacing w:line="360" w:lineRule="auto"/>
        <w:rPr>
          <w:rFonts w:ascii="仿宋" w:hAnsi="仿宋" w:eastAsia="仿宋" w:cs="仿宋"/>
          <w:color w:val="auto"/>
          <w:sz w:val="32"/>
          <w:szCs w:val="32"/>
          <w:highlight w:val="none"/>
        </w:rPr>
      </w:pPr>
    </w:p>
    <w:p w14:paraId="6E39B670">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邀请供应商</w:t>
      </w:r>
    </w:p>
    <w:p w14:paraId="2B5A64D1">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竞争性磋商流程</w:t>
      </w:r>
    </w:p>
    <w:p w14:paraId="25B07D8D">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供应商须知</w:t>
      </w:r>
    </w:p>
    <w:p w14:paraId="6EC1EE72">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采购需求</w:t>
      </w:r>
    </w:p>
    <w:p w14:paraId="62CC4658">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评审方法及评审标准</w:t>
      </w:r>
    </w:p>
    <w:p w14:paraId="2419BDA8">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拟签订的合同文本</w:t>
      </w:r>
    </w:p>
    <w:p w14:paraId="36185813">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第七部分      应提交的有关格式范例</w:t>
      </w:r>
    </w:p>
    <w:p w14:paraId="4BC98F7B">
      <w:pPr>
        <w:spacing w:line="360" w:lineRule="auto"/>
        <w:ind w:firstLine="1280" w:firstLineChars="4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第八部分      最后报价格式</w:t>
      </w:r>
    </w:p>
    <w:p w14:paraId="6D123571">
      <w:pPr>
        <w:spacing w:line="360" w:lineRule="auto"/>
        <w:ind w:firstLine="549" w:firstLineChars="229"/>
        <w:rPr>
          <w:rFonts w:ascii="仿宋" w:hAnsi="仿宋" w:eastAsia="仿宋" w:cs="仿宋"/>
          <w:color w:val="auto"/>
          <w:sz w:val="24"/>
          <w:highlight w:val="none"/>
        </w:rPr>
      </w:pPr>
      <w:bookmarkStart w:id="1" w:name="_Hlt91233176"/>
      <w:bookmarkEnd w:id="1"/>
      <w:bookmarkStart w:id="2" w:name="_Toc91899869"/>
    </w:p>
    <w:p w14:paraId="5F16E8CA">
      <w:pPr>
        <w:spacing w:line="360" w:lineRule="auto"/>
        <w:ind w:firstLine="549" w:firstLineChars="229"/>
        <w:rPr>
          <w:rFonts w:ascii="仿宋" w:hAnsi="仿宋" w:eastAsia="仿宋" w:cs="仿宋"/>
          <w:color w:val="auto"/>
          <w:sz w:val="24"/>
          <w:highlight w:val="none"/>
        </w:rPr>
      </w:pPr>
    </w:p>
    <w:bookmarkEnd w:id="2"/>
    <w:p w14:paraId="3BB4074A">
      <w:pPr>
        <w:adjustRightInd/>
        <w:spacing w:line="360" w:lineRule="auto"/>
        <w:jc w:val="center"/>
        <w:outlineLvl w:val="0"/>
        <w:rPr>
          <w:rFonts w:ascii="仿宋" w:hAnsi="仿宋" w:eastAsia="仿宋" w:cs="仿宋"/>
          <w:b/>
          <w:color w:val="auto"/>
          <w:sz w:val="36"/>
          <w:szCs w:val="20"/>
          <w:highlight w:val="none"/>
        </w:rPr>
        <w:sectPr>
          <w:footerReference r:id="rId6" w:type="default"/>
          <w:pgSz w:w="11907" w:h="16840"/>
          <w:pgMar w:top="1474" w:right="1814" w:bottom="1474" w:left="1814" w:header="851" w:footer="851" w:gutter="0"/>
          <w:pgBorders>
            <w:top w:val="none" w:sz="0" w:space="0"/>
            <w:left w:val="none" w:sz="0" w:space="0"/>
            <w:bottom w:val="none" w:sz="0" w:space="0"/>
            <w:right w:val="none" w:sz="0" w:space="0"/>
          </w:pgBorders>
          <w:pgNumType w:fmt="decimal" w:start="1"/>
          <w:cols w:space="720" w:num="1"/>
        </w:sectPr>
      </w:pPr>
      <w:bookmarkStart w:id="3" w:name="_Hlt74729822"/>
      <w:bookmarkEnd w:id="3"/>
      <w:bookmarkStart w:id="4" w:name="_Hlt74707423"/>
      <w:bookmarkEnd w:id="4"/>
      <w:bookmarkStart w:id="5" w:name="_Hlt74728647"/>
      <w:bookmarkEnd w:id="5"/>
      <w:bookmarkStart w:id="6" w:name="_Hlt74649545"/>
      <w:bookmarkEnd w:id="6"/>
      <w:bookmarkStart w:id="7" w:name="第二部分"/>
      <w:bookmarkStart w:id="8" w:name="_Toc91899870"/>
      <w:bookmarkStart w:id="9" w:name="_Toc91899871"/>
    </w:p>
    <w:p w14:paraId="20CC7149">
      <w:pPr>
        <w:adjustRightInd/>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竞争性磋商公告</w:t>
      </w:r>
    </w:p>
    <w:p w14:paraId="133D8E60">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项目概况</w:t>
      </w:r>
    </w:p>
    <w:p w14:paraId="683968A7">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杭州市上城区人民政府复议应诉类法律服务项目采购项目的潜在供应商应在政采云平台线上获取获取（下载）采购文件，并于2025年03月31日 09:00（北京时间）前提交（上传）响应文件。 </w:t>
      </w:r>
    </w:p>
    <w:p w14:paraId="4599E6C6">
      <w:pPr>
        <w:spacing w:line="360" w:lineRule="auto"/>
        <w:rPr>
          <w:rFonts w:ascii="仿宋" w:hAnsi="仿宋" w:eastAsia="仿宋" w:cs="仿宋"/>
          <w:color w:val="auto"/>
          <w:sz w:val="24"/>
          <w:highlight w:val="none"/>
        </w:rPr>
      </w:pPr>
    </w:p>
    <w:p w14:paraId="6F25FD1A">
      <w:pPr>
        <w:pStyle w:val="3"/>
        <w:numPr>
          <w:ilvl w:val="0"/>
          <w:numId w:val="0"/>
        </w:numPr>
        <w:ind w:left="432" w:hanging="432"/>
        <w:rPr>
          <w:rFonts w:ascii="仿宋" w:eastAsia="仿宋" w:cs="仿宋"/>
          <w:color w:val="auto"/>
          <w:sz w:val="24"/>
          <w:szCs w:val="24"/>
          <w:highlight w:val="none"/>
        </w:rPr>
      </w:pPr>
      <w:bookmarkStart w:id="10" w:name="_Toc35393798"/>
      <w:bookmarkStart w:id="11" w:name="_Toc28359089"/>
      <w:bookmarkStart w:id="12" w:name="_Toc28359012"/>
      <w:bookmarkStart w:id="13" w:name="_Toc35393629"/>
      <w:r>
        <w:rPr>
          <w:rFonts w:hint="eastAsia" w:ascii="仿宋" w:eastAsia="仿宋" w:cs="仿宋"/>
          <w:color w:val="auto"/>
          <w:sz w:val="24"/>
          <w:szCs w:val="24"/>
          <w:highlight w:val="none"/>
        </w:rPr>
        <w:t>一、项目基本情况</w:t>
      </w:r>
      <w:bookmarkEnd w:id="10"/>
      <w:bookmarkEnd w:id="11"/>
      <w:bookmarkEnd w:id="12"/>
      <w:bookmarkEnd w:id="13"/>
    </w:p>
    <w:p w14:paraId="7AC9629D">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lang w:eastAsia="zh-CN"/>
        </w:rPr>
        <w:t>ZJ-2540643</w:t>
      </w:r>
    </w:p>
    <w:p w14:paraId="4A26577B">
      <w:pPr>
        <w:spacing w:line="360" w:lineRule="auto"/>
        <w:ind w:firstLine="480" w:firstLineChars="200"/>
        <w:rPr>
          <w:rFonts w:hint="eastAsia" w:ascii="仿宋" w:hAnsi="仿宋" w:eastAsia="仿宋" w:cs="仿宋"/>
          <w:color w:val="auto"/>
          <w:sz w:val="24"/>
          <w:highlight w:val="none"/>
          <w:u w:val="single"/>
          <w:lang w:eastAsia="zh-CN"/>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eastAsia="zh-CN"/>
        </w:rPr>
        <w:t>杭州市上城区人民政府复议应诉类法律服务项目</w:t>
      </w:r>
    </w:p>
    <w:p w14:paraId="183B91C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采购方式：竞争性磋商 </w:t>
      </w:r>
    </w:p>
    <w:p w14:paraId="5A1ACAF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预算金额（元）：</w:t>
      </w:r>
      <w:r>
        <w:rPr>
          <w:rFonts w:hint="eastAsia" w:ascii="仿宋" w:hAnsi="仿宋" w:eastAsia="仿宋" w:cs="仿宋"/>
          <w:color w:val="auto"/>
          <w:sz w:val="24"/>
          <w:highlight w:val="none"/>
          <w:lang w:val="en-US" w:eastAsia="zh-CN"/>
        </w:rPr>
        <w:t>980000</w:t>
      </w:r>
      <w:r>
        <w:rPr>
          <w:rFonts w:hint="eastAsia" w:ascii="仿宋" w:hAnsi="仿宋" w:eastAsia="仿宋" w:cs="仿宋"/>
          <w:color w:val="auto"/>
          <w:sz w:val="24"/>
          <w:highlight w:val="none"/>
        </w:rPr>
        <w:t xml:space="preserve">  </w:t>
      </w:r>
    </w:p>
    <w:p w14:paraId="03619F67">
      <w:pP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最高限价（元）：</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w:t>
      </w:r>
    </w:p>
    <w:p w14:paraId="2EBE90E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采购需求：</w:t>
      </w:r>
    </w:p>
    <w:p w14:paraId="16B1754C">
      <w:pPr>
        <w:spacing w:line="360" w:lineRule="auto"/>
        <w:ind w:firstLine="480" w:firstLineChars="200"/>
        <w:rPr>
          <w:rFonts w:hint="eastAsia" w:ascii="仿宋" w:hAnsi="仿宋" w:eastAsia="仿宋" w:cs="仿宋"/>
          <w:color w:val="auto"/>
          <w:sz w:val="24"/>
          <w:highlight w:val="none"/>
        </w:rPr>
      </w:pPr>
    </w:p>
    <w:p w14:paraId="0B1D8C1A">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标项一</w:t>
      </w:r>
    </w:p>
    <w:p w14:paraId="0DBEB5C9">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标项名称：杭州市上城区人民政府复议应诉类法律服务项目标项一</w:t>
      </w:r>
    </w:p>
    <w:p w14:paraId="63399B8F">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中小企业政策： 非中小企业预留</w:t>
      </w:r>
    </w:p>
    <w:p w14:paraId="5E06197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数量：不限       </w:t>
      </w:r>
    </w:p>
    <w:p w14:paraId="047A253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预算金额（元）：</w:t>
      </w:r>
      <w:r>
        <w:rPr>
          <w:rFonts w:hint="eastAsia" w:ascii="仿宋" w:hAnsi="仿宋" w:eastAsia="仿宋" w:cs="仿宋"/>
          <w:color w:val="auto"/>
          <w:sz w:val="24"/>
          <w:highlight w:val="none"/>
          <w:lang w:val="en-US" w:eastAsia="zh-CN"/>
        </w:rPr>
        <w:t>330000</w:t>
      </w:r>
      <w:r>
        <w:rPr>
          <w:rFonts w:hint="eastAsia" w:ascii="仿宋" w:hAnsi="仿宋" w:eastAsia="仿宋" w:cs="仿宋"/>
          <w:color w:val="auto"/>
          <w:sz w:val="24"/>
          <w:highlight w:val="none"/>
        </w:rPr>
        <w:t xml:space="preserve"> </w:t>
      </w:r>
    </w:p>
    <w:p w14:paraId="7D8DE9A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简要规格描述：根据采购人要求，提供专业法律服务团队，参与区政府行政复议及应诉等审查、咨询工作，为区政府处理复议应诉过程中的相关法律问题等提供法律保障</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该标项主要面向以区政府（区司法局）为被申请人的行政复议案件及后续引发的行政诉讼案件，</w:t>
      </w:r>
      <w:r>
        <w:rPr>
          <w:rFonts w:hint="eastAsia" w:ascii="仿宋" w:hAnsi="仿宋" w:eastAsia="仿宋" w:cs="仿宋"/>
          <w:sz w:val="24"/>
          <w:highlight w:val="none"/>
        </w:rPr>
        <w:t>详见采购文件</w:t>
      </w:r>
      <w:r>
        <w:rPr>
          <w:rFonts w:hint="eastAsia" w:ascii="仿宋" w:hAnsi="仿宋" w:eastAsia="仿宋" w:cs="仿宋"/>
          <w:color w:val="auto"/>
          <w:sz w:val="24"/>
          <w:highlight w:val="none"/>
        </w:rPr>
        <w:t xml:space="preserve">。 </w:t>
      </w:r>
    </w:p>
    <w:p w14:paraId="477C224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备注： </w:t>
      </w:r>
    </w:p>
    <w:p w14:paraId="2D047761">
      <w:pPr>
        <w:spacing w:line="360" w:lineRule="auto"/>
        <w:ind w:firstLine="480" w:firstLineChars="200"/>
        <w:rPr>
          <w:rFonts w:hint="eastAsia" w:ascii="仿宋" w:hAnsi="仿宋" w:eastAsia="仿宋" w:cs="仿宋"/>
          <w:color w:val="auto"/>
          <w:sz w:val="24"/>
          <w:highlight w:val="none"/>
        </w:rPr>
      </w:pPr>
    </w:p>
    <w:p w14:paraId="26139EA6">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标项二</w:t>
      </w:r>
    </w:p>
    <w:p w14:paraId="2F9C74EF">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标项名称：杭州市上城区人民政府复议应诉类法律服务项目标项二</w:t>
      </w:r>
    </w:p>
    <w:p w14:paraId="45F1CF4D">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中小企业政策： 非中小企业预留</w:t>
      </w:r>
    </w:p>
    <w:p w14:paraId="27F0036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数量：不限       </w:t>
      </w:r>
    </w:p>
    <w:p w14:paraId="548C0CA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预算金额（元）：</w:t>
      </w:r>
      <w:r>
        <w:rPr>
          <w:rFonts w:hint="eastAsia" w:ascii="仿宋" w:hAnsi="仿宋" w:eastAsia="仿宋" w:cs="仿宋"/>
          <w:color w:val="auto"/>
          <w:sz w:val="24"/>
          <w:highlight w:val="none"/>
          <w:lang w:val="en-US" w:eastAsia="zh-CN"/>
        </w:rPr>
        <w:t>330000</w:t>
      </w:r>
      <w:r>
        <w:rPr>
          <w:rFonts w:hint="eastAsia" w:ascii="仿宋" w:hAnsi="仿宋" w:eastAsia="仿宋" w:cs="仿宋"/>
          <w:color w:val="auto"/>
          <w:sz w:val="24"/>
          <w:highlight w:val="none"/>
        </w:rPr>
        <w:t xml:space="preserve"> </w:t>
      </w:r>
    </w:p>
    <w:p w14:paraId="7CDCB0D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简要规格描述：根据采购人要求，提供专业法律服务团队，参与区政府行政复议及应诉等审查、咨询工作，为区政府处理复议应诉过程中的相关法律问题等提供法律保障</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该标项主要面向以区政府为单独被告的行政诉讼案件，</w:t>
      </w:r>
      <w:r>
        <w:rPr>
          <w:rFonts w:hint="eastAsia" w:ascii="仿宋" w:hAnsi="仿宋" w:eastAsia="仿宋" w:cs="仿宋"/>
          <w:sz w:val="24"/>
          <w:highlight w:val="none"/>
        </w:rPr>
        <w:t>详见采购文件</w:t>
      </w:r>
      <w:r>
        <w:rPr>
          <w:rFonts w:hint="eastAsia" w:ascii="仿宋" w:hAnsi="仿宋" w:eastAsia="仿宋" w:cs="仿宋"/>
          <w:color w:val="auto"/>
          <w:sz w:val="24"/>
          <w:highlight w:val="none"/>
        </w:rPr>
        <w:t xml:space="preserve">。 </w:t>
      </w:r>
    </w:p>
    <w:p w14:paraId="7AEE06D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备注： </w:t>
      </w:r>
    </w:p>
    <w:p w14:paraId="7E663ECC">
      <w:pPr>
        <w:pStyle w:val="59"/>
        <w:rPr>
          <w:rFonts w:hint="eastAsia" w:ascii="仿宋" w:hAnsi="仿宋" w:eastAsia="仿宋" w:cs="仿宋"/>
          <w:color w:val="auto"/>
          <w:sz w:val="24"/>
          <w:highlight w:val="none"/>
        </w:rPr>
      </w:pPr>
    </w:p>
    <w:p w14:paraId="3962AC13">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标项三</w:t>
      </w:r>
    </w:p>
    <w:p w14:paraId="38828F28">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标项名称：杭州市上城区人民政府复议应诉类法律服务项目标项三</w:t>
      </w:r>
    </w:p>
    <w:p w14:paraId="4E4F21DC">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中小企业政策： 非中小企业预留</w:t>
      </w:r>
    </w:p>
    <w:p w14:paraId="641358E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数量：不限       </w:t>
      </w:r>
    </w:p>
    <w:p w14:paraId="3CE1E91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预算金额（元）：</w:t>
      </w:r>
      <w:r>
        <w:rPr>
          <w:rFonts w:hint="eastAsia" w:ascii="仿宋" w:hAnsi="仿宋" w:eastAsia="仿宋" w:cs="仿宋"/>
          <w:color w:val="auto"/>
          <w:sz w:val="24"/>
          <w:highlight w:val="none"/>
          <w:lang w:val="en-US" w:eastAsia="zh-CN"/>
        </w:rPr>
        <w:t>320000</w:t>
      </w:r>
      <w:r>
        <w:rPr>
          <w:rFonts w:hint="eastAsia" w:ascii="仿宋" w:hAnsi="仿宋" w:eastAsia="仿宋" w:cs="仿宋"/>
          <w:color w:val="auto"/>
          <w:sz w:val="24"/>
          <w:highlight w:val="none"/>
        </w:rPr>
        <w:t xml:space="preserve"> </w:t>
      </w:r>
    </w:p>
    <w:p w14:paraId="2CE3DC1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简要规格描述：根据采购人要求，提供专业法律服务团队，参与区政府行政复议及应诉等审查、咨询工作，为区政府处理复议应诉过程中的相关法律问题等提供法律保障</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该标项主要面向以区政府为复议机关而引发的复议后诉讼案件，</w:t>
      </w:r>
      <w:r>
        <w:rPr>
          <w:rFonts w:hint="eastAsia" w:ascii="仿宋" w:hAnsi="仿宋" w:eastAsia="仿宋" w:cs="仿宋"/>
          <w:sz w:val="24"/>
          <w:highlight w:val="none"/>
        </w:rPr>
        <w:t>详见采购文件</w:t>
      </w:r>
      <w:r>
        <w:rPr>
          <w:rFonts w:hint="eastAsia" w:ascii="仿宋" w:hAnsi="仿宋" w:eastAsia="仿宋" w:cs="仿宋"/>
          <w:color w:val="auto"/>
          <w:sz w:val="24"/>
          <w:highlight w:val="none"/>
        </w:rPr>
        <w:t xml:space="preserve">。 </w:t>
      </w:r>
    </w:p>
    <w:p w14:paraId="2639232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备注： </w:t>
      </w:r>
    </w:p>
    <w:p w14:paraId="0C5274A7">
      <w:pPr>
        <w:pStyle w:val="59"/>
        <w:rPr>
          <w:rFonts w:hint="eastAsia"/>
          <w:highlight w:val="none"/>
        </w:rPr>
      </w:pPr>
    </w:p>
    <w:p w14:paraId="6164FA29">
      <w:pPr>
        <w:spacing w:line="360"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合同履约期限：标项1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整体服务期为</w:t>
      </w:r>
      <w:r>
        <w:rPr>
          <w:rFonts w:hint="eastAsia" w:ascii="仿宋" w:hAnsi="仿宋" w:eastAsia="仿宋" w:cs="仿宋"/>
          <w:color w:val="auto"/>
          <w:sz w:val="24"/>
          <w:highlight w:val="none"/>
          <w:lang w:val="en-US" w:eastAsia="zh-CN"/>
        </w:rPr>
        <w:t>一年</w:t>
      </w:r>
      <w:r>
        <w:rPr>
          <w:rFonts w:hint="eastAsia" w:ascii="仿宋" w:hAnsi="仿宋" w:eastAsia="仿宋" w:cs="仿宋"/>
          <w:color w:val="auto"/>
          <w:sz w:val="24"/>
          <w:highlight w:val="none"/>
        </w:rPr>
        <w:t>。</w:t>
      </w:r>
    </w:p>
    <w:p w14:paraId="1419214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本项目（是）接受联合体投标。</w:t>
      </w:r>
    </w:p>
    <w:p w14:paraId="46588764">
      <w:pPr>
        <w:pStyle w:val="3"/>
        <w:numPr>
          <w:ilvl w:val="0"/>
          <w:numId w:val="0"/>
        </w:numPr>
        <w:ind w:left="432" w:hanging="432"/>
        <w:rPr>
          <w:rFonts w:ascii="仿宋" w:eastAsia="仿宋" w:cs="仿宋"/>
          <w:color w:val="auto"/>
          <w:sz w:val="24"/>
          <w:szCs w:val="24"/>
          <w:highlight w:val="none"/>
        </w:rPr>
      </w:pPr>
      <w:bookmarkStart w:id="14" w:name="_Toc28359013"/>
      <w:bookmarkStart w:id="15" w:name="_Toc28359090"/>
      <w:bookmarkStart w:id="16" w:name="_Toc35393799"/>
      <w:bookmarkStart w:id="17" w:name="_Toc35393630"/>
      <w:r>
        <w:rPr>
          <w:rFonts w:hint="eastAsia" w:ascii="仿宋" w:eastAsia="仿宋" w:cs="仿宋"/>
          <w:color w:val="auto"/>
          <w:sz w:val="24"/>
          <w:szCs w:val="24"/>
          <w:highlight w:val="none"/>
        </w:rPr>
        <w:t>二、申请人的资格要求：</w:t>
      </w:r>
      <w:bookmarkEnd w:id="14"/>
      <w:bookmarkEnd w:id="15"/>
      <w:bookmarkEnd w:id="16"/>
      <w:bookmarkEnd w:id="17"/>
    </w:p>
    <w:p w14:paraId="2418E11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806C29B">
      <w:pPr>
        <w:spacing w:line="360" w:lineRule="auto"/>
        <w:ind w:firstLine="480" w:firstLineChars="200"/>
        <w:rPr>
          <w:rFonts w:ascii="仿宋" w:hAnsi="仿宋" w:eastAsia="仿宋" w:cs="仿宋"/>
          <w:color w:val="auto"/>
          <w:sz w:val="24"/>
          <w:highlight w:val="none"/>
        </w:rPr>
      </w:pPr>
      <w:bookmarkStart w:id="18" w:name="_Toc28359091"/>
      <w:bookmarkStart w:id="19" w:name="_Toc28359014"/>
      <w:r>
        <w:rPr>
          <w:rFonts w:hint="eastAsia" w:ascii="仿宋" w:hAnsi="仿宋" w:eastAsia="仿宋" w:cs="仿宋"/>
          <w:color w:val="auto"/>
          <w:sz w:val="24"/>
          <w:highlight w:val="none"/>
        </w:rPr>
        <w:t>2.落实政府采购政策需满足的资格要求：标项1、2、3</w:t>
      </w:r>
      <w:r>
        <w:rPr>
          <w:rFonts w:hint="eastAsia" w:ascii="仿宋" w:hAnsi="仿宋" w:eastAsia="仿宋" w:cs="仿宋"/>
          <w:color w:val="auto"/>
          <w:sz w:val="24"/>
          <w:highlight w:val="none"/>
          <w:lang w:eastAsia="zh-CN"/>
        </w:rPr>
        <w:t>：</w:t>
      </w:r>
      <w:bookmarkStart w:id="80" w:name="_GoBack"/>
      <w:bookmarkEnd w:id="80"/>
      <w:r>
        <w:rPr>
          <w:rFonts w:hint="eastAsia" w:ascii="仿宋" w:hAnsi="仿宋" w:eastAsia="仿宋" w:cs="仿宋_GB2312"/>
          <w:snapToGrid w:val="0"/>
          <w:color w:val="auto"/>
          <w:kern w:val="28"/>
          <w:sz w:val="24"/>
          <w:szCs w:val="20"/>
          <w:highlight w:val="none"/>
          <w:lang w:val="en-US" w:eastAsia="zh-CN"/>
        </w:rPr>
        <w:t>无</w:t>
      </w:r>
      <w:r>
        <w:rPr>
          <w:rFonts w:hint="eastAsia" w:ascii="仿宋" w:hAnsi="仿宋" w:eastAsia="仿宋" w:cs="仿宋"/>
          <w:snapToGrid w:val="0"/>
          <w:color w:val="auto"/>
          <w:kern w:val="28"/>
          <w:sz w:val="24"/>
          <w:szCs w:val="20"/>
          <w:highlight w:val="none"/>
        </w:rPr>
        <w:t>。</w:t>
      </w:r>
      <w:r>
        <w:rPr>
          <w:rFonts w:hint="eastAsia" w:ascii="仿宋" w:hAnsi="仿宋" w:eastAsia="仿宋" w:cs="仿宋"/>
          <w:color w:val="auto"/>
          <w:sz w:val="24"/>
          <w:highlight w:val="none"/>
        </w:rPr>
        <w:t xml:space="preserve"> </w:t>
      </w:r>
    </w:p>
    <w:p w14:paraId="1A382AD3">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3.本项目的特定资格要求：标项1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lang w:eastAsia="zh-CN"/>
        </w:rPr>
        <w:t>：</w:t>
      </w:r>
    </w:p>
    <w:p w14:paraId="08CFAE1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highlight w:val="none"/>
        </w:rPr>
      </w:pPr>
      <w:sdt>
        <w:sdtPr>
          <w:rPr>
            <w:rFonts w:hint="eastAsia" w:ascii="仿宋" w:hAnsi="仿宋" w:eastAsia="仿宋" w:cs="仿宋"/>
            <w:color w:val="auto"/>
            <w:kern w:val="0"/>
            <w:sz w:val="24"/>
            <w:highlight w:val="none"/>
          </w:rPr>
          <w:id w:val="3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r>
        <w:rPr>
          <w:rFonts w:hint="eastAsia" w:ascii="仿宋" w:hAnsi="仿宋" w:eastAsia="仿宋" w:cs="仿宋"/>
          <w:color w:val="auto"/>
          <w:sz w:val="24"/>
          <w:highlight w:val="none"/>
        </w:rPr>
        <w:t>无</w:t>
      </w:r>
      <w:r>
        <w:rPr>
          <w:rFonts w:hint="eastAsia" w:ascii="仿宋" w:hAnsi="仿宋" w:eastAsia="仿宋" w:cs="仿宋"/>
          <w:color w:val="auto"/>
          <w:sz w:val="24"/>
          <w:highlight w:val="none"/>
          <w:lang w:val="en-US" w:eastAsia="zh-CN"/>
        </w:rPr>
        <w:t xml:space="preserve">    </w:t>
      </w:r>
      <w:sdt>
        <w:sdtPr>
          <w:rPr>
            <w:rFonts w:hint="eastAsia" w:ascii="仿宋" w:hAnsi="仿宋" w:eastAsia="仿宋" w:cs="仿宋"/>
            <w:color w:val="auto"/>
            <w:kern w:val="0"/>
            <w:sz w:val="24"/>
            <w:highlight w:val="none"/>
          </w:rPr>
          <w:id w:val="34"/>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有特定资格要求：</w:t>
      </w:r>
      <w:r>
        <w:rPr>
          <w:rFonts w:hint="eastAsia" w:ascii="仿宋" w:hAnsi="仿宋" w:eastAsia="仿宋" w:cs="仿宋"/>
          <w:color w:val="auto"/>
          <w:sz w:val="24"/>
          <w:highlight w:val="none"/>
          <w:u w:val="single"/>
          <w:lang w:val="en-US" w:eastAsia="zh-CN"/>
        </w:rPr>
        <w:t>依法设立并取得执业许可证的律师事务所</w:t>
      </w:r>
      <w:r>
        <w:rPr>
          <w:rFonts w:hint="eastAsia" w:ascii="仿宋" w:hAnsi="仿宋" w:eastAsia="仿宋" w:cs="仿宋"/>
          <w:color w:val="auto"/>
          <w:sz w:val="24"/>
          <w:highlight w:val="none"/>
        </w:rPr>
        <w:t>，该特定条件的法律法规依据：</w:t>
      </w:r>
      <w:r>
        <w:rPr>
          <w:rFonts w:hint="eastAsia" w:ascii="仿宋" w:hAnsi="仿宋" w:eastAsia="仿宋" w:cs="仿宋"/>
          <w:color w:val="auto"/>
          <w:sz w:val="24"/>
          <w:highlight w:val="none"/>
          <w:u w:val="single"/>
          <w:lang w:eastAsia="zh-CN"/>
        </w:rPr>
        <w:t>《律师事务所管理办法》</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D2F7004">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1C9334DF">
      <w:pPr>
        <w:pStyle w:val="3"/>
        <w:numPr>
          <w:ilvl w:val="0"/>
          <w:numId w:val="0"/>
        </w:numPr>
        <w:ind w:left="432" w:hanging="432"/>
        <w:rPr>
          <w:rFonts w:ascii="仿宋" w:eastAsia="仿宋" w:cs="仿宋"/>
          <w:color w:val="auto"/>
          <w:sz w:val="24"/>
          <w:szCs w:val="24"/>
          <w:highlight w:val="none"/>
        </w:rPr>
      </w:pPr>
      <w:bookmarkStart w:id="20" w:name="_Toc35393631"/>
      <w:bookmarkStart w:id="21" w:name="_Toc35393800"/>
      <w:r>
        <w:rPr>
          <w:rFonts w:hint="eastAsia" w:ascii="仿宋" w:eastAsia="仿宋" w:cs="仿宋"/>
          <w:color w:val="auto"/>
          <w:sz w:val="24"/>
          <w:szCs w:val="24"/>
          <w:highlight w:val="none"/>
        </w:rPr>
        <w:t>三、获取（下载）采购文件</w:t>
      </w:r>
      <w:bookmarkEnd w:id="18"/>
      <w:bookmarkEnd w:id="19"/>
      <w:bookmarkEnd w:id="20"/>
      <w:bookmarkEnd w:id="21"/>
    </w:p>
    <w:p w14:paraId="4DF099AE">
      <w:pPr>
        <w:spacing w:line="360" w:lineRule="auto"/>
        <w:ind w:firstLine="540"/>
        <w:rPr>
          <w:rFonts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7"/>
          <w:szCs w:val="27"/>
          <w:highlight w:val="none"/>
        </w:rPr>
        <w:t>/</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lang w:eastAsia="zh-CN"/>
        </w:rPr>
        <w:t>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年</w:t>
      </w:r>
      <w:r>
        <w:rPr>
          <w:rFonts w:hint="eastAsia" w:ascii="仿宋" w:hAnsi="仿宋" w:eastAsia="仿宋" w:cs="仿宋"/>
          <w:color w:val="auto"/>
          <w:sz w:val="24"/>
          <w:highlight w:val="none"/>
          <w:lang w:val="en-US" w:eastAsia="zh-CN"/>
        </w:rPr>
        <w:t>03</w:t>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lang w:val="en-US" w:eastAsia="zh-CN"/>
        </w:rPr>
        <w:t>31</w:t>
      </w:r>
      <w:r>
        <w:rPr>
          <w:rFonts w:hint="eastAsia" w:ascii="仿宋" w:hAnsi="仿宋" w:eastAsia="仿宋" w:cs="仿宋"/>
          <w:color w:val="auto"/>
          <w:sz w:val="24"/>
          <w:highlight w:val="none"/>
          <w:lang w:eastAsia="zh-CN"/>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25180FEA">
      <w:pPr>
        <w:spacing w:line="360" w:lineRule="auto"/>
        <w:ind w:firstLine="540"/>
        <w:rPr>
          <w:rFonts w:ascii="仿宋" w:hAnsi="仿宋" w:eastAsia="仿宋" w:cs="仿宋"/>
          <w:color w:val="auto"/>
          <w:sz w:val="28"/>
          <w:szCs w:val="28"/>
          <w:highlight w:val="none"/>
          <w:u w:val="single"/>
        </w:rPr>
      </w:pPr>
      <w:r>
        <w:rPr>
          <w:rFonts w:hint="eastAsia" w:ascii="仿宋" w:hAnsi="仿宋" w:eastAsia="仿宋" w:cs="仿宋"/>
          <w:b/>
          <w:color w:val="auto"/>
          <w:sz w:val="24"/>
          <w:highlight w:val="none"/>
        </w:rPr>
        <w:t>地点（网址）：</w:t>
      </w:r>
      <w:r>
        <w:rPr>
          <w:rFonts w:hint="eastAsia" w:ascii="仿宋" w:hAnsi="仿宋" w:eastAsia="仿宋" w:cs="仿宋"/>
          <w:b w:val="0"/>
          <w:bCs/>
          <w:color w:val="auto"/>
          <w:sz w:val="24"/>
          <w:highlight w:val="none"/>
        </w:rPr>
        <w:t>政采云平台线上获取</w:t>
      </w:r>
    </w:p>
    <w:p w14:paraId="494B6FC7">
      <w:pPr>
        <w:spacing w:line="360" w:lineRule="auto"/>
        <w:ind w:firstLine="540"/>
        <w:rPr>
          <w:rFonts w:ascii="仿宋" w:hAnsi="仿宋" w:eastAsia="仿宋" w:cs="仿宋"/>
          <w:color w:val="auto"/>
          <w:sz w:val="24"/>
          <w:highlight w:val="none"/>
          <w:u w:val="single"/>
        </w:rPr>
      </w:pPr>
      <w:r>
        <w:rPr>
          <w:rFonts w:hint="eastAsia" w:ascii="仿宋" w:hAnsi="仿宋" w:eastAsia="仿宋" w:cs="仿宋"/>
          <w:b/>
          <w:color w:val="auto"/>
          <w:sz w:val="24"/>
          <w:highlight w:val="none"/>
        </w:rPr>
        <w:t>方式：</w:t>
      </w:r>
      <w:r>
        <w:rPr>
          <w:rFonts w:hint="eastAsia" w:ascii="仿宋" w:hAnsi="仿宋" w:eastAsia="仿宋" w:cs="仿宋"/>
          <w:b w:val="0"/>
          <w:bCs/>
          <w:color w:val="auto"/>
          <w:sz w:val="24"/>
          <w:highlight w:val="none"/>
        </w:rPr>
        <w:t>供应商登录政采云平台https://www.zcygov.cn/在线申请获取采购文件（进入“项目采购”应用，在获取采购文件菜单中选择项目，申请获取采购文件）</w:t>
      </w:r>
    </w:p>
    <w:p w14:paraId="3641E8E5">
      <w:pPr>
        <w:spacing w:line="360" w:lineRule="auto"/>
        <w:ind w:firstLine="540"/>
        <w:rPr>
          <w:rFonts w:ascii="仿宋" w:hAnsi="仿宋" w:eastAsia="仿宋" w:cs="仿宋"/>
          <w:color w:val="auto"/>
          <w:sz w:val="28"/>
          <w:szCs w:val="28"/>
          <w:highlight w:val="none"/>
        </w:rPr>
      </w:pPr>
      <w:r>
        <w:rPr>
          <w:rFonts w:hint="eastAsia" w:ascii="仿宋" w:hAnsi="仿宋" w:eastAsia="仿宋" w:cs="仿宋"/>
          <w:b/>
          <w:color w:val="auto"/>
          <w:sz w:val="24"/>
          <w:highlight w:val="none"/>
        </w:rPr>
        <w:t>售价：</w:t>
      </w:r>
      <w:r>
        <w:rPr>
          <w:rFonts w:hint="eastAsia" w:ascii="仿宋" w:hAnsi="仿宋" w:eastAsia="仿宋" w:cs="仿宋"/>
          <w:color w:val="auto"/>
          <w:sz w:val="24"/>
          <w:highlight w:val="none"/>
        </w:rPr>
        <w:t>0</w:t>
      </w:r>
    </w:p>
    <w:p w14:paraId="30540A32">
      <w:pPr>
        <w:pStyle w:val="3"/>
        <w:numPr>
          <w:ilvl w:val="0"/>
          <w:numId w:val="0"/>
        </w:numPr>
        <w:ind w:left="432" w:hanging="432"/>
        <w:rPr>
          <w:rFonts w:ascii="仿宋" w:eastAsia="仿宋" w:cs="仿宋"/>
          <w:color w:val="auto"/>
          <w:sz w:val="24"/>
          <w:szCs w:val="24"/>
          <w:highlight w:val="none"/>
        </w:rPr>
      </w:pPr>
      <w:bookmarkStart w:id="22" w:name="_Toc28359015"/>
      <w:bookmarkStart w:id="23" w:name="_Toc35393801"/>
      <w:bookmarkStart w:id="24" w:name="_Toc28359092"/>
      <w:bookmarkStart w:id="25" w:name="_Toc35393632"/>
      <w:r>
        <w:rPr>
          <w:rFonts w:hint="eastAsia" w:ascii="仿宋" w:eastAsia="仿宋" w:cs="仿宋"/>
          <w:color w:val="auto"/>
          <w:sz w:val="24"/>
          <w:szCs w:val="24"/>
          <w:highlight w:val="none"/>
        </w:rPr>
        <w:t>四、响应文件提交</w:t>
      </w:r>
      <w:bookmarkEnd w:id="22"/>
      <w:bookmarkEnd w:id="23"/>
      <w:bookmarkEnd w:id="24"/>
      <w:bookmarkEnd w:id="25"/>
      <w:r>
        <w:rPr>
          <w:rFonts w:hint="eastAsia" w:ascii="仿宋" w:eastAsia="仿宋" w:cs="仿宋"/>
          <w:color w:val="auto"/>
          <w:sz w:val="24"/>
          <w:szCs w:val="24"/>
          <w:highlight w:val="none"/>
        </w:rPr>
        <w:t>（上传）</w:t>
      </w:r>
    </w:p>
    <w:p w14:paraId="3478052C">
      <w:pPr>
        <w:spacing w:line="360" w:lineRule="auto"/>
        <w:ind w:firstLine="480" w:firstLineChars="200"/>
        <w:rPr>
          <w:rFonts w:ascii="仿宋" w:hAnsi="仿宋" w:eastAsia="仿宋" w:cs="仿宋"/>
          <w:bCs/>
          <w:color w:val="auto"/>
          <w:sz w:val="24"/>
          <w:highlight w:val="none"/>
          <w:u w:val="single"/>
        </w:rPr>
      </w:pPr>
      <w:r>
        <w:rPr>
          <w:rFonts w:hint="eastAsia" w:ascii="仿宋" w:hAnsi="仿宋" w:eastAsia="仿宋" w:cs="仿宋"/>
          <w:color w:val="auto"/>
          <w:sz w:val="24"/>
          <w:highlight w:val="none"/>
        </w:rPr>
        <w:t>截止时间：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lang w:eastAsia="zh-CN"/>
        </w:rPr>
        <w:t>年</w:t>
      </w:r>
      <w:r>
        <w:rPr>
          <w:rFonts w:hint="eastAsia" w:ascii="仿宋" w:hAnsi="仿宋" w:eastAsia="仿宋" w:cs="仿宋"/>
          <w:color w:val="auto"/>
          <w:sz w:val="24"/>
          <w:highlight w:val="none"/>
          <w:u w:val="single"/>
          <w:lang w:val="en-US" w:eastAsia="zh-CN"/>
        </w:rPr>
        <w:t>03</w:t>
      </w:r>
      <w:r>
        <w:rPr>
          <w:rFonts w:hint="eastAsia" w:ascii="仿宋" w:hAnsi="仿宋" w:eastAsia="仿宋" w:cs="仿宋"/>
          <w:color w:val="auto"/>
          <w:sz w:val="24"/>
          <w:highlight w:val="none"/>
          <w:u w:val="single"/>
          <w:lang w:eastAsia="zh-CN"/>
        </w:rPr>
        <w:t>月</w:t>
      </w:r>
      <w:r>
        <w:rPr>
          <w:rFonts w:hint="eastAsia" w:ascii="仿宋" w:hAnsi="仿宋" w:eastAsia="仿宋" w:cs="仿宋"/>
          <w:color w:val="auto"/>
          <w:sz w:val="24"/>
          <w:highlight w:val="none"/>
          <w:u w:val="single"/>
          <w:lang w:val="en-US" w:eastAsia="zh-CN"/>
        </w:rPr>
        <w:t>31</w:t>
      </w:r>
      <w:r>
        <w:rPr>
          <w:rFonts w:hint="eastAsia" w:ascii="仿宋" w:hAnsi="仿宋" w:eastAsia="仿宋" w:cs="仿宋"/>
          <w:color w:val="auto"/>
          <w:sz w:val="24"/>
          <w:highlight w:val="none"/>
          <w:u w:val="single"/>
          <w:lang w:eastAsia="zh-CN"/>
        </w:rPr>
        <w:t>日</w:t>
      </w:r>
      <w:r>
        <w:rPr>
          <w:rFonts w:hint="eastAsia" w:ascii="仿宋" w:hAnsi="仿宋" w:eastAsia="仿宋" w:cs="仿宋"/>
          <w:bCs/>
          <w:color w:val="auto"/>
          <w:sz w:val="24"/>
          <w:highlight w:val="none"/>
          <w:u w:val="single"/>
          <w:lang w:val="en-US" w:eastAsia="zh-CN"/>
        </w:rPr>
        <w:t>09:00</w:t>
      </w:r>
      <w:r>
        <w:rPr>
          <w:rFonts w:hint="eastAsia" w:ascii="仿宋" w:hAnsi="仿宋" w:eastAsia="仿宋" w:cs="仿宋"/>
          <w:bCs/>
          <w:color w:val="auto"/>
          <w:sz w:val="24"/>
          <w:highlight w:val="none"/>
        </w:rPr>
        <w:t>（北京时间）</w:t>
      </w:r>
    </w:p>
    <w:p w14:paraId="1315A8A4">
      <w:pPr>
        <w:spacing w:line="360"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地点（网址）：请登录政采云投标客户端投标</w:t>
      </w:r>
    </w:p>
    <w:p w14:paraId="193474DB">
      <w:pPr>
        <w:pStyle w:val="3"/>
        <w:numPr>
          <w:ilvl w:val="0"/>
          <w:numId w:val="0"/>
        </w:numPr>
        <w:ind w:left="432" w:hanging="432"/>
        <w:rPr>
          <w:rFonts w:ascii="仿宋" w:eastAsia="仿宋" w:cs="仿宋"/>
          <w:color w:val="auto"/>
          <w:sz w:val="24"/>
          <w:szCs w:val="24"/>
          <w:highlight w:val="none"/>
        </w:rPr>
      </w:pPr>
      <w:bookmarkStart w:id="26" w:name="_Toc28359093"/>
      <w:bookmarkStart w:id="27" w:name="_Toc28359016"/>
      <w:bookmarkStart w:id="28" w:name="_Toc35393633"/>
      <w:bookmarkStart w:id="29" w:name="_Toc35393802"/>
      <w:r>
        <w:rPr>
          <w:rFonts w:hint="eastAsia" w:ascii="仿宋" w:eastAsia="仿宋" w:cs="仿宋"/>
          <w:color w:val="auto"/>
          <w:sz w:val="24"/>
          <w:szCs w:val="24"/>
          <w:highlight w:val="none"/>
        </w:rPr>
        <w:t>五、响应文件开启</w:t>
      </w:r>
      <w:bookmarkEnd w:id="26"/>
      <w:bookmarkEnd w:id="27"/>
      <w:bookmarkEnd w:id="28"/>
      <w:bookmarkEnd w:id="29"/>
    </w:p>
    <w:p w14:paraId="100B2187">
      <w:pPr>
        <w:spacing w:line="360" w:lineRule="auto"/>
        <w:ind w:firstLine="480" w:firstLineChars="200"/>
        <w:rPr>
          <w:rFonts w:ascii="仿宋" w:hAnsi="仿宋" w:eastAsia="仿宋" w:cs="仿宋"/>
          <w:bCs/>
          <w:color w:val="auto"/>
          <w:sz w:val="24"/>
          <w:highlight w:val="none"/>
          <w:u w:val="single"/>
        </w:rPr>
      </w:pPr>
      <w:r>
        <w:rPr>
          <w:rFonts w:hint="eastAsia" w:ascii="仿宋" w:hAnsi="仿宋" w:eastAsia="仿宋" w:cs="仿宋"/>
          <w:color w:val="auto"/>
          <w:sz w:val="24"/>
          <w:highlight w:val="none"/>
          <w:lang w:val="en-US" w:eastAsia="zh-CN"/>
        </w:rPr>
        <w:t>开启</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lang w:eastAsia="zh-CN"/>
        </w:rPr>
        <w:t>年</w:t>
      </w:r>
      <w:r>
        <w:rPr>
          <w:rFonts w:hint="eastAsia" w:ascii="仿宋" w:hAnsi="仿宋" w:eastAsia="仿宋" w:cs="仿宋"/>
          <w:color w:val="auto"/>
          <w:sz w:val="24"/>
          <w:highlight w:val="none"/>
          <w:u w:val="single"/>
          <w:lang w:val="en-US" w:eastAsia="zh-CN"/>
        </w:rPr>
        <w:t>03</w:t>
      </w:r>
      <w:r>
        <w:rPr>
          <w:rFonts w:hint="eastAsia" w:ascii="仿宋" w:hAnsi="仿宋" w:eastAsia="仿宋" w:cs="仿宋"/>
          <w:color w:val="auto"/>
          <w:sz w:val="24"/>
          <w:highlight w:val="none"/>
          <w:u w:val="single"/>
          <w:lang w:eastAsia="zh-CN"/>
        </w:rPr>
        <w:t>月</w:t>
      </w:r>
      <w:r>
        <w:rPr>
          <w:rFonts w:hint="eastAsia" w:ascii="仿宋" w:hAnsi="仿宋" w:eastAsia="仿宋" w:cs="仿宋"/>
          <w:color w:val="auto"/>
          <w:sz w:val="24"/>
          <w:highlight w:val="none"/>
          <w:u w:val="single"/>
          <w:lang w:val="en-US" w:eastAsia="zh-CN"/>
        </w:rPr>
        <w:t>31</w:t>
      </w:r>
      <w:r>
        <w:rPr>
          <w:rFonts w:hint="eastAsia" w:ascii="仿宋" w:hAnsi="仿宋" w:eastAsia="仿宋" w:cs="仿宋"/>
          <w:color w:val="auto"/>
          <w:sz w:val="24"/>
          <w:highlight w:val="none"/>
          <w:u w:val="single"/>
          <w:lang w:eastAsia="zh-CN"/>
        </w:rPr>
        <w:t>日</w:t>
      </w:r>
      <w:r>
        <w:rPr>
          <w:rFonts w:hint="eastAsia" w:ascii="仿宋" w:hAnsi="仿宋" w:eastAsia="仿宋" w:cs="仿宋"/>
          <w:bCs/>
          <w:color w:val="auto"/>
          <w:sz w:val="24"/>
          <w:highlight w:val="none"/>
          <w:u w:val="single"/>
          <w:lang w:val="en-US" w:eastAsia="zh-CN"/>
        </w:rPr>
        <w:t>09:00</w:t>
      </w:r>
      <w:r>
        <w:rPr>
          <w:rFonts w:hint="eastAsia" w:ascii="仿宋" w:hAnsi="仿宋" w:eastAsia="仿宋" w:cs="仿宋"/>
          <w:bCs/>
          <w:color w:val="auto"/>
          <w:sz w:val="24"/>
          <w:highlight w:val="none"/>
        </w:rPr>
        <w:t>（北京时间）</w:t>
      </w:r>
    </w:p>
    <w:p w14:paraId="5E8AC47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地点（网址）：政采云平台（https://www.zcygov.cn/）</w:t>
      </w:r>
    </w:p>
    <w:p w14:paraId="0121F09A">
      <w:pPr>
        <w:pStyle w:val="3"/>
        <w:numPr>
          <w:ilvl w:val="0"/>
          <w:numId w:val="0"/>
        </w:numPr>
        <w:ind w:left="432" w:hanging="432"/>
        <w:rPr>
          <w:rFonts w:ascii="仿宋" w:eastAsia="仿宋" w:cs="仿宋"/>
          <w:color w:val="auto"/>
          <w:sz w:val="24"/>
          <w:szCs w:val="24"/>
          <w:highlight w:val="none"/>
        </w:rPr>
      </w:pPr>
      <w:bookmarkStart w:id="30" w:name="_Toc35393634"/>
      <w:bookmarkStart w:id="31" w:name="_Toc28359094"/>
      <w:bookmarkStart w:id="32" w:name="_Toc28359017"/>
      <w:bookmarkStart w:id="33" w:name="_Toc35393803"/>
      <w:r>
        <w:rPr>
          <w:rFonts w:hint="eastAsia" w:ascii="仿宋" w:eastAsia="仿宋" w:cs="仿宋"/>
          <w:color w:val="auto"/>
          <w:sz w:val="24"/>
          <w:szCs w:val="24"/>
          <w:highlight w:val="none"/>
        </w:rPr>
        <w:t xml:space="preserve">六、公告期限 </w:t>
      </w:r>
    </w:p>
    <w:bookmarkEnd w:id="30"/>
    <w:bookmarkEnd w:id="31"/>
    <w:bookmarkEnd w:id="32"/>
    <w:bookmarkEnd w:id="33"/>
    <w:p w14:paraId="58D87B35">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自本公告发布之日起3个工作日。</w:t>
      </w:r>
    </w:p>
    <w:p w14:paraId="069DBFA2">
      <w:pPr>
        <w:pStyle w:val="3"/>
        <w:numPr>
          <w:ilvl w:val="0"/>
          <w:numId w:val="0"/>
        </w:numPr>
        <w:ind w:left="432" w:hanging="432"/>
        <w:rPr>
          <w:rFonts w:ascii="仿宋" w:eastAsia="仿宋" w:cs="仿宋"/>
          <w:color w:val="auto"/>
          <w:sz w:val="24"/>
          <w:szCs w:val="24"/>
          <w:highlight w:val="none"/>
        </w:rPr>
      </w:pPr>
      <w:bookmarkStart w:id="34" w:name="_Toc35393635"/>
      <w:bookmarkStart w:id="35" w:name="_Toc35393804"/>
      <w:r>
        <w:rPr>
          <w:rFonts w:hint="eastAsia" w:ascii="仿宋" w:eastAsia="仿宋" w:cs="仿宋"/>
          <w:color w:val="auto"/>
          <w:sz w:val="24"/>
          <w:szCs w:val="24"/>
          <w:highlight w:val="none"/>
          <w:lang w:val="en-US" w:eastAsia="zh-CN"/>
        </w:rPr>
        <w:t>七</w:t>
      </w:r>
      <w:r>
        <w:rPr>
          <w:rFonts w:hint="eastAsia" w:ascii="仿宋" w:eastAsia="仿宋" w:cs="仿宋"/>
          <w:color w:val="auto"/>
          <w:sz w:val="24"/>
          <w:szCs w:val="24"/>
          <w:highlight w:val="none"/>
        </w:rPr>
        <w:t>、其他补充事宜</w:t>
      </w:r>
      <w:bookmarkEnd w:id="34"/>
      <w:bookmarkEnd w:id="35"/>
    </w:p>
    <w:p w14:paraId="7EA39F9C">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1.《浙江省财政厅关于进一步发挥政府采购政策功能全力推动经济稳进提质的通知》 （浙财采监</w:t>
      </w:r>
      <w:r>
        <w:rPr>
          <w:rFonts w:hint="eastAsia" w:ascii="仿宋" w:hAnsi="仿宋" w:eastAsia="仿宋" w:cs="仿宋"/>
          <w:color w:val="auto"/>
          <w:sz w:val="24"/>
          <w:highlight w:val="none"/>
          <w:lang w:eastAsia="zh-CN"/>
        </w:rPr>
        <w:t>〔2022〕3号</w:t>
      </w:r>
      <w:r>
        <w:rPr>
          <w:rFonts w:hint="eastAsia" w:ascii="仿宋" w:hAnsi="仿宋" w:eastAsia="仿宋" w:cs="仿宋"/>
          <w:color w:val="auto"/>
          <w:sz w:val="24"/>
          <w:highlight w:val="none"/>
        </w:rPr>
        <w:t>）、《浙江省财政厅关于进一步促进政府采购公平竞争打造最优营商环境的通知》（浙财采监</w:t>
      </w:r>
      <w:r>
        <w:rPr>
          <w:rFonts w:hint="eastAsia" w:ascii="仿宋" w:hAnsi="仿宋" w:eastAsia="仿宋" w:cs="仿宋"/>
          <w:color w:val="auto"/>
          <w:sz w:val="24"/>
          <w:highlight w:val="none"/>
          <w:lang w:eastAsia="zh-CN"/>
        </w:rPr>
        <w:t>〔2021〕22号</w:t>
      </w:r>
      <w:r>
        <w:rPr>
          <w:rFonts w:hint="eastAsia" w:ascii="仿宋" w:hAnsi="仿宋" w:eastAsia="仿宋" w:cs="仿宋"/>
          <w:color w:val="auto"/>
          <w:sz w:val="24"/>
          <w:highlight w:val="none"/>
        </w:rPr>
        <w:t>）、《浙江省财政厅关于进一步加大政府采购支持中小企业力度助力扎实稳住经济的通知》 （浙财采监</w:t>
      </w:r>
      <w:r>
        <w:rPr>
          <w:rFonts w:hint="eastAsia" w:ascii="仿宋" w:hAnsi="仿宋" w:eastAsia="仿宋" w:cs="仿宋"/>
          <w:color w:val="auto"/>
          <w:sz w:val="24"/>
          <w:highlight w:val="none"/>
          <w:lang w:eastAsia="zh-CN"/>
        </w:rPr>
        <w:t>〔2022〕8号</w:t>
      </w:r>
      <w:r>
        <w:rPr>
          <w:rFonts w:hint="eastAsia" w:ascii="仿宋" w:hAnsi="仿宋" w:eastAsia="仿宋" w:cs="仿宋"/>
          <w:color w:val="auto"/>
          <w:sz w:val="24"/>
          <w:highlight w:val="none"/>
        </w:rPr>
        <w:t>）已分别于2022年1月29日、2022年2月1日和2022年7月1日开始实施，此前有关规定与上述文件内容不一致的，按上述文件要求执行。</w:t>
      </w:r>
    </w:p>
    <w:p w14:paraId="350975EF">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2.根据《浙江省财政厅关于进一步促进政府采购公平竞争打造最优营商环境的通知》（浙财采监</w:t>
      </w:r>
      <w:r>
        <w:rPr>
          <w:rFonts w:hint="eastAsia" w:ascii="仿宋" w:hAnsi="仿宋" w:eastAsia="仿宋" w:cs="仿宋"/>
          <w:color w:val="auto"/>
          <w:sz w:val="24"/>
          <w:highlight w:val="none"/>
          <w:lang w:eastAsia="zh-CN"/>
        </w:rPr>
        <w:t>〔2021〕22号</w:t>
      </w:r>
      <w:r>
        <w:rPr>
          <w:rFonts w:hint="eastAsia" w:ascii="仿宋" w:hAnsi="仿宋" w:eastAsia="仿宋" w:cs="仿宋"/>
          <w:color w:val="auto"/>
          <w:sz w:val="24"/>
          <w:highlight w:val="none"/>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F48EF66">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EADD77F">
      <w:pPr>
        <w:snapToGrid w:val="0"/>
        <w:spacing w:line="360" w:lineRule="auto"/>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4. 其他事项：</w:t>
      </w:r>
    </w:p>
    <w:p w14:paraId="763C5BFE">
      <w:pPr>
        <w:pStyle w:val="56"/>
        <w:snapToGrid w:val="0"/>
        <w:spacing w:before="0" w:beforeAutospacing="0" w:after="0" w:afterAutospacing="0" w:line="360" w:lineRule="auto"/>
        <w:ind w:firstLine="480" w:firstLineChars="200"/>
        <w:rPr>
          <w:rFonts w:ascii="仿宋_GB2312" w:hAnsi="仿宋" w:eastAsia="仿宋_GB2312"/>
          <w:color w:val="auto"/>
          <w:highlight w:val="none"/>
        </w:rPr>
      </w:pPr>
      <w:r>
        <w:rPr>
          <w:rFonts w:hint="eastAsia" w:ascii="仿宋_GB2312" w:hAnsi="仿宋" w:eastAsia="仿宋_GB2312"/>
          <w:color w:val="auto"/>
          <w:highlight w:val="none"/>
        </w:rPr>
        <w:t>（1）需要落实的政府采购政策：包括节约资源、保护环境、支持创新、</w:t>
      </w:r>
      <w:r>
        <w:rPr>
          <w:rFonts w:hint="eastAsia" w:ascii="仿宋_GB2312" w:hAnsi="仿宋" w:eastAsia="仿宋_GB2312" w:cs="宋体"/>
          <w:color w:val="auto"/>
          <w:kern w:val="0"/>
          <w:sz w:val="24"/>
          <w:highlight w:val="none"/>
        </w:rPr>
        <w:t>促进中小企业发展等，详见磋商文件第三部分。</w:t>
      </w:r>
    </w:p>
    <w:p w14:paraId="50A61BFC">
      <w:pPr>
        <w:pStyle w:val="56"/>
        <w:snapToGrid w:val="0"/>
        <w:spacing w:before="0" w:beforeAutospacing="0" w:after="0" w:afterAutospacing="0" w:line="360" w:lineRule="auto"/>
        <w:ind w:firstLine="480" w:firstLineChars="200"/>
        <w:rPr>
          <w:rFonts w:ascii="仿宋_GB2312" w:hAnsi="仿宋" w:eastAsia="仿宋_GB2312" w:cs="仿宋_GB2312"/>
          <w:color w:val="auto"/>
          <w:highlight w:val="none"/>
        </w:rPr>
      </w:pPr>
      <w:r>
        <w:rPr>
          <w:rFonts w:hint="eastAsia" w:ascii="仿宋_GB2312" w:hAnsi="仿宋" w:eastAsia="仿宋_GB2312"/>
          <w:color w:val="auto"/>
          <w:highlight w:val="none"/>
        </w:rPr>
        <w:t>（2）</w:t>
      </w:r>
      <w:r>
        <w:rPr>
          <w:rFonts w:ascii="仿宋_GB2312" w:hAnsi="仿宋" w:eastAsia="仿宋_GB2312"/>
          <w:color w:val="auto"/>
          <w:highlight w:val="none"/>
        </w:rPr>
        <w:t>电子招投标的说明：</w:t>
      </w:r>
      <w:r>
        <w:rPr>
          <w:rFonts w:hint="eastAsia" w:ascii="仿宋_GB2312" w:hAnsi="仿宋" w:eastAsia="仿宋_GB2312" w:cs="仿宋_GB2312"/>
          <w:b/>
          <w:color w:val="auto"/>
          <w:sz w:val="24"/>
          <w:highlight w:val="none"/>
        </w:rPr>
        <w:t>1）电子交易：</w:t>
      </w:r>
      <w:r>
        <w:rPr>
          <w:rFonts w:hint="eastAsia" w:ascii="仿宋_GB2312" w:hAnsi="仿宋" w:eastAsia="仿宋_GB2312" w:cs="仿宋_GB2312"/>
          <w:color w:val="auto"/>
          <w:sz w:val="24"/>
          <w:highlight w:val="none"/>
        </w:rPr>
        <w:t>本项目以数据电文形式，依托“政府采购云平台（www.zcygov.cn）”进行采购活动，不接受纸质响应文件。</w:t>
      </w:r>
      <w:r>
        <w:rPr>
          <w:rFonts w:hint="eastAsia" w:ascii="仿宋_GB2312" w:hAnsi="仿宋" w:eastAsia="仿宋_GB2312" w:cs="仿宋_GB2312"/>
          <w:b/>
          <w:color w:val="auto"/>
          <w:sz w:val="24"/>
          <w:highlight w:val="none"/>
        </w:rPr>
        <w:t>2）响应准备：</w:t>
      </w:r>
      <w:r>
        <w:rPr>
          <w:rFonts w:hint="eastAsia" w:ascii="仿宋_GB2312" w:hAnsi="仿宋" w:eastAsia="仿宋_GB2312" w:cs="仿宋_GB2312"/>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_GB2312" w:hAnsi="仿宋" w:eastAsia="仿宋_GB2312" w:cs="仿宋_GB2312"/>
          <w:b/>
          <w:color w:val="auto"/>
          <w:sz w:val="24"/>
          <w:highlight w:val="none"/>
        </w:rPr>
        <w:t>3）磋商文件的获取：</w:t>
      </w:r>
      <w:r>
        <w:rPr>
          <w:rFonts w:hint="eastAsia" w:ascii="仿宋_GB2312" w:hAnsi="仿宋" w:eastAsia="仿宋_GB2312" w:cs="仿宋_GB2312"/>
          <w:color w:val="auto"/>
          <w:sz w:val="24"/>
          <w:highlight w:val="none"/>
        </w:rPr>
        <w:t>使用账号登录或者使用CA登录政采云平台；进入“项目采购”应用，在获取采购文件菜单中选择项目，获取磋商文件。</w:t>
      </w:r>
      <w:r>
        <w:rPr>
          <w:rFonts w:hint="eastAsia" w:ascii="仿宋_GB2312" w:hAnsi="仿宋" w:eastAsia="仿宋_GB2312" w:cs="仿宋_GB2312"/>
          <w:b/>
          <w:color w:val="auto"/>
          <w:sz w:val="24"/>
          <w:highlight w:val="none"/>
        </w:rPr>
        <w:t>4）响应文件的制作：</w:t>
      </w:r>
      <w:r>
        <w:rPr>
          <w:rFonts w:hint="eastAsia" w:ascii="仿宋_GB2312" w:hAnsi="仿宋" w:eastAsia="仿宋_GB2312" w:cs="仿宋_GB2312"/>
          <w:color w:val="auto"/>
          <w:sz w:val="24"/>
          <w:highlight w:val="none"/>
        </w:rPr>
        <w:t>在“政采云电子交易客户端”中完成“填写基本信息”、“导入</w:t>
      </w:r>
      <w:r>
        <w:rPr>
          <w:rFonts w:hint="eastAsia" w:ascii="仿宋_GB2312" w:hAnsi="仿宋" w:eastAsia="仿宋_GB2312" w:cs="仿宋_GB2312"/>
          <w:color w:val="auto"/>
          <w:sz w:val="24"/>
          <w:highlight w:val="none"/>
          <w:lang w:eastAsia="zh-CN"/>
        </w:rPr>
        <w:t>响应文件</w:t>
      </w:r>
      <w:r>
        <w:rPr>
          <w:rFonts w:hint="eastAsia" w:ascii="仿宋_GB2312" w:hAnsi="仿宋" w:eastAsia="仿宋_GB2312" w:cs="仿宋_GB2312"/>
          <w:color w:val="auto"/>
          <w:sz w:val="24"/>
          <w:highlight w:val="none"/>
        </w:rPr>
        <w:t>”、“标书关联”、“标书检查”、“电子签名”、“生成电子标书”等操作。</w:t>
      </w:r>
      <w:r>
        <w:rPr>
          <w:rFonts w:ascii="仿宋_GB2312" w:hAnsi="仿宋" w:eastAsia="仿宋_GB2312" w:cs="仿宋_GB2312"/>
          <w:b/>
          <w:color w:val="auto"/>
          <w:sz w:val="24"/>
          <w:highlight w:val="none"/>
        </w:rPr>
        <w:t>5）</w:t>
      </w:r>
      <w:r>
        <w:rPr>
          <w:rFonts w:hint="eastAsia" w:ascii="仿宋_GB2312" w:hAnsi="仿宋" w:eastAsia="仿宋_GB2312" w:cs="仿宋_GB2312"/>
          <w:color w:val="auto"/>
          <w:sz w:val="24"/>
          <w:highlight w:val="none"/>
        </w:rPr>
        <w:t>采购人、</w:t>
      </w:r>
      <w:r>
        <w:rPr>
          <w:rFonts w:hint="eastAsia" w:ascii="仿宋_GB2312" w:hAnsi="仿宋" w:eastAsia="仿宋_GB2312" w:cs="仿宋_GB2312"/>
          <w:color w:val="auto"/>
          <w:sz w:val="24"/>
          <w:highlight w:val="none"/>
          <w:lang w:eastAsia="zh-CN"/>
        </w:rPr>
        <w:t>采购代理机构</w:t>
      </w:r>
      <w:r>
        <w:rPr>
          <w:rFonts w:hint="eastAsia" w:ascii="仿宋_GB2312" w:hAnsi="仿宋" w:eastAsia="仿宋_GB2312" w:cs="仿宋_GB2312"/>
          <w:color w:val="auto"/>
          <w:sz w:val="24"/>
          <w:highlight w:val="none"/>
        </w:rPr>
        <w:t>将依托政采云平台完成本项目的电子交易活动，平台不接受未按本公告约定方式获取磋商文件的供应商进行响应活动；</w:t>
      </w:r>
      <w:r>
        <w:rPr>
          <w:rFonts w:ascii="仿宋_GB2312" w:hAnsi="仿宋" w:eastAsia="仿宋_GB2312" w:cs="仿宋_GB2312"/>
          <w:b/>
          <w:color w:val="auto"/>
          <w:sz w:val="24"/>
          <w:highlight w:val="none"/>
        </w:rPr>
        <w:t>6）</w:t>
      </w:r>
      <w:r>
        <w:rPr>
          <w:rFonts w:hint="eastAsia" w:ascii="仿宋_GB2312" w:hAnsi="仿宋" w:eastAsia="仿宋_GB2312" w:cs="仿宋_GB2312"/>
          <w:color w:val="auto"/>
          <w:sz w:val="24"/>
          <w:highlight w:val="none"/>
        </w:rPr>
        <w:t>对未按上述方式获取磋商文件的供应商对该文件提出的质疑，采购人或采购代理机构将不予处理</w:t>
      </w:r>
      <w:r>
        <w:rPr>
          <w:rFonts w:hint="eastAsia" w:ascii="仿宋_GB2312" w:hAnsi="仿宋" w:eastAsia="仿宋_GB2312" w:cs="仿宋_GB2312"/>
          <w:b/>
          <w:color w:val="auto"/>
          <w:sz w:val="24"/>
          <w:highlight w:val="none"/>
        </w:rPr>
        <w:t>；</w:t>
      </w:r>
      <w:r>
        <w:rPr>
          <w:rFonts w:ascii="仿宋_GB2312" w:hAnsi="仿宋" w:eastAsia="仿宋_GB2312" w:cs="仿宋_GB2312"/>
          <w:b/>
          <w:color w:val="auto"/>
          <w:sz w:val="24"/>
          <w:highlight w:val="none"/>
        </w:rPr>
        <w:t>7）</w:t>
      </w:r>
      <w:r>
        <w:rPr>
          <w:rFonts w:hint="eastAsia" w:ascii="仿宋_GB2312" w:hAnsi="仿宋" w:eastAsia="仿宋_GB2312" w:cs="仿宋_GB2312"/>
          <w:color w:val="auto"/>
          <w:sz w:val="24"/>
          <w:highlight w:val="none"/>
        </w:rPr>
        <w:t>不提供磋商文件纸质版；</w:t>
      </w:r>
      <w:r>
        <w:rPr>
          <w:rFonts w:ascii="仿宋_GB2312" w:hAnsi="仿宋" w:eastAsia="仿宋_GB2312" w:cs="仿宋_GB2312"/>
          <w:b/>
          <w:color w:val="auto"/>
          <w:sz w:val="24"/>
          <w:highlight w:val="none"/>
        </w:rPr>
        <w:t>8</w:t>
      </w:r>
      <w:r>
        <w:rPr>
          <w:rFonts w:hint="eastAsia" w:ascii="仿宋_GB2312" w:hAnsi="仿宋" w:eastAsia="仿宋_GB2312" w:cs="仿宋_GB2312"/>
          <w:b/>
          <w:color w:val="auto"/>
          <w:sz w:val="24"/>
          <w:highlight w:val="none"/>
        </w:rPr>
        <w:t>）响应文件的传输提交：</w:t>
      </w:r>
      <w:r>
        <w:rPr>
          <w:rFonts w:hint="eastAsia" w:ascii="仿宋_GB2312" w:hAnsi="仿宋" w:eastAsia="仿宋_GB2312" w:cs="仿宋_GB2312"/>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仿宋_GB2312" w:hAnsi="仿宋" w:eastAsia="仿宋_GB2312" w:cs="仿宋_GB2312"/>
          <w:b/>
          <w:color w:val="auto"/>
          <w:sz w:val="24"/>
          <w:highlight w:val="none"/>
        </w:rPr>
        <w:t>9）响应文件的解密：</w:t>
      </w:r>
      <w:r>
        <w:rPr>
          <w:rFonts w:hint="eastAsia" w:ascii="仿宋_GB2312" w:hAnsi="仿宋" w:eastAsia="仿宋_GB2312" w:cs="仿宋_GB2312"/>
          <w:color w:val="auto"/>
          <w:sz w:val="24"/>
          <w:highlight w:val="none"/>
        </w:rPr>
        <w:t>供应商按照平台提示和磋商文件的规定在半小时内完成在线解密。通过“政府采购云平台”上传提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_GB2312" w:hAnsi="仿宋" w:eastAsia="仿宋_GB2312" w:cs="仿宋_GB2312"/>
          <w:b/>
          <w:color w:val="auto"/>
          <w:sz w:val="24"/>
          <w:highlight w:val="none"/>
        </w:rPr>
        <w:t>）具体操作指南</w:t>
      </w:r>
      <w:r>
        <w:rPr>
          <w:rFonts w:hint="eastAsia" w:ascii="仿宋_GB2312" w:hAnsi="仿宋" w:eastAsia="仿宋_GB2312" w:cs="仿宋_GB2312"/>
          <w:color w:val="auto"/>
          <w:sz w:val="24"/>
          <w:highlight w:val="none"/>
        </w:rPr>
        <w:t>：详见政采云平台“服务中心-帮助文档-项目采购-操作流程-电子招投标-政府采购项目电子交易管理操作指南-供应商”</w:t>
      </w:r>
      <w:r>
        <w:rPr>
          <w:rFonts w:ascii="仿宋_GB2312" w:hAnsi="仿宋" w:eastAsia="仿宋_GB2312" w:cs="仿宋_GB2312"/>
          <w:color w:val="auto"/>
          <w:highlight w:val="none"/>
        </w:rPr>
        <w:t>。</w:t>
      </w:r>
    </w:p>
    <w:p w14:paraId="79143891">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val="en-US" w:eastAsia="zh-CN"/>
        </w:rPr>
        <w:t>3</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单位负责人为同一人或者存在直接控股、管理关系的不同供应商，不得参加同一合同项下的政府采购活动；</w:t>
      </w:r>
      <w:r>
        <w:rPr>
          <w:rFonts w:ascii="仿宋_GB2312" w:hAnsi="仿宋" w:eastAsia="仿宋_GB2312" w:cs="仿宋_GB2312"/>
          <w:color w:val="auto"/>
          <w:sz w:val="24"/>
          <w:highlight w:val="none"/>
        </w:rPr>
        <w:t>为采购项目提供整体设计、规范编制或者项目管理、监理、检测等服务后</w:t>
      </w:r>
      <w:r>
        <w:rPr>
          <w:rFonts w:hint="eastAsia" w:ascii="仿宋_GB2312" w:hAnsi="仿宋" w:eastAsia="仿宋_GB2312" w:cs="仿宋_GB2312"/>
          <w:color w:val="auto"/>
          <w:sz w:val="24"/>
          <w:highlight w:val="none"/>
        </w:rPr>
        <w:t>不得</w:t>
      </w:r>
      <w:r>
        <w:rPr>
          <w:rFonts w:ascii="仿宋_GB2312" w:hAnsi="仿宋" w:eastAsia="仿宋_GB2312" w:cs="仿宋_GB2312"/>
          <w:color w:val="auto"/>
          <w:sz w:val="24"/>
          <w:highlight w:val="none"/>
        </w:rPr>
        <w:t>再参加该采购项目的其他采购活动。</w:t>
      </w:r>
    </w:p>
    <w:p w14:paraId="2A3F7833">
      <w:pPr>
        <w:snapToGrid w:val="0"/>
        <w:spacing w:line="360" w:lineRule="auto"/>
        <w:ind w:firstLine="480" w:firstLineChars="20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lang w:val="en-US" w:eastAsia="zh-CN"/>
        </w:rPr>
        <w:t>4</w:t>
      </w:r>
      <w:r>
        <w:rPr>
          <w:rFonts w:hint="eastAsia" w:ascii="仿宋_GB2312" w:hAnsi="仿宋" w:eastAsia="仿宋_GB2312"/>
          <w:color w:val="auto"/>
          <w:sz w:val="24"/>
          <w:highlight w:val="none"/>
        </w:rPr>
        <w:t>）本磋商文件公告期限为本公告发布之日起5个工作日。</w:t>
      </w:r>
    </w:p>
    <w:p w14:paraId="0A545563">
      <w:pPr>
        <w:snapToGrid w:val="0"/>
        <w:spacing w:line="360" w:lineRule="auto"/>
        <w:ind w:firstLine="480" w:firstLineChars="200"/>
        <w:rPr>
          <w:rFonts w:hint="eastAsia" w:ascii="仿宋_GB2312" w:hAnsi="仿宋" w:eastAsia="仿宋_GB2312"/>
          <w:color w:val="auto"/>
          <w:sz w:val="24"/>
          <w:highlight w:val="none"/>
          <w:lang w:eastAsia="zh-CN"/>
        </w:rPr>
      </w:pPr>
      <w:r>
        <w:rPr>
          <w:rFonts w:hint="eastAsia" w:ascii="仿宋_GB2312" w:hAnsi="仿宋" w:eastAsia="仿宋_GB2312"/>
          <w:color w:val="auto"/>
          <w:sz w:val="24"/>
          <w:highlight w:val="none"/>
          <w:lang w:eastAsia="zh-CN"/>
        </w:rPr>
        <w:t>（</w:t>
      </w:r>
      <w:r>
        <w:rPr>
          <w:rFonts w:hint="eastAsia" w:ascii="仿宋_GB2312" w:hAnsi="仿宋" w:eastAsia="仿宋_GB2312"/>
          <w:color w:val="auto"/>
          <w:sz w:val="24"/>
          <w:highlight w:val="none"/>
          <w:lang w:val="en-US" w:eastAsia="zh-CN"/>
        </w:rPr>
        <w:t>6</w:t>
      </w:r>
      <w:r>
        <w:rPr>
          <w:rFonts w:hint="eastAsia" w:ascii="仿宋_GB2312" w:hAnsi="仿宋" w:eastAsia="仿宋_GB2312"/>
          <w:color w:val="auto"/>
          <w:sz w:val="24"/>
          <w:highlight w:val="none"/>
          <w:lang w:eastAsia="zh-CN"/>
        </w:rPr>
        <w:t>）</w:t>
      </w:r>
      <w:r>
        <w:rPr>
          <w:rFonts w:hint="eastAsia" w:ascii="仿宋_GB2312" w:hAnsi="仿宋" w:eastAsia="仿宋_GB2312"/>
          <w:color w:val="auto"/>
          <w:sz w:val="24"/>
          <w:highlight w:val="none"/>
          <w:lang w:val="en-US" w:eastAsia="zh-CN"/>
        </w:rPr>
        <w:t>供应商可自行选择任意一个或多个标项参与响应，但只允许在一个标项成交。</w:t>
      </w:r>
    </w:p>
    <w:p w14:paraId="6A3E1EB3">
      <w:pPr>
        <w:pStyle w:val="3"/>
        <w:numPr>
          <w:ilvl w:val="0"/>
          <w:numId w:val="0"/>
        </w:numPr>
        <w:ind w:left="432" w:hanging="432"/>
        <w:rPr>
          <w:rFonts w:ascii="仿宋" w:eastAsia="仿宋" w:cs="仿宋"/>
          <w:color w:val="auto"/>
          <w:sz w:val="24"/>
          <w:szCs w:val="24"/>
          <w:highlight w:val="none"/>
        </w:rPr>
      </w:pPr>
      <w:bookmarkStart w:id="36" w:name="_Toc35393636"/>
      <w:bookmarkStart w:id="37" w:name="_Toc28359018"/>
      <w:bookmarkStart w:id="38" w:name="_Toc28359095"/>
      <w:bookmarkStart w:id="39" w:name="_Toc35393805"/>
      <w:r>
        <w:rPr>
          <w:rFonts w:hint="eastAsia" w:ascii="仿宋" w:eastAsia="仿宋" w:cs="仿宋"/>
          <w:color w:val="auto"/>
          <w:sz w:val="24"/>
          <w:szCs w:val="24"/>
          <w:highlight w:val="none"/>
          <w:lang w:val="en-US" w:eastAsia="zh-CN"/>
        </w:rPr>
        <w:t>八</w:t>
      </w:r>
      <w:r>
        <w:rPr>
          <w:rFonts w:hint="eastAsia" w:ascii="仿宋" w:eastAsia="仿宋" w:cs="仿宋"/>
          <w:color w:val="auto"/>
          <w:sz w:val="24"/>
          <w:szCs w:val="24"/>
          <w:highlight w:val="none"/>
        </w:rPr>
        <w:t>、凡对本次采购提出询问</w:t>
      </w:r>
      <w:r>
        <w:rPr>
          <w:rFonts w:hint="eastAsia" w:ascii="仿宋" w:eastAsia="仿宋" w:cs="仿宋"/>
          <w:bCs w:val="0"/>
          <w:color w:val="auto"/>
          <w:sz w:val="24"/>
          <w:szCs w:val="24"/>
          <w:highlight w:val="none"/>
        </w:rPr>
        <w:t>、质疑、投诉</w:t>
      </w:r>
      <w:r>
        <w:rPr>
          <w:rFonts w:hint="eastAsia" w:ascii="仿宋" w:eastAsia="仿宋" w:cs="仿宋"/>
          <w:color w:val="auto"/>
          <w:sz w:val="24"/>
          <w:szCs w:val="24"/>
          <w:highlight w:val="none"/>
        </w:rPr>
        <w:t>，请按以下方式联系</w:t>
      </w:r>
      <w:bookmarkEnd w:id="36"/>
      <w:bookmarkEnd w:id="37"/>
      <w:bookmarkEnd w:id="38"/>
      <w:bookmarkEnd w:id="39"/>
    </w:p>
    <w:p w14:paraId="523AE54E">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 xml:space="preserve">  </w:t>
      </w:r>
      <w:r>
        <w:rPr>
          <w:rFonts w:ascii="仿宋_GB2312" w:hAnsi="仿宋" w:eastAsia="仿宋_GB2312"/>
          <w:color w:val="auto"/>
          <w:sz w:val="24"/>
          <w:highlight w:val="none"/>
        </w:rPr>
        <w:t>1.采购人信息</w:t>
      </w:r>
    </w:p>
    <w:p w14:paraId="50966EDA">
      <w:pPr>
        <w:spacing w:line="360" w:lineRule="auto"/>
        <w:ind w:firstLine="48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名称：</w:t>
      </w:r>
      <w:r>
        <w:rPr>
          <w:rFonts w:hint="eastAsia" w:ascii="仿宋_GB2312" w:hAnsi="仿宋" w:eastAsia="仿宋_GB2312"/>
          <w:color w:val="auto"/>
          <w:sz w:val="24"/>
          <w:highlight w:val="none"/>
          <w:lang w:eastAsia="zh-CN"/>
        </w:rPr>
        <w:t>杭州市上城区司法局</w:t>
      </w:r>
      <w:r>
        <w:rPr>
          <w:rFonts w:hint="eastAsia" w:ascii="仿宋_GB2312" w:hAnsi="仿宋" w:eastAsia="仿宋_GB2312"/>
          <w:color w:val="auto"/>
          <w:sz w:val="24"/>
          <w:highlight w:val="none"/>
        </w:rPr>
        <w:t>　　　　　　　　　</w:t>
      </w:r>
    </w:p>
    <w:p w14:paraId="7E70F3DA">
      <w:pPr>
        <w:spacing w:line="360" w:lineRule="auto"/>
        <w:ind w:firstLine="48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地址：杭州市上城区鲲鹏路366号</w:t>
      </w:r>
    </w:p>
    <w:p w14:paraId="64035B9C">
      <w:pPr>
        <w:spacing w:line="360" w:lineRule="auto"/>
        <w:ind w:firstLine="48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传真：/ </w:t>
      </w:r>
    </w:p>
    <w:p w14:paraId="439EF3B6">
      <w:pPr>
        <w:spacing w:line="360" w:lineRule="auto"/>
        <w:ind w:firstLine="480"/>
        <w:rPr>
          <w:rFonts w:hint="default" w:ascii="仿宋_GB2312" w:hAnsi="仿宋" w:eastAsia="仿宋_GB2312"/>
          <w:color w:val="auto"/>
          <w:sz w:val="24"/>
          <w:highlight w:val="none"/>
          <w:lang w:val="en-US" w:eastAsia="zh-CN"/>
        </w:rPr>
      </w:pPr>
      <w:r>
        <w:rPr>
          <w:rFonts w:hint="eastAsia" w:ascii="仿宋_GB2312" w:hAnsi="仿宋" w:eastAsia="仿宋_GB2312"/>
          <w:color w:val="auto"/>
          <w:sz w:val="24"/>
          <w:highlight w:val="none"/>
        </w:rPr>
        <w:t>项目联系人（询问）：</w:t>
      </w:r>
      <w:r>
        <w:rPr>
          <w:rFonts w:hint="eastAsia" w:ascii="仿宋_GB2312" w:hAnsi="仿宋" w:eastAsia="仿宋_GB2312"/>
          <w:color w:val="auto"/>
          <w:sz w:val="24"/>
          <w:highlight w:val="none"/>
          <w:lang w:val="en-US" w:eastAsia="zh-CN"/>
        </w:rPr>
        <w:t>邱菁</w:t>
      </w:r>
    </w:p>
    <w:p w14:paraId="2C415E6E">
      <w:pPr>
        <w:spacing w:line="360" w:lineRule="auto"/>
        <w:ind w:firstLine="480"/>
        <w:rPr>
          <w:rFonts w:hint="default" w:ascii="仿宋_GB2312" w:hAnsi="仿宋" w:eastAsia="仿宋_GB2312"/>
          <w:color w:val="auto"/>
          <w:sz w:val="24"/>
          <w:highlight w:val="none"/>
          <w:lang w:val="en-US" w:eastAsia="zh-CN"/>
        </w:rPr>
      </w:pPr>
      <w:r>
        <w:rPr>
          <w:rFonts w:hint="eastAsia" w:ascii="仿宋_GB2312" w:hAnsi="仿宋" w:eastAsia="仿宋_GB2312"/>
          <w:color w:val="auto"/>
          <w:sz w:val="24"/>
          <w:highlight w:val="none"/>
        </w:rPr>
        <w:t>项目联系方式（询问）：0571-895008</w:t>
      </w:r>
      <w:r>
        <w:rPr>
          <w:rFonts w:hint="eastAsia" w:ascii="仿宋_GB2312" w:hAnsi="仿宋" w:eastAsia="仿宋_GB2312"/>
          <w:color w:val="auto"/>
          <w:sz w:val="24"/>
          <w:highlight w:val="none"/>
          <w:lang w:val="en-US" w:eastAsia="zh-CN"/>
        </w:rPr>
        <w:t>2</w:t>
      </w:r>
      <w:r>
        <w:rPr>
          <w:rFonts w:hint="eastAsia" w:ascii="仿宋_GB2312" w:hAnsi="仿宋" w:eastAsia="仿宋_GB2312"/>
          <w:color w:val="auto"/>
          <w:sz w:val="24"/>
          <w:highlight w:val="none"/>
        </w:rPr>
        <w:t>6</w:t>
      </w:r>
    </w:p>
    <w:p w14:paraId="09108CEC">
      <w:pPr>
        <w:spacing w:line="360" w:lineRule="auto"/>
        <w:ind w:firstLine="48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质疑联系人：孔建平  </w:t>
      </w:r>
    </w:p>
    <w:p w14:paraId="7DB3E6ED">
      <w:pPr>
        <w:spacing w:line="360" w:lineRule="auto"/>
        <w:ind w:firstLine="48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质疑联系方式：0571-895008</w:t>
      </w:r>
      <w:r>
        <w:rPr>
          <w:rFonts w:hint="eastAsia" w:ascii="仿宋_GB2312" w:hAnsi="仿宋" w:eastAsia="仿宋_GB2312"/>
          <w:color w:val="auto"/>
          <w:sz w:val="24"/>
          <w:highlight w:val="none"/>
          <w:lang w:val="en-US" w:eastAsia="zh-CN"/>
        </w:rPr>
        <w:t>3</w:t>
      </w:r>
      <w:r>
        <w:rPr>
          <w:rFonts w:hint="eastAsia" w:ascii="仿宋_GB2312" w:hAnsi="仿宋" w:eastAsia="仿宋_GB2312"/>
          <w:color w:val="auto"/>
          <w:sz w:val="24"/>
          <w:highlight w:val="none"/>
        </w:rPr>
        <w:t>6</w:t>
      </w:r>
    </w:p>
    <w:p w14:paraId="1D1CC4F4">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2.采购代理机构信息</w:t>
      </w:r>
    </w:p>
    <w:p w14:paraId="67399831">
      <w:pPr>
        <w:spacing w:line="360" w:lineRule="auto"/>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名称：浙江国际招投标有限公司</w:t>
      </w:r>
    </w:p>
    <w:p w14:paraId="455CC83B">
      <w:pPr>
        <w:spacing w:line="360" w:lineRule="auto"/>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地址：浙江省杭州市西湖区文三路90号东部软件园1号楼3楼</w:t>
      </w:r>
    </w:p>
    <w:p w14:paraId="5ED57183">
      <w:pPr>
        <w:spacing w:line="360" w:lineRule="auto"/>
        <w:rPr>
          <w:rFonts w:hint="eastAsia" w:ascii="仿宋_GB2312" w:hAnsi="仿宋" w:eastAsia="仿宋_GB2312"/>
          <w:color w:val="auto"/>
          <w:sz w:val="24"/>
          <w:highlight w:val="none"/>
          <w:lang w:eastAsia="zh-CN"/>
        </w:rPr>
      </w:pPr>
      <w:r>
        <w:rPr>
          <w:rFonts w:ascii="仿宋_GB2312" w:hAnsi="仿宋" w:eastAsia="仿宋_GB2312"/>
          <w:color w:val="auto"/>
          <w:sz w:val="24"/>
          <w:highlight w:val="none"/>
        </w:rPr>
        <w:t xml:space="preserve">    传真：</w:t>
      </w:r>
      <w:r>
        <w:rPr>
          <w:rFonts w:hint="eastAsia" w:ascii="仿宋_GB2312" w:hAnsi="仿宋" w:eastAsia="仿宋_GB2312"/>
          <w:color w:val="auto"/>
          <w:sz w:val="24"/>
          <w:highlight w:val="none"/>
          <w:lang w:val="en-US" w:eastAsia="zh-CN"/>
        </w:rPr>
        <w:t>/</w:t>
      </w:r>
    </w:p>
    <w:p w14:paraId="52A60318">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项目联系人（询问）：</w:t>
      </w:r>
      <w:r>
        <w:rPr>
          <w:rFonts w:hint="eastAsia" w:ascii="仿宋_GB2312" w:hAnsi="仿宋" w:eastAsia="仿宋_GB2312"/>
          <w:color w:val="auto"/>
          <w:sz w:val="24"/>
          <w:highlight w:val="none"/>
        </w:rPr>
        <w:t>唐稳</w:t>
      </w:r>
    </w:p>
    <w:p w14:paraId="0C842E55">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项目联系方式（询问）：</w:t>
      </w:r>
      <w:r>
        <w:rPr>
          <w:rFonts w:hint="eastAsia" w:ascii="仿宋_GB2312" w:hAnsi="仿宋" w:eastAsia="仿宋_GB2312"/>
          <w:color w:val="auto"/>
          <w:sz w:val="24"/>
          <w:highlight w:val="none"/>
        </w:rPr>
        <w:t>0571-81061825</w:t>
      </w:r>
    </w:p>
    <w:p w14:paraId="6E927E6B">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质疑联系人：</w:t>
      </w:r>
      <w:r>
        <w:rPr>
          <w:rFonts w:hint="eastAsia" w:ascii="仿宋_GB2312" w:hAnsi="仿宋" w:eastAsia="仿宋_GB2312"/>
          <w:color w:val="auto"/>
          <w:sz w:val="24"/>
          <w:highlight w:val="none"/>
        </w:rPr>
        <w:t>赵娟</w:t>
      </w:r>
    </w:p>
    <w:p w14:paraId="42B683DB">
      <w:pPr>
        <w:spacing w:line="360" w:lineRule="auto"/>
        <w:rPr>
          <w:rFonts w:ascii="仿宋" w:hAnsi="仿宋" w:eastAsia="仿宋_GB2312"/>
          <w:color w:val="auto"/>
          <w:sz w:val="24"/>
          <w:highlight w:val="none"/>
        </w:rPr>
      </w:pPr>
      <w:r>
        <w:rPr>
          <w:rFonts w:ascii="仿宋_GB2312" w:hAnsi="仿宋" w:eastAsia="仿宋_GB2312"/>
          <w:color w:val="auto"/>
          <w:sz w:val="24"/>
          <w:highlight w:val="none"/>
        </w:rPr>
        <w:t xml:space="preserve">    质疑联系方式：</w:t>
      </w:r>
      <w:r>
        <w:rPr>
          <w:rFonts w:hint="eastAsia" w:ascii="仿宋_GB2312" w:hAnsi="仿宋" w:eastAsia="仿宋_GB2312"/>
          <w:color w:val="auto"/>
          <w:sz w:val="24"/>
          <w:highlight w:val="none"/>
        </w:rPr>
        <w:t>0571-81061819</w:t>
      </w:r>
    </w:p>
    <w:p w14:paraId="529696AF">
      <w:pPr>
        <w:spacing w:line="360" w:lineRule="auto"/>
        <w:ind w:firstLine="240" w:firstLineChars="100"/>
        <w:rPr>
          <w:rFonts w:ascii="仿宋_GB2312" w:hAnsi="仿宋" w:eastAsia="仿宋_GB2312"/>
          <w:color w:val="auto"/>
          <w:sz w:val="24"/>
          <w:highlight w:val="none"/>
        </w:rPr>
      </w:pPr>
      <w:r>
        <w:rPr>
          <w:rFonts w:hint="eastAsia" w:ascii="仿宋_GB2312" w:hAnsi="仿宋" w:eastAsia="仿宋_GB2312"/>
          <w:color w:val="auto"/>
          <w:sz w:val="24"/>
          <w:highlight w:val="none"/>
        </w:rPr>
        <w:t>3.同级政府采购监督管理部门</w:t>
      </w:r>
    </w:p>
    <w:p w14:paraId="3FEE7FC9">
      <w:pPr>
        <w:spacing w:line="360" w:lineRule="auto"/>
        <w:ind w:left="0" w:leftChars="0" w:firstLine="420" w:firstLineChars="175"/>
        <w:rPr>
          <w:rFonts w:hint="eastAsia" w:ascii="仿宋_GB2312" w:hAnsi="仿宋" w:eastAsia="仿宋_GB2312" w:cs="Times New Roman"/>
          <w:color w:val="auto"/>
          <w:sz w:val="24"/>
          <w:highlight w:val="none"/>
        </w:rPr>
      </w:pPr>
      <w:r>
        <w:rPr>
          <w:rFonts w:hint="eastAsia" w:ascii="仿宋_GB2312" w:hAnsi="仿宋" w:eastAsia="仿宋_GB2312" w:cs="Times New Roman"/>
          <w:color w:val="auto"/>
          <w:sz w:val="24"/>
          <w:highlight w:val="none"/>
        </w:rPr>
        <w:t>名称：</w:t>
      </w:r>
      <w:r>
        <w:rPr>
          <w:rFonts w:hint="eastAsia" w:ascii="仿宋_GB2312" w:hAnsi="仿宋" w:eastAsia="仿宋_GB2312" w:cs="Times New Roman"/>
          <w:color w:val="auto"/>
          <w:sz w:val="24"/>
          <w:highlight w:val="none"/>
          <w:lang w:eastAsia="zh-CN"/>
        </w:rPr>
        <w:t>杭州市上城区财政局</w:t>
      </w:r>
      <w:r>
        <w:rPr>
          <w:rFonts w:hint="eastAsia" w:ascii="仿宋_GB2312" w:hAnsi="仿宋" w:eastAsia="仿宋_GB2312" w:cs="Times New Roman"/>
          <w:color w:val="auto"/>
          <w:sz w:val="24"/>
          <w:highlight w:val="none"/>
        </w:rPr>
        <w:t>、浙江省政府采购行政裁决服务中心 (杭州)</w:t>
      </w:r>
    </w:p>
    <w:p w14:paraId="4AF76FDA">
      <w:pPr>
        <w:spacing w:line="360" w:lineRule="auto"/>
        <w:ind w:left="0" w:leftChars="0" w:firstLine="420" w:firstLineChars="175"/>
        <w:rPr>
          <w:rFonts w:hint="eastAsia" w:ascii="仿宋_GB2312" w:hAnsi="仿宋" w:eastAsia="仿宋_GB2312" w:cs="Times New Roman"/>
          <w:color w:val="auto"/>
          <w:sz w:val="24"/>
          <w:highlight w:val="none"/>
        </w:rPr>
      </w:pPr>
      <w:r>
        <w:rPr>
          <w:rFonts w:hint="eastAsia" w:ascii="仿宋_GB2312" w:hAnsi="仿宋" w:eastAsia="仿宋_GB2312" w:cs="Times New Roman"/>
          <w:color w:val="auto"/>
          <w:sz w:val="24"/>
          <w:highlight w:val="none"/>
        </w:rPr>
        <w:t>地址：</w:t>
      </w:r>
      <w:r>
        <w:rPr>
          <w:rFonts w:hint="eastAsia" w:ascii="仿宋_GB2312" w:hAnsi="仿宋" w:eastAsia="仿宋_GB2312" w:cs="Times New Roman"/>
          <w:color w:val="auto"/>
          <w:sz w:val="24"/>
          <w:highlight w:val="none"/>
          <w:lang w:eastAsia="zh-CN"/>
        </w:rPr>
        <w:t>杭州市上城区清泰街549号城建综合大楼11楼</w:t>
      </w:r>
      <w:r>
        <w:rPr>
          <w:rFonts w:hint="eastAsia" w:ascii="仿宋_GB2312" w:hAnsi="仿宋" w:eastAsia="仿宋_GB2312" w:cs="Times New Roman"/>
          <w:color w:val="auto"/>
          <w:sz w:val="24"/>
          <w:highlight w:val="none"/>
        </w:rPr>
        <w:t xml:space="preserve"> (快递仅限ems或顺丰)             </w:t>
      </w:r>
    </w:p>
    <w:p w14:paraId="3DAAB3EA">
      <w:pPr>
        <w:spacing w:line="360" w:lineRule="auto"/>
        <w:ind w:left="0" w:leftChars="0" w:firstLine="420" w:firstLineChars="175"/>
        <w:rPr>
          <w:rFonts w:hint="eastAsia" w:ascii="仿宋_GB2312" w:hAnsi="仿宋" w:eastAsia="仿宋_GB2312" w:cs="Times New Roman"/>
          <w:color w:val="auto"/>
          <w:sz w:val="24"/>
          <w:highlight w:val="none"/>
        </w:rPr>
      </w:pPr>
      <w:r>
        <w:rPr>
          <w:rFonts w:hint="eastAsia" w:ascii="仿宋_GB2312" w:hAnsi="仿宋" w:eastAsia="仿宋_GB2312" w:cs="Times New Roman"/>
          <w:color w:val="auto"/>
          <w:sz w:val="24"/>
          <w:highlight w:val="none"/>
        </w:rPr>
        <w:t xml:space="preserve">传真：      </w:t>
      </w:r>
    </w:p>
    <w:p w14:paraId="1DB26A5B">
      <w:pPr>
        <w:spacing w:line="360" w:lineRule="auto"/>
        <w:ind w:left="0" w:leftChars="0" w:firstLine="420" w:firstLineChars="175"/>
        <w:rPr>
          <w:rFonts w:hint="eastAsia" w:ascii="仿宋_GB2312" w:hAnsi="仿宋" w:eastAsia="仿宋_GB2312" w:cs="Times New Roman"/>
          <w:color w:val="auto"/>
          <w:sz w:val="24"/>
          <w:highlight w:val="none"/>
        </w:rPr>
      </w:pPr>
      <w:r>
        <w:rPr>
          <w:rFonts w:hint="eastAsia" w:ascii="仿宋_GB2312" w:hAnsi="仿宋" w:eastAsia="仿宋_GB2312" w:cs="Times New Roman"/>
          <w:color w:val="auto"/>
          <w:sz w:val="24"/>
          <w:highlight w:val="none"/>
        </w:rPr>
        <w:t>联 系 人：朱女士、王女士</w:t>
      </w:r>
    </w:p>
    <w:p w14:paraId="159123E5">
      <w:pPr>
        <w:spacing w:line="360" w:lineRule="auto"/>
        <w:ind w:left="0" w:leftChars="0" w:firstLine="420" w:firstLineChars="175"/>
        <w:rPr>
          <w:rFonts w:hint="eastAsia" w:ascii="仿宋_GB2312" w:hAnsi="仿宋" w:eastAsia="仿宋_GB2312" w:cs="Times New Roman"/>
          <w:color w:val="auto"/>
          <w:sz w:val="24"/>
          <w:highlight w:val="none"/>
        </w:rPr>
      </w:pPr>
      <w:r>
        <w:rPr>
          <w:rFonts w:hint="eastAsia" w:ascii="仿宋_GB2312" w:hAnsi="仿宋" w:eastAsia="仿宋_GB2312" w:cs="Times New Roman"/>
          <w:color w:val="auto"/>
          <w:sz w:val="24"/>
          <w:highlight w:val="none"/>
        </w:rPr>
        <w:t>监督投诉电话：0571-87800218,0571-87227671  （仅限投诉事项）</w:t>
      </w:r>
    </w:p>
    <w:p w14:paraId="373BF10B">
      <w:pPr>
        <w:spacing w:line="360" w:lineRule="auto"/>
        <w:ind w:firstLine="480" w:firstLineChars="200"/>
        <w:rPr>
          <w:rFonts w:ascii="仿宋_GB2312" w:hAnsi="仿宋" w:eastAsia="仿宋_GB2312"/>
          <w:color w:val="auto"/>
          <w:sz w:val="24"/>
          <w:highlight w:val="none"/>
        </w:rPr>
      </w:pPr>
    </w:p>
    <w:p w14:paraId="2A72734A">
      <w:pPr>
        <w:spacing w:line="360" w:lineRule="auto"/>
        <w:ind w:firstLine="480" w:firstLineChars="200"/>
        <w:rPr>
          <w:rFonts w:ascii="仿宋_GB2312" w:hAnsi="仿宋" w:eastAsia="仿宋_GB2312"/>
          <w:color w:val="auto"/>
          <w:sz w:val="24"/>
          <w:highlight w:val="none"/>
        </w:rPr>
      </w:pPr>
    </w:p>
    <w:p w14:paraId="48AFC3D9">
      <w:pPr>
        <w:widowControl/>
        <w:adjustRightInd w:val="0"/>
        <w:snapToGrid w:val="0"/>
        <w:spacing w:line="360" w:lineRule="auto"/>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xml:space="preserve">若对项目采购电子交易系统操作有疑问，可登录政采云（https://www.zcygov.cn/），点击右侧咨询小采，获取采小蜜智能服务管家帮助，或拨打政采云服务热线95763获取热线服务帮助。       </w:t>
      </w:r>
    </w:p>
    <w:p w14:paraId="2C6F9636">
      <w:pPr>
        <w:widowControl/>
        <w:snapToGrid w:val="0"/>
        <w:spacing w:line="360" w:lineRule="auto"/>
        <w:ind w:firstLine="420" w:firstLineChars="200"/>
        <w:jc w:val="left"/>
        <w:rPr>
          <w:rFonts w:ascii="仿宋_GB2312" w:hAnsi="仿宋" w:eastAsia="仿宋_GB2312"/>
          <w:color w:val="auto"/>
          <w:sz w:val="24"/>
          <w:highlight w:val="none"/>
        </w:rPr>
      </w:pPr>
      <w:r>
        <w:rPr>
          <w:rFonts w:hint="eastAsia" w:ascii="仿宋" w:hAnsi="仿宋" w:eastAsia="仿宋" w:cs="仿宋"/>
          <w:color w:val="auto"/>
          <w:kern w:val="0"/>
          <w:szCs w:val="21"/>
          <w:highlight w:val="none"/>
        </w:rPr>
        <w:t>CA问题联系电话（人工）：汇信CA 400-888-4636；天谷CA 400-087-8198</w:t>
      </w:r>
      <w:r>
        <w:rPr>
          <w:rFonts w:hint="eastAsia" w:ascii="仿宋" w:hAnsi="仿宋" w:eastAsia="仿宋" w:cs="仿宋"/>
          <w:color w:val="auto"/>
          <w:kern w:val="0"/>
          <w:szCs w:val="21"/>
          <w:highlight w:val="none"/>
          <w:lang w:bidi="ar"/>
        </w:rPr>
        <w:t>。</w:t>
      </w:r>
    </w:p>
    <w:p w14:paraId="364E6FF1">
      <w:pPr>
        <w:pStyle w:val="32"/>
        <w:spacing w:line="360" w:lineRule="auto"/>
        <w:ind w:firstLine="480" w:firstLineChars="200"/>
        <w:rPr>
          <w:rFonts w:ascii="仿宋" w:hAnsi="仿宋" w:eastAsia="仿宋" w:cs="仿宋"/>
          <w:color w:val="auto"/>
          <w:sz w:val="24"/>
          <w:szCs w:val="24"/>
          <w:highlight w:val="none"/>
        </w:rPr>
      </w:pPr>
    </w:p>
    <w:p w14:paraId="0717CD26">
      <w:pPr>
        <w:rPr>
          <w:rFonts w:ascii="仿宋" w:hAnsi="仿宋" w:eastAsia="仿宋" w:cs="仿宋"/>
          <w:color w:val="auto"/>
          <w:highlight w:val="none"/>
        </w:rPr>
      </w:pPr>
      <w:r>
        <w:rPr>
          <w:rFonts w:hint="eastAsia" w:ascii="仿宋" w:hAnsi="仿宋" w:eastAsia="仿宋" w:cs="仿宋"/>
          <w:color w:val="auto"/>
          <w:highlight w:val="none"/>
        </w:rPr>
        <w:br w:type="page"/>
      </w:r>
    </w:p>
    <w:p w14:paraId="37F89D09">
      <w:pPr>
        <w:adjustRightInd/>
        <w:spacing w:line="360" w:lineRule="auto"/>
        <w:jc w:val="center"/>
        <w:outlineLvl w:val="0"/>
        <w:rPr>
          <w:rFonts w:ascii="仿宋" w:hAnsi="仿宋" w:eastAsia="仿宋" w:cs="仿宋"/>
          <w:b/>
          <w:color w:val="auto"/>
          <w:sz w:val="32"/>
          <w:szCs w:val="20"/>
          <w:highlight w:val="none"/>
        </w:rPr>
      </w:pPr>
      <w:r>
        <w:rPr>
          <w:rFonts w:hint="eastAsia" w:ascii="仿宋" w:hAnsi="仿宋" w:eastAsia="仿宋" w:cs="仿宋"/>
          <w:b/>
          <w:color w:val="auto"/>
          <w:sz w:val="36"/>
          <w:szCs w:val="20"/>
          <w:highlight w:val="none"/>
        </w:rPr>
        <w:t>第二部分  竞争性磋商流程</w:t>
      </w:r>
    </w:p>
    <w:p w14:paraId="167C221A">
      <w:pPr>
        <w:pStyle w:val="396"/>
        <w:numPr>
          <w:ilvl w:val="0"/>
          <w:numId w:val="7"/>
        </w:numPr>
        <w:tabs>
          <w:tab w:val="left" w:pos="210"/>
          <w:tab w:val="left" w:pos="420"/>
        </w:tabs>
        <w:spacing w:before="0"/>
        <w:ind w:left="340" w:leftChars="0" w:hanging="340" w:firstLineChars="0"/>
        <w:rPr>
          <w:rFonts w:ascii="仿宋_GB2312" w:hAnsi="仿宋" w:eastAsia="仿宋_GB2312"/>
          <w:b/>
          <w:highlight w:val="none"/>
        </w:rPr>
      </w:pPr>
      <w:r>
        <w:rPr>
          <w:rFonts w:hint="eastAsia" w:ascii="仿宋_GB2312" w:hAnsi="仿宋" w:eastAsia="仿宋_GB2312"/>
          <w:b/>
          <w:szCs w:val="24"/>
          <w:highlight w:val="none"/>
        </w:rPr>
        <w:t>征集供应商</w:t>
      </w:r>
    </w:p>
    <w:p w14:paraId="6CB31C6B">
      <w:pPr>
        <w:pStyle w:val="396"/>
        <w:numPr>
          <w:ilvl w:val="1"/>
          <w:numId w:val="8"/>
        </w:numPr>
        <w:spacing w:before="0"/>
        <w:ind w:left="850" w:leftChars="0" w:hanging="453" w:firstLineChars="0"/>
        <w:rPr>
          <w:rFonts w:ascii="仿宋_GB2312" w:hAnsi="仿宋" w:eastAsia="仿宋_GB2312"/>
          <w:szCs w:val="24"/>
          <w:highlight w:val="none"/>
        </w:rPr>
      </w:pPr>
      <w:r>
        <w:rPr>
          <w:rFonts w:hint="eastAsia" w:ascii="仿宋_GB2312" w:hAnsi="仿宋" w:eastAsia="仿宋_GB2312"/>
          <w:szCs w:val="24"/>
          <w:highlight w:val="none"/>
        </w:rPr>
        <w:t>邀请供应商。</w:t>
      </w:r>
    </w:p>
    <w:p w14:paraId="5C3ADC79">
      <w:pPr>
        <w:pStyle w:val="396"/>
        <w:numPr>
          <w:ilvl w:val="2"/>
          <w:numId w:val="9"/>
        </w:numPr>
        <w:spacing w:before="0"/>
        <w:ind w:left="408" w:leftChars="0" w:firstLine="392" w:firstLineChars="0"/>
        <w:rPr>
          <w:rFonts w:ascii="仿宋_GB2312" w:hAnsi="仿宋" w:eastAsia="仿宋_GB2312"/>
          <w:szCs w:val="24"/>
          <w:highlight w:val="none"/>
        </w:rPr>
      </w:pPr>
      <w:r>
        <w:rPr>
          <w:rFonts w:hint="eastAsia" w:ascii="仿宋_GB2312" w:hAnsi="仿宋" w:eastAsia="仿宋_GB2312"/>
          <w:b/>
          <w:szCs w:val="24"/>
          <w:highlight w:val="none"/>
        </w:rPr>
        <w:t>采用公告方式邀请供应商的，</w:t>
      </w:r>
      <w:r>
        <w:rPr>
          <w:rFonts w:hint="eastAsia" w:ascii="仿宋_GB2312" w:hAnsi="仿宋" w:eastAsia="仿宋_GB2312"/>
          <w:szCs w:val="24"/>
          <w:highlight w:val="none"/>
        </w:rPr>
        <w:t>由采购人、</w:t>
      </w:r>
      <w:r>
        <w:rPr>
          <w:rFonts w:hint="eastAsia" w:ascii="仿宋_GB2312" w:hAnsi="仿宋" w:eastAsia="仿宋_GB2312"/>
          <w:szCs w:val="24"/>
          <w:highlight w:val="none"/>
          <w:lang w:eastAsia="zh-CN"/>
        </w:rPr>
        <w:t>采购代理机构</w:t>
      </w:r>
      <w:r>
        <w:rPr>
          <w:rFonts w:hint="eastAsia" w:ascii="仿宋_GB2312" w:hAnsi="仿宋" w:eastAsia="仿宋_GB2312"/>
          <w:szCs w:val="24"/>
          <w:highlight w:val="none"/>
        </w:rPr>
        <w:t>在省级以上人民政府财政部门指定的政府采购信息发布媒体上发布磋商公告，邀请符合相应资格条件的供应商参与竞争性磋商采购活动。</w:t>
      </w:r>
      <w:r>
        <w:rPr>
          <w:rFonts w:hint="eastAsia" w:ascii="仿宋_GB2312" w:hAnsi="仿宋" w:eastAsia="仿宋_GB2312"/>
          <w:color w:val="FF0000"/>
          <w:szCs w:val="24"/>
          <w:highlight w:val="none"/>
          <w:lang w:eastAsia="zh-CN"/>
        </w:rPr>
        <w:t>（</w:t>
      </w:r>
      <w:r>
        <w:rPr>
          <w:rFonts w:hint="eastAsia" w:ascii="仿宋_GB2312" w:hAnsi="仿宋" w:eastAsia="仿宋_GB2312"/>
          <w:color w:val="FF0000"/>
          <w:szCs w:val="24"/>
          <w:highlight w:val="none"/>
          <w:lang w:val="en-US" w:eastAsia="zh-CN"/>
        </w:rPr>
        <w:t>本项目采用该方式</w:t>
      </w:r>
      <w:r>
        <w:rPr>
          <w:rFonts w:hint="eastAsia" w:ascii="仿宋_GB2312" w:hAnsi="仿宋" w:eastAsia="仿宋_GB2312"/>
          <w:color w:val="FF0000"/>
          <w:szCs w:val="24"/>
          <w:highlight w:val="none"/>
          <w:lang w:eastAsia="zh-CN"/>
        </w:rPr>
        <w:t>）</w:t>
      </w:r>
    </w:p>
    <w:p w14:paraId="3F089A9F">
      <w:pPr>
        <w:pStyle w:val="396"/>
        <w:numPr>
          <w:ilvl w:val="2"/>
          <w:numId w:val="9"/>
        </w:numPr>
        <w:spacing w:before="0"/>
        <w:ind w:left="408" w:leftChars="0" w:firstLine="392" w:firstLineChars="0"/>
        <w:rPr>
          <w:rFonts w:ascii="仿宋_GB2312" w:hAnsi="仿宋" w:eastAsia="仿宋_GB2312"/>
          <w:szCs w:val="24"/>
          <w:highlight w:val="none"/>
        </w:rPr>
      </w:pPr>
      <w:r>
        <w:rPr>
          <w:rFonts w:hint="eastAsia" w:ascii="仿宋_GB2312" w:hAnsi="仿宋" w:eastAsia="仿宋_GB2312"/>
          <w:b/>
          <w:szCs w:val="24"/>
          <w:highlight w:val="none"/>
        </w:rPr>
        <w:t>采用随机抽取方式邀请供应商的，</w:t>
      </w:r>
      <w:r>
        <w:rPr>
          <w:rFonts w:hint="eastAsia" w:ascii="仿宋_GB2312" w:hAnsi="仿宋" w:eastAsia="仿宋_GB2312"/>
          <w:szCs w:val="24"/>
          <w:highlight w:val="none"/>
        </w:rPr>
        <w:t>由采购人、</w:t>
      </w:r>
      <w:r>
        <w:rPr>
          <w:rFonts w:hint="eastAsia" w:ascii="仿宋_GB2312" w:hAnsi="仿宋" w:eastAsia="仿宋_GB2312"/>
          <w:szCs w:val="24"/>
          <w:highlight w:val="none"/>
          <w:lang w:eastAsia="zh-CN"/>
        </w:rPr>
        <w:t>采购代理机构</w:t>
      </w:r>
      <w:r>
        <w:rPr>
          <w:rFonts w:hint="eastAsia" w:ascii="仿宋_GB2312" w:hAnsi="仿宋" w:eastAsia="仿宋_GB2312"/>
          <w:szCs w:val="24"/>
          <w:highlight w:val="none"/>
        </w:rPr>
        <w:t>从省级以上财政部门建立的供应商库中随机抽取不少于3家符合相应资格条件的供应商参与竞争性磋商采购活动。</w:t>
      </w:r>
    </w:p>
    <w:p w14:paraId="46DC6850">
      <w:pPr>
        <w:pStyle w:val="396"/>
        <w:numPr>
          <w:ilvl w:val="2"/>
          <w:numId w:val="9"/>
        </w:numPr>
        <w:spacing w:before="0"/>
        <w:ind w:left="408" w:leftChars="0" w:firstLine="392" w:firstLineChars="0"/>
        <w:rPr>
          <w:rFonts w:ascii="仿宋_GB2312" w:hAnsi="仿宋" w:eastAsia="仿宋_GB2312"/>
          <w:szCs w:val="24"/>
          <w:highlight w:val="none"/>
        </w:rPr>
      </w:pPr>
      <w:r>
        <w:rPr>
          <w:rFonts w:hint="eastAsia" w:ascii="仿宋_GB2312" w:hAnsi="仿宋" w:eastAsia="仿宋_GB2312"/>
          <w:b/>
          <w:szCs w:val="24"/>
          <w:highlight w:val="none"/>
        </w:rPr>
        <w:t>采用书面推荐方式邀请供应商的，</w:t>
      </w:r>
      <w:r>
        <w:rPr>
          <w:rFonts w:hint="eastAsia" w:ascii="仿宋_GB2312" w:hAnsi="仿宋" w:eastAsia="仿宋_GB2312"/>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r>
        <w:rPr>
          <w:rFonts w:hint="eastAsia" w:ascii="仿宋_GB2312" w:hAnsi="仿宋" w:eastAsia="仿宋_GB2312"/>
          <w:szCs w:val="24"/>
          <w:highlight w:val="none"/>
          <w:lang w:eastAsia="zh-CN"/>
        </w:rPr>
        <w:t>。</w:t>
      </w:r>
    </w:p>
    <w:p w14:paraId="67846414">
      <w:pPr>
        <w:pStyle w:val="396"/>
        <w:numPr>
          <w:ilvl w:val="1"/>
          <w:numId w:val="8"/>
        </w:numPr>
        <w:spacing w:before="0"/>
        <w:ind w:left="850" w:leftChars="0" w:hanging="453" w:firstLineChars="0"/>
        <w:rPr>
          <w:rFonts w:hint="eastAsia" w:ascii="仿宋_GB2312" w:hAnsi="仿宋" w:eastAsia="仿宋_GB2312"/>
          <w:szCs w:val="24"/>
          <w:highlight w:val="none"/>
        </w:rPr>
      </w:pPr>
      <w:r>
        <w:rPr>
          <w:rFonts w:hint="eastAsia" w:ascii="仿宋_GB2312" w:hAnsi="仿宋" w:eastAsia="仿宋_GB2312"/>
          <w:szCs w:val="24"/>
          <w:highlight w:val="none"/>
        </w:rPr>
        <w:t>供应商获取磋商文件。</w:t>
      </w:r>
    </w:p>
    <w:p w14:paraId="3CB9CEB6">
      <w:pPr>
        <w:pStyle w:val="396"/>
        <w:numPr>
          <w:ilvl w:val="1"/>
          <w:numId w:val="8"/>
        </w:numPr>
        <w:spacing w:before="0"/>
        <w:ind w:left="850" w:leftChars="0" w:hanging="453" w:firstLineChars="0"/>
        <w:rPr>
          <w:rFonts w:hint="eastAsia" w:ascii="仿宋_GB2312" w:hAnsi="仿宋" w:eastAsia="仿宋_GB2312"/>
          <w:szCs w:val="24"/>
          <w:highlight w:val="none"/>
        </w:rPr>
      </w:pPr>
      <w:r>
        <w:rPr>
          <w:rFonts w:hint="eastAsia" w:ascii="仿宋_GB2312" w:hAnsi="仿宋" w:eastAsia="仿宋_GB2312"/>
          <w:szCs w:val="24"/>
          <w:highlight w:val="none"/>
        </w:rPr>
        <w:t>组织现场考察或召开答疑会（如果有）。</w:t>
      </w:r>
    </w:p>
    <w:p w14:paraId="7CB1A04F">
      <w:pPr>
        <w:pStyle w:val="396"/>
        <w:numPr>
          <w:ilvl w:val="1"/>
          <w:numId w:val="8"/>
        </w:numPr>
        <w:spacing w:before="0"/>
        <w:ind w:left="850" w:leftChars="0" w:hanging="453" w:firstLineChars="0"/>
        <w:rPr>
          <w:rFonts w:hint="eastAsia" w:ascii="仿宋_GB2312" w:hAnsi="仿宋" w:eastAsia="仿宋_GB2312"/>
          <w:szCs w:val="24"/>
          <w:highlight w:val="none"/>
        </w:rPr>
      </w:pPr>
      <w:r>
        <w:rPr>
          <w:rFonts w:hint="eastAsia" w:ascii="仿宋_GB2312" w:hAnsi="仿宋" w:eastAsia="仿宋_GB2312"/>
          <w:szCs w:val="24"/>
          <w:highlight w:val="none"/>
        </w:rPr>
        <w:t>发布更正（延期）公告，澄清或修改磋商文件（如果有）。</w:t>
      </w:r>
    </w:p>
    <w:p w14:paraId="1091E67E">
      <w:pPr>
        <w:pStyle w:val="396"/>
        <w:numPr>
          <w:ilvl w:val="1"/>
          <w:numId w:val="8"/>
        </w:numPr>
        <w:spacing w:before="0"/>
        <w:ind w:left="850" w:leftChars="0" w:hanging="453" w:firstLineChars="0"/>
        <w:rPr>
          <w:rFonts w:hint="eastAsia" w:ascii="仿宋_GB2312" w:hAnsi="仿宋" w:eastAsia="仿宋_GB2312"/>
          <w:szCs w:val="24"/>
          <w:highlight w:val="none"/>
        </w:rPr>
      </w:pPr>
      <w:r>
        <w:rPr>
          <w:rFonts w:hint="eastAsia" w:ascii="仿宋_GB2312" w:hAnsi="仿宋" w:eastAsia="仿宋_GB2312"/>
          <w:szCs w:val="24"/>
          <w:highlight w:val="none"/>
        </w:rPr>
        <w:t>供应商按磋商文件要求编制响应文件。</w:t>
      </w:r>
    </w:p>
    <w:p w14:paraId="336B3970">
      <w:pPr>
        <w:pStyle w:val="396"/>
        <w:numPr>
          <w:ilvl w:val="0"/>
          <w:numId w:val="0"/>
        </w:numPr>
        <w:spacing w:before="0"/>
        <w:ind w:left="397" w:leftChars="0"/>
        <w:rPr>
          <w:rFonts w:hint="eastAsia" w:ascii="仿宋_GB2312" w:hAnsi="仿宋" w:eastAsia="仿宋_GB2312"/>
          <w:szCs w:val="24"/>
          <w:highlight w:val="none"/>
        </w:rPr>
      </w:pPr>
    </w:p>
    <w:p w14:paraId="562A4715">
      <w:pPr>
        <w:pStyle w:val="396"/>
        <w:numPr>
          <w:ilvl w:val="0"/>
          <w:numId w:val="7"/>
        </w:numPr>
        <w:tabs>
          <w:tab w:val="left" w:pos="210"/>
          <w:tab w:val="left" w:pos="420"/>
        </w:tabs>
        <w:spacing w:before="0"/>
        <w:ind w:left="340" w:leftChars="0" w:hanging="340" w:firstLineChars="0"/>
        <w:rPr>
          <w:rFonts w:hint="eastAsia" w:ascii="仿宋_GB2312" w:hAnsi="仿宋" w:eastAsia="仿宋_GB2312"/>
          <w:b/>
          <w:szCs w:val="24"/>
          <w:highlight w:val="none"/>
        </w:rPr>
      </w:pPr>
      <w:r>
        <w:rPr>
          <w:rFonts w:hint="eastAsia" w:ascii="仿宋_GB2312" w:hAnsi="仿宋" w:eastAsia="仿宋_GB2312"/>
          <w:b/>
          <w:szCs w:val="24"/>
          <w:highlight w:val="none"/>
        </w:rPr>
        <w:t>响应文件开启与信用信息查询</w:t>
      </w:r>
    </w:p>
    <w:p w14:paraId="54E6B5D2">
      <w:pPr>
        <w:pStyle w:val="396"/>
        <w:numPr>
          <w:ilvl w:val="1"/>
          <w:numId w:val="10"/>
        </w:numPr>
        <w:spacing w:before="0"/>
        <w:ind w:left="10" w:leftChars="0" w:firstLine="387" w:firstLineChars="0"/>
        <w:rPr>
          <w:rFonts w:hint="eastAsia" w:ascii="仿宋_GB2312" w:hAnsi="仿宋" w:eastAsia="仿宋_GB2312"/>
          <w:szCs w:val="24"/>
          <w:highlight w:val="none"/>
        </w:rPr>
      </w:pPr>
      <w:r>
        <w:rPr>
          <w:rFonts w:hint="eastAsia" w:ascii="仿宋_GB2312" w:hAnsi="仿宋" w:eastAsia="仿宋_GB2312"/>
          <w:szCs w:val="24"/>
          <w:highlight w:val="none"/>
        </w:rPr>
        <w:t>供应商依据“提交响应文件的截止时间与地点”通过政采云平台在线提交响应文件。供应商在提交响应文件的截止时间前，可以补充、修改或撤回响应文件。</w:t>
      </w:r>
    </w:p>
    <w:p w14:paraId="16E62A9E">
      <w:pPr>
        <w:pStyle w:val="396"/>
        <w:numPr>
          <w:ilvl w:val="1"/>
          <w:numId w:val="10"/>
        </w:numPr>
        <w:spacing w:before="0"/>
        <w:ind w:left="10" w:leftChars="0" w:firstLine="387" w:firstLineChars="0"/>
        <w:rPr>
          <w:rFonts w:hint="eastAsia" w:ascii="仿宋_GB2312" w:hAnsi="仿宋" w:eastAsia="仿宋_GB2312"/>
          <w:szCs w:val="24"/>
          <w:highlight w:val="none"/>
        </w:rPr>
      </w:pPr>
      <w:r>
        <w:rPr>
          <w:rFonts w:hint="eastAsia" w:ascii="仿宋_GB2312" w:hAnsi="仿宋" w:eastAsia="仿宋_GB2312"/>
          <w:szCs w:val="24"/>
          <w:highlight w:val="none"/>
          <w:lang w:eastAsia="zh-CN"/>
        </w:rPr>
        <w:t>采购代理机构</w:t>
      </w:r>
      <w:r>
        <w:rPr>
          <w:rFonts w:hint="eastAsia" w:ascii="仿宋_GB2312" w:hAnsi="仿宋" w:eastAsia="仿宋_GB2312"/>
          <w:szCs w:val="24"/>
          <w:highlight w:val="none"/>
        </w:rPr>
        <w:t>将通过“信用中国”网站(</w:t>
      </w:r>
      <w:r>
        <w:rPr>
          <w:rFonts w:hint="eastAsia" w:ascii="仿宋_GB2312" w:hAnsi="仿宋" w:eastAsia="仿宋_GB2312"/>
          <w:szCs w:val="24"/>
          <w:highlight w:val="none"/>
        </w:rPr>
        <w:fldChar w:fldCharType="begin"/>
      </w:r>
      <w:r>
        <w:rPr>
          <w:rFonts w:hint="eastAsia" w:ascii="仿宋_GB2312" w:hAnsi="仿宋" w:eastAsia="仿宋_GB2312"/>
          <w:szCs w:val="24"/>
          <w:highlight w:val="none"/>
        </w:rPr>
        <w:instrText xml:space="preserve"> HYPERLINK "http://www.creditchina.gov.cn" </w:instrText>
      </w:r>
      <w:r>
        <w:rPr>
          <w:rFonts w:hint="eastAsia" w:ascii="仿宋_GB2312" w:hAnsi="仿宋" w:eastAsia="仿宋_GB2312"/>
          <w:szCs w:val="24"/>
          <w:highlight w:val="none"/>
        </w:rPr>
        <w:fldChar w:fldCharType="separate"/>
      </w:r>
      <w:r>
        <w:rPr>
          <w:rFonts w:hint="eastAsia" w:ascii="仿宋_GB2312" w:hAnsi="仿宋" w:eastAsia="仿宋_GB2312"/>
          <w:szCs w:val="24"/>
          <w:highlight w:val="none"/>
        </w:rPr>
        <w:t>www.creditchina.gov.cn</w:t>
      </w:r>
      <w:r>
        <w:rPr>
          <w:rFonts w:hint="eastAsia" w:ascii="仿宋_GB2312" w:hAnsi="仿宋" w:eastAsia="仿宋_GB2312"/>
          <w:szCs w:val="24"/>
          <w:highlight w:val="none"/>
        </w:rPr>
        <w:fldChar w:fldCharType="end"/>
      </w:r>
      <w:r>
        <w:rPr>
          <w:rFonts w:hint="eastAsia" w:ascii="仿宋_GB2312" w:hAnsi="仿宋" w:eastAsia="仿宋_GB2312"/>
          <w:szCs w:val="24"/>
          <w:highlight w:val="none"/>
        </w:rPr>
        <w:t>)和中国政府采购网(www.ccgp.gov.cn)渠道查询供应商响应截止时间当日的信用记录。</w:t>
      </w:r>
    </w:p>
    <w:p w14:paraId="180127BE">
      <w:pPr>
        <w:pStyle w:val="396"/>
        <w:numPr>
          <w:ilvl w:val="0"/>
          <w:numId w:val="0"/>
        </w:numPr>
        <w:spacing w:before="0"/>
        <w:ind w:left="397" w:leftChars="0"/>
        <w:rPr>
          <w:rFonts w:hint="eastAsia" w:ascii="仿宋_GB2312" w:hAnsi="仿宋" w:eastAsia="仿宋_GB2312"/>
          <w:szCs w:val="24"/>
          <w:highlight w:val="none"/>
        </w:rPr>
      </w:pPr>
    </w:p>
    <w:p w14:paraId="136090C9">
      <w:pPr>
        <w:pStyle w:val="396"/>
        <w:numPr>
          <w:ilvl w:val="0"/>
          <w:numId w:val="7"/>
        </w:numPr>
        <w:tabs>
          <w:tab w:val="left" w:pos="210"/>
          <w:tab w:val="left" w:pos="420"/>
        </w:tabs>
        <w:spacing w:before="0"/>
        <w:ind w:left="340" w:leftChars="0" w:hanging="340" w:firstLineChars="0"/>
        <w:rPr>
          <w:rFonts w:hint="eastAsia" w:ascii="仿宋_GB2312" w:hAnsi="仿宋" w:eastAsia="仿宋_GB2312"/>
          <w:b/>
          <w:szCs w:val="24"/>
          <w:highlight w:val="none"/>
        </w:rPr>
      </w:pPr>
      <w:r>
        <w:rPr>
          <w:rFonts w:hint="eastAsia" w:ascii="仿宋_GB2312" w:hAnsi="仿宋" w:eastAsia="仿宋_GB2312"/>
          <w:b/>
          <w:szCs w:val="24"/>
          <w:highlight w:val="none"/>
        </w:rPr>
        <w:t>磋商与评审</w:t>
      </w:r>
    </w:p>
    <w:p w14:paraId="305D3093">
      <w:pPr>
        <w:pStyle w:val="396"/>
        <w:numPr>
          <w:ilvl w:val="1"/>
          <w:numId w:val="11"/>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szCs w:val="24"/>
          <w:highlight w:val="none"/>
        </w:rPr>
        <w:t>磋商小组签到。</w:t>
      </w:r>
    </w:p>
    <w:p w14:paraId="532275A0">
      <w:pPr>
        <w:pStyle w:val="396"/>
        <w:numPr>
          <w:ilvl w:val="1"/>
          <w:numId w:val="11"/>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szCs w:val="24"/>
          <w:highlight w:val="none"/>
          <w:lang w:eastAsia="zh-CN"/>
        </w:rPr>
        <w:t>采购代理机构</w:t>
      </w:r>
      <w:r>
        <w:rPr>
          <w:rFonts w:hint="eastAsia" w:ascii="仿宋_GB2312" w:hAnsi="仿宋" w:eastAsia="仿宋_GB2312"/>
          <w:szCs w:val="24"/>
          <w:highlight w:val="none"/>
        </w:rPr>
        <w:t>宣布有关纪律以及磋商、评审工作程序。</w:t>
      </w:r>
    </w:p>
    <w:p w14:paraId="231D23C8">
      <w:pPr>
        <w:pStyle w:val="396"/>
        <w:numPr>
          <w:ilvl w:val="1"/>
          <w:numId w:val="11"/>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szCs w:val="24"/>
          <w:highlight w:val="none"/>
        </w:rPr>
        <w:t>磋商小组审查确认磋商文件。磋商文件内容违反国家有关强制性规定的，磋商小组应当停止评审并向</w:t>
      </w:r>
      <w:r>
        <w:rPr>
          <w:rFonts w:hint="eastAsia" w:ascii="仿宋_GB2312" w:hAnsi="仿宋" w:eastAsia="仿宋_GB2312"/>
          <w:szCs w:val="24"/>
          <w:highlight w:val="none"/>
          <w:lang w:eastAsia="zh-CN"/>
        </w:rPr>
        <w:t>采购代理机构</w:t>
      </w:r>
      <w:r>
        <w:rPr>
          <w:rFonts w:hint="eastAsia" w:ascii="仿宋_GB2312" w:hAnsi="仿宋" w:eastAsia="仿宋_GB2312"/>
          <w:szCs w:val="24"/>
          <w:highlight w:val="none"/>
        </w:rPr>
        <w:t>说明情况。</w:t>
      </w:r>
    </w:p>
    <w:p w14:paraId="49178D26">
      <w:pPr>
        <w:pStyle w:val="396"/>
        <w:numPr>
          <w:ilvl w:val="1"/>
          <w:numId w:val="11"/>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color w:val="auto"/>
          <w:szCs w:val="24"/>
          <w:highlight w:val="none"/>
          <w:lang w:eastAsia="zh-CN"/>
        </w:rPr>
        <w:t>采购人或采购代理机构</w:t>
      </w:r>
      <w:r>
        <w:rPr>
          <w:rFonts w:hint="eastAsia" w:ascii="仿宋_GB2312" w:hAnsi="仿宋" w:eastAsia="仿宋_GB2312"/>
          <w:color w:val="auto"/>
          <w:szCs w:val="24"/>
          <w:highlight w:val="none"/>
        </w:rPr>
        <w:t>对供应商</w:t>
      </w:r>
      <w:r>
        <w:rPr>
          <w:rFonts w:hint="eastAsia" w:ascii="仿宋_GB2312" w:hAnsi="仿宋" w:eastAsia="仿宋_GB2312"/>
          <w:szCs w:val="24"/>
          <w:highlight w:val="none"/>
        </w:rPr>
        <w:t>的资格进行审查。</w:t>
      </w:r>
    </w:p>
    <w:p w14:paraId="1E9DB44F">
      <w:pPr>
        <w:pStyle w:val="396"/>
        <w:numPr>
          <w:ilvl w:val="1"/>
          <w:numId w:val="11"/>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szCs w:val="24"/>
          <w:highlight w:val="none"/>
        </w:rPr>
        <w:t>磋商小组审查响应文件。</w:t>
      </w:r>
    </w:p>
    <w:p w14:paraId="3E279C19">
      <w:pPr>
        <w:pStyle w:val="396"/>
        <w:numPr>
          <w:ilvl w:val="1"/>
          <w:numId w:val="11"/>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szCs w:val="24"/>
          <w:highlight w:val="none"/>
        </w:rPr>
        <w:t>对于未实质性响应磋商文件的响应文件由磋商小组认定响应无效，并告知该供应商。</w:t>
      </w:r>
    </w:p>
    <w:p w14:paraId="09F9EB1B">
      <w:pPr>
        <w:pStyle w:val="396"/>
        <w:numPr>
          <w:ilvl w:val="1"/>
          <w:numId w:val="11"/>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szCs w:val="24"/>
          <w:highlight w:val="none"/>
        </w:rPr>
        <w:t>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w:t>
      </w:r>
      <w:r>
        <w:rPr>
          <w:rFonts w:hint="eastAsia" w:ascii="仿宋_GB2312" w:hAnsi="仿宋" w:eastAsia="仿宋_GB2312"/>
          <w:b/>
          <w:bCs/>
          <w:szCs w:val="24"/>
          <w:highlight w:val="none"/>
        </w:rPr>
        <w:t>不得少于半小时</w:t>
      </w:r>
      <w:r>
        <w:rPr>
          <w:rFonts w:hint="eastAsia" w:ascii="仿宋_GB2312" w:hAnsi="仿宋" w:eastAsia="仿宋_GB2312"/>
          <w:szCs w:val="24"/>
          <w:highlight w:val="none"/>
        </w:rPr>
        <w:t>，供应商已经明确表示澄清说明或补正完毕的除外。供应商的澄清、说明或者更正不得超出响应文件的范围或者改变响应文件的实质性内容。</w:t>
      </w:r>
    </w:p>
    <w:p w14:paraId="05C2A92A">
      <w:pPr>
        <w:pStyle w:val="396"/>
        <w:numPr>
          <w:ilvl w:val="1"/>
          <w:numId w:val="11"/>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szCs w:val="24"/>
          <w:highlight w:val="none"/>
        </w:rPr>
        <w:t>磋商小组与符合要求的供应商进行磋商。磋商小组所有成员按照响应文件解密次序集中与单一供应商分别进行磋商，并给予所有参加磋商的供应商平等的磋商机会。磋商过程中，磋商小组可以根据磋商情况调整轮次。在磋商过程中，磋商小组可以根据磋商文件和磋商情况实质性变动采购需求中的技术、服务要求以及合同草案条款，但不得变动磋商文件中的其他内容</w:t>
      </w:r>
      <w:r>
        <w:rPr>
          <w:rFonts w:hint="eastAsia" w:ascii="仿宋_GB2312" w:hAnsi="仿宋" w:eastAsia="仿宋_GB2312"/>
          <w:szCs w:val="24"/>
          <w:highlight w:val="none"/>
          <w:lang w:eastAsia="zh-CN"/>
        </w:rPr>
        <w:t>。</w:t>
      </w:r>
    </w:p>
    <w:p w14:paraId="4647588F">
      <w:pPr>
        <w:pStyle w:val="396"/>
        <w:numPr>
          <w:ilvl w:val="0"/>
          <w:numId w:val="0"/>
        </w:numPr>
        <w:spacing w:before="0"/>
        <w:ind w:firstLine="480" w:firstLineChars="200"/>
        <w:rPr>
          <w:rFonts w:hint="eastAsia" w:ascii="仿宋_GB2312" w:hAnsi="仿宋" w:eastAsia="仿宋_GB2312"/>
          <w:szCs w:val="24"/>
          <w:highlight w:val="none"/>
          <w:lang w:eastAsia="zh-CN"/>
        </w:rPr>
      </w:pPr>
      <w:r>
        <w:rPr>
          <w:rFonts w:hint="eastAsia" w:ascii="仿宋_GB2312" w:hAnsi="仿宋" w:eastAsia="仿宋_GB2312"/>
          <w:szCs w:val="24"/>
          <w:highlight w:val="none"/>
          <w:lang w:eastAsia="zh-CN"/>
        </w:rPr>
        <w:t>磋商形式：</w:t>
      </w:r>
    </w:p>
    <w:p w14:paraId="1DC039DC">
      <w:pPr>
        <w:pStyle w:val="396"/>
        <w:numPr>
          <w:ilvl w:val="0"/>
          <w:numId w:val="0"/>
        </w:numPr>
        <w:spacing w:before="0"/>
        <w:ind w:firstLine="480" w:firstLineChars="200"/>
        <w:rPr>
          <w:rFonts w:hint="eastAsia" w:ascii="仿宋_GB2312" w:hAnsi="仿宋" w:eastAsia="仿宋_GB2312"/>
          <w:szCs w:val="24"/>
          <w:highlight w:val="none"/>
        </w:rPr>
      </w:pPr>
      <w:r>
        <w:rPr>
          <w:rFonts w:hint="eastAsia" w:ascii="宋体" w:hAnsi="宋体" w:eastAsia="宋体" w:cs="宋体"/>
          <w:szCs w:val="24"/>
          <w:highlight w:val="none"/>
        </w:rPr>
        <w:t>□</w:t>
      </w:r>
      <w:r>
        <w:rPr>
          <w:rFonts w:hint="eastAsia" w:ascii="仿宋_GB2312" w:hAnsi="仿宋_GB2312" w:eastAsia="仿宋_GB2312" w:cs="仿宋_GB2312"/>
          <w:szCs w:val="24"/>
          <w:highlight w:val="none"/>
          <w:lang w:eastAsia="zh-CN"/>
        </w:rPr>
        <w:t>远程在线视频磋商：</w:t>
      </w:r>
      <w:r>
        <w:rPr>
          <w:rFonts w:hint="eastAsia" w:ascii="仿宋_GB2312" w:hAnsi="仿宋" w:eastAsia="仿宋_GB2312"/>
          <w:szCs w:val="24"/>
          <w:highlight w:val="none"/>
        </w:rPr>
        <w:t>磋商时由</w:t>
      </w:r>
      <w:r>
        <w:rPr>
          <w:rFonts w:hint="eastAsia" w:ascii="仿宋_GB2312" w:hAnsi="仿宋" w:eastAsia="仿宋_GB2312"/>
          <w:szCs w:val="24"/>
          <w:highlight w:val="none"/>
          <w:lang w:eastAsia="zh-CN"/>
        </w:rPr>
        <w:t>采购代理机构</w:t>
      </w:r>
      <w:r>
        <w:rPr>
          <w:rFonts w:hint="eastAsia" w:ascii="仿宋_GB2312" w:hAnsi="仿宋" w:eastAsia="仿宋_GB2312"/>
          <w:szCs w:val="24"/>
          <w:highlight w:val="none"/>
        </w:rPr>
        <w:t>利用政采云平台发起磋商邀请，供应商通过政采云“在线评审室”进行远程视频磋商。供应商使用CA数字证书登陆政采云平台——收到视频评审邀请——点击“视频评审”进入“视频评审系统”——开始远程磋商活动;</w:t>
      </w:r>
    </w:p>
    <w:p w14:paraId="0A05AFE0">
      <w:pPr>
        <w:pStyle w:val="396"/>
        <w:numPr>
          <w:ilvl w:val="0"/>
          <w:numId w:val="0"/>
        </w:numPr>
        <w:spacing w:before="0"/>
        <w:ind w:firstLine="480" w:firstLineChars="200"/>
        <w:rPr>
          <w:rFonts w:hint="eastAsia" w:ascii="仿宋_GB2312" w:hAnsi="仿宋_GB2312" w:eastAsia="仿宋_GB2312" w:cs="仿宋_GB2312"/>
          <w:color w:val="FF0000"/>
          <w:szCs w:val="24"/>
          <w:highlight w:val="none"/>
          <w:lang w:eastAsia="zh-CN"/>
        </w:rPr>
      </w:pPr>
      <w:r>
        <w:rPr>
          <w:rFonts w:hint="eastAsia" w:ascii="宋体" w:hAnsi="宋体" w:cs="宋体"/>
          <w:color w:val="FF0000"/>
          <w:szCs w:val="24"/>
          <w:highlight w:val="none"/>
          <w:lang w:eastAsia="zh-CN"/>
        </w:rPr>
        <w:t>☑</w:t>
      </w:r>
      <w:r>
        <w:rPr>
          <w:rFonts w:hint="eastAsia" w:ascii="仿宋_GB2312" w:hAnsi="仿宋_GB2312" w:eastAsia="仿宋_GB2312" w:cs="仿宋_GB2312"/>
          <w:color w:val="FF0000"/>
          <w:szCs w:val="24"/>
          <w:highlight w:val="none"/>
          <w:lang w:eastAsia="zh-CN"/>
        </w:rPr>
        <w:t>远程在线非视频磋商：</w:t>
      </w:r>
      <w:r>
        <w:rPr>
          <w:rFonts w:hint="eastAsia" w:ascii="仿宋_GB2312" w:hAnsi="仿宋" w:eastAsia="仿宋_GB2312"/>
          <w:color w:val="FF0000"/>
          <w:szCs w:val="24"/>
          <w:highlight w:val="none"/>
        </w:rPr>
        <w:t>磋商时由</w:t>
      </w:r>
      <w:r>
        <w:rPr>
          <w:rFonts w:hint="eastAsia" w:ascii="仿宋_GB2312" w:hAnsi="仿宋" w:eastAsia="仿宋_GB2312"/>
          <w:color w:val="FF0000"/>
          <w:szCs w:val="24"/>
          <w:highlight w:val="none"/>
          <w:lang w:eastAsia="zh-CN"/>
        </w:rPr>
        <w:t>采购代理机构</w:t>
      </w:r>
      <w:r>
        <w:rPr>
          <w:rFonts w:hint="eastAsia" w:ascii="仿宋_GB2312" w:hAnsi="仿宋" w:eastAsia="仿宋_GB2312"/>
          <w:color w:val="FF0000"/>
          <w:szCs w:val="24"/>
          <w:highlight w:val="none"/>
        </w:rPr>
        <w:t>利用政采云平台发起磋商邀请，磋商小组在线（以书面形式完成的需扫描上传）将</w:t>
      </w:r>
      <w:r>
        <w:rPr>
          <w:rFonts w:hint="eastAsia" w:ascii="仿宋_GB2312" w:hAnsi="仿宋" w:eastAsia="仿宋_GB2312"/>
          <w:color w:val="FF0000"/>
          <w:szCs w:val="24"/>
          <w:highlight w:val="none"/>
          <w:lang w:eastAsia="zh-CN"/>
        </w:rPr>
        <w:t>磋商问题</w:t>
      </w:r>
      <w:r>
        <w:rPr>
          <w:rFonts w:hint="eastAsia" w:ascii="仿宋_GB2312" w:hAnsi="仿宋" w:eastAsia="仿宋_GB2312"/>
          <w:color w:val="FF0000"/>
          <w:szCs w:val="24"/>
          <w:highlight w:val="none"/>
        </w:rPr>
        <w:t>通知所有参加磋商的供应商</w:t>
      </w:r>
      <w:r>
        <w:rPr>
          <w:rFonts w:hint="eastAsia" w:ascii="仿宋_GB2312" w:hAnsi="仿宋" w:eastAsia="仿宋_GB2312"/>
          <w:color w:val="FF0000"/>
          <w:szCs w:val="24"/>
          <w:highlight w:val="none"/>
          <w:lang w:eastAsia="zh-CN"/>
        </w:rPr>
        <w:t>，供应商按照磋商小组的要求对问题进行答复，并由授权代表签字或者加盖公章后扫描上传（或直接在线加盖电子签章后提交）；</w:t>
      </w:r>
    </w:p>
    <w:p w14:paraId="05B89EE8">
      <w:pPr>
        <w:pStyle w:val="396"/>
        <w:numPr>
          <w:ilvl w:val="0"/>
          <w:numId w:val="0"/>
        </w:numPr>
        <w:spacing w:before="0"/>
        <w:ind w:firstLine="480" w:firstLineChars="200"/>
        <w:rPr>
          <w:rFonts w:ascii="仿宋_GB2312" w:hAnsi="仿宋" w:eastAsia="仿宋_GB2312"/>
          <w:szCs w:val="24"/>
          <w:highlight w:val="none"/>
        </w:rPr>
      </w:pPr>
      <w:r>
        <w:rPr>
          <w:rFonts w:hint="eastAsia" w:ascii="宋体" w:hAnsi="宋体" w:eastAsia="宋体" w:cs="宋体"/>
          <w:szCs w:val="24"/>
          <w:highlight w:val="none"/>
        </w:rPr>
        <w:t>□</w:t>
      </w:r>
      <w:r>
        <w:rPr>
          <w:rFonts w:hint="eastAsia" w:ascii="仿宋_GB2312" w:hAnsi="仿宋_GB2312" w:eastAsia="仿宋_GB2312" w:cs="仿宋_GB2312"/>
          <w:szCs w:val="24"/>
          <w:highlight w:val="none"/>
          <w:lang w:eastAsia="zh-CN"/>
        </w:rPr>
        <w:t>评审现场磋商：</w:t>
      </w:r>
      <w:r>
        <w:rPr>
          <w:rFonts w:hint="eastAsia" w:ascii="仿宋_GB2312" w:hAnsi="仿宋" w:eastAsia="仿宋_GB2312"/>
          <w:szCs w:val="24"/>
          <w:highlight w:val="none"/>
        </w:rPr>
        <w:t>对于要求到</w:t>
      </w:r>
      <w:r>
        <w:rPr>
          <w:rFonts w:hint="eastAsia" w:ascii="仿宋_GB2312" w:hAnsi="仿宋" w:eastAsia="仿宋_GB2312"/>
          <w:szCs w:val="24"/>
          <w:highlight w:val="none"/>
          <w:lang w:eastAsia="zh-CN"/>
        </w:rPr>
        <w:t>采购代理机构</w:t>
      </w:r>
      <w:r>
        <w:rPr>
          <w:rFonts w:hint="eastAsia" w:ascii="仿宋_GB2312" w:hAnsi="仿宋" w:eastAsia="仿宋_GB2312"/>
          <w:szCs w:val="24"/>
          <w:highlight w:val="none"/>
        </w:rPr>
        <w:t>现场进行磋商的供应商，</w:t>
      </w:r>
      <w:r>
        <w:rPr>
          <w:rFonts w:hint="eastAsia" w:ascii="仿宋_GB2312" w:hAnsi="仿宋" w:eastAsia="仿宋_GB2312"/>
          <w:szCs w:val="24"/>
          <w:highlight w:val="none"/>
          <w:lang w:eastAsia="zh-CN"/>
        </w:rPr>
        <w:t>需</w:t>
      </w:r>
      <w:r>
        <w:rPr>
          <w:rFonts w:hint="eastAsia" w:ascii="仿宋_GB2312" w:hAnsi="仿宋" w:eastAsia="仿宋_GB2312"/>
          <w:szCs w:val="24"/>
          <w:highlight w:val="none"/>
        </w:rPr>
        <w:t>在</w:t>
      </w:r>
      <w:r>
        <w:rPr>
          <w:rFonts w:hint="eastAsia" w:ascii="仿宋_GB2312" w:hAnsi="仿宋" w:eastAsia="仿宋_GB2312"/>
          <w:szCs w:val="24"/>
          <w:highlight w:val="none"/>
          <w:lang w:eastAsia="zh-CN"/>
        </w:rPr>
        <w:t>采购代理机构指定会议室</w:t>
      </w:r>
      <w:r>
        <w:rPr>
          <w:rFonts w:hint="eastAsia" w:ascii="仿宋_GB2312" w:hAnsi="仿宋" w:eastAsia="仿宋_GB2312"/>
          <w:szCs w:val="24"/>
          <w:highlight w:val="none"/>
        </w:rPr>
        <w:t>开展磋商活动</w:t>
      </w:r>
      <w:r>
        <w:rPr>
          <w:rFonts w:hint="eastAsia" w:ascii="仿宋_GB2312" w:hAnsi="仿宋" w:eastAsia="仿宋_GB2312"/>
          <w:szCs w:val="24"/>
          <w:highlight w:val="none"/>
          <w:lang w:eastAsia="zh-CN"/>
        </w:rPr>
        <w:t>，磋商小组在现场</w:t>
      </w:r>
      <w:r>
        <w:rPr>
          <w:rFonts w:hint="eastAsia" w:ascii="仿宋_GB2312" w:hAnsi="仿宋" w:eastAsia="仿宋_GB2312"/>
          <w:szCs w:val="24"/>
          <w:highlight w:val="none"/>
        </w:rPr>
        <w:t>集中与单一供应商分别进行磋商。</w:t>
      </w:r>
    </w:p>
    <w:p w14:paraId="159BDBD0">
      <w:pPr>
        <w:pStyle w:val="396"/>
        <w:numPr>
          <w:ilvl w:val="1"/>
          <w:numId w:val="11"/>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szCs w:val="24"/>
          <w:highlight w:val="none"/>
        </w:rPr>
        <w:t>经磋商确定磋商文件的变动情况。对磋商文件作出的实质性变动是磋商文件的有效组成部分，磋商小组应当及时</w:t>
      </w:r>
      <w:r>
        <w:rPr>
          <w:rFonts w:hint="eastAsia" w:ascii="仿宋_GB2312" w:hAnsi="仿宋" w:eastAsia="仿宋_GB2312"/>
          <w:szCs w:val="24"/>
          <w:highlight w:val="none"/>
          <w:lang w:eastAsia="zh-CN"/>
        </w:rPr>
        <w:t>通过政采云平台</w:t>
      </w:r>
      <w:r>
        <w:rPr>
          <w:rFonts w:hint="eastAsia" w:ascii="仿宋_GB2312" w:hAnsi="仿宋" w:eastAsia="仿宋_GB2312"/>
          <w:szCs w:val="24"/>
          <w:highlight w:val="none"/>
        </w:rPr>
        <w:t>通知所有参加磋商的供应商。</w:t>
      </w:r>
    </w:p>
    <w:p w14:paraId="78AC2534">
      <w:pPr>
        <w:pStyle w:val="396"/>
        <w:numPr>
          <w:ilvl w:val="1"/>
          <w:numId w:val="11"/>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szCs w:val="24"/>
          <w:highlight w:val="none"/>
        </w:rPr>
        <w:t>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5878A3E8">
      <w:pPr>
        <w:pStyle w:val="396"/>
        <w:numPr>
          <w:ilvl w:val="1"/>
          <w:numId w:val="11"/>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szCs w:val="24"/>
          <w:highlight w:val="none"/>
        </w:rPr>
        <w:t>磋商小组按照下列方式确定提交最后报价的供应商，有特殊规定的从其规定：</w:t>
      </w:r>
    </w:p>
    <w:p w14:paraId="0DA7342B">
      <w:pPr>
        <w:pStyle w:val="396"/>
        <w:spacing w:before="0"/>
        <w:ind w:firstLine="480"/>
        <w:rPr>
          <w:rFonts w:ascii="仿宋_GB2312" w:hAnsi="仿宋" w:eastAsia="仿宋_GB2312"/>
          <w:szCs w:val="24"/>
          <w:highlight w:val="none"/>
        </w:rPr>
      </w:pPr>
      <w:r>
        <w:rPr>
          <w:rFonts w:hint="eastAsia" w:ascii="仿宋_GB2312" w:hAnsi="仿宋" w:eastAsia="仿宋_GB2312"/>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07F391C7">
      <w:pPr>
        <w:pStyle w:val="396"/>
        <w:spacing w:before="0"/>
        <w:ind w:firstLine="480"/>
        <w:rPr>
          <w:rFonts w:ascii="仿宋_GB2312" w:hAnsi="仿宋" w:eastAsia="仿宋_GB2312"/>
          <w:szCs w:val="24"/>
          <w:highlight w:val="none"/>
        </w:rPr>
      </w:pPr>
      <w:r>
        <w:rPr>
          <w:rFonts w:hint="eastAsia" w:ascii="仿宋_GB2312" w:hAnsi="仿宋" w:eastAsia="仿宋_GB2312"/>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18961112">
      <w:pPr>
        <w:pStyle w:val="396"/>
        <w:numPr>
          <w:ilvl w:val="1"/>
          <w:numId w:val="11"/>
        </w:numPr>
        <w:spacing w:before="0"/>
        <w:ind w:left="10" w:leftChars="0" w:firstLine="387" w:firstLineChars="0"/>
        <w:rPr>
          <w:rFonts w:hint="eastAsia" w:ascii="仿宋_GB2312" w:hAnsi="仿宋" w:eastAsia="仿宋_GB2312"/>
          <w:szCs w:val="24"/>
          <w:highlight w:val="none"/>
        </w:rPr>
      </w:pPr>
      <w:r>
        <w:rPr>
          <w:rFonts w:hint="eastAsia" w:ascii="仿宋_GB2312" w:hAnsi="仿宋" w:eastAsia="仿宋_GB2312"/>
          <w:szCs w:val="24"/>
          <w:highlight w:val="none"/>
        </w:rPr>
        <w:t>确定进入最后报价的供应商在规定时间内提交最后报价。</w:t>
      </w:r>
    </w:p>
    <w:p w14:paraId="424327AD">
      <w:pPr>
        <w:pStyle w:val="396"/>
        <w:numPr>
          <w:ilvl w:val="1"/>
          <w:numId w:val="11"/>
        </w:numPr>
        <w:spacing w:before="0"/>
        <w:ind w:left="10" w:leftChars="0" w:firstLine="387" w:firstLineChars="0"/>
        <w:rPr>
          <w:rFonts w:hint="eastAsia" w:ascii="仿宋_GB2312" w:hAnsi="仿宋" w:eastAsia="仿宋_GB2312"/>
          <w:szCs w:val="24"/>
          <w:highlight w:val="none"/>
        </w:rPr>
      </w:pPr>
      <w:r>
        <w:rPr>
          <w:rFonts w:hint="eastAsia" w:ascii="仿宋_GB2312" w:hAnsi="仿宋" w:eastAsia="仿宋_GB2312"/>
          <w:szCs w:val="24"/>
          <w:highlight w:val="none"/>
          <w:lang w:eastAsia="zh-CN"/>
        </w:rPr>
        <w:t>采购代理机构</w:t>
      </w:r>
      <w:r>
        <w:rPr>
          <w:rFonts w:hint="eastAsia" w:ascii="仿宋_GB2312" w:hAnsi="仿宋" w:eastAsia="仿宋_GB2312"/>
          <w:szCs w:val="24"/>
          <w:highlight w:val="none"/>
        </w:rPr>
        <w:t>唱价。</w:t>
      </w:r>
    </w:p>
    <w:p w14:paraId="2980B5C1">
      <w:pPr>
        <w:pStyle w:val="396"/>
        <w:numPr>
          <w:ilvl w:val="1"/>
          <w:numId w:val="11"/>
        </w:numPr>
        <w:spacing w:before="0"/>
        <w:ind w:left="10" w:leftChars="0" w:firstLine="387" w:firstLineChars="0"/>
        <w:rPr>
          <w:rFonts w:hint="eastAsia" w:ascii="仿宋_GB2312" w:hAnsi="仿宋" w:eastAsia="仿宋_GB2312"/>
          <w:color w:val="auto"/>
          <w:szCs w:val="24"/>
          <w:highlight w:val="none"/>
        </w:rPr>
      </w:pPr>
      <w:r>
        <w:rPr>
          <w:rFonts w:hint="eastAsia" w:ascii="仿宋_GB2312" w:hAnsi="仿宋" w:eastAsia="仿宋_GB2312"/>
          <w:szCs w:val="24"/>
          <w:highlight w:val="none"/>
        </w:rPr>
        <w:t>由磋商小组根据磋商文件确定的评审办法及评审标准对提交最后报价的供应商的响</w:t>
      </w:r>
      <w:r>
        <w:rPr>
          <w:rFonts w:hint="eastAsia" w:ascii="仿宋_GB2312" w:hAnsi="仿宋" w:eastAsia="仿宋_GB2312"/>
          <w:color w:val="auto"/>
          <w:szCs w:val="24"/>
          <w:highlight w:val="none"/>
        </w:rPr>
        <w:t>应文件和最后报价进行综合评分。磋商小组各成员应当独立对每个有效响应的文件进行评价、打分并签名，然后汇总每个供应商每项评分因素的得分。</w:t>
      </w:r>
    </w:p>
    <w:p w14:paraId="3E05C07B">
      <w:pPr>
        <w:pStyle w:val="396"/>
        <w:numPr>
          <w:ilvl w:val="0"/>
          <w:numId w:val="0"/>
        </w:numPr>
        <w:spacing w:before="0"/>
        <w:ind w:firstLine="480" w:firstLineChars="200"/>
        <w:rPr>
          <w:rFonts w:hint="eastAsia" w:ascii="仿宋_GB2312" w:hAnsi="仿宋" w:eastAsia="仿宋_GB2312"/>
          <w:color w:val="auto"/>
          <w:szCs w:val="24"/>
          <w:highlight w:val="none"/>
        </w:rPr>
      </w:pPr>
      <w:r>
        <w:rPr>
          <w:rFonts w:hint="eastAsia" w:ascii="仿宋_GB2312" w:hAnsi="仿宋" w:eastAsia="仿宋_GB2312"/>
          <w:color w:val="auto"/>
          <w:szCs w:val="24"/>
          <w:highlight w:val="none"/>
          <w:lang w:eastAsia="zh-CN"/>
        </w:rPr>
        <w:t>供应商</w:t>
      </w:r>
      <w:r>
        <w:rPr>
          <w:rFonts w:hint="eastAsia" w:ascii="仿宋_GB2312" w:hAnsi="仿宋" w:eastAsia="仿宋_GB2312"/>
          <w:color w:val="auto"/>
          <w:szCs w:val="24"/>
          <w:highlight w:val="none"/>
        </w:rPr>
        <w:t>商务技术部分的得分为</w:t>
      </w:r>
      <w:r>
        <w:rPr>
          <w:rFonts w:hint="eastAsia" w:ascii="仿宋_GB2312" w:hAnsi="仿宋" w:eastAsia="仿宋_GB2312"/>
          <w:color w:val="auto"/>
          <w:szCs w:val="24"/>
          <w:highlight w:val="none"/>
          <w:lang w:eastAsia="zh-CN"/>
        </w:rPr>
        <w:t>磋商小组</w:t>
      </w:r>
      <w:r>
        <w:rPr>
          <w:rFonts w:hint="eastAsia" w:ascii="仿宋_GB2312" w:hAnsi="仿宋" w:eastAsia="仿宋_GB2312"/>
          <w:color w:val="auto"/>
          <w:szCs w:val="24"/>
          <w:highlight w:val="none"/>
        </w:rPr>
        <w:t>各成员的有效评分的算术平均值。</w:t>
      </w:r>
    </w:p>
    <w:p w14:paraId="2FE1718F">
      <w:pPr>
        <w:pStyle w:val="396"/>
        <w:numPr>
          <w:ilvl w:val="1"/>
          <w:numId w:val="11"/>
        </w:numPr>
        <w:spacing w:before="0"/>
        <w:ind w:left="10" w:leftChars="0" w:firstLine="387" w:firstLineChars="0"/>
        <w:rPr>
          <w:rFonts w:hint="eastAsia" w:ascii="仿宋_GB2312" w:hAnsi="仿宋" w:eastAsia="仿宋_GB2312"/>
          <w:color w:val="auto"/>
          <w:szCs w:val="24"/>
          <w:highlight w:val="none"/>
        </w:rPr>
      </w:pPr>
      <w:r>
        <w:rPr>
          <w:rFonts w:hint="eastAsia" w:ascii="仿宋_GB2312" w:hAnsi="仿宋" w:eastAsia="仿宋_GB2312"/>
          <w:color w:val="auto"/>
          <w:szCs w:val="24"/>
          <w:highlight w:val="none"/>
        </w:rPr>
        <w:t>评分时保留小数点后1位小数</w:t>
      </w:r>
      <w:r>
        <w:rPr>
          <w:rFonts w:hint="eastAsia" w:ascii="仿宋_GB2312" w:hAnsi="仿宋" w:eastAsia="仿宋_GB2312"/>
          <w:color w:val="auto"/>
          <w:szCs w:val="24"/>
          <w:highlight w:val="none"/>
          <w:lang w:eastAsia="zh-CN"/>
        </w:rPr>
        <w:t>（</w:t>
      </w:r>
      <w:r>
        <w:rPr>
          <w:rFonts w:hint="eastAsia" w:ascii="仿宋_GB2312" w:hAnsi="仿宋" w:eastAsia="仿宋_GB2312"/>
          <w:color w:val="auto"/>
          <w:szCs w:val="24"/>
          <w:highlight w:val="none"/>
          <w:lang w:val="en-US" w:eastAsia="zh-CN"/>
        </w:rPr>
        <w:t>客观分有2位小数的可保留2位</w:t>
      </w:r>
      <w:r>
        <w:rPr>
          <w:rFonts w:hint="eastAsia" w:ascii="仿宋_GB2312" w:hAnsi="仿宋" w:eastAsia="仿宋_GB2312"/>
          <w:color w:val="auto"/>
          <w:szCs w:val="24"/>
          <w:highlight w:val="none"/>
          <w:lang w:eastAsia="zh-CN"/>
        </w:rPr>
        <w:t>）</w:t>
      </w:r>
      <w:r>
        <w:rPr>
          <w:rFonts w:hint="eastAsia" w:ascii="仿宋_GB2312" w:hAnsi="仿宋" w:eastAsia="仿宋_GB2312"/>
          <w:color w:val="auto"/>
          <w:szCs w:val="24"/>
          <w:highlight w:val="none"/>
        </w:rPr>
        <w:t>，计算评分值时保留小数点后2位小数。</w:t>
      </w:r>
    </w:p>
    <w:p w14:paraId="5C38FDB8">
      <w:pPr>
        <w:pStyle w:val="396"/>
        <w:numPr>
          <w:ilvl w:val="1"/>
          <w:numId w:val="11"/>
        </w:numPr>
        <w:spacing w:before="0"/>
        <w:ind w:left="10" w:leftChars="0" w:firstLine="387" w:firstLineChars="0"/>
        <w:rPr>
          <w:rFonts w:hint="eastAsia" w:ascii="仿宋_GB2312" w:hAnsi="仿宋" w:eastAsia="仿宋_GB2312"/>
          <w:szCs w:val="24"/>
          <w:highlight w:val="none"/>
        </w:rPr>
      </w:pPr>
      <w:r>
        <w:rPr>
          <w:rFonts w:hint="eastAsia" w:ascii="仿宋_GB2312" w:hAnsi="仿宋" w:eastAsia="仿宋_GB2312"/>
          <w:szCs w:val="24"/>
          <w:highlight w:val="none"/>
        </w:rPr>
        <w:t>磋商小组应当根据综合评分情况，按照评审得分由高到低顺序推荐3名以上成交候选供应商，并编写评审报告。</w:t>
      </w:r>
    </w:p>
    <w:p w14:paraId="7075447A">
      <w:pPr>
        <w:pStyle w:val="396"/>
        <w:numPr>
          <w:ilvl w:val="0"/>
          <w:numId w:val="0"/>
        </w:numPr>
        <w:spacing w:before="0"/>
        <w:ind w:left="397" w:leftChars="0"/>
        <w:rPr>
          <w:rFonts w:hint="eastAsia" w:ascii="仿宋_GB2312" w:hAnsi="仿宋" w:eastAsia="仿宋_GB2312"/>
          <w:szCs w:val="24"/>
          <w:highlight w:val="none"/>
        </w:rPr>
      </w:pPr>
      <w:r>
        <w:rPr>
          <w:rFonts w:hint="eastAsia" w:ascii="仿宋" w:hAnsi="仿宋" w:eastAsia="仿宋" w:cs="仿宋"/>
          <w:b/>
          <w:bCs/>
          <w:color w:val="auto"/>
          <w:kern w:val="0"/>
          <w:sz w:val="24"/>
          <w:highlight w:val="none"/>
          <w:lang w:val="en-US" w:eastAsia="zh-CN"/>
        </w:rPr>
        <w:t>注：</w:t>
      </w:r>
      <w:r>
        <w:rPr>
          <w:rFonts w:hint="eastAsia" w:ascii="仿宋" w:hAnsi="仿宋" w:eastAsia="仿宋" w:cs="仿宋"/>
          <w:b/>
          <w:bCs/>
          <w:color w:val="auto"/>
          <w:kern w:val="0"/>
          <w:sz w:val="24"/>
          <w:highlight w:val="none"/>
          <w:lang w:eastAsia="zh-CN"/>
        </w:rPr>
        <w:t>采购文件中未特别说明的，评标委员会推荐的</w:t>
      </w:r>
      <w:r>
        <w:rPr>
          <w:rFonts w:hint="eastAsia" w:ascii="仿宋" w:hAnsi="仿宋" w:eastAsia="仿宋" w:cs="仿宋"/>
          <w:b/>
          <w:bCs/>
          <w:color w:val="auto"/>
          <w:kern w:val="0"/>
          <w:sz w:val="24"/>
          <w:highlight w:val="none"/>
          <w:lang w:val="en-US" w:eastAsia="zh-CN"/>
        </w:rPr>
        <w:t>成交供应商</w:t>
      </w:r>
      <w:r>
        <w:rPr>
          <w:rFonts w:hint="eastAsia" w:ascii="仿宋" w:hAnsi="仿宋" w:eastAsia="仿宋" w:cs="仿宋"/>
          <w:b/>
          <w:bCs/>
          <w:color w:val="auto"/>
          <w:kern w:val="0"/>
          <w:sz w:val="24"/>
          <w:highlight w:val="none"/>
          <w:lang w:eastAsia="zh-CN"/>
        </w:rPr>
        <w:t>数量为</w:t>
      </w:r>
      <w:r>
        <w:rPr>
          <w:rFonts w:hint="eastAsia" w:ascii="仿宋" w:hAnsi="仿宋" w:eastAsia="仿宋" w:cs="仿宋"/>
          <w:b/>
          <w:bCs/>
          <w:color w:val="auto"/>
          <w:kern w:val="0"/>
          <w:sz w:val="24"/>
          <w:highlight w:val="none"/>
          <w:lang w:val="en-US" w:eastAsia="zh-CN"/>
        </w:rPr>
        <w:t>3名。</w:t>
      </w:r>
    </w:p>
    <w:p w14:paraId="25885F48">
      <w:pPr>
        <w:pStyle w:val="396"/>
        <w:numPr>
          <w:ilvl w:val="0"/>
          <w:numId w:val="7"/>
        </w:numPr>
        <w:tabs>
          <w:tab w:val="left" w:pos="210"/>
          <w:tab w:val="left" w:pos="420"/>
        </w:tabs>
        <w:spacing w:before="0"/>
        <w:ind w:left="340" w:leftChars="0" w:hanging="340" w:firstLineChars="0"/>
        <w:rPr>
          <w:rFonts w:hint="eastAsia" w:ascii="仿宋_GB2312" w:hAnsi="仿宋" w:eastAsia="仿宋_GB2312"/>
          <w:b/>
          <w:szCs w:val="24"/>
          <w:highlight w:val="none"/>
        </w:rPr>
      </w:pPr>
      <w:r>
        <w:rPr>
          <w:rFonts w:hint="eastAsia" w:ascii="仿宋_GB2312" w:hAnsi="仿宋" w:eastAsia="仿宋_GB2312"/>
          <w:b/>
          <w:szCs w:val="24"/>
          <w:highlight w:val="none"/>
        </w:rPr>
        <w:t>成交</w:t>
      </w:r>
    </w:p>
    <w:p w14:paraId="0D4929DA">
      <w:pPr>
        <w:pStyle w:val="396"/>
        <w:numPr>
          <w:ilvl w:val="1"/>
          <w:numId w:val="12"/>
        </w:numPr>
        <w:spacing w:before="0"/>
        <w:ind w:left="10" w:leftChars="0" w:firstLine="387" w:firstLineChars="0"/>
        <w:rPr>
          <w:rFonts w:hint="eastAsia" w:ascii="仿宋_GB2312" w:hAnsi="仿宋" w:eastAsia="仿宋_GB2312"/>
          <w:color w:val="auto"/>
          <w:szCs w:val="24"/>
          <w:highlight w:val="none"/>
          <w:lang w:eastAsia="zh-CN"/>
        </w:rPr>
      </w:pPr>
      <w:r>
        <w:rPr>
          <w:rFonts w:hint="eastAsia" w:ascii="仿宋_GB2312" w:hAnsi="仿宋" w:eastAsia="仿宋_GB2312"/>
          <w:color w:val="auto"/>
          <w:szCs w:val="24"/>
          <w:highlight w:val="none"/>
          <w:lang w:eastAsia="zh-CN"/>
        </w:rPr>
        <w:t>政府采购项目实行全流程电子化，评审报告送交、采购结果确定和结果公告均在线完成。采购代理机构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0BEF9BFA">
      <w:pPr>
        <w:pStyle w:val="396"/>
        <w:numPr>
          <w:ilvl w:val="1"/>
          <w:numId w:val="12"/>
        </w:numPr>
        <w:spacing w:before="0"/>
        <w:ind w:left="10" w:leftChars="0" w:firstLine="387" w:firstLineChars="0"/>
        <w:rPr>
          <w:rFonts w:hint="eastAsia" w:ascii="仿宋_GB2312" w:hAnsi="仿宋" w:eastAsia="仿宋_GB2312"/>
          <w:szCs w:val="24"/>
          <w:highlight w:val="none"/>
          <w:lang w:eastAsia="zh-CN"/>
        </w:rPr>
      </w:pPr>
      <w:r>
        <w:rPr>
          <w:rFonts w:hint="eastAsia" w:ascii="仿宋_GB2312" w:hAnsi="仿宋" w:eastAsia="仿宋_GB2312"/>
          <w:color w:val="auto"/>
          <w:szCs w:val="24"/>
          <w:highlight w:val="none"/>
          <w:lang w:eastAsia="zh-CN"/>
        </w:rPr>
        <w:t>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0BDBB820">
      <w:pPr>
        <w:pStyle w:val="396"/>
        <w:numPr>
          <w:ilvl w:val="0"/>
          <w:numId w:val="7"/>
        </w:numPr>
        <w:tabs>
          <w:tab w:val="left" w:pos="210"/>
          <w:tab w:val="left" w:pos="420"/>
        </w:tabs>
        <w:spacing w:before="0"/>
        <w:ind w:left="340" w:leftChars="0" w:hanging="340" w:firstLineChars="0"/>
        <w:rPr>
          <w:rFonts w:hint="eastAsia" w:ascii="仿宋_GB2312" w:hAnsi="仿宋" w:eastAsia="仿宋_GB2312"/>
          <w:b/>
          <w:szCs w:val="24"/>
          <w:highlight w:val="none"/>
        </w:rPr>
      </w:pPr>
      <w:r>
        <w:rPr>
          <w:rFonts w:hint="eastAsia" w:ascii="仿宋_GB2312" w:hAnsi="仿宋" w:eastAsia="仿宋_GB2312"/>
          <w:b/>
          <w:szCs w:val="24"/>
          <w:highlight w:val="none"/>
        </w:rPr>
        <w:t>合同及履约验收</w:t>
      </w:r>
    </w:p>
    <w:p w14:paraId="2F185C5B">
      <w:pPr>
        <w:pStyle w:val="396"/>
        <w:numPr>
          <w:ilvl w:val="1"/>
          <w:numId w:val="13"/>
        </w:numPr>
        <w:spacing w:before="0"/>
        <w:ind w:left="10" w:leftChars="0" w:firstLine="387" w:firstLineChars="0"/>
        <w:rPr>
          <w:rFonts w:hint="eastAsia" w:ascii="仿宋_GB2312" w:hAnsi="仿宋" w:eastAsia="仿宋_GB2312"/>
          <w:szCs w:val="24"/>
          <w:highlight w:val="none"/>
        </w:rPr>
      </w:pPr>
      <w:r>
        <w:rPr>
          <w:rFonts w:hint="eastAsia" w:ascii="仿宋_GB2312" w:hAnsi="仿宋" w:eastAsia="仿宋_GB2312"/>
          <w:szCs w:val="24"/>
          <w:highlight w:val="none"/>
        </w:rPr>
        <w:t>采购人与</w:t>
      </w:r>
      <w:r>
        <w:rPr>
          <w:rFonts w:hint="eastAsia" w:ascii="仿宋_GB2312" w:hAnsi="仿宋" w:eastAsia="仿宋_GB2312"/>
          <w:szCs w:val="24"/>
          <w:highlight w:val="none"/>
          <w:lang w:eastAsia="zh-CN"/>
        </w:rPr>
        <w:t>成交供应商</w:t>
      </w:r>
      <w:r>
        <w:rPr>
          <w:rFonts w:hint="eastAsia" w:ascii="仿宋_GB2312" w:hAnsi="仿宋" w:eastAsia="仿宋_GB2312"/>
          <w:szCs w:val="24"/>
          <w:highlight w:val="none"/>
        </w:rPr>
        <w:t>应当通过电子交易平台在</w:t>
      </w:r>
      <w:r>
        <w:rPr>
          <w:rFonts w:hint="eastAsia" w:ascii="仿宋_GB2312" w:hAnsi="仿宋" w:eastAsia="仿宋_GB2312"/>
          <w:szCs w:val="24"/>
          <w:highlight w:val="none"/>
          <w:lang w:eastAsia="zh-CN"/>
        </w:rPr>
        <w:t>成交</w:t>
      </w:r>
      <w:r>
        <w:rPr>
          <w:rFonts w:hint="eastAsia" w:ascii="仿宋_GB2312" w:hAnsi="仿宋" w:eastAsia="仿宋_GB2312"/>
          <w:szCs w:val="24"/>
          <w:highlight w:val="none"/>
        </w:rPr>
        <w:t>通知书发出之日起三十日内，按照</w:t>
      </w:r>
      <w:r>
        <w:rPr>
          <w:rFonts w:hint="eastAsia" w:ascii="仿宋_GB2312" w:hAnsi="仿宋" w:eastAsia="仿宋_GB2312"/>
          <w:szCs w:val="24"/>
          <w:highlight w:val="none"/>
          <w:lang w:eastAsia="zh-CN"/>
        </w:rPr>
        <w:t>磋商</w:t>
      </w:r>
      <w:r>
        <w:rPr>
          <w:rFonts w:hint="eastAsia" w:ascii="仿宋_GB2312" w:hAnsi="仿宋" w:eastAsia="仿宋_GB2312"/>
          <w:szCs w:val="24"/>
          <w:highlight w:val="none"/>
        </w:rPr>
        <w:t>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w:t>
      </w:r>
      <w:r>
        <w:rPr>
          <w:rFonts w:hint="eastAsia" w:ascii="仿宋_GB2312" w:hAnsi="仿宋" w:eastAsia="仿宋_GB2312"/>
          <w:szCs w:val="24"/>
          <w:highlight w:val="none"/>
          <w:lang w:eastAsia="zh-CN"/>
        </w:rPr>
        <w:t>成交</w:t>
      </w:r>
      <w:r>
        <w:rPr>
          <w:rFonts w:hint="eastAsia" w:ascii="仿宋_GB2312" w:hAnsi="仿宋" w:eastAsia="仿宋_GB2312"/>
          <w:szCs w:val="24"/>
          <w:highlight w:val="none"/>
        </w:rPr>
        <w:t>通知书发出之日起10个工作日内，与</w:t>
      </w:r>
      <w:r>
        <w:rPr>
          <w:rFonts w:hint="eastAsia" w:ascii="仿宋_GB2312" w:hAnsi="仿宋" w:eastAsia="仿宋_GB2312"/>
          <w:szCs w:val="24"/>
          <w:highlight w:val="none"/>
          <w:lang w:eastAsia="zh-CN"/>
        </w:rPr>
        <w:t>成交</w:t>
      </w:r>
      <w:r>
        <w:rPr>
          <w:rFonts w:hint="eastAsia" w:ascii="仿宋_GB2312" w:hAnsi="仿宋" w:eastAsia="仿宋_GB2312"/>
          <w:szCs w:val="24"/>
          <w:highlight w:val="none"/>
        </w:rPr>
        <w:t>供应商按照</w:t>
      </w:r>
      <w:r>
        <w:rPr>
          <w:rFonts w:hint="eastAsia" w:ascii="仿宋_GB2312" w:hAnsi="仿宋" w:eastAsia="仿宋_GB2312"/>
          <w:szCs w:val="24"/>
          <w:highlight w:val="none"/>
          <w:lang w:eastAsia="zh-CN"/>
        </w:rPr>
        <w:t>磋商</w:t>
      </w:r>
      <w:r>
        <w:rPr>
          <w:rFonts w:hint="eastAsia" w:ascii="仿宋_GB2312" w:hAnsi="仿宋" w:eastAsia="仿宋_GB2312"/>
          <w:szCs w:val="24"/>
          <w:highlight w:val="none"/>
        </w:rPr>
        <w:t>文件确定的事项签订政府采购合同。</w:t>
      </w:r>
    </w:p>
    <w:p w14:paraId="1DA4825D">
      <w:pPr>
        <w:pStyle w:val="396"/>
        <w:numPr>
          <w:ilvl w:val="1"/>
          <w:numId w:val="13"/>
        </w:numPr>
        <w:spacing w:before="0"/>
        <w:ind w:left="10" w:leftChars="0" w:firstLine="387" w:firstLineChars="0"/>
        <w:rPr>
          <w:rFonts w:ascii="仿宋_GB2312" w:hAnsi="仿宋" w:eastAsia="仿宋_GB2312"/>
          <w:color w:val="auto"/>
          <w:szCs w:val="24"/>
          <w:highlight w:val="none"/>
        </w:rPr>
      </w:pPr>
      <w:r>
        <w:rPr>
          <w:rFonts w:hint="eastAsia" w:ascii="仿宋_GB2312" w:hAnsi="仿宋" w:eastAsia="仿宋_GB2312"/>
          <w:szCs w:val="24"/>
          <w:highlight w:val="none"/>
        </w:rPr>
        <w:t>成交供应商缴纳履约保证金（</w:t>
      </w:r>
      <w:r>
        <w:rPr>
          <w:rFonts w:hint="eastAsia" w:ascii="仿宋_GB2312" w:hAnsi="仿宋" w:eastAsia="仿宋_GB2312" w:cs="Helvetica"/>
          <w:kern w:val="0"/>
          <w:highlight w:val="none"/>
        </w:rPr>
        <w:t>拟签订的合同文本要求成交供应商提交履约保证金的，供应商应当以支票、汇票、本票或者金融机构、担保机构出具的保函等非现金形式提交</w:t>
      </w:r>
      <w:r>
        <w:rPr>
          <w:rFonts w:hint="eastAsia" w:ascii="仿宋_GB2312" w:hAnsi="仿宋" w:eastAsia="仿宋_GB2312"/>
          <w:highlight w:val="none"/>
        </w:rPr>
        <w:t>。履约保证</w:t>
      </w:r>
      <w:r>
        <w:rPr>
          <w:rFonts w:hint="eastAsia" w:ascii="仿宋_GB2312" w:hAnsi="仿宋" w:eastAsia="仿宋_GB2312"/>
          <w:color w:val="auto"/>
          <w:highlight w:val="none"/>
        </w:rPr>
        <w:t>金的数额不得超过政府采购合同金额的</w:t>
      </w:r>
      <w:r>
        <w:rPr>
          <w:rFonts w:hint="eastAsia" w:ascii="仿宋_GB2312" w:hAnsi="仿宋" w:eastAsia="仿宋_GB2312"/>
          <w:color w:val="auto"/>
          <w:highlight w:val="none"/>
          <w:lang w:val="en-US" w:eastAsia="zh-CN"/>
        </w:rPr>
        <w:t>1.0</w:t>
      </w:r>
      <w:r>
        <w:rPr>
          <w:rFonts w:hint="eastAsia" w:ascii="仿宋_GB2312" w:hAnsi="仿宋" w:eastAsia="仿宋_GB2312"/>
          <w:color w:val="auto"/>
          <w:highlight w:val="none"/>
        </w:rPr>
        <w:t>%。鼓励和支持供应商以银行、保险公司出具的保函形式提供履约保证金。</w:t>
      </w:r>
      <w:r>
        <w:rPr>
          <w:rFonts w:hint="eastAsia" w:ascii="仿宋_GB2312" w:hAnsi="仿宋" w:eastAsia="仿宋_GB2312"/>
          <w:b/>
          <w:color w:val="auto"/>
          <w:highlight w:val="none"/>
        </w:rPr>
        <w:t>采购人不得拒收履约保函</w:t>
      </w:r>
      <w:r>
        <w:rPr>
          <w:rFonts w:hint="eastAsia" w:ascii="仿宋_GB2312" w:hAnsi="仿宋" w:eastAsia="仿宋_GB2312"/>
          <w:color w:val="auto"/>
          <w:szCs w:val="24"/>
          <w:highlight w:val="none"/>
          <w:lang w:eastAsia="zh-CN"/>
        </w:rPr>
        <w:t>，项目验收结束后应及时退还，延迟退还的，应当按照合同约定和法律规定承担相应的赔偿责任。</w:t>
      </w:r>
    </w:p>
    <w:p w14:paraId="55C3074E">
      <w:pPr>
        <w:pStyle w:val="396"/>
        <w:numPr>
          <w:ilvl w:val="1"/>
          <w:numId w:val="13"/>
        </w:numPr>
        <w:spacing w:before="0"/>
        <w:ind w:left="10" w:leftChars="0" w:firstLine="387" w:firstLineChars="0"/>
        <w:rPr>
          <w:rFonts w:hint="eastAsia" w:ascii="仿宋_GB2312" w:hAnsi="仿宋" w:eastAsia="仿宋_GB2312"/>
          <w:color w:val="auto"/>
          <w:szCs w:val="24"/>
          <w:highlight w:val="none"/>
          <w:lang w:val="zh-CN" w:eastAsia="zh-CN"/>
        </w:rPr>
      </w:pPr>
      <w:r>
        <w:rPr>
          <w:rFonts w:hint="eastAsia" w:ascii="仿宋_GB2312" w:hAnsi="仿宋" w:eastAsia="仿宋_GB2312"/>
          <w:color w:val="auto"/>
          <w:szCs w:val="24"/>
          <w:highlight w:val="none"/>
          <w:lang w:val="zh-CN" w:eastAsia="zh-CN"/>
        </w:rPr>
        <w:t>供应商</w:t>
      </w:r>
      <w:r>
        <w:rPr>
          <w:rFonts w:hint="eastAsia" w:ascii="仿宋_GB2312" w:hAnsi="仿宋" w:eastAsia="仿宋_GB2312"/>
          <w:color w:val="auto"/>
          <w:szCs w:val="24"/>
          <w:highlight w:val="none"/>
          <w:lang w:val="en-US" w:eastAsia="zh-CN"/>
        </w:rPr>
        <w:t>可</w:t>
      </w:r>
      <w:r>
        <w:rPr>
          <w:rFonts w:hint="eastAsia" w:ascii="仿宋_GB2312" w:hAnsi="仿宋" w:eastAsia="仿宋_GB2312"/>
          <w:color w:val="auto"/>
          <w:szCs w:val="24"/>
          <w:highlight w:val="none"/>
          <w:lang w:val="zh-CN" w:eastAsia="zh-CN"/>
        </w:rPr>
        <w:t>登录政采云平台-【金融服务】—【我的项目】—【已备案合同】以保函形式提供：</w:t>
      </w:r>
    </w:p>
    <w:p w14:paraId="00D3000A">
      <w:pPr>
        <w:keepNext w:val="0"/>
        <w:keepLines w:val="0"/>
        <w:pageBreakBefore w:val="0"/>
        <w:widowControl w:val="0"/>
        <w:numPr>
          <w:ilvl w:val="2"/>
          <w:numId w:val="14"/>
        </w:numPr>
        <w:tabs>
          <w:tab w:val="left" w:pos="210"/>
        </w:tabs>
        <w:kinsoku/>
        <w:wordWrap/>
        <w:overflowPunct/>
        <w:topLinePunct w:val="0"/>
        <w:autoSpaceDE/>
        <w:autoSpaceDN/>
        <w:bidi w:val="0"/>
        <w:adjustRightInd w:val="0"/>
        <w:snapToGrid w:val="0"/>
        <w:spacing w:line="360" w:lineRule="auto"/>
        <w:ind w:left="850" w:leftChars="0" w:hanging="431" w:firstLineChars="0"/>
        <w:jc w:val="left"/>
        <w:textAlignment w:val="auto"/>
        <w:outlineLvl w:val="9"/>
        <w:rPr>
          <w:rFonts w:hint="eastAsia" w:ascii="仿宋_GB2312" w:hAnsi="仿宋" w:eastAsia="仿宋_GB2312"/>
          <w:b w:val="0"/>
          <w:bCs/>
          <w:sz w:val="24"/>
          <w:highlight w:val="none"/>
          <w:lang w:val="zh-CN" w:eastAsia="zh-CN"/>
        </w:rPr>
      </w:pPr>
      <w:r>
        <w:rPr>
          <w:rFonts w:hint="eastAsia" w:ascii="仿宋_GB2312" w:hAnsi="仿宋" w:eastAsia="仿宋_GB2312"/>
          <w:b w:val="0"/>
          <w:bCs/>
          <w:sz w:val="24"/>
          <w:highlight w:val="none"/>
          <w:lang w:val="zh-CN" w:eastAsia="zh-CN"/>
        </w:rPr>
        <w:t>供应商在合同列表选择需要投保的合同，点击【保函推荐】。</w:t>
      </w:r>
    </w:p>
    <w:p w14:paraId="07CEA801">
      <w:pPr>
        <w:keepNext w:val="0"/>
        <w:keepLines w:val="0"/>
        <w:pageBreakBefore w:val="0"/>
        <w:widowControl w:val="0"/>
        <w:numPr>
          <w:ilvl w:val="2"/>
          <w:numId w:val="14"/>
        </w:numPr>
        <w:tabs>
          <w:tab w:val="left" w:pos="210"/>
        </w:tabs>
        <w:kinsoku/>
        <w:wordWrap/>
        <w:overflowPunct/>
        <w:topLinePunct w:val="0"/>
        <w:autoSpaceDE/>
        <w:autoSpaceDN/>
        <w:bidi w:val="0"/>
        <w:adjustRightInd w:val="0"/>
        <w:snapToGrid w:val="0"/>
        <w:spacing w:line="360" w:lineRule="auto"/>
        <w:ind w:left="850" w:leftChars="0" w:hanging="431" w:firstLineChars="0"/>
        <w:jc w:val="left"/>
        <w:textAlignment w:val="auto"/>
        <w:outlineLvl w:val="9"/>
        <w:rPr>
          <w:rFonts w:hint="eastAsia" w:ascii="仿宋_GB2312" w:hAnsi="仿宋" w:eastAsia="仿宋_GB2312"/>
          <w:b w:val="0"/>
          <w:bCs/>
          <w:sz w:val="24"/>
          <w:highlight w:val="none"/>
          <w:lang w:val="en-US" w:eastAsia="zh-CN"/>
        </w:rPr>
      </w:pPr>
      <w:r>
        <w:rPr>
          <w:rFonts w:hint="eastAsia" w:ascii="仿宋_GB2312" w:hAnsi="仿宋" w:eastAsia="仿宋_GB2312"/>
          <w:b w:val="0"/>
          <w:bCs/>
          <w:sz w:val="24"/>
          <w:highlight w:val="none"/>
          <w:lang w:val="zh-CN" w:eastAsia="zh-CN"/>
        </w:rPr>
        <w:t>在弹框里查看推荐的保函产品，供应商自行选择保函产品，点击【立即申请】。</w:t>
      </w:r>
    </w:p>
    <w:p w14:paraId="4E0EC91C">
      <w:pPr>
        <w:pStyle w:val="396"/>
        <w:numPr>
          <w:ilvl w:val="1"/>
          <w:numId w:val="13"/>
        </w:numPr>
        <w:spacing w:before="0"/>
        <w:ind w:left="10" w:leftChars="0" w:firstLine="387" w:firstLineChars="0"/>
        <w:rPr>
          <w:rFonts w:hint="eastAsia" w:ascii="仿宋_GB2312" w:hAnsi="仿宋" w:eastAsia="仿宋_GB2312"/>
          <w:szCs w:val="24"/>
          <w:highlight w:val="none"/>
          <w:lang w:val="en-US" w:eastAsia="zh-CN"/>
        </w:rPr>
      </w:pPr>
      <w:r>
        <w:rPr>
          <w:rFonts w:hint="eastAsia" w:ascii="仿宋_GB2312" w:hAnsi="仿宋" w:eastAsia="仿宋_GB2312"/>
          <w:szCs w:val="24"/>
          <w:highlight w:val="none"/>
          <w:lang w:val="zh-CN" w:eastAsia="zh-CN"/>
        </w:rPr>
        <w:t>在弹框里填写保函申请信息。具体步骤：选择产品—填写供应商信息—选择成交项目—确认信息—等待保险/保函受理—确认保单—支付保费—成功出单。政采云金融专线95763。</w:t>
      </w:r>
    </w:p>
    <w:p w14:paraId="3B36E114">
      <w:pPr>
        <w:pStyle w:val="396"/>
        <w:numPr>
          <w:ilvl w:val="1"/>
          <w:numId w:val="13"/>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szCs w:val="24"/>
          <w:highlight w:val="none"/>
        </w:rPr>
        <w:t>合同履约。</w:t>
      </w:r>
    </w:p>
    <w:p w14:paraId="77B09497">
      <w:pPr>
        <w:pStyle w:val="396"/>
        <w:numPr>
          <w:ilvl w:val="1"/>
          <w:numId w:val="13"/>
        </w:numPr>
        <w:spacing w:before="0"/>
        <w:ind w:left="10" w:leftChars="0" w:firstLine="387" w:firstLineChars="0"/>
        <w:rPr>
          <w:rFonts w:ascii="仿宋_GB2312" w:hAnsi="仿宋" w:eastAsia="仿宋_GB2312"/>
          <w:szCs w:val="24"/>
          <w:highlight w:val="none"/>
        </w:rPr>
      </w:pPr>
      <w:r>
        <w:rPr>
          <w:rFonts w:hint="eastAsia" w:ascii="仿宋_GB2312" w:hAnsi="仿宋" w:eastAsia="仿宋_GB2312"/>
          <w:szCs w:val="24"/>
          <w:highlight w:val="none"/>
        </w:rPr>
        <w:t>采购人组织验收。</w:t>
      </w:r>
    </w:p>
    <w:p w14:paraId="0D53BA59">
      <w:pPr>
        <w:pStyle w:val="396"/>
        <w:numPr>
          <w:ilvl w:val="0"/>
          <w:numId w:val="7"/>
        </w:numPr>
        <w:tabs>
          <w:tab w:val="left" w:pos="210"/>
          <w:tab w:val="left" w:pos="420"/>
        </w:tabs>
        <w:spacing w:before="0"/>
        <w:ind w:left="340" w:leftChars="0" w:hanging="340" w:firstLineChars="0"/>
        <w:rPr>
          <w:rFonts w:hint="eastAsia" w:ascii="仿宋_GB2312" w:hAnsi="仿宋" w:eastAsia="仿宋_GB2312"/>
          <w:b/>
          <w:szCs w:val="24"/>
          <w:highlight w:val="none"/>
        </w:rPr>
      </w:pPr>
      <w:r>
        <w:rPr>
          <w:rFonts w:hint="eastAsia" w:ascii="仿宋_GB2312" w:hAnsi="仿宋" w:eastAsia="仿宋_GB2312"/>
          <w:b/>
          <w:szCs w:val="24"/>
          <w:highlight w:val="none"/>
        </w:rPr>
        <w:t>竞争性磋商流程图</w:t>
      </w:r>
    </w:p>
    <w:p w14:paraId="2DF6139F">
      <w:pPr>
        <w:jc w:val="center"/>
        <w:rPr>
          <w:rFonts w:ascii="仿宋" w:hAnsi="仿宋" w:eastAsia="仿宋" w:cs="仿宋"/>
          <w:b/>
          <w:color w:val="auto"/>
          <w:highlight w:val="none"/>
        </w:rPr>
      </w:pPr>
      <w:r>
        <w:rPr>
          <w:rFonts w:ascii="仿宋_GB2312" w:hAnsi="仿宋" w:eastAsia="仿宋_GB2312"/>
          <w:b/>
          <w:highlight w:val="none"/>
        </w:rPr>
        <w:drawing>
          <wp:inline distT="0" distB="0" distL="114300" distR="114300">
            <wp:extent cx="5758180" cy="2297430"/>
            <wp:effectExtent l="0" t="0" r="13970" b="7620"/>
            <wp:docPr id="11" name="ECB019B1-382A-4266-B25C-5B523AA43C14-1" descr="C:/Users/Administrator/AppData/Local/Temp/wps.MhaujC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ECB019B1-382A-4266-B25C-5B523AA43C14-1" descr="C:/Users/Administrator/AppData/Local/Temp/wps.MhaujCwps"/>
                    <pic:cNvPicPr>
                      <a:picLocks noChangeAspect="1"/>
                    </pic:cNvPicPr>
                  </pic:nvPicPr>
                  <pic:blipFill>
                    <a:blip r:embed="rId17"/>
                    <a:stretch>
                      <a:fillRect/>
                    </a:stretch>
                  </pic:blipFill>
                  <pic:spPr>
                    <a:xfrm>
                      <a:off x="0" y="0"/>
                      <a:ext cx="5758180" cy="2297430"/>
                    </a:xfrm>
                    <a:prstGeom prst="rect">
                      <a:avLst/>
                    </a:prstGeom>
                  </pic:spPr>
                </pic:pic>
              </a:graphicData>
            </a:graphic>
          </wp:inline>
        </w:drawing>
      </w:r>
      <w:r>
        <w:rPr>
          <w:rFonts w:hint="eastAsia" w:ascii="仿宋" w:hAnsi="仿宋" w:eastAsia="仿宋" w:cs="仿宋"/>
          <w:b/>
          <w:color w:val="auto"/>
          <w:highlight w:val="none"/>
        </w:rPr>
        <w:br w:type="page"/>
      </w:r>
    </w:p>
    <w:p w14:paraId="6014CB5A">
      <w:pPr>
        <w:adjustRightInd/>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第三部分</w:t>
      </w:r>
      <w:bookmarkEnd w:id="7"/>
      <w:r>
        <w:rPr>
          <w:rFonts w:hint="eastAsia" w:ascii="仿宋" w:hAnsi="仿宋" w:eastAsia="仿宋" w:cs="仿宋"/>
          <w:b/>
          <w:color w:val="auto"/>
          <w:sz w:val="36"/>
          <w:szCs w:val="20"/>
          <w:highlight w:val="none"/>
        </w:rPr>
        <w:t xml:space="preserve">  供应商须知</w:t>
      </w:r>
      <w:bookmarkEnd w:id="8"/>
    </w:p>
    <w:p w14:paraId="036BE4C4">
      <w:pPr>
        <w:adjustRightInd/>
        <w:spacing w:line="360" w:lineRule="auto"/>
        <w:jc w:val="center"/>
        <w:outlineLvl w:val="1"/>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一、前附表</w:t>
      </w:r>
    </w:p>
    <w:tbl>
      <w:tblPr>
        <w:tblStyle w:val="60"/>
        <w:tblW w:w="855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2067"/>
        <w:gridCol w:w="5855"/>
      </w:tblGrid>
      <w:tr w14:paraId="42692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7" w:hRule="atLeast"/>
          <w:tblHeader/>
        </w:trPr>
        <w:tc>
          <w:tcPr>
            <w:tcW w:w="629" w:type="dxa"/>
            <w:vAlign w:val="center"/>
          </w:tcPr>
          <w:p w14:paraId="10D41007">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067" w:type="dxa"/>
            <w:vAlign w:val="center"/>
          </w:tcPr>
          <w:p w14:paraId="39207CDC">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5855" w:type="dxa"/>
            <w:vAlign w:val="center"/>
          </w:tcPr>
          <w:p w14:paraId="23B9378C">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3420E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85" w:hRule="atLeast"/>
        </w:trPr>
        <w:tc>
          <w:tcPr>
            <w:tcW w:w="629" w:type="dxa"/>
            <w:vAlign w:val="center"/>
          </w:tcPr>
          <w:p w14:paraId="11C78975">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Align w:val="center"/>
          </w:tcPr>
          <w:p w14:paraId="79E3F2F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ascii="仿宋" w:hAnsi="仿宋" w:eastAsia="仿宋" w:cs="仿宋"/>
                <w:b/>
                <w:color w:val="auto"/>
                <w:sz w:val="24"/>
                <w:highlight w:val="none"/>
              </w:rPr>
            </w:pPr>
            <w:r>
              <w:rPr>
                <w:rFonts w:hint="eastAsia" w:ascii="仿宋_GB2312" w:hAnsi="仿宋" w:eastAsia="仿宋_GB2312" w:cs="仿宋_GB2312"/>
                <w:b/>
                <w:color w:val="auto"/>
                <w:sz w:val="24"/>
                <w:highlight w:val="none"/>
              </w:rPr>
              <w:t>项目属性</w:t>
            </w:r>
          </w:p>
        </w:tc>
        <w:tc>
          <w:tcPr>
            <w:tcW w:w="5855" w:type="dxa"/>
            <w:vAlign w:val="center"/>
          </w:tcPr>
          <w:p w14:paraId="106AC8DC">
            <w:pPr>
              <w:pStyle w:val="32"/>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rPr>
                <w:rFonts w:ascii="仿宋" w:hAnsi="仿宋" w:eastAsia="仿宋" w:cs="仿宋"/>
                <w:color w:val="auto"/>
                <w:sz w:val="24"/>
                <w:highlight w:val="none"/>
              </w:rPr>
            </w:pPr>
            <w:r>
              <w:rPr>
                <w:rFonts w:hint="eastAsia" w:ascii="仿宋_GB2312" w:hAnsi="仿宋" w:eastAsia="仿宋_GB2312"/>
                <w:color w:val="auto"/>
                <w:sz w:val="24"/>
                <w:highlight w:val="none"/>
                <w:lang w:val="en-US" w:eastAsia="zh-CN"/>
              </w:rPr>
              <w:t>服务类</w:t>
            </w:r>
          </w:p>
        </w:tc>
      </w:tr>
      <w:tr w14:paraId="66FEF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598" w:hRule="atLeast"/>
        </w:trPr>
        <w:tc>
          <w:tcPr>
            <w:tcW w:w="629" w:type="dxa"/>
            <w:vAlign w:val="center"/>
          </w:tcPr>
          <w:p w14:paraId="651B86C2">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Align w:val="center"/>
          </w:tcPr>
          <w:p w14:paraId="444E9D98">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采购标的对应的中小企业划分标准所属行业</w:t>
            </w:r>
          </w:p>
        </w:tc>
        <w:tc>
          <w:tcPr>
            <w:tcW w:w="5855" w:type="dxa"/>
            <w:vAlign w:val="center"/>
          </w:tcPr>
          <w:p w14:paraId="53F71F67">
            <w:pPr>
              <w:pStyle w:val="32"/>
              <w:snapToGrid w:val="0"/>
              <w:spacing w:line="400" w:lineRule="exact"/>
              <w:rPr>
                <w:rFonts w:hint="eastAsia" w:ascii="仿宋_GB2312" w:hAnsi="仿宋" w:eastAsia="仿宋_GB2312" w:cs="Arial"/>
                <w:color w:val="auto"/>
                <w:kern w:val="0"/>
                <w:sz w:val="24"/>
                <w:highlight w:val="none"/>
                <w:u w:val="none"/>
                <w:lang w:eastAsia="zh-CN"/>
              </w:rPr>
            </w:pPr>
            <w:r>
              <w:rPr>
                <w:rFonts w:hint="eastAsia" w:ascii="仿宋_GB2312" w:hAnsi="仿宋" w:eastAsia="仿宋_GB2312" w:cs="Arial"/>
                <w:color w:val="auto"/>
                <w:kern w:val="0"/>
                <w:sz w:val="24"/>
                <w:highlight w:val="none"/>
                <w:u w:val="none"/>
                <w:lang w:eastAsia="zh-CN"/>
              </w:rPr>
              <w:t>（</w:t>
            </w:r>
            <w:r>
              <w:rPr>
                <w:rFonts w:hint="eastAsia" w:ascii="仿宋_GB2312" w:hAnsi="仿宋" w:eastAsia="仿宋_GB2312" w:cs="Arial"/>
                <w:color w:val="auto"/>
                <w:kern w:val="0"/>
                <w:sz w:val="24"/>
                <w:highlight w:val="none"/>
                <w:u w:val="none"/>
                <w:lang w:val="en-US" w:eastAsia="zh-CN"/>
              </w:rPr>
              <w:t>1</w:t>
            </w:r>
            <w:r>
              <w:rPr>
                <w:rFonts w:hint="eastAsia" w:ascii="仿宋_GB2312" w:hAnsi="仿宋" w:eastAsia="仿宋_GB2312" w:cs="Arial"/>
                <w:color w:val="auto"/>
                <w:kern w:val="0"/>
                <w:sz w:val="24"/>
                <w:highlight w:val="none"/>
                <w:u w:val="none"/>
                <w:lang w:eastAsia="zh-CN"/>
              </w:rPr>
              <w:t>）</w:t>
            </w:r>
            <w:r>
              <w:rPr>
                <w:rFonts w:hint="eastAsia" w:ascii="仿宋_GB2312" w:hAnsi="仿宋" w:eastAsia="仿宋_GB2312" w:cs="Arial"/>
                <w:color w:val="auto"/>
                <w:kern w:val="0"/>
                <w:sz w:val="24"/>
                <w:highlight w:val="none"/>
                <w:u w:val="none"/>
                <w:lang w:val="en-US" w:eastAsia="zh-CN"/>
              </w:rPr>
              <w:t>各标项</w:t>
            </w:r>
            <w:r>
              <w:rPr>
                <w:rFonts w:hint="eastAsia" w:ascii="仿宋_GB2312" w:hAnsi="仿宋" w:eastAsia="仿宋_GB2312" w:cs="Arial"/>
                <w:color w:val="auto"/>
                <w:kern w:val="0"/>
                <w:sz w:val="24"/>
                <w:highlight w:val="none"/>
                <w:u w:val="none"/>
              </w:rPr>
              <w:t>采购标的</w:t>
            </w:r>
            <w:r>
              <w:rPr>
                <w:rFonts w:hint="eastAsia" w:ascii="仿宋_GB2312" w:hAnsi="仿宋" w:eastAsia="仿宋_GB2312" w:cs="Arial"/>
                <w:color w:val="auto"/>
                <w:kern w:val="0"/>
                <w:sz w:val="24"/>
                <w:highlight w:val="none"/>
                <w:u w:val="none"/>
                <w:lang w:val="en-US" w:eastAsia="zh-CN"/>
              </w:rPr>
              <w:t>均为</w:t>
            </w:r>
            <w:r>
              <w:rPr>
                <w:rFonts w:hint="eastAsia" w:ascii="仿宋_GB2312" w:hAnsi="仿宋" w:eastAsia="仿宋_GB2312" w:cs="Arial"/>
                <w:color w:val="auto"/>
                <w:kern w:val="0"/>
                <w:sz w:val="24"/>
                <w:highlight w:val="none"/>
                <w:u w:val="none"/>
              </w:rPr>
              <w:t>：</w:t>
            </w:r>
            <w:r>
              <w:rPr>
                <w:rFonts w:hint="eastAsia" w:ascii="仿宋_GB2312" w:hAnsi="仿宋" w:eastAsia="仿宋_GB2312" w:cs="Arial"/>
                <w:b/>
                <w:bCs/>
                <w:color w:val="auto"/>
                <w:kern w:val="0"/>
                <w:sz w:val="24"/>
                <w:highlight w:val="none"/>
                <w:u w:val="single"/>
                <w:lang w:val="en-US" w:eastAsia="zh-CN"/>
              </w:rPr>
              <w:t>杭州市上城区人民政府复议应诉类法律服务</w:t>
            </w:r>
            <w:r>
              <w:rPr>
                <w:rFonts w:hint="eastAsia" w:ascii="仿宋_GB2312" w:hAnsi="仿宋" w:eastAsia="仿宋_GB2312" w:cs="Arial"/>
                <w:color w:val="auto"/>
                <w:kern w:val="0"/>
                <w:sz w:val="24"/>
                <w:highlight w:val="none"/>
                <w:u w:val="none"/>
                <w:lang w:val="en-US" w:eastAsia="zh-CN"/>
              </w:rPr>
              <w:t>；</w:t>
            </w:r>
            <w:r>
              <w:rPr>
                <w:rFonts w:hint="eastAsia" w:ascii="仿宋_GB2312" w:hAnsi="仿宋" w:eastAsia="仿宋_GB2312" w:cs="Arial"/>
                <w:color w:val="auto"/>
                <w:kern w:val="0"/>
                <w:sz w:val="24"/>
                <w:highlight w:val="none"/>
                <w:u w:val="none"/>
              </w:rPr>
              <w:t>所属行业</w:t>
            </w:r>
            <w:r>
              <w:rPr>
                <w:rFonts w:hint="eastAsia" w:ascii="仿宋_GB2312" w:hAnsi="仿宋" w:eastAsia="仿宋_GB2312" w:cs="Arial"/>
                <w:color w:val="auto"/>
                <w:kern w:val="0"/>
                <w:sz w:val="24"/>
                <w:highlight w:val="none"/>
                <w:u w:val="none"/>
                <w:lang w:val="en-US" w:eastAsia="zh-CN"/>
              </w:rPr>
              <w:t>均为</w:t>
            </w:r>
            <w:r>
              <w:rPr>
                <w:rFonts w:hint="eastAsia" w:ascii="仿宋_GB2312" w:hAnsi="仿宋" w:eastAsia="仿宋_GB2312" w:cs="Arial"/>
                <w:color w:val="auto"/>
                <w:kern w:val="0"/>
                <w:sz w:val="24"/>
                <w:highlight w:val="none"/>
                <w:u w:val="none"/>
              </w:rPr>
              <w:t>：</w:t>
            </w:r>
            <w:r>
              <w:rPr>
                <w:rFonts w:hint="eastAsia" w:ascii="仿宋_GB2312" w:hAnsi="仿宋" w:eastAsia="仿宋_GB2312" w:cs="Arial"/>
                <w:b/>
                <w:bCs/>
                <w:color w:val="auto"/>
                <w:kern w:val="0"/>
                <w:sz w:val="24"/>
                <w:highlight w:val="none"/>
                <w:u w:val="single"/>
                <w:lang w:val="en-US" w:eastAsia="zh-CN"/>
              </w:rPr>
              <w:t>其他未列明行业</w:t>
            </w:r>
            <w:r>
              <w:rPr>
                <w:rFonts w:hint="eastAsia" w:ascii="仿宋_GB2312" w:hAnsi="仿宋" w:eastAsia="仿宋_GB2312" w:cs="Arial"/>
                <w:color w:val="auto"/>
                <w:kern w:val="0"/>
                <w:sz w:val="24"/>
                <w:highlight w:val="none"/>
                <w:u w:val="none"/>
                <w:lang w:eastAsia="zh-CN"/>
              </w:rPr>
              <w:t>。</w:t>
            </w:r>
          </w:p>
          <w:p w14:paraId="4A8D2034">
            <w:pPr>
              <w:pStyle w:val="32"/>
              <w:snapToGrid w:val="0"/>
              <w:spacing w:line="400" w:lineRule="exact"/>
              <w:rPr>
                <w:rFonts w:ascii="仿宋" w:hAnsi="仿宋" w:eastAsia="仿宋" w:cs="仿宋"/>
                <w:color w:val="auto"/>
                <w:sz w:val="24"/>
                <w:highlight w:val="none"/>
              </w:rPr>
            </w:pPr>
            <w:r>
              <w:rPr>
                <w:rFonts w:hint="eastAsia" w:ascii="仿宋_GB2312" w:hAnsi="仿宋" w:eastAsia="仿宋_GB2312" w:cs="Arial"/>
                <w:color w:val="auto"/>
                <w:kern w:val="0"/>
                <w:sz w:val="24"/>
                <w:highlight w:val="none"/>
                <w:u w:val="none"/>
                <w:lang w:eastAsia="zh-CN"/>
              </w:rPr>
              <w:t>（</w:t>
            </w:r>
            <w:r>
              <w:rPr>
                <w:rFonts w:hint="eastAsia" w:ascii="仿宋_GB2312" w:hAnsi="仿宋" w:eastAsia="仿宋_GB2312" w:cs="Arial"/>
                <w:color w:val="auto"/>
                <w:kern w:val="0"/>
                <w:sz w:val="24"/>
                <w:highlight w:val="none"/>
                <w:u w:val="none"/>
                <w:lang w:val="en-US" w:eastAsia="zh-CN"/>
              </w:rPr>
              <w:t>2</w:t>
            </w:r>
            <w:r>
              <w:rPr>
                <w:rFonts w:hint="eastAsia" w:ascii="仿宋_GB2312" w:hAnsi="仿宋" w:eastAsia="仿宋_GB2312" w:cs="Arial"/>
                <w:color w:val="auto"/>
                <w:kern w:val="0"/>
                <w:sz w:val="24"/>
                <w:highlight w:val="none"/>
                <w:u w:val="none"/>
                <w:lang w:eastAsia="zh-CN"/>
              </w:rPr>
              <w:t>）</w:t>
            </w:r>
            <w:r>
              <w:rPr>
                <w:rFonts w:hint="eastAsia" w:ascii="仿宋_GB2312" w:hAnsi="仿宋" w:eastAsia="仿宋_GB2312" w:cs="Arial"/>
                <w:b/>
                <w:bCs/>
                <w:color w:val="auto"/>
                <w:kern w:val="0"/>
                <w:sz w:val="24"/>
                <w:highlight w:val="none"/>
              </w:rPr>
              <w:t>其他未列明行业</w:t>
            </w:r>
            <w:r>
              <w:rPr>
                <w:rFonts w:hint="eastAsia" w:ascii="仿宋_GB2312" w:hAnsi="仿宋" w:eastAsia="仿宋_GB2312" w:cs="Arial"/>
                <w:b/>
                <w:bCs/>
                <w:color w:val="auto"/>
                <w:kern w:val="0"/>
                <w:sz w:val="24"/>
                <w:highlight w:val="none"/>
                <w:lang w:val="en-US" w:eastAsia="zh-CN"/>
              </w:rPr>
              <w:t>中</w:t>
            </w:r>
            <w:r>
              <w:rPr>
                <w:rFonts w:hint="eastAsia" w:ascii="仿宋_GB2312" w:hAnsi="仿宋" w:eastAsia="仿宋_GB2312" w:cs="Arial"/>
                <w:b/>
                <w:bCs/>
                <w:color w:val="auto"/>
                <w:kern w:val="0"/>
                <w:sz w:val="24"/>
                <w:highlight w:val="none"/>
                <w:lang w:eastAsia="zh-CN"/>
              </w:rPr>
              <w:t>，</w:t>
            </w:r>
            <w:r>
              <w:rPr>
                <w:rFonts w:hint="eastAsia" w:ascii="仿宋_GB2312" w:hAnsi="仿宋" w:eastAsia="仿宋_GB2312" w:cs="Arial"/>
                <w:b/>
                <w:bCs/>
                <w:color w:val="auto"/>
                <w:kern w:val="0"/>
                <w:sz w:val="24"/>
                <w:highlight w:val="none"/>
              </w:rPr>
              <w:t>从业人员300人以下的为中小微型企业。其中，从业人员100人及以上的为中型企业；从业人员10人及以上的为小型企业；从业人员10人以下的为微型企业</w:t>
            </w:r>
            <w:r>
              <w:rPr>
                <w:rFonts w:hint="eastAsia" w:ascii="仿宋_GB2312" w:hAnsi="仿宋" w:eastAsia="仿宋_GB2312" w:cs="Arial"/>
                <w:color w:val="auto"/>
                <w:kern w:val="0"/>
                <w:sz w:val="24"/>
                <w:highlight w:val="none"/>
                <w:u w:val="none"/>
                <w:lang w:val="en-US" w:eastAsia="zh-CN"/>
              </w:rPr>
              <w:t>。</w:t>
            </w:r>
          </w:p>
        </w:tc>
      </w:tr>
      <w:tr w14:paraId="5B84C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78" w:hRule="atLeast"/>
        </w:trPr>
        <w:tc>
          <w:tcPr>
            <w:tcW w:w="629" w:type="dxa"/>
            <w:vAlign w:val="center"/>
          </w:tcPr>
          <w:p w14:paraId="45BB2FB3">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Align w:val="center"/>
          </w:tcPr>
          <w:p w14:paraId="24EA99DE">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5855" w:type="dxa"/>
            <w:vAlign w:val="center"/>
          </w:tcPr>
          <w:p w14:paraId="2BB9D5E5">
            <w:pPr>
              <w:snapToGrid w:val="0"/>
              <w:spacing w:line="400" w:lineRule="exact"/>
              <w:rPr>
                <w:rFonts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82842570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ascii="Wingdings" w:hAnsi="Wingdings" w:eastAsia="仿宋" w:cs="仿宋"/>
                    <w:color w:val="auto"/>
                    <w:kern w:val="0"/>
                    <w:sz w:val="24"/>
                    <w:highlight w:val="none"/>
                  </w:rPr>
                  <w:t></w:t>
                </w:r>
              </w:sdtContent>
            </w:sdt>
            <w:r>
              <w:rPr>
                <w:rFonts w:hint="eastAsia" w:ascii="仿宋" w:hAnsi="仿宋" w:eastAsia="仿宋" w:cs="仿宋"/>
                <w:color w:val="auto"/>
                <w:kern w:val="0"/>
                <w:sz w:val="24"/>
                <w:highlight w:val="none"/>
              </w:rPr>
              <w:t>本项目不允许采购进口产品。</w:t>
            </w:r>
          </w:p>
          <w:p w14:paraId="385457A2">
            <w:pPr>
              <w:snapToGrid w:val="0"/>
              <w:spacing w:line="400" w:lineRule="exact"/>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5285282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1BE6C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78" w:hRule="atLeast"/>
        </w:trPr>
        <w:tc>
          <w:tcPr>
            <w:tcW w:w="629" w:type="dxa"/>
            <w:vAlign w:val="center"/>
          </w:tcPr>
          <w:p w14:paraId="32AAB959">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Align w:val="center"/>
          </w:tcPr>
          <w:p w14:paraId="1E1154ED">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5855" w:type="dxa"/>
            <w:vAlign w:val="center"/>
          </w:tcPr>
          <w:p w14:paraId="50CC3F44">
            <w:pPr>
              <w:snapToGrid w:val="0"/>
              <w:spacing w:line="400" w:lineRule="exact"/>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728692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MS Gothic"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5E62DFA9">
            <w:pPr>
              <w:keepNext w:val="0"/>
              <w:keepLines w:val="0"/>
              <w:pageBreakBefore w:val="0"/>
              <w:widowControl w:val="0"/>
              <w:kinsoku/>
              <w:wordWrap/>
              <w:overflowPunct/>
              <w:topLinePunct w:val="0"/>
              <w:autoSpaceDE/>
              <w:autoSpaceDN/>
              <w:bidi w:val="0"/>
              <w:spacing w:line="240" w:lineRule="auto"/>
              <w:textAlignment w:val="auto"/>
              <w:outlineLvl w:val="9"/>
              <w:rPr>
                <w:rFonts w:hint="eastAsia" w:ascii="仿宋_GB2312" w:hAnsi="仿宋" w:eastAsia="仿宋_GB2312"/>
                <w:color w:val="auto"/>
                <w:sz w:val="24"/>
                <w:highlight w:val="none"/>
              </w:rPr>
            </w:pPr>
            <w:r>
              <w:rPr>
                <w:rFonts w:hint="eastAsia" w:ascii="Wingdings" w:hAnsi="Wingdings" w:eastAsia="MS Gothic" w:cs="Arial"/>
                <w:color w:val="auto"/>
                <w:kern w:val="0"/>
                <w:sz w:val="24"/>
                <w:szCs w:val="24"/>
                <w:highlight w:val="none"/>
                <w:lang w:val="en-US" w:eastAsia="zh-CN" w:bidi="ar-SA"/>
              </w:rPr>
              <w:sym w:font="Wingdings" w:char="00FE"/>
            </w:r>
            <w:r>
              <w:rPr>
                <w:rFonts w:ascii="仿宋_GB2312" w:hAnsi="仿宋" w:eastAsia="仿宋_GB2312" w:cs="Arial"/>
                <w:color w:val="auto"/>
                <w:kern w:val="0"/>
                <w:sz w:val="24"/>
                <w:highlight w:val="none"/>
              </w:rPr>
              <w:t xml:space="preserve"> B</w:t>
            </w:r>
            <w:r>
              <w:rPr>
                <w:rFonts w:hint="eastAsia" w:ascii="仿宋_GB2312" w:hAnsi="仿宋" w:eastAsia="仿宋_GB2312"/>
                <w:color w:val="auto"/>
                <w:sz w:val="24"/>
                <w:highlight w:val="none"/>
              </w:rPr>
              <w:t>同意</w:t>
            </w:r>
            <w:r>
              <w:rPr>
                <w:rFonts w:hint="eastAsia" w:ascii="仿宋_GB2312" w:hAnsi="仿宋" w:eastAsia="仿宋_GB2312"/>
                <w:color w:val="auto"/>
                <w:sz w:val="24"/>
                <w:highlight w:val="none"/>
                <w:lang w:val="en-US" w:eastAsia="zh-CN"/>
              </w:rPr>
              <w:t>向小微企业合理分包</w:t>
            </w:r>
            <w:r>
              <w:rPr>
                <w:rFonts w:hint="eastAsia" w:ascii="仿宋_GB2312" w:hAnsi="仿宋" w:eastAsia="仿宋_GB2312"/>
                <w:color w:val="auto"/>
                <w:sz w:val="24"/>
                <w:highlight w:val="none"/>
              </w:rPr>
              <w:t>。</w:t>
            </w:r>
          </w:p>
          <w:p w14:paraId="5894A2E1">
            <w:pPr>
              <w:snapToGrid w:val="0"/>
              <w:spacing w:line="400" w:lineRule="exact"/>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127633135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MS Gothic"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tc>
      </w:tr>
      <w:tr w14:paraId="001A2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90" w:hRule="atLeast"/>
        </w:trPr>
        <w:tc>
          <w:tcPr>
            <w:tcW w:w="629" w:type="dxa"/>
            <w:vAlign w:val="center"/>
          </w:tcPr>
          <w:p w14:paraId="7D55DBC0">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Align w:val="center"/>
          </w:tcPr>
          <w:p w14:paraId="7A5D8F1C">
            <w:pPr>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响应文件开启前答疑会或现场考察</w:t>
            </w:r>
          </w:p>
        </w:tc>
        <w:tc>
          <w:tcPr>
            <w:tcW w:w="5855" w:type="dxa"/>
            <w:vAlign w:val="center"/>
          </w:tcPr>
          <w:p w14:paraId="5E8FD789">
            <w:pPr>
              <w:snapToGrid w:val="0"/>
              <w:spacing w:line="400" w:lineRule="exact"/>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212966419"/>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ascii="Wingdings" w:hAnsi="Wingdings" w:eastAsia="仿宋" w:cs="仿宋"/>
                    <w:color w:val="auto"/>
                    <w:kern w:val="0"/>
                    <w:sz w:val="24"/>
                    <w:highlight w:val="none"/>
                  </w:rPr>
                  <w:t></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64EAFB24">
            <w:pPr>
              <w:pStyle w:val="32"/>
              <w:snapToGrid w:val="0"/>
              <w:spacing w:line="400" w:lineRule="exact"/>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99980297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w:t>
            </w:r>
          </w:p>
        </w:tc>
      </w:tr>
      <w:tr w14:paraId="58803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70" w:hRule="atLeast"/>
        </w:trPr>
        <w:tc>
          <w:tcPr>
            <w:tcW w:w="629" w:type="dxa"/>
            <w:vAlign w:val="center"/>
          </w:tcPr>
          <w:p w14:paraId="13FA555C">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Align w:val="center"/>
          </w:tcPr>
          <w:p w14:paraId="6E4C134D">
            <w:pPr>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5855" w:type="dxa"/>
            <w:vAlign w:val="center"/>
          </w:tcPr>
          <w:p w14:paraId="78020C2F">
            <w:pPr>
              <w:snapToGrid w:val="0"/>
              <w:spacing w:line="400" w:lineRule="exact"/>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163994648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ascii="Wingdings" w:hAnsi="Wingdings" w:eastAsia="仿宋" w:cs="仿宋"/>
                    <w:color w:val="auto"/>
                    <w:kern w:val="0"/>
                    <w:sz w:val="24"/>
                    <w:highlight w:val="none"/>
                  </w:rPr>
                  <w:t></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62630602">
            <w:pPr>
              <w:snapToGrid w:val="0"/>
              <w:spacing w:line="400" w:lineRule="exact"/>
              <w:rPr>
                <w:rFonts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B要求提供，</w:t>
            </w:r>
          </w:p>
          <w:p w14:paraId="052532F9">
            <w:pPr>
              <w:numPr>
                <w:ilvl w:val="0"/>
                <w:numId w:val="16"/>
              </w:numPr>
              <w:snapToGrid w:val="0"/>
              <w:spacing w:line="400" w:lineRule="exact"/>
              <w:rPr>
                <w:rFonts w:ascii="仿宋" w:hAnsi="仿宋" w:eastAsia="仿宋" w:cs="仿宋"/>
                <w:color w:val="auto"/>
                <w:kern w:val="0"/>
                <w:sz w:val="24"/>
                <w:highlight w:val="none"/>
              </w:rPr>
            </w:pP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kern w:val="0"/>
                <w:sz w:val="24"/>
                <w:highlight w:val="none"/>
              </w:rPr>
              <w:t>；</w:t>
            </w:r>
          </w:p>
          <w:p w14:paraId="66383902">
            <w:pPr>
              <w:numPr>
                <w:ilvl w:val="0"/>
                <w:numId w:val="16"/>
              </w:numPr>
              <w:snapToGrid w:val="0"/>
              <w:spacing w:line="400" w:lineRule="exact"/>
              <w:rPr>
                <w:rFonts w:ascii="仿宋" w:hAnsi="仿宋" w:eastAsia="仿宋" w:cs="仿宋"/>
                <w:color w:val="auto"/>
                <w:kern w:val="0"/>
                <w:sz w:val="24"/>
                <w:highlight w:val="none"/>
              </w:rPr>
            </w:pP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kern w:val="0"/>
                <w:sz w:val="24"/>
                <w:highlight w:val="none"/>
              </w:rPr>
              <w:t>；</w:t>
            </w:r>
          </w:p>
          <w:p w14:paraId="67B0DFA6">
            <w:pPr>
              <w:numPr>
                <w:ilvl w:val="0"/>
                <w:numId w:val="16"/>
              </w:numPr>
              <w:snapToGrid w:val="0"/>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kern w:val="0"/>
                <w:sz w:val="24"/>
                <w:highlight w:val="none"/>
              </w:rPr>
              <w:t>；</w:t>
            </w:r>
          </w:p>
          <w:p w14:paraId="00EBEB17">
            <w:pPr>
              <w:numPr>
                <w:ilvl w:val="0"/>
                <w:numId w:val="16"/>
              </w:numPr>
              <w:snapToGrid w:val="0"/>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是否需要随样品提交检测报告：</w:t>
            </w:r>
            <w:sdt>
              <w:sdtPr>
                <w:rPr>
                  <w:rFonts w:hint="eastAsia" w:ascii="仿宋" w:hAnsi="仿宋" w:eastAsia="仿宋" w:cs="仿宋"/>
                  <w:color w:val="auto"/>
                  <w:kern w:val="0"/>
                  <w:sz w:val="24"/>
                  <w:highlight w:val="none"/>
                </w:rPr>
                <w:id w:val="130342145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否；</w:t>
            </w:r>
            <w:sdt>
              <w:sdtPr>
                <w:rPr>
                  <w:rFonts w:hint="eastAsia" w:ascii="仿宋" w:hAnsi="仿宋" w:eastAsia="仿宋" w:cs="仿宋"/>
                  <w:color w:val="auto"/>
                  <w:kern w:val="0"/>
                  <w:sz w:val="24"/>
                  <w:highlight w:val="none"/>
                </w:rPr>
                <w:id w:val="162172843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kern w:val="0"/>
                <w:sz w:val="24"/>
                <w:highlight w:val="none"/>
              </w:rPr>
              <w:t>。</w:t>
            </w:r>
          </w:p>
          <w:p w14:paraId="5A7D4067">
            <w:pPr>
              <w:numPr>
                <w:ilvl w:val="0"/>
                <w:numId w:val="16"/>
              </w:num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提供样品的时间：</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。请供应商在上述时间内提供样品并按规定位置安装完毕。超过截止时间的，采购人或采购代理机构将不予接收，并将清场并封闭样品现场。</w:t>
            </w:r>
          </w:p>
          <w:p w14:paraId="5EDF52E7">
            <w:pPr>
              <w:numPr>
                <w:ilvl w:val="0"/>
                <w:numId w:val="16"/>
              </w:numPr>
              <w:snapToGrid w:val="0"/>
              <w:spacing w:line="400" w:lineRule="exact"/>
              <w:rPr>
                <w:rFonts w:ascii="仿宋" w:hAnsi="仿宋" w:eastAsia="仿宋" w:cs="仿宋"/>
                <w:color w:val="auto"/>
                <w:highlight w:val="none"/>
              </w:rPr>
            </w:pPr>
            <w:r>
              <w:rPr>
                <w:rFonts w:hint="eastAsia" w:ascii="仿宋" w:hAnsi="仿宋" w:eastAsia="仿宋" w:cs="仿宋"/>
                <w:color w:val="auto"/>
                <w:sz w:val="24"/>
                <w:highlight w:val="none"/>
              </w:rPr>
              <w:t>采购活动结束后，对于未成交供应商提供的样品，采购人、采购代理机构将通知未成交供应商在规定的时间内取回，逾期未取回的，采购人、采购代理机构不负保管义务；对于成交供应商提供的样品，采购人将进行保管、封存，并作为履约验收的参考。</w:t>
            </w:r>
          </w:p>
          <w:p w14:paraId="44F11664">
            <w:pPr>
              <w:numPr>
                <w:ilvl w:val="0"/>
                <w:numId w:val="16"/>
              </w:numPr>
              <w:snapToGrid w:val="0"/>
              <w:spacing w:line="400" w:lineRule="exact"/>
              <w:ind w:left="425" w:leftChars="0" w:hanging="425" w:firstLineChars="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制作、运输、安装和保管样品所发生的一切费用由供应商自理。</w:t>
            </w:r>
          </w:p>
        </w:tc>
      </w:tr>
      <w:tr w14:paraId="5B3D7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45" w:hRule="atLeast"/>
        </w:trPr>
        <w:tc>
          <w:tcPr>
            <w:tcW w:w="629" w:type="dxa"/>
            <w:vAlign w:val="center"/>
          </w:tcPr>
          <w:p w14:paraId="2ECE4F9F">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Align w:val="center"/>
          </w:tcPr>
          <w:p w14:paraId="38E45554">
            <w:pPr>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方案讲解演示</w:t>
            </w:r>
          </w:p>
        </w:tc>
        <w:tc>
          <w:tcPr>
            <w:tcW w:w="5855" w:type="dxa"/>
            <w:vAlign w:val="center"/>
          </w:tcPr>
          <w:p w14:paraId="3E46C8AA">
            <w:pPr>
              <w:snapToGrid w:val="0"/>
              <w:spacing w:line="400" w:lineRule="exact"/>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1859348549"/>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ascii="Wingdings" w:hAnsi="Wingdings" w:eastAsia="仿宋" w:cs="仿宋"/>
                    <w:color w:val="auto"/>
                    <w:kern w:val="0"/>
                    <w:sz w:val="24"/>
                    <w:highlight w:val="none"/>
                  </w:rPr>
                  <w:t></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6E605E45">
            <w:pPr>
              <w:snapToGrid w:val="0"/>
              <w:spacing w:line="400" w:lineRule="exact"/>
              <w:rPr>
                <w:rFonts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highlight w:val="none"/>
                  </w:rPr>
                  <w:t>☐</w:t>
                </w:r>
              </w:sdtContent>
            </w:sdt>
            <w:r>
              <w:rPr>
                <w:rFonts w:hint="eastAsia" w:ascii="仿宋" w:hAnsi="仿宋" w:eastAsia="仿宋" w:cs="仿宋"/>
                <w:color w:val="auto"/>
                <w:kern w:val="0"/>
                <w:sz w:val="24"/>
                <w:highlight w:val="none"/>
              </w:rPr>
              <w:t>B组织。</w:t>
            </w:r>
          </w:p>
          <w:p w14:paraId="2BA88427">
            <w:pPr>
              <w:snapToGrid w:val="0"/>
              <w:spacing w:line="400" w:lineRule="exact"/>
              <w:rPr>
                <w:rFonts w:hint="eastAsia" w:ascii="仿宋" w:hAnsi="仿宋" w:eastAsia="仿宋" w:cs="仿宋"/>
                <w:color w:val="auto"/>
                <w:kern w:val="0"/>
                <w:sz w:val="24"/>
                <w:highlight w:val="none"/>
              </w:rPr>
            </w:pPr>
            <w:r>
              <w:rPr>
                <w:rFonts w:hint="eastAsia" w:ascii="仿宋_GB2312" w:hAnsi="仿宋" w:eastAsia="仿宋_GB2312"/>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35BDC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78" w:hRule="atLeast"/>
        </w:trPr>
        <w:tc>
          <w:tcPr>
            <w:tcW w:w="629" w:type="dxa"/>
            <w:vMerge w:val="restart"/>
            <w:vAlign w:val="center"/>
          </w:tcPr>
          <w:p w14:paraId="3EC747F1">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Merge w:val="restart"/>
            <w:vAlign w:val="center"/>
          </w:tcPr>
          <w:p w14:paraId="7AF12F7A">
            <w:pPr>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供应商应当提供的资格、资信证明文件</w:t>
            </w:r>
          </w:p>
        </w:tc>
        <w:tc>
          <w:tcPr>
            <w:tcW w:w="5855" w:type="dxa"/>
            <w:vAlign w:val="center"/>
          </w:tcPr>
          <w:p w14:paraId="09C8BB4D">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（1）资格证明文件：见磋商文件</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供应商须知</w:t>
            </w:r>
            <w:r>
              <w:rPr>
                <w:rFonts w:hint="eastAsia" w:ascii="仿宋" w:hAnsi="仿宋" w:eastAsia="仿宋" w:cs="仿宋"/>
                <w:color w:val="auto"/>
                <w:sz w:val="24"/>
                <w:highlight w:val="none"/>
                <w:lang w:eastAsia="zh-CN"/>
              </w:rPr>
              <w:t>”“六、响应文件的编制”</w:t>
            </w:r>
            <w:r>
              <w:rPr>
                <w:rFonts w:hint="eastAsia" w:ascii="仿宋" w:hAnsi="仿宋" w:eastAsia="仿宋" w:cs="仿宋"/>
                <w:color w:val="auto"/>
                <w:sz w:val="24"/>
                <w:highlight w:val="none"/>
              </w:rPr>
              <w:t>。</w:t>
            </w:r>
          </w:p>
          <w:p w14:paraId="3FC463A0">
            <w:pPr>
              <w:snapToGrid w:val="0"/>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w:t>
            </w:r>
            <w:r>
              <w:rPr>
                <w:rFonts w:hint="eastAsia" w:ascii="仿宋" w:hAnsi="仿宋" w:eastAsia="仿宋" w:cs="仿宋"/>
                <w:b/>
                <w:bCs/>
                <w:color w:val="auto"/>
                <w:kern w:val="0"/>
                <w:sz w:val="24"/>
                <w:highlight w:val="none"/>
                <w:lang w:val="zh-CN"/>
              </w:rPr>
              <w:t>供应商未提供有效的资格证明文件的，视为供应</w:t>
            </w:r>
            <w:r>
              <w:rPr>
                <w:rFonts w:hint="eastAsia" w:ascii="仿宋" w:hAnsi="仿宋" w:eastAsia="仿宋" w:cs="仿宋"/>
                <w:b/>
                <w:bCs/>
                <w:color w:val="auto"/>
                <w:sz w:val="24"/>
                <w:highlight w:val="none"/>
              </w:rPr>
              <w:t>商不具备磋商文件中规定的资格要求，响应无效</w:t>
            </w:r>
            <w:r>
              <w:rPr>
                <w:rFonts w:hint="eastAsia" w:ascii="仿宋" w:hAnsi="仿宋" w:eastAsia="仿宋" w:cs="仿宋"/>
                <w:b/>
                <w:bCs/>
                <w:color w:val="auto"/>
                <w:kern w:val="0"/>
                <w:sz w:val="24"/>
                <w:highlight w:val="none"/>
                <w:lang w:val="zh-CN"/>
              </w:rPr>
              <w:t>。</w:t>
            </w:r>
          </w:p>
        </w:tc>
      </w:tr>
      <w:tr w14:paraId="64767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78" w:hRule="atLeast"/>
        </w:trPr>
        <w:tc>
          <w:tcPr>
            <w:tcW w:w="629" w:type="dxa"/>
            <w:vMerge w:val="continue"/>
            <w:vAlign w:val="center"/>
          </w:tcPr>
          <w:p w14:paraId="6A3243F2">
            <w:pPr>
              <w:tabs>
                <w:tab w:val="left" w:pos="0"/>
                <w:tab w:val="center" w:pos="368"/>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Merge w:val="continue"/>
            <w:vAlign w:val="center"/>
          </w:tcPr>
          <w:p w14:paraId="36EC1CFA">
            <w:pPr>
              <w:snapToGrid w:val="0"/>
              <w:spacing w:line="400" w:lineRule="exact"/>
              <w:jc w:val="center"/>
              <w:rPr>
                <w:rFonts w:hint="eastAsia" w:ascii="仿宋" w:hAnsi="仿宋" w:eastAsia="仿宋" w:cs="仿宋"/>
                <w:b/>
                <w:color w:val="auto"/>
                <w:sz w:val="24"/>
                <w:highlight w:val="none"/>
              </w:rPr>
            </w:pPr>
          </w:p>
        </w:tc>
        <w:tc>
          <w:tcPr>
            <w:tcW w:w="5855" w:type="dxa"/>
            <w:vAlign w:val="center"/>
          </w:tcPr>
          <w:p w14:paraId="6AAD67E0">
            <w:pPr>
              <w:snapToGrid w:val="0"/>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（2）资信证明文件：根据磋商文件第五部分评标标准提供。</w:t>
            </w:r>
          </w:p>
        </w:tc>
      </w:tr>
      <w:tr w14:paraId="70421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848" w:hRule="atLeast"/>
        </w:trPr>
        <w:tc>
          <w:tcPr>
            <w:tcW w:w="629" w:type="dxa"/>
            <w:vAlign w:val="center"/>
          </w:tcPr>
          <w:p w14:paraId="46586D78">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Align w:val="center"/>
          </w:tcPr>
          <w:p w14:paraId="661A928F">
            <w:pPr>
              <w:snapToGrid w:val="0"/>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最后报价要求</w:t>
            </w:r>
          </w:p>
        </w:tc>
        <w:tc>
          <w:tcPr>
            <w:tcW w:w="5855" w:type="dxa"/>
            <w:vAlign w:val="center"/>
          </w:tcPr>
          <w:p w14:paraId="7ABB6F21">
            <w:pPr>
              <w:snapToGrid w:val="0"/>
              <w:spacing w:line="400" w:lineRule="exact"/>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有关本项目实施所需的</w:t>
            </w:r>
            <w:r>
              <w:rPr>
                <w:rFonts w:hint="eastAsia" w:ascii="仿宋" w:hAnsi="仿宋" w:eastAsia="仿宋" w:cs="仿宋"/>
                <w:color w:val="auto"/>
                <w:sz w:val="24"/>
                <w:highlight w:val="none"/>
              </w:rPr>
              <w:t>全部</w:t>
            </w:r>
            <w:r>
              <w:rPr>
                <w:rFonts w:hint="eastAsia" w:ascii="仿宋" w:hAnsi="仿宋" w:eastAsia="仿宋" w:cs="仿宋"/>
                <w:color w:val="auto"/>
                <w:kern w:val="0"/>
                <w:sz w:val="24"/>
                <w:highlight w:val="none"/>
                <w:lang w:val="zh-CN"/>
              </w:rPr>
              <w:t>费用（含税费）均计入最后报价。</w:t>
            </w:r>
            <w:r>
              <w:rPr>
                <w:rFonts w:hint="eastAsia" w:ascii="仿宋" w:hAnsi="仿宋" w:eastAsia="仿宋" w:cs="仿宋"/>
                <w:color w:val="auto"/>
                <w:sz w:val="24"/>
                <w:highlight w:val="none"/>
              </w:rPr>
              <w:t>《最后报价一览表》是报价的唯一载体</w:t>
            </w:r>
            <w:r>
              <w:rPr>
                <w:rFonts w:hint="eastAsia" w:ascii="仿宋" w:hAnsi="仿宋" w:eastAsia="仿宋" w:cs="仿宋"/>
                <w:color w:val="auto"/>
                <w:kern w:val="0"/>
                <w:sz w:val="24"/>
                <w:highlight w:val="none"/>
                <w:lang w:val="zh-CN"/>
              </w:rPr>
              <w:t>。响应文件中价格全部采用人民币报价。磋商文件未列明，而供应商认为必需的费用也需列入最后报价。</w:t>
            </w:r>
            <w:r>
              <w:rPr>
                <w:rFonts w:hint="eastAsia" w:ascii="仿宋" w:hAnsi="仿宋" w:eastAsia="仿宋" w:cs="仿宋"/>
                <w:b/>
                <w:color w:val="auto"/>
                <w:kern w:val="0"/>
                <w:sz w:val="24"/>
                <w:highlight w:val="none"/>
                <w:lang w:val="zh-CN"/>
              </w:rPr>
              <w:t>提醒：验收时检测费用由采购人承担，不包含在最后报价中。</w:t>
            </w:r>
          </w:p>
          <w:p w14:paraId="460F351D">
            <w:pPr>
              <w:snapToGrid w:val="0"/>
              <w:spacing w:line="400" w:lineRule="exact"/>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最后报价出现下列情形的，响应无效：</w:t>
            </w:r>
          </w:p>
          <w:p w14:paraId="21BE4876">
            <w:pPr>
              <w:snapToGrid w:val="0"/>
              <w:spacing w:line="400" w:lineRule="exact"/>
              <w:rPr>
                <w:rFonts w:ascii="仿宋" w:hAnsi="仿宋" w:eastAsia="仿宋" w:cs="仿宋"/>
                <w:b/>
                <w:color w:val="auto"/>
                <w:kern w:val="0"/>
                <w:sz w:val="24"/>
                <w:highlight w:val="none"/>
                <w:lang w:val="zh-CN"/>
              </w:rPr>
            </w:pPr>
            <w:r>
              <w:rPr>
                <w:rFonts w:hint="eastAsia" w:ascii="仿宋" w:hAnsi="仿宋" w:eastAsia="仿宋" w:cs="仿宋"/>
                <w:b/>
                <w:color w:val="auto"/>
                <w:sz w:val="24"/>
                <w:highlight w:val="none"/>
              </w:rPr>
              <w:t>▲</w:t>
            </w:r>
            <w:r>
              <w:rPr>
                <w:rFonts w:hint="eastAsia" w:ascii="仿宋" w:hAnsi="仿宋" w:eastAsia="仿宋" w:cs="仿宋"/>
                <w:b/>
                <w:color w:val="auto"/>
                <w:kern w:val="0"/>
                <w:sz w:val="24"/>
                <w:highlight w:val="none"/>
                <w:lang w:val="zh-CN"/>
              </w:rPr>
              <w:t>出现不是唯一的、有选择性最后报价的；</w:t>
            </w:r>
          </w:p>
          <w:p w14:paraId="287DB50C">
            <w:pPr>
              <w:snapToGrid w:val="0"/>
              <w:spacing w:line="400" w:lineRule="exact"/>
              <w:rPr>
                <w:rFonts w:ascii="仿宋" w:hAnsi="仿宋" w:eastAsia="仿宋" w:cs="仿宋"/>
                <w:color w:val="auto"/>
                <w:kern w:val="0"/>
                <w:sz w:val="24"/>
                <w:highlight w:val="none"/>
                <w:lang w:val="zh-CN"/>
              </w:rPr>
            </w:pPr>
            <w:r>
              <w:rPr>
                <w:rFonts w:hint="eastAsia" w:ascii="仿宋" w:hAnsi="仿宋" w:eastAsia="仿宋" w:cs="仿宋"/>
                <w:b/>
                <w:color w:val="auto"/>
                <w:sz w:val="24"/>
                <w:highlight w:val="none"/>
              </w:rPr>
              <w:t>▲最后报价高于本项目采购预算的;</w:t>
            </w:r>
          </w:p>
          <w:p w14:paraId="14685046">
            <w:pPr>
              <w:snapToGrid w:val="0"/>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▲最后</w:t>
            </w:r>
            <w:r>
              <w:rPr>
                <w:rFonts w:hint="eastAsia" w:ascii="仿宋" w:hAnsi="仿宋" w:eastAsia="仿宋" w:cs="仿宋"/>
                <w:b/>
                <w:color w:val="auto"/>
                <w:kern w:val="0"/>
                <w:sz w:val="24"/>
                <w:highlight w:val="none"/>
              </w:rPr>
              <w:t>报价明显低于其他供应商的最后报价，有可能影响产品质量或者不能诚信履约，且未能按要求提供书面说明或者提交相关证明材料，不能证明其报价合理性的</w:t>
            </w:r>
            <w:r>
              <w:rPr>
                <w:rFonts w:hint="eastAsia" w:ascii="仿宋" w:hAnsi="仿宋" w:eastAsia="仿宋" w:cs="仿宋"/>
                <w:b/>
                <w:color w:val="auto"/>
                <w:sz w:val="24"/>
                <w:szCs w:val="21"/>
                <w:highlight w:val="none"/>
              </w:rPr>
              <w:t>;</w:t>
            </w:r>
          </w:p>
          <w:p w14:paraId="7F4766BE">
            <w:pPr>
              <w:snapToGrid w:val="0"/>
              <w:spacing w:line="400" w:lineRule="exact"/>
              <w:rPr>
                <w:rFonts w:ascii="仿宋" w:hAnsi="仿宋" w:eastAsia="仿宋" w:cs="仿宋"/>
                <w:color w:val="auto"/>
                <w:sz w:val="24"/>
                <w:szCs w:val="21"/>
                <w:highlight w:val="none"/>
              </w:rPr>
            </w:pPr>
            <w:r>
              <w:rPr>
                <w:rFonts w:hint="eastAsia" w:ascii="仿宋" w:hAnsi="仿宋" w:eastAsia="仿宋" w:cs="仿宋"/>
                <w:b/>
                <w:color w:val="auto"/>
                <w:sz w:val="24"/>
                <w:highlight w:val="none"/>
              </w:rPr>
              <w:t>▲《最后报价一览表》填写不完整或字迹不能辨认或有漏项的；</w:t>
            </w:r>
          </w:p>
          <w:p w14:paraId="56565EE2">
            <w:pPr>
              <w:snapToGrid w:val="0"/>
              <w:spacing w:line="400" w:lineRule="exac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▲供应商对根据修正原则修正后的报价不确认的</w:t>
            </w:r>
            <w:r>
              <w:rPr>
                <w:rFonts w:hint="eastAsia" w:ascii="仿宋" w:hAnsi="仿宋" w:eastAsia="仿宋" w:cs="仿宋"/>
                <w:b/>
                <w:color w:val="auto"/>
                <w:sz w:val="24"/>
                <w:highlight w:val="none"/>
              </w:rPr>
              <w:t>。</w:t>
            </w:r>
          </w:p>
        </w:tc>
      </w:tr>
      <w:tr w14:paraId="2B288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92" w:hRule="atLeast"/>
        </w:trPr>
        <w:tc>
          <w:tcPr>
            <w:tcW w:w="629" w:type="dxa"/>
            <w:vAlign w:val="center"/>
          </w:tcPr>
          <w:p w14:paraId="666FC8B1">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Align w:val="center"/>
          </w:tcPr>
          <w:p w14:paraId="344AE748">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5855" w:type="dxa"/>
            <w:vAlign w:val="center"/>
          </w:tcPr>
          <w:p w14:paraId="76471F98">
            <w:pPr>
              <w:adjustRightInd w:val="0"/>
              <w:snapToGrid w:val="0"/>
              <w:spacing w:line="400" w:lineRule="exact"/>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3BDB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899" w:hRule="atLeast"/>
        </w:trPr>
        <w:tc>
          <w:tcPr>
            <w:tcW w:w="629" w:type="dxa"/>
            <w:vAlign w:val="center"/>
          </w:tcPr>
          <w:p w14:paraId="3AC854CD">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Align w:val="center"/>
          </w:tcPr>
          <w:p w14:paraId="75A6CC6C">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5855" w:type="dxa"/>
            <w:vAlign w:val="center"/>
          </w:tcPr>
          <w:p w14:paraId="5831FF44">
            <w:pPr>
              <w:snapToGrid w:val="0"/>
              <w:spacing w:line="24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7C76D5C9">
            <w:pPr>
              <w:pStyle w:val="2"/>
              <w:numPr>
                <w:ilvl w:val="-1"/>
                <w:numId w:val="0"/>
              </w:numPr>
              <w:snapToGrid w:val="0"/>
              <w:spacing w:before="0" w:after="0" w:line="240" w:lineRule="auto"/>
              <w:ind w:left="0" w:firstLine="0"/>
              <w:rPr>
                <w:rFonts w:hint="default" w:eastAsia="仿宋"/>
                <w:highlight w:val="none"/>
                <w:lang w:val="en-US" w:eastAsia="zh-CN"/>
              </w:rPr>
            </w:pPr>
            <w:r>
              <w:rPr>
                <w:rFonts w:hint="eastAsia" w:ascii="仿宋" w:hAnsi="仿宋" w:eastAsia="仿宋" w:cs="仿宋"/>
                <w:b w:val="0"/>
                <w:bCs w:val="0"/>
                <w:color w:val="auto"/>
                <w:kern w:val="0"/>
                <w:sz w:val="24"/>
                <w:szCs w:val="24"/>
                <w:highlight w:val="none"/>
                <w:lang w:val="en-US" w:eastAsia="zh-CN"/>
              </w:rPr>
              <w:t>（本项目不适用）</w:t>
            </w:r>
          </w:p>
        </w:tc>
      </w:tr>
      <w:tr w14:paraId="5122B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78" w:hRule="atLeast"/>
        </w:trPr>
        <w:tc>
          <w:tcPr>
            <w:tcW w:w="629" w:type="dxa"/>
            <w:vAlign w:val="center"/>
          </w:tcPr>
          <w:p w14:paraId="26FC80B2">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Align w:val="center"/>
          </w:tcPr>
          <w:p w14:paraId="42073C38">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备份响应文件送达地点和签收人员 </w:t>
            </w:r>
          </w:p>
        </w:tc>
        <w:tc>
          <w:tcPr>
            <w:tcW w:w="5855" w:type="dxa"/>
            <w:vAlign w:val="center"/>
          </w:tcPr>
          <w:p w14:paraId="7D47387D">
            <w:pPr>
              <w:pStyle w:val="32"/>
              <w:adjustRightInd w:val="0"/>
              <w:snapToGrid w:val="0"/>
              <w:spacing w:line="400" w:lineRule="exact"/>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备份</w:t>
            </w:r>
            <w:r>
              <w:rPr>
                <w:rFonts w:hint="eastAsia" w:ascii="仿宋" w:hAnsi="仿宋" w:eastAsia="仿宋" w:cs="仿宋"/>
                <w:color w:val="auto"/>
                <w:kern w:val="28"/>
                <w:sz w:val="24"/>
                <w:szCs w:val="24"/>
                <w:highlight w:val="none"/>
                <w:lang w:val="en-US" w:eastAsia="zh-CN"/>
              </w:rPr>
              <w:t>响应</w:t>
            </w:r>
            <w:r>
              <w:rPr>
                <w:rFonts w:hint="eastAsia" w:ascii="仿宋" w:hAnsi="仿宋" w:eastAsia="仿宋" w:cs="仿宋"/>
                <w:color w:val="auto"/>
                <w:kern w:val="28"/>
                <w:sz w:val="24"/>
                <w:szCs w:val="24"/>
                <w:highlight w:val="none"/>
              </w:rPr>
              <w:t>文件送达地点：</w:t>
            </w:r>
            <w:r>
              <w:rPr>
                <w:rFonts w:hint="eastAsia" w:ascii="仿宋" w:hAnsi="仿宋" w:eastAsia="仿宋" w:cs="仿宋"/>
                <w:color w:val="auto"/>
                <w:sz w:val="24"/>
                <w:highlight w:val="none"/>
                <w:u w:val="single"/>
              </w:rPr>
              <w:t xml:space="preserve"> 杭州市文三路90号东部软件园一号楼319室  </w:t>
            </w:r>
            <w:r>
              <w:rPr>
                <w:rFonts w:hint="eastAsia" w:ascii="仿宋" w:hAnsi="仿宋" w:eastAsia="仿宋" w:cs="仿宋"/>
                <w:color w:val="auto"/>
                <w:kern w:val="28"/>
                <w:sz w:val="24"/>
                <w:szCs w:val="24"/>
                <w:highlight w:val="none"/>
              </w:rPr>
              <w:t>；</w:t>
            </w:r>
          </w:p>
          <w:p w14:paraId="3AD51388">
            <w:pPr>
              <w:pStyle w:val="32"/>
              <w:adjustRightInd w:val="0"/>
              <w:snapToGrid w:val="0"/>
              <w:spacing w:line="400" w:lineRule="exact"/>
              <w:rPr>
                <w:rFonts w:hint="default" w:eastAsia="仿宋"/>
                <w:highlight w:val="none"/>
                <w:lang w:val="en-US" w:eastAsia="zh-CN"/>
              </w:rPr>
            </w:pPr>
            <w:r>
              <w:rPr>
                <w:rFonts w:hint="eastAsia" w:ascii="仿宋" w:hAnsi="仿宋" w:eastAsia="仿宋" w:cs="仿宋"/>
                <w:color w:val="auto"/>
                <w:kern w:val="28"/>
                <w:sz w:val="24"/>
                <w:szCs w:val="24"/>
                <w:highlight w:val="none"/>
              </w:rPr>
              <w:t>备份</w:t>
            </w:r>
            <w:r>
              <w:rPr>
                <w:rFonts w:hint="eastAsia" w:ascii="仿宋" w:hAnsi="仿宋" w:eastAsia="仿宋" w:cs="仿宋"/>
                <w:color w:val="auto"/>
                <w:kern w:val="28"/>
                <w:sz w:val="24"/>
                <w:szCs w:val="24"/>
                <w:highlight w:val="none"/>
                <w:lang w:val="en-US" w:eastAsia="zh-CN"/>
              </w:rPr>
              <w:t>响应</w:t>
            </w:r>
            <w:r>
              <w:rPr>
                <w:rFonts w:hint="eastAsia" w:ascii="仿宋" w:hAnsi="仿宋" w:eastAsia="仿宋" w:cs="仿宋"/>
                <w:color w:val="auto"/>
                <w:kern w:val="28"/>
                <w:sz w:val="24"/>
                <w:szCs w:val="24"/>
                <w:highlight w:val="none"/>
              </w:rPr>
              <w:t>文件签收人员联系电话：</w:t>
            </w:r>
            <w:r>
              <w:rPr>
                <w:rFonts w:hint="eastAsia" w:ascii="仿宋" w:hAnsi="仿宋" w:eastAsia="仿宋" w:cs="仿宋"/>
                <w:color w:val="auto"/>
                <w:sz w:val="24"/>
                <w:highlight w:val="none"/>
                <w:u w:val="single"/>
              </w:rPr>
              <w:t xml:space="preserve"> 唐稳，13777483506   </w:t>
            </w:r>
            <w:r>
              <w:rPr>
                <w:rFonts w:hint="eastAsia" w:ascii="仿宋" w:hAnsi="仿宋" w:eastAsia="仿宋" w:cs="仿宋"/>
                <w:color w:val="auto"/>
                <w:sz w:val="24"/>
                <w:szCs w:val="24"/>
                <w:highlight w:val="none"/>
              </w:rPr>
              <w:t>。</w:t>
            </w:r>
          </w:p>
          <w:p w14:paraId="0A01DE30">
            <w:pPr>
              <w:pStyle w:val="32"/>
              <w:snapToGrid w:val="0"/>
              <w:spacing w:line="400" w:lineRule="exact"/>
              <w:rPr>
                <w:rFonts w:ascii="仿宋" w:hAnsi="仿宋" w:eastAsia="仿宋" w:cs="仿宋"/>
                <w:color w:val="auto"/>
                <w:kern w:val="28"/>
                <w:sz w:val="24"/>
                <w:highlight w:val="none"/>
              </w:rPr>
            </w:pPr>
            <w:r>
              <w:rPr>
                <w:rFonts w:hint="eastAsia" w:ascii="仿宋" w:hAnsi="仿宋" w:eastAsia="仿宋" w:cs="仿宋"/>
                <w:b/>
                <w:color w:val="auto"/>
                <w:sz w:val="24"/>
                <w:szCs w:val="24"/>
                <w:highlight w:val="none"/>
              </w:rPr>
              <w:t>采购人、采购机构不强制或变相强制</w:t>
            </w:r>
            <w:r>
              <w:rPr>
                <w:rFonts w:hint="eastAsia" w:ascii="仿宋" w:hAnsi="仿宋" w:eastAsia="仿宋" w:cs="仿宋"/>
                <w:b/>
                <w:color w:val="auto"/>
                <w:sz w:val="24"/>
                <w:szCs w:val="24"/>
                <w:highlight w:val="none"/>
                <w:lang w:val="en-US" w:eastAsia="zh-CN"/>
              </w:rPr>
              <w:t>供应商</w:t>
            </w:r>
            <w:r>
              <w:rPr>
                <w:rFonts w:hint="eastAsia" w:ascii="仿宋" w:hAnsi="仿宋" w:eastAsia="仿宋" w:cs="仿宋"/>
                <w:b/>
                <w:color w:val="auto"/>
                <w:sz w:val="24"/>
                <w:szCs w:val="24"/>
                <w:highlight w:val="none"/>
              </w:rPr>
              <w:t>提交备份</w:t>
            </w:r>
            <w:r>
              <w:rPr>
                <w:rFonts w:hint="eastAsia" w:ascii="仿宋" w:hAnsi="仿宋" w:eastAsia="仿宋" w:cs="仿宋"/>
                <w:b/>
                <w:color w:val="auto"/>
                <w:sz w:val="24"/>
                <w:szCs w:val="24"/>
                <w:highlight w:val="none"/>
                <w:lang w:val="en-US" w:eastAsia="zh-CN"/>
              </w:rPr>
              <w:t>响应</w:t>
            </w:r>
            <w:r>
              <w:rPr>
                <w:rFonts w:hint="eastAsia" w:ascii="仿宋" w:hAnsi="仿宋" w:eastAsia="仿宋" w:cs="仿宋"/>
                <w:b/>
                <w:color w:val="auto"/>
                <w:sz w:val="24"/>
                <w:szCs w:val="24"/>
                <w:highlight w:val="none"/>
              </w:rPr>
              <w:t>文件。</w:t>
            </w:r>
          </w:p>
        </w:tc>
      </w:tr>
      <w:tr w14:paraId="78DA3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43" w:hRule="atLeast"/>
        </w:trPr>
        <w:tc>
          <w:tcPr>
            <w:tcW w:w="629" w:type="dxa"/>
            <w:vAlign w:val="center"/>
          </w:tcPr>
          <w:p w14:paraId="572223DD">
            <w:pPr>
              <w:numPr>
                <w:ilvl w:val="0"/>
                <w:numId w:val="15"/>
              </w:numPr>
              <w:tabs>
                <w:tab w:val="left" w:pos="0"/>
                <w:tab w:val="center" w:pos="368"/>
                <w:tab w:val="clear" w:pos="42"/>
              </w:tabs>
              <w:snapToGrid w:val="0"/>
              <w:spacing w:line="400" w:lineRule="exact"/>
              <w:ind w:left="210" w:right="105" w:rightChars="50" w:firstLine="0"/>
              <w:jc w:val="center"/>
              <w:rPr>
                <w:rFonts w:ascii="仿宋" w:hAnsi="仿宋" w:eastAsia="仿宋" w:cs="仿宋"/>
                <w:color w:val="auto"/>
                <w:sz w:val="24"/>
                <w:highlight w:val="none"/>
              </w:rPr>
            </w:pPr>
          </w:p>
        </w:tc>
        <w:tc>
          <w:tcPr>
            <w:tcW w:w="2067" w:type="dxa"/>
            <w:vAlign w:val="center"/>
          </w:tcPr>
          <w:p w14:paraId="323DA82B">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tc>
        <w:tc>
          <w:tcPr>
            <w:tcW w:w="5855" w:type="dxa"/>
            <w:vAlign w:val="center"/>
          </w:tcPr>
          <w:p w14:paraId="1C199C84">
            <w:pPr>
              <w:pStyle w:val="32"/>
              <w:adjustRightInd w:val="0"/>
              <w:snapToGrid w:val="0"/>
              <w:rPr>
                <w:rFonts w:hint="eastAsia" w:ascii="仿宋" w:hAnsi="仿宋" w:eastAsia="仿宋" w:cs="仿宋"/>
                <w:snapToGrid w:val="0"/>
                <w:color w:val="auto"/>
                <w:kern w:val="0"/>
                <w:sz w:val="24"/>
                <w:szCs w:val="24"/>
                <w:highlight w:val="none"/>
                <w:shd w:val="clear" w:color="auto" w:fill="auto"/>
              </w:rPr>
            </w:pPr>
            <w:r>
              <w:rPr>
                <w:rFonts w:hint="eastAsia" w:ascii="仿宋" w:hAnsi="仿宋" w:eastAsia="仿宋" w:cs="仿宋"/>
                <w:snapToGrid w:val="0"/>
                <w:color w:val="auto"/>
                <w:kern w:val="0"/>
                <w:sz w:val="24"/>
                <w:szCs w:val="24"/>
                <w:highlight w:val="none"/>
                <w:shd w:val="clear" w:color="auto" w:fill="auto"/>
              </w:rPr>
              <w:t>1.本项目的采购代理</w:t>
            </w:r>
            <w:r>
              <w:rPr>
                <w:rFonts w:hint="eastAsia" w:ascii="仿宋" w:hAnsi="仿宋" w:eastAsia="仿宋" w:cs="仿宋"/>
                <w:snapToGrid w:val="0"/>
                <w:color w:val="auto"/>
                <w:kern w:val="0"/>
                <w:sz w:val="24"/>
                <w:szCs w:val="24"/>
                <w:highlight w:val="none"/>
                <w:shd w:val="clear" w:color="auto" w:fill="auto"/>
                <w:lang w:val="en-US" w:eastAsia="zh-CN"/>
              </w:rPr>
              <w:t>服务</w:t>
            </w:r>
            <w:r>
              <w:rPr>
                <w:rFonts w:hint="eastAsia" w:ascii="仿宋" w:hAnsi="仿宋" w:eastAsia="仿宋" w:cs="仿宋"/>
                <w:snapToGrid w:val="0"/>
                <w:color w:val="auto"/>
                <w:kern w:val="0"/>
                <w:sz w:val="24"/>
                <w:szCs w:val="24"/>
                <w:highlight w:val="none"/>
                <w:shd w:val="clear" w:color="auto" w:fill="auto"/>
              </w:rPr>
              <w:t>费由</w:t>
            </w:r>
            <w:r>
              <w:rPr>
                <w:rFonts w:hint="eastAsia" w:ascii="仿宋" w:hAnsi="仿宋" w:eastAsia="仿宋" w:cs="仿宋"/>
                <w:snapToGrid w:val="0"/>
                <w:color w:val="auto"/>
                <w:kern w:val="0"/>
                <w:sz w:val="24"/>
                <w:szCs w:val="24"/>
                <w:highlight w:val="none"/>
                <w:shd w:val="clear" w:color="auto" w:fill="auto"/>
                <w:lang w:val="en-US" w:eastAsia="zh-CN"/>
              </w:rPr>
              <w:t>各标项成交供应商</w:t>
            </w:r>
            <w:r>
              <w:rPr>
                <w:rFonts w:hint="eastAsia" w:ascii="仿宋" w:hAnsi="仿宋" w:eastAsia="仿宋" w:cs="仿宋"/>
                <w:snapToGrid w:val="0"/>
                <w:color w:val="auto"/>
                <w:kern w:val="0"/>
                <w:sz w:val="24"/>
                <w:szCs w:val="24"/>
                <w:highlight w:val="none"/>
                <w:shd w:val="clear" w:color="auto" w:fill="auto"/>
              </w:rPr>
              <w:t>支付；</w:t>
            </w:r>
            <w:r>
              <w:rPr>
                <w:rFonts w:hint="eastAsia" w:ascii="仿宋" w:hAnsi="仿宋" w:eastAsia="仿宋" w:cs="仿宋"/>
                <w:snapToGrid w:val="0"/>
                <w:color w:val="auto"/>
                <w:kern w:val="0"/>
                <w:sz w:val="24"/>
                <w:szCs w:val="24"/>
                <w:highlight w:val="none"/>
                <w:shd w:val="clear" w:color="auto" w:fill="auto"/>
                <w:lang w:val="en-US" w:eastAsia="zh-CN"/>
              </w:rPr>
              <w:t>金额：标项1:4950元；标项2:4950元；标项3:4800元</w:t>
            </w:r>
            <w:r>
              <w:rPr>
                <w:rFonts w:hint="eastAsia" w:ascii="仿宋" w:hAnsi="仿宋" w:eastAsia="仿宋" w:cs="仿宋"/>
                <w:snapToGrid w:val="0"/>
                <w:color w:val="auto"/>
                <w:kern w:val="0"/>
                <w:sz w:val="24"/>
                <w:szCs w:val="24"/>
                <w:highlight w:val="none"/>
                <w:shd w:val="clear" w:color="auto" w:fill="auto"/>
              </w:rPr>
              <w:t>。</w:t>
            </w:r>
          </w:p>
          <w:p w14:paraId="73EC2801">
            <w:pPr>
              <w:pStyle w:val="32"/>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_GB2312" w:hAnsi="仿宋" w:eastAsia="仿宋_GB2312"/>
                <w:sz w:val="24"/>
                <w:highlight w:val="none"/>
              </w:rPr>
            </w:pPr>
            <w:r>
              <w:rPr>
                <w:rFonts w:hint="eastAsia" w:ascii="仿宋_GB2312" w:hAnsi="仿宋" w:eastAsia="仿宋_GB2312"/>
                <w:sz w:val="24"/>
                <w:highlight w:val="none"/>
              </w:rPr>
              <w:t>2.结算方式及时间为：在</w:t>
            </w:r>
            <w:r>
              <w:rPr>
                <w:rFonts w:hint="eastAsia" w:ascii="仿宋_GB2312" w:hAnsi="仿宋" w:eastAsia="仿宋_GB2312"/>
                <w:sz w:val="24"/>
                <w:highlight w:val="none"/>
                <w:lang w:val="en-US" w:eastAsia="zh-CN"/>
              </w:rPr>
              <w:t>成交结果公告发布5个工作日内</w:t>
            </w:r>
            <w:r>
              <w:rPr>
                <w:rFonts w:hint="eastAsia" w:ascii="仿宋_GB2312" w:hAnsi="仿宋" w:eastAsia="仿宋_GB2312"/>
                <w:sz w:val="24"/>
                <w:highlight w:val="none"/>
              </w:rPr>
              <w:t>由</w:t>
            </w:r>
            <w:r>
              <w:rPr>
                <w:rFonts w:hint="eastAsia" w:ascii="仿宋_GB2312" w:hAnsi="仿宋" w:eastAsia="仿宋_GB2312"/>
                <w:sz w:val="24"/>
                <w:highlight w:val="none"/>
                <w:lang w:val="en-US" w:eastAsia="zh-CN"/>
              </w:rPr>
              <w:t>成交供应商</w:t>
            </w:r>
            <w:r>
              <w:rPr>
                <w:rFonts w:hint="eastAsia" w:ascii="仿宋_GB2312" w:hAnsi="仿宋" w:eastAsia="仿宋_GB2312"/>
                <w:sz w:val="24"/>
                <w:highlight w:val="none"/>
              </w:rPr>
              <w:t>一次性向采购代理机构付清。</w:t>
            </w:r>
          </w:p>
          <w:p w14:paraId="306FF7C2">
            <w:pPr>
              <w:pStyle w:val="32"/>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_GB2312" w:hAnsi="仿宋" w:eastAsia="仿宋_GB2312"/>
                <w:sz w:val="24"/>
                <w:highlight w:val="none"/>
              </w:rPr>
            </w:pPr>
            <w:r>
              <w:rPr>
                <w:rFonts w:hint="eastAsia" w:ascii="仿宋_GB2312" w:hAnsi="仿宋" w:eastAsia="仿宋_GB2312"/>
                <w:sz w:val="24"/>
                <w:highlight w:val="none"/>
              </w:rPr>
              <w:t>3.代理机构账号信息：</w:t>
            </w:r>
          </w:p>
          <w:p w14:paraId="441C4CFF">
            <w:pPr>
              <w:pStyle w:val="32"/>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_GB2312" w:hAnsi="仿宋" w:eastAsia="仿宋_GB2312"/>
                <w:sz w:val="24"/>
                <w:highlight w:val="none"/>
              </w:rPr>
            </w:pPr>
            <w:r>
              <w:rPr>
                <w:rFonts w:hint="eastAsia" w:ascii="仿宋_GB2312" w:hAnsi="仿宋" w:eastAsia="仿宋_GB2312"/>
                <w:sz w:val="24"/>
                <w:highlight w:val="none"/>
              </w:rPr>
              <w:t>（1）收款人（全称）：浙江国际招投标有限公司</w:t>
            </w:r>
          </w:p>
          <w:p w14:paraId="366B1FBA">
            <w:pPr>
              <w:pStyle w:val="32"/>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_GB2312" w:hAnsi="仿宋" w:eastAsia="仿宋_GB2312"/>
                <w:sz w:val="24"/>
                <w:highlight w:val="none"/>
              </w:rPr>
            </w:pPr>
            <w:r>
              <w:rPr>
                <w:rFonts w:hint="eastAsia" w:ascii="仿宋_GB2312" w:hAnsi="仿宋" w:eastAsia="仿宋_GB2312"/>
                <w:sz w:val="24"/>
                <w:highlight w:val="none"/>
              </w:rPr>
              <w:t>（2）开户银行：中国工商银行杭州武林支行</w:t>
            </w:r>
          </w:p>
          <w:p w14:paraId="60BF1BEF">
            <w:pPr>
              <w:pStyle w:val="32"/>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_GB2312" w:hAnsi="仿宋" w:eastAsia="仿宋_GB2312"/>
                <w:sz w:val="24"/>
                <w:highlight w:val="none"/>
              </w:rPr>
            </w:pPr>
            <w:r>
              <w:rPr>
                <w:rFonts w:hint="eastAsia" w:ascii="仿宋_GB2312" w:hAnsi="仿宋" w:eastAsia="仿宋_GB2312"/>
                <w:sz w:val="24"/>
                <w:highlight w:val="none"/>
              </w:rPr>
              <w:t>（3）帐    号：1202 0212 0990 6782 015</w:t>
            </w:r>
          </w:p>
          <w:p w14:paraId="5778D7A6">
            <w:pPr>
              <w:pStyle w:val="32"/>
              <w:keepNext w:val="0"/>
              <w:keepLines w:val="0"/>
              <w:pageBreakBefore w:val="0"/>
              <w:widowControl w:val="0"/>
              <w:kinsoku/>
              <w:wordWrap/>
              <w:overflowPunct/>
              <w:topLinePunct w:val="0"/>
              <w:autoSpaceDE/>
              <w:autoSpaceDN/>
              <w:bidi w:val="0"/>
              <w:adjustRightInd w:val="0"/>
              <w:snapToGrid w:val="0"/>
              <w:spacing w:line="240" w:lineRule="auto"/>
              <w:textAlignment w:val="auto"/>
              <w:rPr>
                <w:rFonts w:ascii="仿宋" w:hAnsi="仿宋" w:eastAsia="仿宋" w:cs="仿宋"/>
                <w:color w:val="auto"/>
                <w:highlight w:val="none"/>
              </w:rPr>
            </w:pPr>
            <w:r>
              <w:rPr>
                <w:rFonts w:hint="eastAsia" w:ascii="仿宋_GB2312" w:hAnsi="仿宋" w:eastAsia="仿宋_GB2312"/>
                <w:sz w:val="24"/>
                <w:highlight w:val="none"/>
                <w:lang w:val="en-US" w:eastAsia="zh-CN"/>
              </w:rPr>
              <w:t>4、中标、成交供应商放弃中标、成交资格导致重新采购的，应当承担支付代理费和专家评审费等费用在内的赔偿责任。</w:t>
            </w:r>
          </w:p>
        </w:tc>
      </w:tr>
      <w:tr w14:paraId="3F08A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78" w:hRule="atLeast"/>
        </w:trPr>
        <w:tc>
          <w:tcPr>
            <w:tcW w:w="629" w:type="dxa"/>
            <w:vMerge w:val="restart"/>
            <w:vAlign w:val="center"/>
          </w:tcPr>
          <w:p w14:paraId="0BE8F300">
            <w:pPr>
              <w:numPr>
                <w:ilvl w:val="0"/>
                <w:numId w:val="15"/>
              </w:numPr>
              <w:tabs>
                <w:tab w:val="left" w:pos="0"/>
                <w:tab w:val="center" w:pos="368"/>
                <w:tab w:val="clear" w:pos="42"/>
              </w:tabs>
              <w:snapToGrid w:val="0"/>
              <w:spacing w:line="400" w:lineRule="exact"/>
              <w:ind w:left="210" w:right="105" w:rightChars="50" w:firstLine="0"/>
              <w:jc w:val="center"/>
              <w:rPr>
                <w:rFonts w:hint="default" w:ascii="仿宋" w:hAnsi="仿宋" w:eastAsia="仿宋" w:cs="仿宋"/>
                <w:color w:val="auto"/>
                <w:sz w:val="24"/>
                <w:highlight w:val="none"/>
                <w:lang w:val="en-US" w:eastAsia="zh-CN"/>
              </w:rPr>
            </w:pPr>
          </w:p>
          <w:p w14:paraId="0F06D29D">
            <w:pPr>
              <w:adjustRightInd w:val="0"/>
              <w:snapToGrid w:val="0"/>
              <w:spacing w:line="400" w:lineRule="exact"/>
              <w:jc w:val="center"/>
              <w:rPr>
                <w:rFonts w:ascii="仿宋" w:hAnsi="仿宋" w:eastAsia="仿宋" w:cs="仿宋"/>
                <w:color w:val="auto"/>
                <w:sz w:val="24"/>
                <w:highlight w:val="none"/>
              </w:rPr>
            </w:pPr>
          </w:p>
        </w:tc>
        <w:tc>
          <w:tcPr>
            <w:tcW w:w="2067" w:type="dxa"/>
            <w:vMerge w:val="restart"/>
            <w:vAlign w:val="center"/>
          </w:tcPr>
          <w:p w14:paraId="7ED41B47">
            <w:pPr>
              <w:adjustRightInd w:val="0"/>
              <w:snapToGri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联合体投标说明</w:t>
            </w:r>
          </w:p>
          <w:p w14:paraId="7BFD3F7F">
            <w:pPr>
              <w:adjustRightInd w:val="0"/>
              <w:snapToGrid w:val="0"/>
              <w:jc w:val="center"/>
              <w:rPr>
                <w:rFonts w:ascii="仿宋" w:hAnsi="仿宋" w:eastAsia="仿宋" w:cs="仿宋"/>
                <w:b/>
                <w:color w:val="auto"/>
                <w:sz w:val="24"/>
                <w:highlight w:val="none"/>
              </w:rPr>
            </w:pPr>
          </w:p>
        </w:tc>
        <w:tc>
          <w:tcPr>
            <w:tcW w:w="5855" w:type="dxa"/>
            <w:vAlign w:val="center"/>
          </w:tcPr>
          <w:p w14:paraId="06CF3D6B">
            <w:pPr>
              <w:pStyle w:val="32"/>
              <w:adjustRightInd w:val="0"/>
              <w:snapToGrid w:val="0"/>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lang w:val="en-US" w:eastAsia="zh-CN"/>
              </w:rPr>
              <w:t>以联合体形式参与磋商的，</w:t>
            </w:r>
            <w:r>
              <w:rPr>
                <w:rFonts w:hint="eastAsia" w:ascii="仿宋" w:hAnsi="仿宋" w:eastAsia="仿宋" w:cs="仿宋"/>
                <w:color w:val="auto"/>
                <w:kern w:val="28"/>
                <w:sz w:val="24"/>
                <w:szCs w:val="24"/>
                <w:highlight w:val="none"/>
              </w:rPr>
              <w:t>资格文件中：</w:t>
            </w:r>
          </w:p>
          <w:p w14:paraId="0C81E6D2">
            <w:pPr>
              <w:pStyle w:val="32"/>
              <w:adjustRightInd w:val="0"/>
              <w:snapToGrid w:val="0"/>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1、联合体各方均应提供“符合参加采购活动应当具备的一般条件的承诺函”，否则资格审查不通过。（承诺函格式见采购文件第</w:t>
            </w:r>
            <w:r>
              <w:rPr>
                <w:rFonts w:hint="eastAsia" w:ascii="仿宋" w:hAnsi="仿宋" w:eastAsia="仿宋" w:cs="仿宋"/>
                <w:color w:val="auto"/>
                <w:kern w:val="28"/>
                <w:sz w:val="24"/>
                <w:szCs w:val="24"/>
                <w:highlight w:val="none"/>
                <w:lang w:val="en-US" w:eastAsia="zh-CN"/>
              </w:rPr>
              <w:t>七部分</w:t>
            </w:r>
            <w:r>
              <w:rPr>
                <w:rFonts w:hint="eastAsia" w:ascii="仿宋" w:hAnsi="仿宋" w:eastAsia="仿宋" w:cs="仿宋"/>
                <w:color w:val="auto"/>
                <w:kern w:val="28"/>
                <w:sz w:val="24"/>
                <w:szCs w:val="24"/>
                <w:highlight w:val="none"/>
              </w:rPr>
              <w:t>）</w:t>
            </w:r>
          </w:p>
          <w:p w14:paraId="3B555C9C">
            <w:pPr>
              <w:pStyle w:val="32"/>
              <w:adjustRightInd w:val="0"/>
              <w:snapToGrid w:val="0"/>
              <w:rPr>
                <w:rFonts w:hint="default"/>
                <w:color w:val="auto"/>
                <w:highlight w:val="none"/>
                <w:lang w:val="en-US" w:eastAsia="zh-CN"/>
              </w:rPr>
            </w:pPr>
            <w:r>
              <w:rPr>
                <w:rFonts w:hint="eastAsia" w:ascii="仿宋" w:hAnsi="仿宋" w:eastAsia="仿宋" w:cs="仿宋"/>
                <w:color w:val="auto"/>
                <w:kern w:val="28"/>
                <w:sz w:val="24"/>
                <w:szCs w:val="24"/>
                <w:highlight w:val="none"/>
              </w:rPr>
              <w:t>2、资格文件中必须提供联合协议</w:t>
            </w:r>
            <w:r>
              <w:rPr>
                <w:rFonts w:hint="eastAsia" w:ascii="仿宋" w:hAnsi="仿宋" w:eastAsia="仿宋" w:cs="仿宋"/>
                <w:color w:val="auto"/>
                <w:kern w:val="28"/>
                <w:sz w:val="24"/>
                <w:szCs w:val="24"/>
                <w:highlight w:val="none"/>
                <w:lang w:eastAsia="zh-CN"/>
              </w:rPr>
              <w:t>，</w:t>
            </w:r>
            <w:r>
              <w:rPr>
                <w:rFonts w:hint="eastAsia" w:ascii="仿宋" w:hAnsi="仿宋" w:eastAsia="仿宋" w:cs="仿宋"/>
                <w:color w:val="auto"/>
                <w:kern w:val="28"/>
                <w:sz w:val="24"/>
                <w:szCs w:val="24"/>
                <w:highlight w:val="none"/>
              </w:rPr>
              <w:t>否则资格审查不通过。（联合协议格式见采购文件第</w:t>
            </w:r>
            <w:r>
              <w:rPr>
                <w:rFonts w:hint="eastAsia" w:ascii="仿宋" w:hAnsi="仿宋" w:eastAsia="仿宋" w:cs="仿宋"/>
                <w:color w:val="auto"/>
                <w:kern w:val="28"/>
                <w:sz w:val="24"/>
                <w:szCs w:val="24"/>
                <w:highlight w:val="none"/>
                <w:lang w:val="en-US" w:eastAsia="zh-CN"/>
              </w:rPr>
              <w:t>七部分</w:t>
            </w:r>
            <w:r>
              <w:rPr>
                <w:rFonts w:hint="eastAsia" w:ascii="仿宋" w:hAnsi="仿宋" w:eastAsia="仿宋" w:cs="仿宋"/>
                <w:color w:val="auto"/>
                <w:kern w:val="28"/>
                <w:sz w:val="24"/>
                <w:szCs w:val="24"/>
                <w:highlight w:val="none"/>
              </w:rPr>
              <w:t>）</w:t>
            </w:r>
          </w:p>
        </w:tc>
      </w:tr>
      <w:tr w14:paraId="18A79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78" w:hRule="atLeast"/>
        </w:trPr>
        <w:tc>
          <w:tcPr>
            <w:tcW w:w="629" w:type="dxa"/>
            <w:vMerge w:val="continue"/>
            <w:vAlign w:val="center"/>
          </w:tcPr>
          <w:p w14:paraId="243BE1BE">
            <w:pPr>
              <w:adjustRightInd w:val="0"/>
              <w:snapToGrid w:val="0"/>
              <w:spacing w:line="400" w:lineRule="exact"/>
              <w:jc w:val="center"/>
              <w:rPr>
                <w:rFonts w:ascii="仿宋" w:hAnsi="仿宋" w:eastAsia="仿宋" w:cs="仿宋"/>
                <w:color w:val="auto"/>
                <w:sz w:val="24"/>
                <w:highlight w:val="none"/>
              </w:rPr>
            </w:pPr>
          </w:p>
        </w:tc>
        <w:tc>
          <w:tcPr>
            <w:tcW w:w="2067" w:type="dxa"/>
            <w:vMerge w:val="continue"/>
            <w:vAlign w:val="center"/>
          </w:tcPr>
          <w:p w14:paraId="37CB8BAC">
            <w:pPr>
              <w:adjustRightInd w:val="0"/>
              <w:snapToGrid w:val="0"/>
              <w:jc w:val="center"/>
              <w:rPr>
                <w:rFonts w:ascii="仿宋" w:hAnsi="仿宋" w:eastAsia="仿宋" w:cs="仿宋"/>
                <w:b/>
                <w:color w:val="auto"/>
                <w:sz w:val="24"/>
                <w:highlight w:val="none"/>
              </w:rPr>
            </w:pPr>
          </w:p>
        </w:tc>
        <w:tc>
          <w:tcPr>
            <w:tcW w:w="5855" w:type="dxa"/>
            <w:vAlign w:val="center"/>
          </w:tcPr>
          <w:p w14:paraId="59BB36F9">
            <w:pPr>
              <w:pStyle w:val="32"/>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lang w:val="en-US" w:eastAsia="zh-CN"/>
              </w:rPr>
              <w:t>业绩证明材料</w:t>
            </w:r>
          </w:p>
          <w:p w14:paraId="70079068">
            <w:pPr>
              <w:pStyle w:val="32"/>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lang w:val="en-US" w:eastAsia="zh-CN"/>
              </w:rPr>
              <w:t>☐联合体投标的，按联合体协议约定的分工内容出具相应的业绩证明材料。承担相同工作的各方或工作内容存在部分相同的，业绩数量以提供材料较少的一方为准。</w:t>
            </w:r>
          </w:p>
          <w:p w14:paraId="5F0870FE">
            <w:pPr>
              <w:pStyle w:val="32"/>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lang w:val="en-US" w:eastAsia="zh-CN"/>
              </w:rPr>
              <w:sym w:font="Wingdings" w:char="00FE"/>
            </w:r>
            <w:r>
              <w:rPr>
                <w:rFonts w:hint="eastAsia" w:ascii="仿宋" w:hAnsi="仿宋" w:eastAsia="仿宋" w:cs="仿宋"/>
                <w:color w:val="auto"/>
                <w:kern w:val="28"/>
                <w:sz w:val="24"/>
                <w:szCs w:val="24"/>
                <w:highlight w:val="none"/>
                <w:lang w:val="en-US" w:eastAsia="zh-CN"/>
              </w:rPr>
              <w:t>联合体投标的，由联合体牵头方出具相应的业绩证明材料。</w:t>
            </w:r>
          </w:p>
          <w:p w14:paraId="1ADB7DF6">
            <w:pPr>
              <w:pStyle w:val="32"/>
              <w:adjustRightInd w:val="0"/>
              <w:snapToGrid w:val="0"/>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lang w:val="en-US" w:eastAsia="zh-CN"/>
              </w:rPr>
              <w:t>☐其他规定：</w:t>
            </w:r>
            <w:r>
              <w:rPr>
                <w:rFonts w:hint="eastAsia" w:ascii="仿宋" w:hAnsi="仿宋" w:eastAsia="仿宋" w:cs="仿宋"/>
                <w:color w:val="auto"/>
                <w:kern w:val="28"/>
                <w:sz w:val="24"/>
                <w:szCs w:val="24"/>
                <w:highlight w:val="none"/>
                <w:u w:val="single"/>
                <w:lang w:val="en-US" w:eastAsia="zh-CN"/>
              </w:rPr>
              <w:t xml:space="preserve">       /          </w:t>
            </w:r>
          </w:p>
        </w:tc>
      </w:tr>
      <w:tr w14:paraId="7324E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80" w:hRule="atLeast"/>
        </w:trPr>
        <w:tc>
          <w:tcPr>
            <w:tcW w:w="629" w:type="dxa"/>
            <w:vMerge w:val="continue"/>
            <w:vAlign w:val="center"/>
          </w:tcPr>
          <w:p w14:paraId="212B96B3">
            <w:pPr>
              <w:adjustRightInd w:val="0"/>
              <w:snapToGrid w:val="0"/>
              <w:spacing w:line="400" w:lineRule="exact"/>
              <w:jc w:val="center"/>
              <w:rPr>
                <w:rFonts w:ascii="仿宋" w:hAnsi="仿宋" w:eastAsia="仿宋" w:cs="仿宋"/>
                <w:color w:val="auto"/>
                <w:sz w:val="24"/>
                <w:highlight w:val="none"/>
              </w:rPr>
            </w:pPr>
          </w:p>
        </w:tc>
        <w:tc>
          <w:tcPr>
            <w:tcW w:w="2067" w:type="dxa"/>
            <w:vMerge w:val="continue"/>
            <w:vAlign w:val="center"/>
          </w:tcPr>
          <w:p w14:paraId="554FE50F">
            <w:pPr>
              <w:adjustRightInd w:val="0"/>
              <w:snapToGrid w:val="0"/>
              <w:jc w:val="center"/>
              <w:rPr>
                <w:rFonts w:hint="eastAsia" w:ascii="仿宋" w:hAnsi="仿宋" w:eastAsia="仿宋" w:cs="仿宋"/>
                <w:b/>
                <w:color w:val="auto"/>
                <w:sz w:val="24"/>
                <w:highlight w:val="none"/>
              </w:rPr>
            </w:pPr>
          </w:p>
        </w:tc>
        <w:tc>
          <w:tcPr>
            <w:tcW w:w="5855" w:type="dxa"/>
            <w:vAlign w:val="center"/>
          </w:tcPr>
          <w:p w14:paraId="699A01C9">
            <w:pPr>
              <w:pStyle w:val="32"/>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lang w:val="en-US" w:eastAsia="zh-CN"/>
              </w:rPr>
              <w:t>其他资信证明材料</w:t>
            </w:r>
          </w:p>
          <w:p w14:paraId="6A09FA04">
            <w:pPr>
              <w:pStyle w:val="32"/>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lang w:val="en-US" w:eastAsia="zh-CN"/>
              </w:rPr>
              <w:sym w:font="Wingdings" w:char="00FE"/>
            </w:r>
            <w:r>
              <w:rPr>
                <w:rFonts w:hint="eastAsia" w:ascii="仿宋" w:hAnsi="仿宋" w:eastAsia="仿宋" w:cs="仿宋"/>
                <w:color w:val="auto"/>
                <w:kern w:val="28"/>
                <w:sz w:val="24"/>
                <w:szCs w:val="24"/>
                <w:highlight w:val="none"/>
                <w:lang w:val="en-US" w:eastAsia="zh-CN"/>
              </w:rPr>
              <w:t>联合体投标的，联合体各方均需按招标文件第四部分评标标准要求提供资信证明文件，否则视为不符合相关要求。</w:t>
            </w:r>
          </w:p>
          <w:p w14:paraId="08A25F79">
            <w:pPr>
              <w:pStyle w:val="32"/>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lang w:val="en-US" w:eastAsia="zh-CN"/>
              </w:rPr>
              <w:sym w:font="Wingdings" w:char="00A8"/>
            </w:r>
            <w:r>
              <w:rPr>
                <w:rFonts w:hint="eastAsia" w:ascii="仿宋" w:hAnsi="仿宋" w:eastAsia="仿宋" w:cs="仿宋"/>
                <w:color w:val="auto"/>
                <w:kern w:val="28"/>
                <w:sz w:val="24"/>
                <w:szCs w:val="24"/>
                <w:highlight w:val="none"/>
                <w:lang w:val="en-US" w:eastAsia="zh-CN"/>
              </w:rPr>
              <w:t>联合体投标的，联合体牵头方或者联合体成员根据分工按招标文件第四部分评标标准要求提供资信证明文件的，视为符合了相关要求。</w:t>
            </w:r>
          </w:p>
          <w:p w14:paraId="46D799AB">
            <w:pPr>
              <w:pStyle w:val="32"/>
              <w:adjustRightInd w:val="0"/>
              <w:snapToGrid w:val="0"/>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color w:val="auto"/>
                <w:kern w:val="28"/>
                <w:sz w:val="24"/>
                <w:szCs w:val="24"/>
                <w:highlight w:val="none"/>
                <w:lang w:val="en-US" w:eastAsia="zh-CN"/>
              </w:rPr>
              <w:t>☐其他规定：</w:t>
            </w:r>
            <w:r>
              <w:rPr>
                <w:rFonts w:hint="eastAsia" w:ascii="仿宋" w:hAnsi="仿宋" w:eastAsia="仿宋" w:cs="仿宋"/>
                <w:color w:val="auto"/>
                <w:kern w:val="28"/>
                <w:sz w:val="24"/>
                <w:szCs w:val="24"/>
                <w:highlight w:val="none"/>
                <w:u w:val="single"/>
                <w:lang w:val="en-US" w:eastAsia="zh-CN"/>
              </w:rPr>
              <w:t xml:space="preserve">         /        </w:t>
            </w:r>
          </w:p>
        </w:tc>
      </w:tr>
      <w:tr w14:paraId="76FF2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80" w:hRule="atLeast"/>
        </w:trPr>
        <w:tc>
          <w:tcPr>
            <w:tcW w:w="629" w:type="dxa"/>
            <w:vAlign w:val="center"/>
          </w:tcPr>
          <w:p w14:paraId="6B00F8B7">
            <w:pPr>
              <w:adjustRightInd w:val="0"/>
              <w:snapToGrid w:val="0"/>
              <w:spacing w:line="40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2067" w:type="dxa"/>
            <w:vAlign w:val="center"/>
          </w:tcPr>
          <w:p w14:paraId="4963117E">
            <w:pPr>
              <w:adjustRightInd w:val="0"/>
              <w:snapToGrid w:val="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特别说明</w:t>
            </w:r>
          </w:p>
        </w:tc>
        <w:tc>
          <w:tcPr>
            <w:tcW w:w="5855" w:type="dxa"/>
            <w:vAlign w:val="center"/>
          </w:tcPr>
          <w:p w14:paraId="198F2231">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snapToGrid w:val="0"/>
                <w:kern w:val="28"/>
                <w:sz w:val="24"/>
                <w:highlight w:val="none"/>
                <w:lang w:val="en-US" w:eastAsia="zh-CN"/>
              </w:rPr>
            </w:pPr>
            <w:r>
              <w:rPr>
                <w:rFonts w:hint="eastAsia" w:ascii="仿宋" w:hAnsi="仿宋" w:eastAsia="仿宋" w:cs="仿宋"/>
                <w:snapToGrid w:val="0"/>
                <w:kern w:val="28"/>
                <w:sz w:val="24"/>
                <w:highlight w:val="none"/>
                <w:lang w:val="en-US" w:eastAsia="zh-CN"/>
              </w:rPr>
              <w:t>1.本项目整体服务对象的范围广，为确保服务工作的有序进行，根据服务对象的不同设置3个标项，每个标项产生一家成交供应商。</w:t>
            </w:r>
          </w:p>
          <w:p w14:paraId="053A740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default" w:ascii="仿宋" w:hAnsi="仿宋" w:eastAsia="仿宋" w:cs="仿宋"/>
                <w:snapToGrid w:val="0"/>
                <w:kern w:val="28"/>
                <w:sz w:val="24"/>
                <w:highlight w:val="none"/>
                <w:lang w:val="en-US" w:eastAsia="zh-CN"/>
              </w:rPr>
            </w:pPr>
            <w:r>
              <w:rPr>
                <w:rFonts w:hint="eastAsia" w:ascii="仿宋" w:hAnsi="仿宋" w:eastAsia="仿宋" w:cs="仿宋"/>
                <w:snapToGrid w:val="0"/>
                <w:kern w:val="28"/>
                <w:sz w:val="24"/>
                <w:highlight w:val="none"/>
                <w:lang w:val="en-US" w:eastAsia="zh-CN"/>
              </w:rPr>
              <w:t>2.供应商可自行选择任意一个或多个标项参与响应，但只允许在一个标项成交。若供应商同时参加多个标项的，各个标项的响应文件分别制作、上传。</w:t>
            </w:r>
          </w:p>
          <w:p w14:paraId="039CDD13">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snapToGrid w:val="0"/>
                <w:kern w:val="28"/>
                <w:sz w:val="24"/>
                <w:highlight w:val="none"/>
                <w:lang w:val="en-US" w:eastAsia="zh-CN"/>
              </w:rPr>
            </w:pPr>
            <w:r>
              <w:rPr>
                <w:rFonts w:hint="eastAsia" w:ascii="仿宋" w:hAnsi="仿宋" w:eastAsia="仿宋" w:cs="仿宋"/>
                <w:snapToGrid w:val="0"/>
                <w:kern w:val="28"/>
                <w:sz w:val="24"/>
                <w:highlight w:val="none"/>
                <w:lang w:val="en-US" w:eastAsia="zh-CN"/>
              </w:rPr>
              <w:t>3.本项目采用兼投不兼中的原则确定各标项第一成交候选人。在评审时，评审小组按照标项顺序（按照竞争性磋商公告中列明的标项顺序）依次进行磋商，磋商结束后，各个标项的供应商在规定时间内提交最后报价。评审结果按评审后得分由高到低顺序排列。响应文件满足采购文件全部实质性要求，且按照评审因素的量化指标评审得分最高的供应商为排名第一的成交候选人。评审后得分相同的，按最终报价由低到高顺序排列；得分且最终报价相同，出现并列情形的，则由评审小组投票，按照少数服从多数的原则作出结论。</w:t>
            </w:r>
          </w:p>
          <w:p w14:paraId="6C727DAB">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default" w:ascii="仿宋" w:hAnsi="仿宋" w:eastAsia="仿宋" w:cs="仿宋"/>
                <w:color w:val="auto"/>
                <w:kern w:val="28"/>
                <w:sz w:val="24"/>
                <w:szCs w:val="24"/>
                <w:highlight w:val="none"/>
                <w:lang w:val="en-US" w:eastAsia="zh-CN"/>
              </w:rPr>
            </w:pPr>
            <w:r>
              <w:rPr>
                <w:rFonts w:hint="eastAsia" w:ascii="仿宋" w:hAnsi="仿宋" w:eastAsia="仿宋" w:cs="仿宋"/>
                <w:snapToGrid w:val="0"/>
                <w:kern w:val="28"/>
                <w:sz w:val="24"/>
                <w:highlight w:val="none"/>
                <w:lang w:val="en-US" w:eastAsia="zh-CN"/>
              </w:rPr>
              <w:t>4.▲成交顺序根据评审顺序。经评审已被标项1推荐为第一成交候选人的供应商，在标项2.标项3的最终报价无效，且不再推荐为标项2、标项3的成交候选人。以此类推。</w:t>
            </w:r>
          </w:p>
        </w:tc>
      </w:tr>
    </w:tbl>
    <w:p w14:paraId="29FE32F5">
      <w:pPr>
        <w:rPr>
          <w:rFonts w:ascii="仿宋" w:hAnsi="仿宋" w:eastAsia="仿宋" w:cs="仿宋"/>
          <w:color w:val="auto"/>
          <w:highlight w:val="none"/>
        </w:rPr>
      </w:pPr>
    </w:p>
    <w:p w14:paraId="67976281">
      <w:pPr>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br w:type="page"/>
      </w:r>
    </w:p>
    <w:p w14:paraId="21DAA4E6">
      <w:pPr>
        <w:adjustRightInd/>
        <w:spacing w:line="360" w:lineRule="auto"/>
        <w:jc w:val="center"/>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二、总则</w:t>
      </w:r>
    </w:p>
    <w:p w14:paraId="0207D40E">
      <w:pPr>
        <w:keepNext w:val="0"/>
        <w:keepLines w:val="0"/>
        <w:pageBreakBefore w:val="0"/>
        <w:widowControl w:val="0"/>
        <w:numPr>
          <w:ilvl w:val="0"/>
          <w:numId w:val="17"/>
        </w:numPr>
        <w:kinsoku/>
        <w:wordWrap/>
        <w:overflowPunct/>
        <w:topLinePunct w:val="0"/>
        <w:autoSpaceDE/>
        <w:autoSpaceDN/>
        <w:bidi w:val="0"/>
        <w:adjustRightInd w:val="0"/>
        <w:snapToGrid w:val="0"/>
        <w:spacing w:line="360" w:lineRule="auto"/>
        <w:ind w:left="0" w:leftChars="0" w:firstLine="0" w:firstLineChars="0"/>
        <w:jc w:val="left"/>
        <w:textAlignment w:val="auto"/>
        <w:outlineLvl w:val="9"/>
        <w:rPr>
          <w:rFonts w:ascii="仿宋_GB2312" w:hAnsi="仿宋" w:eastAsia="仿宋_GB2312"/>
          <w:b/>
          <w:color w:val="auto"/>
          <w:sz w:val="24"/>
          <w:highlight w:val="none"/>
        </w:rPr>
      </w:pPr>
      <w:r>
        <w:rPr>
          <w:rFonts w:hint="eastAsia" w:ascii="仿宋_GB2312" w:hAnsi="仿宋" w:eastAsia="仿宋_GB2312"/>
          <w:b/>
          <w:color w:val="auto"/>
          <w:sz w:val="24"/>
          <w:highlight w:val="none"/>
        </w:rPr>
        <w:t>适用范围</w:t>
      </w:r>
    </w:p>
    <w:p w14:paraId="118C7E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outlineLvl w:val="9"/>
        <w:rPr>
          <w:rFonts w:ascii="仿宋_GB2312" w:hAnsi="仿宋" w:eastAsia="仿宋_GB2312"/>
          <w:color w:val="auto"/>
          <w:sz w:val="24"/>
          <w:highlight w:val="none"/>
        </w:rPr>
      </w:pPr>
      <w:r>
        <w:rPr>
          <w:rFonts w:hint="eastAsia" w:ascii="仿宋_GB2312" w:hAnsi="仿宋" w:eastAsia="仿宋_GB2312"/>
          <w:color w:val="auto"/>
          <w:sz w:val="24"/>
          <w:highlight w:val="none"/>
        </w:rPr>
        <w:t>本磋商文件适用于该项目的邀请、响应、开启响应文件、信用信息查询、资格性审查、评审、成交、合同、验收等行为（法律、法规另有规定的，从其规定）。</w:t>
      </w:r>
    </w:p>
    <w:p w14:paraId="543E3539">
      <w:pPr>
        <w:keepNext w:val="0"/>
        <w:keepLines w:val="0"/>
        <w:pageBreakBefore w:val="0"/>
        <w:widowControl w:val="0"/>
        <w:numPr>
          <w:ilvl w:val="0"/>
          <w:numId w:val="17"/>
        </w:numPr>
        <w:kinsoku/>
        <w:wordWrap/>
        <w:overflowPunct/>
        <w:topLinePunct w:val="0"/>
        <w:autoSpaceDE/>
        <w:autoSpaceDN/>
        <w:bidi w:val="0"/>
        <w:adjustRightInd w:val="0"/>
        <w:snapToGrid w:val="0"/>
        <w:spacing w:line="360" w:lineRule="auto"/>
        <w:ind w:left="0" w:leftChars="0" w:firstLine="0" w:firstLineChars="0"/>
        <w:jc w:val="left"/>
        <w:textAlignment w:val="auto"/>
        <w:outlineLvl w:val="9"/>
        <w:rPr>
          <w:rFonts w:hint="eastAsia" w:ascii="仿宋_GB2312" w:hAnsi="仿宋" w:eastAsia="仿宋_GB2312"/>
          <w:b/>
          <w:color w:val="auto"/>
          <w:sz w:val="24"/>
          <w:highlight w:val="none"/>
        </w:rPr>
      </w:pPr>
      <w:r>
        <w:rPr>
          <w:rFonts w:hint="eastAsia" w:ascii="仿宋_GB2312" w:hAnsi="仿宋" w:eastAsia="仿宋_GB2312"/>
          <w:b/>
          <w:color w:val="auto"/>
          <w:sz w:val="24"/>
          <w:highlight w:val="none"/>
        </w:rPr>
        <w:t>定义</w:t>
      </w:r>
    </w:p>
    <w:p w14:paraId="6CE6A1A0">
      <w:pPr>
        <w:keepNext w:val="0"/>
        <w:keepLines w:val="0"/>
        <w:pageBreakBefore w:val="0"/>
        <w:widowControl w:val="0"/>
        <w:numPr>
          <w:ilvl w:val="1"/>
          <w:numId w:val="18"/>
        </w:numPr>
        <w:kinsoku/>
        <w:wordWrap/>
        <w:overflowPunct/>
        <w:topLinePunct w:val="0"/>
        <w:autoSpaceDE/>
        <w:autoSpaceDN/>
        <w:bidi w:val="0"/>
        <w:adjustRightInd w:val="0"/>
        <w:spacing w:line="360" w:lineRule="auto"/>
        <w:ind w:left="10" w:leftChars="0" w:firstLine="387" w:firstLineChars="0"/>
        <w:textAlignment w:val="auto"/>
        <w:outlineLvl w:val="9"/>
        <w:rPr>
          <w:rFonts w:ascii="仿宋_GB2312" w:hAnsi="仿宋" w:eastAsia="仿宋_GB2312"/>
          <w:color w:val="auto"/>
          <w:sz w:val="24"/>
          <w:highlight w:val="none"/>
        </w:rPr>
      </w:pPr>
      <w:r>
        <w:rPr>
          <w:rFonts w:hint="eastAsia" w:ascii="仿宋_GB2312" w:hAnsi="仿宋" w:eastAsia="仿宋_GB2312"/>
          <w:color w:val="auto"/>
          <w:sz w:val="24"/>
          <w:highlight w:val="none"/>
        </w:rPr>
        <w:t>“采购人”系指磋商邀请公告中载明的本项目的采购人。</w:t>
      </w:r>
    </w:p>
    <w:p w14:paraId="6FB41F4B">
      <w:pPr>
        <w:keepNext w:val="0"/>
        <w:keepLines w:val="0"/>
        <w:pageBreakBefore w:val="0"/>
        <w:widowControl w:val="0"/>
        <w:numPr>
          <w:ilvl w:val="1"/>
          <w:numId w:val="18"/>
        </w:numPr>
        <w:kinsoku/>
        <w:wordWrap/>
        <w:overflowPunct/>
        <w:topLinePunct w:val="0"/>
        <w:autoSpaceDE/>
        <w:autoSpaceDN/>
        <w:bidi w:val="0"/>
        <w:adjustRightInd w:val="0"/>
        <w:spacing w:line="360" w:lineRule="auto"/>
        <w:ind w:left="10" w:leftChars="0" w:firstLine="387" w:firstLineChars="0"/>
        <w:textAlignment w:val="auto"/>
        <w:outlineLvl w:val="9"/>
        <w:rPr>
          <w:rFonts w:ascii="仿宋_GB2312" w:hAnsi="仿宋" w:eastAsia="仿宋_GB2312"/>
          <w:color w:val="auto"/>
          <w:sz w:val="24"/>
          <w:highlight w:val="none"/>
        </w:rPr>
      </w:pP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lang w:eastAsia="zh-CN"/>
        </w:rPr>
        <w:t>采购代理机构</w:t>
      </w:r>
      <w:r>
        <w:rPr>
          <w:rFonts w:hint="eastAsia" w:ascii="仿宋_GB2312" w:hAnsi="仿宋" w:eastAsia="仿宋_GB2312"/>
          <w:color w:val="auto"/>
          <w:sz w:val="24"/>
          <w:highlight w:val="none"/>
        </w:rPr>
        <w:t>”系指磋商邀请公告中载明的本项目的</w:t>
      </w:r>
      <w:r>
        <w:rPr>
          <w:rFonts w:hint="eastAsia" w:ascii="仿宋_GB2312" w:hAnsi="仿宋" w:eastAsia="仿宋_GB2312"/>
          <w:color w:val="auto"/>
          <w:sz w:val="24"/>
          <w:highlight w:val="none"/>
          <w:lang w:eastAsia="zh-CN"/>
        </w:rPr>
        <w:t>采购代理机构</w:t>
      </w:r>
      <w:r>
        <w:rPr>
          <w:rFonts w:hint="eastAsia" w:ascii="仿宋_GB2312" w:hAnsi="仿宋" w:eastAsia="仿宋_GB2312"/>
          <w:color w:val="auto"/>
          <w:sz w:val="24"/>
          <w:highlight w:val="none"/>
        </w:rPr>
        <w:t>。</w:t>
      </w:r>
    </w:p>
    <w:p w14:paraId="34D95759">
      <w:pPr>
        <w:keepNext w:val="0"/>
        <w:keepLines w:val="0"/>
        <w:pageBreakBefore w:val="0"/>
        <w:widowControl w:val="0"/>
        <w:numPr>
          <w:ilvl w:val="1"/>
          <w:numId w:val="18"/>
        </w:numPr>
        <w:kinsoku/>
        <w:wordWrap/>
        <w:overflowPunct/>
        <w:topLinePunct w:val="0"/>
        <w:autoSpaceDE/>
        <w:autoSpaceDN/>
        <w:bidi w:val="0"/>
        <w:adjustRightInd w:val="0"/>
        <w:spacing w:line="360" w:lineRule="auto"/>
        <w:ind w:left="10" w:leftChars="0" w:firstLine="387" w:firstLineChars="0"/>
        <w:textAlignment w:val="auto"/>
        <w:outlineLvl w:val="9"/>
        <w:rPr>
          <w:rFonts w:ascii="仿宋_GB2312" w:hAnsi="仿宋" w:eastAsia="仿宋_GB2312"/>
          <w:color w:val="auto"/>
          <w:sz w:val="24"/>
          <w:highlight w:val="none"/>
        </w:rPr>
      </w:pPr>
      <w:r>
        <w:rPr>
          <w:rFonts w:hint="eastAsia" w:ascii="仿宋_GB2312" w:hAnsi="仿宋" w:eastAsia="仿宋_GB2312"/>
          <w:color w:val="auto"/>
          <w:sz w:val="24"/>
          <w:highlight w:val="none"/>
        </w:rPr>
        <w:t>“供应商”系指响应磋商、参加本次竞争的法人、其他组织或自然人。</w:t>
      </w:r>
    </w:p>
    <w:p w14:paraId="2052A829">
      <w:pPr>
        <w:keepNext w:val="0"/>
        <w:keepLines w:val="0"/>
        <w:pageBreakBefore w:val="0"/>
        <w:widowControl w:val="0"/>
        <w:numPr>
          <w:ilvl w:val="1"/>
          <w:numId w:val="18"/>
        </w:numPr>
        <w:kinsoku/>
        <w:wordWrap/>
        <w:overflowPunct/>
        <w:topLinePunct w:val="0"/>
        <w:autoSpaceDE/>
        <w:autoSpaceDN/>
        <w:bidi w:val="0"/>
        <w:adjustRightInd w:val="0"/>
        <w:spacing w:line="360" w:lineRule="auto"/>
        <w:ind w:left="10" w:leftChars="0" w:firstLine="387" w:firstLineChars="0"/>
        <w:textAlignment w:val="auto"/>
        <w:outlineLvl w:val="9"/>
        <w:rPr>
          <w:rFonts w:ascii="仿宋_GB2312" w:hAnsi="仿宋" w:eastAsia="仿宋_GB2312"/>
          <w:color w:val="auto"/>
          <w:sz w:val="24"/>
          <w:highlight w:val="none"/>
        </w:rPr>
      </w:pPr>
      <w:r>
        <w:rPr>
          <w:rFonts w:hint="eastAsia" w:ascii="仿宋_GB2312" w:hAnsi="仿宋" w:eastAsia="仿宋_GB2312"/>
          <w:color w:val="auto"/>
          <w:sz w:val="24"/>
          <w:highlight w:val="none"/>
        </w:rPr>
        <w:t>“负责人”系指法人企业的法定负责人，或其他组织为法律、行政法规规定代表单位行使职权的主要负责人，或自然人本人。</w:t>
      </w:r>
    </w:p>
    <w:p w14:paraId="7D9484C1">
      <w:pPr>
        <w:keepNext w:val="0"/>
        <w:keepLines w:val="0"/>
        <w:pageBreakBefore w:val="0"/>
        <w:widowControl w:val="0"/>
        <w:numPr>
          <w:ilvl w:val="1"/>
          <w:numId w:val="18"/>
        </w:numPr>
        <w:kinsoku/>
        <w:wordWrap/>
        <w:overflowPunct/>
        <w:topLinePunct w:val="0"/>
        <w:autoSpaceDE/>
        <w:autoSpaceDN/>
        <w:bidi w:val="0"/>
        <w:adjustRightInd w:val="0"/>
        <w:spacing w:line="360" w:lineRule="auto"/>
        <w:ind w:left="10" w:leftChars="0" w:firstLine="387" w:firstLineChars="0"/>
        <w:textAlignment w:val="auto"/>
        <w:outlineLvl w:val="9"/>
        <w:rPr>
          <w:rFonts w:ascii="仿宋_GB2312" w:hAnsi="仿宋" w:eastAsia="仿宋_GB2312"/>
          <w:color w:val="auto"/>
          <w:sz w:val="24"/>
          <w:highlight w:val="none"/>
        </w:rPr>
      </w:pPr>
      <w:r>
        <w:rPr>
          <w:rFonts w:hint="eastAsia" w:ascii="仿宋_GB2312" w:hAnsi="仿宋" w:eastAsia="仿宋_GB2312"/>
          <w:color w:val="auto"/>
          <w:sz w:val="24"/>
          <w:highlight w:val="none"/>
        </w:rPr>
        <w:t>“成交人”系指经评审确定的成交供应商。</w:t>
      </w:r>
    </w:p>
    <w:p w14:paraId="64D9E368">
      <w:pPr>
        <w:keepNext w:val="0"/>
        <w:keepLines w:val="0"/>
        <w:pageBreakBefore w:val="0"/>
        <w:widowControl w:val="0"/>
        <w:numPr>
          <w:ilvl w:val="1"/>
          <w:numId w:val="18"/>
        </w:numPr>
        <w:kinsoku/>
        <w:wordWrap/>
        <w:overflowPunct/>
        <w:topLinePunct w:val="0"/>
        <w:autoSpaceDE/>
        <w:autoSpaceDN/>
        <w:bidi w:val="0"/>
        <w:adjustRightInd w:val="0"/>
        <w:spacing w:line="360" w:lineRule="auto"/>
        <w:ind w:left="10" w:leftChars="0" w:firstLine="387" w:firstLineChars="0"/>
        <w:textAlignment w:val="auto"/>
        <w:outlineLvl w:val="9"/>
        <w:rPr>
          <w:rFonts w:ascii="仿宋_GB2312" w:hAnsi="仿宋" w:eastAsia="仿宋_GB2312"/>
          <w:color w:val="auto"/>
          <w:sz w:val="24"/>
          <w:highlight w:val="none"/>
        </w:rPr>
      </w:pPr>
      <w:r>
        <w:rPr>
          <w:rFonts w:hint="eastAsia" w:ascii="仿宋_GB2312" w:hAnsi="仿宋" w:eastAsia="仿宋_GB2312"/>
          <w:color w:val="auto"/>
          <w:sz w:val="24"/>
          <w:highlight w:val="none"/>
        </w:rPr>
        <w:t>“响应文件”系指供应商提交的商务技术文件。供应商提交最后报价后，最后报价是供应商响应文件的有效组成部分。</w:t>
      </w:r>
    </w:p>
    <w:p w14:paraId="06F3ACBB">
      <w:pPr>
        <w:keepNext w:val="0"/>
        <w:keepLines w:val="0"/>
        <w:pageBreakBefore w:val="0"/>
        <w:widowControl w:val="0"/>
        <w:numPr>
          <w:ilvl w:val="1"/>
          <w:numId w:val="18"/>
        </w:numPr>
        <w:kinsoku/>
        <w:wordWrap/>
        <w:overflowPunct/>
        <w:topLinePunct w:val="0"/>
        <w:autoSpaceDE/>
        <w:autoSpaceDN/>
        <w:bidi w:val="0"/>
        <w:adjustRightInd w:val="0"/>
        <w:spacing w:line="360" w:lineRule="auto"/>
        <w:ind w:left="10" w:leftChars="0" w:firstLine="387" w:firstLineChars="0"/>
        <w:textAlignment w:val="auto"/>
        <w:outlineLvl w:val="9"/>
        <w:rPr>
          <w:rFonts w:ascii="仿宋_GB2312" w:hAnsi="仿宋" w:eastAsia="仿宋_GB2312"/>
          <w:color w:val="auto"/>
          <w:sz w:val="24"/>
          <w:highlight w:val="none"/>
        </w:rPr>
      </w:pPr>
      <w:r>
        <w:rPr>
          <w:rFonts w:hint="eastAsia" w:ascii="仿宋_GB2312" w:hAnsi="仿宋" w:eastAsia="仿宋_GB2312"/>
          <w:color w:val="auto"/>
          <w:sz w:val="24"/>
          <w:highlight w:val="none"/>
        </w:rPr>
        <w:t>“电子交易平台”是指本项目政府采购活动所依托的政府采购云平台（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ascii="仿宋_GB2312" w:hAnsi="仿宋" w:eastAsia="仿宋_GB2312" w:cs="Times New Roman"/>
          <w:snapToGrid/>
          <w:color w:val="auto"/>
          <w:kern w:val="2"/>
          <w:sz w:val="24"/>
          <w:szCs w:val="24"/>
          <w:highlight w:val="none"/>
        </w:rPr>
        <w:t>https://www.zcygov.cn/</w:t>
      </w:r>
      <w:r>
        <w:rPr>
          <w:rStyle w:val="68"/>
          <w:rFonts w:hint="eastAsia" w:ascii="仿宋_GB2312" w:hAnsi="仿宋" w:eastAsia="仿宋_GB2312" w:cs="Times New Roman"/>
          <w:snapToGrid/>
          <w:color w:val="auto"/>
          <w:kern w:val="2"/>
          <w:sz w:val="24"/>
          <w:szCs w:val="24"/>
          <w:highlight w:val="none"/>
        </w:rPr>
        <w:fldChar w:fldCharType="end"/>
      </w:r>
      <w:r>
        <w:rPr>
          <w:rFonts w:hint="eastAsia" w:ascii="仿宋_GB2312" w:hAnsi="仿宋" w:eastAsia="仿宋_GB2312"/>
          <w:color w:val="auto"/>
          <w:sz w:val="24"/>
          <w:highlight w:val="none"/>
        </w:rPr>
        <w:t>）。</w:t>
      </w:r>
    </w:p>
    <w:p w14:paraId="4175B056">
      <w:pPr>
        <w:keepNext w:val="0"/>
        <w:keepLines w:val="0"/>
        <w:pageBreakBefore w:val="0"/>
        <w:widowControl w:val="0"/>
        <w:numPr>
          <w:ilvl w:val="1"/>
          <w:numId w:val="18"/>
        </w:numPr>
        <w:kinsoku/>
        <w:wordWrap/>
        <w:overflowPunct/>
        <w:topLinePunct w:val="0"/>
        <w:autoSpaceDE/>
        <w:autoSpaceDN/>
        <w:bidi w:val="0"/>
        <w:adjustRightInd w:val="0"/>
        <w:spacing w:line="360" w:lineRule="auto"/>
        <w:ind w:left="10" w:leftChars="0" w:firstLine="387" w:firstLineChars="0"/>
        <w:textAlignment w:val="auto"/>
        <w:outlineLvl w:val="9"/>
        <w:rPr>
          <w:rFonts w:ascii="仿宋_GB2312" w:hAnsi="仿宋" w:eastAsia="仿宋_GB2312"/>
          <w:color w:val="auto"/>
          <w:sz w:val="24"/>
          <w:highlight w:val="none"/>
        </w:rPr>
      </w:pPr>
      <w:r>
        <w:rPr>
          <w:rFonts w:hint="eastAsia" w:ascii="仿宋_GB2312" w:hAnsi="仿宋" w:eastAsia="仿宋_GB2312"/>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hint="eastAsia" w:ascii="仿宋_GB2312" w:hAnsi="仿宋" w:eastAsia="仿宋_GB2312"/>
          <w:color w:val="auto"/>
          <w:sz w:val="24"/>
          <w:highlight w:val="none"/>
          <w:lang w:val="en-US" w:eastAsia="zh-CN"/>
        </w:rPr>
        <w:t>4</w:t>
      </w:r>
      <w:r>
        <w:rPr>
          <w:rFonts w:hint="eastAsia" w:ascii="仿宋_GB2312" w:hAnsi="仿宋" w:eastAsia="仿宋_GB2312"/>
          <w:color w:val="auto"/>
          <w:sz w:val="24"/>
          <w:highlight w:val="none"/>
        </w:rPr>
        <w:t>）。</w:t>
      </w:r>
    </w:p>
    <w:p w14:paraId="1EC283CA">
      <w:pPr>
        <w:keepNext w:val="0"/>
        <w:keepLines w:val="0"/>
        <w:pageBreakBefore w:val="0"/>
        <w:widowControl w:val="0"/>
        <w:numPr>
          <w:ilvl w:val="1"/>
          <w:numId w:val="18"/>
        </w:numPr>
        <w:kinsoku/>
        <w:wordWrap/>
        <w:overflowPunct/>
        <w:topLinePunct w:val="0"/>
        <w:autoSpaceDE/>
        <w:autoSpaceDN/>
        <w:bidi w:val="0"/>
        <w:adjustRightInd w:val="0"/>
        <w:spacing w:line="360" w:lineRule="auto"/>
        <w:ind w:left="10" w:leftChars="0" w:firstLine="387" w:firstLineChars="0"/>
        <w:textAlignment w:val="auto"/>
        <w:outlineLvl w:val="9"/>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“书面形式”包括数据电文形式与纸质形式。数据电文形式与纸质形式的采购活动具有同等法律效力。</w:t>
      </w:r>
    </w:p>
    <w:p w14:paraId="595A4539">
      <w:pPr>
        <w:keepNext w:val="0"/>
        <w:keepLines w:val="0"/>
        <w:pageBreakBefore w:val="0"/>
        <w:widowControl w:val="0"/>
        <w:numPr>
          <w:ilvl w:val="1"/>
          <w:numId w:val="18"/>
        </w:numPr>
        <w:kinsoku/>
        <w:wordWrap/>
        <w:overflowPunct/>
        <w:topLinePunct w:val="0"/>
        <w:autoSpaceDE/>
        <w:autoSpaceDN/>
        <w:bidi w:val="0"/>
        <w:adjustRightInd w:val="0"/>
        <w:spacing w:line="360" w:lineRule="auto"/>
        <w:ind w:left="10" w:leftChars="0" w:firstLine="387" w:firstLineChars="0"/>
        <w:textAlignment w:val="auto"/>
        <w:outlineLvl w:val="9"/>
        <w:rPr>
          <w:rFonts w:hint="eastAsia"/>
          <w:color w:val="auto"/>
          <w:highlight w:val="none"/>
          <w:lang w:eastAsia="zh-CN"/>
        </w:rPr>
      </w:pPr>
      <w:r>
        <w:rPr>
          <w:rFonts w:hint="eastAsia" w:ascii="仿宋_GB2312" w:hAnsi="仿宋" w:eastAsia="仿宋_GB2312"/>
          <w:b/>
          <w:bCs/>
          <w:color w:val="auto"/>
          <w:sz w:val="24"/>
          <w:highlight w:val="none"/>
        </w:rPr>
        <w:t>“▲”</w:t>
      </w:r>
      <w:r>
        <w:rPr>
          <w:rFonts w:ascii="仿宋_GB2312" w:hAnsi="仿宋" w:eastAsia="仿宋_GB2312"/>
          <w:b/>
          <w:bCs/>
          <w:color w:val="auto"/>
          <w:sz w:val="24"/>
          <w:highlight w:val="none"/>
        </w:rPr>
        <w:t xml:space="preserve"> </w:t>
      </w:r>
      <w:r>
        <w:rPr>
          <w:rFonts w:hint="eastAsia" w:ascii="仿宋_GB2312" w:hAnsi="仿宋" w:eastAsia="仿宋_GB2312"/>
          <w:b/>
          <w:bCs/>
          <w:color w:val="auto"/>
          <w:sz w:val="24"/>
          <w:highlight w:val="none"/>
        </w:rPr>
        <w:t>系指实质性要求条款，“※”系指磋商过程中可能实质性变动的内容</w:t>
      </w:r>
      <w:r>
        <w:rPr>
          <w:rFonts w:hint="eastAsia" w:ascii="仿宋_GB2312" w:hAnsi="仿宋" w:eastAsia="仿宋_GB2312"/>
          <w:b/>
          <w:bCs/>
          <w:color w:val="auto"/>
          <w:sz w:val="24"/>
          <w:highlight w:val="none"/>
          <w:lang w:eastAsia="zh-CN"/>
        </w:rPr>
        <w:t>，</w:t>
      </w:r>
      <w:r>
        <w:rPr>
          <w:rFonts w:hint="eastAsia" w:ascii="仿宋_GB2312" w:hAnsi="仿宋" w:eastAsia="仿宋_GB2312"/>
          <w:b/>
          <w:bCs/>
          <w:color w:val="auto"/>
          <w:sz w:val="24"/>
          <w:highlight w:val="none"/>
        </w:rPr>
        <w:t>“</w:t>
      </w:r>
      <w:sdt>
        <w:sdtPr>
          <w:rPr>
            <w:rFonts w:hint="eastAsia" w:ascii="仿宋_GB2312" w:hAnsi="仿宋" w:eastAsia="仿宋_GB2312" w:cs="Arial"/>
            <w:b/>
            <w:bCs/>
            <w:color w:val="auto"/>
            <w:kern w:val="0"/>
            <w:sz w:val="24"/>
            <w:highlight w:val="none"/>
          </w:rPr>
          <w:id w:val="512970236"/>
          <w14:checkbox>
            <w14:checked w14:val="1"/>
            <w14:checkedState w14:val="00FE" w14:font="Wingdings"/>
            <w14:uncheckedState w14:val="2610" w14:font="MS Gothic"/>
          </w14:checkbox>
        </w:sdtPr>
        <w:sdtEndPr>
          <w:rPr>
            <w:rFonts w:hint="eastAsia" w:ascii="仿宋_GB2312" w:hAnsi="仿宋" w:eastAsia="仿宋_GB2312" w:cs="Arial"/>
            <w:b/>
            <w:bCs/>
            <w:color w:val="auto"/>
            <w:kern w:val="0"/>
            <w:sz w:val="24"/>
            <w:highlight w:val="none"/>
          </w:rPr>
        </w:sdtEndPr>
        <w:sdtContent>
          <w:r>
            <w:rPr>
              <w:rFonts w:ascii="Wingdings" w:hAnsi="Wingdings" w:eastAsia="仿宋_GB2312" w:cs="Arial"/>
              <w:b/>
              <w:bCs/>
              <w:color w:val="auto"/>
              <w:kern w:val="0"/>
              <w:sz w:val="24"/>
              <w:highlight w:val="none"/>
            </w:rPr>
            <w:t></w:t>
          </w:r>
        </w:sdtContent>
      </w:sdt>
      <w:r>
        <w:rPr>
          <w:rFonts w:hint="eastAsia" w:ascii="仿宋_GB2312" w:hAnsi="仿宋" w:eastAsia="仿宋_GB2312"/>
          <w:b/>
          <w:bCs/>
          <w:color w:val="auto"/>
          <w:sz w:val="24"/>
          <w:highlight w:val="none"/>
        </w:rPr>
        <w:t>”</w:t>
      </w:r>
      <w:r>
        <w:rPr>
          <w:rFonts w:ascii="仿宋_GB2312" w:hAnsi="仿宋" w:eastAsia="仿宋_GB2312"/>
          <w:b/>
          <w:bCs/>
          <w:color w:val="auto"/>
          <w:sz w:val="24"/>
          <w:highlight w:val="none"/>
        </w:rPr>
        <w:t xml:space="preserve"> </w:t>
      </w:r>
      <w:r>
        <w:rPr>
          <w:rFonts w:hint="eastAsia" w:ascii="仿宋_GB2312" w:hAnsi="仿宋" w:eastAsia="仿宋_GB2312"/>
          <w:b/>
          <w:bCs/>
          <w:color w:val="auto"/>
          <w:sz w:val="24"/>
          <w:highlight w:val="none"/>
        </w:rPr>
        <w:t>系指适用本项目的要求，“</w:t>
      </w:r>
      <w:sdt>
        <w:sdtPr>
          <w:rPr>
            <w:rFonts w:hint="eastAsia" w:ascii="仿宋_GB2312" w:hAnsi="仿宋" w:eastAsia="仿宋_GB2312" w:cs="Arial"/>
            <w:b/>
            <w:bCs/>
            <w:color w:val="auto"/>
            <w:kern w:val="0"/>
            <w:sz w:val="24"/>
            <w:highlight w:val="none"/>
          </w:rPr>
          <w:id w:val="404888855"/>
          <w14:checkbox>
            <w14:checked w14:val="0"/>
            <w14:checkedState w14:val="00FE" w14:font="Wingdings"/>
            <w14:uncheckedState w14:val="2610" w14:font="MS Gothic"/>
          </w14:checkbox>
        </w:sdtPr>
        <w:sdtEndPr>
          <w:rPr>
            <w:rFonts w:hint="eastAsia" w:ascii="仿宋_GB2312" w:hAnsi="仿宋" w:eastAsia="仿宋_GB2312" w:cs="Arial"/>
            <w:b/>
            <w:bCs/>
            <w:color w:val="auto"/>
            <w:kern w:val="0"/>
            <w:sz w:val="24"/>
            <w:highlight w:val="none"/>
          </w:rPr>
        </w:sdtEndPr>
        <w:sdtContent>
          <w:r>
            <w:rPr>
              <w:rFonts w:ascii="MS Gothic" w:hAnsi="MS Gothic" w:eastAsia="MS Gothic" w:cs="Arial"/>
              <w:b/>
              <w:bCs/>
              <w:color w:val="auto"/>
              <w:kern w:val="0"/>
              <w:sz w:val="24"/>
              <w:highlight w:val="none"/>
            </w:rPr>
            <w:t>☐</w:t>
          </w:r>
        </w:sdtContent>
      </w:sdt>
      <w:r>
        <w:rPr>
          <w:rFonts w:hint="eastAsia" w:ascii="仿宋_GB2312" w:hAnsi="仿宋" w:eastAsia="仿宋_GB2312"/>
          <w:b/>
          <w:bCs/>
          <w:color w:val="auto"/>
          <w:sz w:val="24"/>
          <w:highlight w:val="none"/>
        </w:rPr>
        <w:t>”</w:t>
      </w:r>
      <w:r>
        <w:rPr>
          <w:rFonts w:ascii="仿宋_GB2312" w:hAnsi="仿宋" w:eastAsia="仿宋_GB2312"/>
          <w:b/>
          <w:bCs/>
          <w:color w:val="auto"/>
          <w:sz w:val="24"/>
          <w:highlight w:val="none"/>
        </w:rPr>
        <w:t xml:space="preserve"> </w:t>
      </w:r>
      <w:r>
        <w:rPr>
          <w:rFonts w:hint="eastAsia" w:ascii="仿宋_GB2312" w:hAnsi="仿宋" w:eastAsia="仿宋_GB2312"/>
          <w:b/>
          <w:bCs/>
          <w:color w:val="auto"/>
          <w:sz w:val="24"/>
          <w:highlight w:val="none"/>
        </w:rPr>
        <w:t>系指不适用本项目的要求。</w:t>
      </w:r>
    </w:p>
    <w:p w14:paraId="5515BF14">
      <w:pPr>
        <w:keepNext w:val="0"/>
        <w:keepLines w:val="0"/>
        <w:pageBreakBefore w:val="0"/>
        <w:widowControl w:val="0"/>
        <w:numPr>
          <w:ilvl w:val="0"/>
          <w:numId w:val="17"/>
        </w:numPr>
        <w:kinsoku/>
        <w:wordWrap/>
        <w:overflowPunct/>
        <w:topLinePunct w:val="0"/>
        <w:autoSpaceDE/>
        <w:autoSpaceDN/>
        <w:bidi w:val="0"/>
        <w:adjustRightInd w:val="0"/>
        <w:snapToGrid w:val="0"/>
        <w:spacing w:line="360" w:lineRule="auto"/>
        <w:ind w:left="0" w:leftChars="0" w:firstLine="0" w:firstLineChars="0"/>
        <w:jc w:val="left"/>
        <w:textAlignment w:val="auto"/>
        <w:outlineLvl w:val="9"/>
        <w:rPr>
          <w:rFonts w:hint="eastAsia" w:ascii="仿宋_GB2312" w:hAnsi="仿宋" w:eastAsia="仿宋_GB2312"/>
          <w:b/>
          <w:color w:val="auto"/>
          <w:sz w:val="24"/>
          <w:highlight w:val="none"/>
        </w:rPr>
      </w:pPr>
      <w:r>
        <w:rPr>
          <w:rFonts w:hint="eastAsia" w:ascii="仿宋_GB2312" w:hAnsi="仿宋" w:eastAsia="仿宋_GB2312"/>
          <w:b/>
          <w:color w:val="auto"/>
          <w:sz w:val="24"/>
          <w:highlight w:val="none"/>
        </w:rPr>
        <w:t>响应有效期</w:t>
      </w:r>
    </w:p>
    <w:p w14:paraId="114B584D">
      <w:pPr>
        <w:keepNext w:val="0"/>
        <w:keepLines w:val="0"/>
        <w:pageBreakBefore w:val="0"/>
        <w:widowControl w:val="0"/>
        <w:numPr>
          <w:ilvl w:val="0"/>
          <w:numId w:val="0"/>
        </w:numPr>
        <w:kinsoku/>
        <w:wordWrap/>
        <w:overflowPunct/>
        <w:topLinePunct w:val="0"/>
        <w:autoSpaceDE/>
        <w:autoSpaceDN/>
        <w:bidi w:val="0"/>
        <w:adjustRightInd w:val="0"/>
        <w:spacing w:line="360" w:lineRule="auto"/>
        <w:ind w:leftChars="0" w:firstLine="480" w:firstLineChars="200"/>
        <w:textAlignment w:val="auto"/>
        <w:outlineLvl w:val="9"/>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▲3.1响应有效期为从提交响应文件的截止之日起90天。供应商的响应文件中承诺的响应有效期少于磋商文件中载明的磋商有效期的，响应无效。</w:t>
      </w:r>
    </w:p>
    <w:p w14:paraId="67E40494">
      <w:pPr>
        <w:keepNext w:val="0"/>
        <w:keepLines w:val="0"/>
        <w:pageBreakBefore w:val="0"/>
        <w:widowControl w:val="0"/>
        <w:numPr>
          <w:ilvl w:val="0"/>
          <w:numId w:val="0"/>
        </w:numPr>
        <w:kinsoku/>
        <w:wordWrap/>
        <w:overflowPunct/>
        <w:topLinePunct w:val="0"/>
        <w:autoSpaceDE/>
        <w:autoSpaceDN/>
        <w:bidi w:val="0"/>
        <w:adjustRightInd w:val="0"/>
        <w:spacing w:line="360" w:lineRule="auto"/>
        <w:ind w:leftChars="0" w:firstLine="480" w:firstLineChars="200"/>
        <w:textAlignment w:val="auto"/>
        <w:outlineLvl w:val="9"/>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3.2响应文件合格提交后，自响应截止日期起，在响应有效期内有效。</w:t>
      </w:r>
    </w:p>
    <w:p w14:paraId="7DDA36BF">
      <w:pPr>
        <w:keepNext w:val="0"/>
        <w:keepLines w:val="0"/>
        <w:pageBreakBefore w:val="0"/>
        <w:widowControl w:val="0"/>
        <w:numPr>
          <w:ilvl w:val="0"/>
          <w:numId w:val="0"/>
        </w:numPr>
        <w:kinsoku/>
        <w:wordWrap/>
        <w:overflowPunct/>
        <w:topLinePunct w:val="0"/>
        <w:autoSpaceDE/>
        <w:autoSpaceDN/>
        <w:bidi w:val="0"/>
        <w:adjustRightInd w:val="0"/>
        <w:spacing w:line="360" w:lineRule="auto"/>
        <w:ind w:leftChars="0" w:firstLine="480" w:firstLineChars="200"/>
        <w:textAlignment w:val="auto"/>
        <w:outlineLvl w:val="9"/>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3.3在原定响应有效期满之前，如果出现特殊情况，采购</w:t>
      </w:r>
      <w:r>
        <w:rPr>
          <w:rFonts w:hint="eastAsia" w:ascii="仿宋_GB2312" w:hAnsi="仿宋" w:eastAsia="仿宋_GB2312"/>
          <w:color w:val="auto"/>
          <w:sz w:val="24"/>
          <w:highlight w:val="none"/>
          <w:lang w:eastAsia="zh-CN"/>
        </w:rPr>
        <w:t>代理</w:t>
      </w:r>
      <w:r>
        <w:rPr>
          <w:rFonts w:hint="eastAsia" w:ascii="仿宋_GB2312" w:hAnsi="仿宋" w:eastAsia="仿宋_GB2312"/>
          <w:color w:val="auto"/>
          <w:sz w:val="24"/>
          <w:highlight w:val="none"/>
        </w:rPr>
        <w:t>机构可以以书面形式通知供应商延长响应有效期。供应商同意延长的，不得要求或被允许修改其响应文件;供应商拒绝延长的，其响应无效。拒绝延长磋商有效期的供应商不得再参与该项目后续采购活动。</w:t>
      </w:r>
    </w:p>
    <w:p w14:paraId="4288509C">
      <w:pPr>
        <w:keepNext w:val="0"/>
        <w:keepLines w:val="0"/>
        <w:pageBreakBefore w:val="0"/>
        <w:widowControl w:val="0"/>
        <w:numPr>
          <w:ilvl w:val="0"/>
          <w:numId w:val="17"/>
        </w:numPr>
        <w:kinsoku/>
        <w:wordWrap/>
        <w:overflowPunct/>
        <w:topLinePunct w:val="0"/>
        <w:autoSpaceDE/>
        <w:autoSpaceDN/>
        <w:bidi w:val="0"/>
        <w:adjustRightInd w:val="0"/>
        <w:snapToGrid w:val="0"/>
        <w:spacing w:line="360" w:lineRule="auto"/>
        <w:ind w:left="0" w:leftChars="0" w:firstLine="0" w:firstLineChars="0"/>
        <w:jc w:val="left"/>
        <w:textAlignment w:val="auto"/>
        <w:outlineLvl w:val="9"/>
        <w:rPr>
          <w:rFonts w:hint="eastAsia" w:ascii="仿宋_GB2312" w:hAnsi="仿宋" w:eastAsia="仿宋_GB2312"/>
          <w:b/>
          <w:color w:val="auto"/>
          <w:sz w:val="24"/>
          <w:highlight w:val="none"/>
        </w:rPr>
      </w:pPr>
      <w:r>
        <w:rPr>
          <w:rFonts w:hint="eastAsia" w:ascii="仿宋_GB2312" w:hAnsi="仿宋" w:eastAsia="仿宋_GB2312"/>
          <w:b/>
          <w:color w:val="auto"/>
          <w:sz w:val="24"/>
          <w:highlight w:val="none"/>
        </w:rPr>
        <w:t>响应费用</w:t>
      </w:r>
    </w:p>
    <w:p w14:paraId="6398B72F">
      <w:pPr>
        <w:keepNext w:val="0"/>
        <w:keepLines w:val="0"/>
        <w:pageBreakBefore w:val="0"/>
        <w:widowControl w:val="0"/>
        <w:numPr>
          <w:ilvl w:val="0"/>
          <w:numId w:val="0"/>
        </w:numPr>
        <w:kinsoku/>
        <w:wordWrap/>
        <w:overflowPunct/>
        <w:topLinePunct w:val="0"/>
        <w:autoSpaceDE/>
        <w:autoSpaceDN/>
        <w:bidi w:val="0"/>
        <w:adjustRightInd w:val="0"/>
        <w:spacing w:line="360" w:lineRule="auto"/>
        <w:ind w:leftChars="0" w:firstLine="480" w:firstLineChars="200"/>
        <w:textAlignment w:val="auto"/>
        <w:outlineLvl w:val="9"/>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供应商需自行承担涉及响应的一切费用。</w:t>
      </w:r>
    </w:p>
    <w:p w14:paraId="4CD3B6C7">
      <w:pPr>
        <w:pStyle w:val="59"/>
        <w:rPr>
          <w:rFonts w:hint="eastAsia"/>
          <w:color w:val="auto"/>
          <w:highlight w:val="none"/>
        </w:rPr>
      </w:pPr>
    </w:p>
    <w:p w14:paraId="414A737F">
      <w:pPr>
        <w:adjustRightInd/>
        <w:spacing w:line="360" w:lineRule="auto"/>
        <w:jc w:val="center"/>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三、需要落实的政府采购政策</w:t>
      </w:r>
    </w:p>
    <w:p w14:paraId="66707720">
      <w:pPr>
        <w:pStyle w:val="396"/>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1.是否允许采购进口产品要求</w:t>
      </w:r>
    </w:p>
    <w:p w14:paraId="20E12950">
      <w:pPr>
        <w:pStyle w:val="32"/>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2212DB0E">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2.支持绿色发展</w:t>
      </w:r>
    </w:p>
    <w:p w14:paraId="3D1B4CF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p>
    <w:p w14:paraId="560C8D23">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113172E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14:paraId="18F7498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7E5056A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鼓励供应商在参加政府采购过程中开展绿色设计、选择绿色材料、打造绿色制造工艺、开展绿色运输、做好废弃产品回收处理，实现产品全周期的绿色环保。鼓励采购单位对其提高预付款比例、免收履约保证金。</w:t>
      </w:r>
    </w:p>
    <w:p w14:paraId="5A9C9728">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3.支持中小企业发展。</w:t>
      </w:r>
    </w:p>
    <w:p w14:paraId="183B72B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493FF00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47CD3CCE">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3.2</w:t>
      </w:r>
      <w:r>
        <w:rPr>
          <w:rFonts w:hint="eastAsia" w:ascii="仿宋" w:hAnsi="仿宋" w:eastAsia="仿宋" w:cs="仿宋"/>
          <w:color w:val="auto"/>
          <w:kern w:val="0"/>
          <w:sz w:val="24"/>
          <w:highlight w:val="none"/>
        </w:rPr>
        <w:t>在政府采购活动中，服务类项目采购，服务由中小企业承接，即提供服务的人员为中小企业依照《中华人民共和国劳动合同法》订立劳动合同的从业人员，享受中小企业扶持政策。</w:t>
      </w:r>
    </w:p>
    <w:p w14:paraId="550B11C5">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4151F73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3.3对于未预留份额专门面向中小企业的政府采购服务项目，以及预留份额政府采购服务项目中的非预留部分标项，对小型和微型企业的最后报价给予</w:t>
      </w:r>
      <w:r>
        <w:rPr>
          <w:rFonts w:hint="eastAsia" w:ascii="仿宋" w:hAnsi="仿宋" w:eastAsia="仿宋" w:cs="仿宋"/>
          <w:b/>
          <w:bCs/>
          <w:color w:val="auto"/>
          <w:sz w:val="24"/>
          <w:highlight w:val="none"/>
        </w:rPr>
        <w:t>10%—20%</w:t>
      </w:r>
      <w:r>
        <w:rPr>
          <w:rFonts w:hint="eastAsia" w:ascii="仿宋" w:hAnsi="仿宋" w:eastAsia="仿宋" w:cs="仿宋"/>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w:t>
      </w:r>
      <w:r>
        <w:rPr>
          <w:rFonts w:hint="eastAsia" w:ascii="仿宋" w:hAnsi="仿宋" w:eastAsia="仿宋" w:cs="仿宋"/>
          <w:b/>
          <w:bCs/>
          <w:color w:val="auto"/>
          <w:sz w:val="24"/>
          <w:highlight w:val="none"/>
        </w:rPr>
        <w:t>4%-6%</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3CF5356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3.4符合《关于促进残疾人就业政府采购政策的通知》（财库〔2017〕141号）规定的条件并提供《残疾人福利性单位声明函》（附件3）的残疾人福利性单位视同小型、微型企业；</w:t>
      </w:r>
    </w:p>
    <w:p w14:paraId="055A97D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3.5符合《关于政府采购支持监狱企业发展有关问题的通知》（财库</w:t>
      </w:r>
      <w:r>
        <w:rPr>
          <w:rFonts w:hint="eastAsia" w:ascii="仿宋" w:hAnsi="仿宋" w:eastAsia="仿宋" w:cs="仿宋"/>
          <w:color w:val="auto"/>
          <w:sz w:val="24"/>
          <w:highlight w:val="none"/>
          <w:lang w:eastAsia="zh-CN"/>
        </w:rPr>
        <w:t>〔2014〕68号</w:t>
      </w:r>
      <w:r>
        <w:rPr>
          <w:rFonts w:hint="eastAsia" w:ascii="仿宋" w:hAnsi="仿宋" w:eastAsia="仿宋" w:cs="仿宋"/>
          <w:color w:val="auto"/>
          <w:sz w:val="24"/>
          <w:highlight w:val="none"/>
        </w:rPr>
        <w:t>）规定的监狱企业并提供由省级以上监狱管理局、戒毒管理局（含新疆生产建设兵团）出具的属于监狱企业证明文件的，视同为小型、微型企业。</w:t>
      </w:r>
    </w:p>
    <w:p w14:paraId="238A8E3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6419F27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3.7中小企业享受扶持政策获得政府采购合同的，小微企业不得将合同分包给大中型企业，中型企业不得将合同分包给大型企业。</w:t>
      </w:r>
    </w:p>
    <w:p w14:paraId="64910A14">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仿宋"/>
          <w:b/>
          <w:bCs/>
          <w:color w:val="auto"/>
          <w:sz w:val="24"/>
          <w:highlight w:val="none"/>
        </w:rPr>
        <w:t>支持创新发展</w:t>
      </w:r>
    </w:p>
    <w:p w14:paraId="634106A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 采购人优先采购被认定为首台套产品和“制造精品”的自主创新产品。</w:t>
      </w:r>
    </w:p>
    <w:p w14:paraId="285D378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46AEA9A3">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w:t>
      </w:r>
      <w:r>
        <w:rPr>
          <w:rFonts w:hint="eastAsia" w:ascii="仿宋" w:hAnsi="仿宋" w:eastAsia="仿宋" w:cs="仿宋"/>
          <w:color w:val="auto"/>
          <w:sz w:val="24"/>
          <w:highlight w:val="none"/>
        </w:rPr>
        <w:t>采购人应当贯彻落实知识产权保护相关法律法规，应当采购使用正版软件</w:t>
      </w:r>
      <w:r>
        <w:rPr>
          <w:rFonts w:hint="eastAsia" w:ascii="仿宋" w:hAnsi="仿宋" w:eastAsia="仿宋" w:cs="仿宋"/>
          <w:color w:val="auto"/>
          <w:sz w:val="24"/>
          <w:highlight w:val="none"/>
          <w:lang w:eastAsia="zh-CN"/>
        </w:rPr>
        <w:t>。</w:t>
      </w:r>
    </w:p>
    <w:p w14:paraId="2A8BBCE4">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5.平等对待内外资企业和符合条件的破产重整企业</w:t>
      </w:r>
    </w:p>
    <w:p w14:paraId="36A03939">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6D71B8F9">
      <w:pPr>
        <w:adjustRightInd/>
        <w:spacing w:line="360" w:lineRule="auto"/>
        <w:jc w:val="center"/>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四、询问、质疑与投诉</w:t>
      </w:r>
    </w:p>
    <w:p w14:paraId="4D801FEC">
      <w:pPr>
        <w:pStyle w:val="32"/>
        <w:spacing w:line="360" w:lineRule="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1.在线询问、质疑、投诉</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补偿救济</w:t>
      </w:r>
    </w:p>
    <w:p w14:paraId="3E1BD643">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根据《浙江省财政厅关于进一步促进政府采购公平竞争打造最优营商环境的通知》（浙财采监</w:t>
      </w:r>
      <w:r>
        <w:rPr>
          <w:rFonts w:hint="eastAsia" w:ascii="仿宋" w:hAnsi="仿宋" w:eastAsia="仿宋" w:cs="仿宋"/>
          <w:color w:val="auto"/>
          <w:sz w:val="24"/>
          <w:highlight w:val="none"/>
          <w:lang w:eastAsia="zh-CN"/>
        </w:rPr>
        <w:t>〔2021〕22号</w:t>
      </w:r>
      <w:r>
        <w:rPr>
          <w:rFonts w:hint="eastAsia" w:ascii="仿宋" w:hAnsi="仿宋" w:eastAsia="仿宋" w:cs="仿宋"/>
          <w:color w:val="auto"/>
          <w:sz w:val="24"/>
          <w:highlight w:val="none"/>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AECFA9E">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2.供应商询问</w:t>
      </w:r>
    </w:p>
    <w:p w14:paraId="55964030">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330CF3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3.供应商质疑</w:t>
      </w:r>
    </w:p>
    <w:p w14:paraId="4A206767">
      <w:pPr>
        <w:pStyle w:val="32"/>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lang w:val="zh-CN"/>
        </w:rPr>
        <w:t>3</w:t>
      </w:r>
      <w:r>
        <w:rPr>
          <w:rFonts w:hint="eastAsia" w:ascii="仿宋" w:hAnsi="仿宋" w:eastAsia="仿宋" w:cs="仿宋"/>
          <w:b/>
          <w:color w:val="auto"/>
          <w:sz w:val="24"/>
          <w:highlight w:val="none"/>
        </w:rPr>
        <w:t>.1质疑提出时效</w:t>
      </w:r>
    </w:p>
    <w:p w14:paraId="0F97C996">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3.1.1提出质疑的供应商应当是参与所质疑项目采购活动的供应商。潜在供应商已依法获取其可质疑的采购文件的，可以对该文件提出质疑。</w:t>
      </w:r>
    </w:p>
    <w:p w14:paraId="2D73F5CF">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3</w:t>
      </w:r>
      <w:r>
        <w:rPr>
          <w:rFonts w:hint="eastAsia" w:ascii="仿宋" w:hAnsi="仿宋" w:eastAsia="仿宋" w:cs="仿宋"/>
          <w:color w:val="auto"/>
          <w:sz w:val="24"/>
          <w:highlight w:val="none"/>
        </w:rPr>
        <w:t>.1.2供应商认为采购文件、采购过程和成交结果使自己的权益受到损害的，可以在知道或者应知其权益受到损害之日起七个工作日内，以书面形式向采购人或者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提出质疑，否则，采购人或者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不予受理：</w:t>
      </w:r>
    </w:p>
    <w:p w14:paraId="278F0EFF">
      <w:pPr>
        <w:pStyle w:val="15"/>
        <w:spacing w:line="360" w:lineRule="auto"/>
        <w:ind w:firstLine="434" w:firstLineChars="181"/>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739E1654">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3.1.2.2对采购过程提出质疑的，质疑期限为各采购程序环节结束之日起计算。</w:t>
      </w:r>
    </w:p>
    <w:p w14:paraId="6078A884">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3.1.2.3对采购结果提出质疑的，质疑期限自采购结果公告期限届满之日起计算。</w:t>
      </w:r>
    </w:p>
    <w:p w14:paraId="6E2CE784">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3.1.2.4对同一采购程序环节的质疑，供应商须一次性提出。</w:t>
      </w:r>
    </w:p>
    <w:p w14:paraId="2A53EFE1">
      <w:pPr>
        <w:pStyle w:val="32"/>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3.2质疑答复</w:t>
      </w:r>
    </w:p>
    <w:p w14:paraId="7DBB2071">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3.2.1采购人负责供应商质疑答复。采购人委托采购代理机构采购的，采购代理机构对委托授权范围内质疑事项作出答复。委托授权范围应当在采购代理协议中明确。</w:t>
      </w:r>
    </w:p>
    <w:p w14:paraId="6B24B45C">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3.2.2</w:t>
      </w:r>
      <w:r>
        <w:rPr>
          <w:rFonts w:hint="eastAsia" w:ascii="仿宋" w:hAnsi="仿宋" w:eastAsia="仿宋" w:cs="仿宋"/>
          <w:color w:val="auto"/>
          <w:sz w:val="24"/>
          <w:highlight w:val="none"/>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r>
        <w:rPr>
          <w:rFonts w:hint="eastAsia" w:ascii="仿宋" w:hAnsi="仿宋" w:eastAsia="仿宋" w:cs="仿宋"/>
          <w:color w:val="auto"/>
          <w:sz w:val="24"/>
          <w:highlight w:val="none"/>
          <w:lang w:eastAsia="zh-CN"/>
        </w:rPr>
        <w:t>。</w:t>
      </w:r>
    </w:p>
    <w:p w14:paraId="5FF7AA99">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 2.3询问或者质疑事项可能影响采购结果的，采购人应当暂停签订合同，已经签订合同的，应当中止履行合同。</w:t>
      </w:r>
    </w:p>
    <w:p w14:paraId="6CDF23D9">
      <w:pPr>
        <w:pStyle w:val="32"/>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lang w:val="zh-CN"/>
        </w:rPr>
        <w:t>3.3质疑函</w:t>
      </w:r>
    </w:p>
    <w:p w14:paraId="69F70084">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3.3.1供应商提出质疑应当提交质疑函和必要的证明材料。质疑函应当包括下列内容：</w:t>
      </w:r>
    </w:p>
    <w:p w14:paraId="00BA6C79">
      <w:pPr>
        <w:pStyle w:val="32"/>
        <w:numPr>
          <w:ilvl w:val="0"/>
          <w:numId w:val="19"/>
        </w:numPr>
        <w:tabs>
          <w:tab w:val="left" w:pos="426"/>
        </w:tabs>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供应商的姓名或者名称、地址、邮编、联系人及联系电话；</w:t>
      </w:r>
    </w:p>
    <w:p w14:paraId="6D4385C5">
      <w:pPr>
        <w:pStyle w:val="32"/>
        <w:numPr>
          <w:ilvl w:val="0"/>
          <w:numId w:val="19"/>
        </w:numPr>
        <w:tabs>
          <w:tab w:val="left" w:pos="426"/>
        </w:tabs>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质疑项目的名称、编号；</w:t>
      </w:r>
    </w:p>
    <w:p w14:paraId="5A0616A2">
      <w:pPr>
        <w:pStyle w:val="32"/>
        <w:numPr>
          <w:ilvl w:val="0"/>
          <w:numId w:val="19"/>
        </w:numPr>
        <w:tabs>
          <w:tab w:val="left" w:pos="426"/>
        </w:tabs>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具体、明确的质疑事项和与质疑事项相关的请求；</w:t>
      </w:r>
    </w:p>
    <w:p w14:paraId="17DCE0D2">
      <w:pPr>
        <w:pStyle w:val="32"/>
        <w:numPr>
          <w:ilvl w:val="0"/>
          <w:numId w:val="19"/>
        </w:numPr>
        <w:tabs>
          <w:tab w:val="left" w:pos="426"/>
        </w:tabs>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事实依据；</w:t>
      </w:r>
    </w:p>
    <w:p w14:paraId="3F2E1840">
      <w:pPr>
        <w:pStyle w:val="32"/>
        <w:numPr>
          <w:ilvl w:val="0"/>
          <w:numId w:val="19"/>
        </w:numPr>
        <w:tabs>
          <w:tab w:val="left" w:pos="426"/>
        </w:tabs>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必要的法律依据；</w:t>
      </w:r>
    </w:p>
    <w:p w14:paraId="6951A033">
      <w:pPr>
        <w:pStyle w:val="32"/>
        <w:numPr>
          <w:ilvl w:val="0"/>
          <w:numId w:val="19"/>
        </w:numPr>
        <w:tabs>
          <w:tab w:val="left" w:pos="426"/>
        </w:tabs>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提出质疑的日期。</w:t>
      </w:r>
    </w:p>
    <w:p w14:paraId="07138D3B">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7E59678B">
      <w:pPr>
        <w:pStyle w:val="32"/>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质疑函范本及制作说明详见附件1。</w:t>
      </w:r>
    </w:p>
    <w:p w14:paraId="237630E6">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4.供应商投诉</w:t>
      </w:r>
    </w:p>
    <w:p w14:paraId="6491D22E">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4.1质疑供应商对采购人、采购</w:t>
      </w:r>
      <w:r>
        <w:rPr>
          <w:rFonts w:hint="eastAsia" w:ascii="仿宋" w:hAnsi="仿宋" w:eastAsia="仿宋" w:cs="仿宋"/>
          <w:color w:val="auto"/>
          <w:sz w:val="24"/>
          <w:highlight w:val="none"/>
          <w:lang w:eastAsia="zh-CN"/>
        </w:rPr>
        <w:t>代理</w:t>
      </w:r>
      <w:r>
        <w:rPr>
          <w:rFonts w:hint="eastAsia" w:ascii="仿宋" w:hAnsi="仿宋" w:eastAsia="仿宋" w:cs="仿宋"/>
          <w:color w:val="auto"/>
          <w:sz w:val="24"/>
          <w:highlight w:val="none"/>
        </w:rPr>
        <w:t>机构的答复不满意或者采购人、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未在规定的时间内作出答复的，可以在答复期满后十五个工作日内向同级政府采购监督管理部门提出投诉。</w:t>
      </w:r>
    </w:p>
    <w:p w14:paraId="0048F23B">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4.2供应商投诉的事项不得超出已质疑事项的范围，基于质疑答复内容提出的投诉事项除外。</w:t>
      </w:r>
    </w:p>
    <w:p w14:paraId="26BAAE3E">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4.3供应商投诉应当有明确的请求和必要的证明材料。</w:t>
      </w:r>
    </w:p>
    <w:p w14:paraId="5B2585FF">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4.4以联合体形式参加政府采购活动的，其投诉应当由组成联合体的所有供应商共同提出。</w:t>
      </w:r>
    </w:p>
    <w:p w14:paraId="5705D1C4">
      <w:pPr>
        <w:pStyle w:val="32"/>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投诉书范本及制作说明详见附件2。</w:t>
      </w:r>
    </w:p>
    <w:p w14:paraId="0DC06FB9">
      <w:pPr>
        <w:numPr>
          <w:ilvl w:val="0"/>
          <w:numId w:val="17"/>
        </w:numPr>
        <w:spacing w:line="360" w:lineRule="auto"/>
        <w:ind w:left="0" w:leftChars="0" w:firstLine="0" w:firstLineChars="0"/>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补偿救济</w:t>
      </w:r>
    </w:p>
    <w:p w14:paraId="1B3A2B4E">
      <w:pPr>
        <w:pStyle w:val="32"/>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5.1</w:t>
      </w:r>
      <w:r>
        <w:rPr>
          <w:rFonts w:hint="eastAsia" w:ascii="仿宋" w:hAnsi="仿宋" w:eastAsia="仿宋" w:cs="仿宋"/>
          <w:color w:val="auto"/>
          <w:sz w:val="24"/>
          <w:highlight w:val="none"/>
          <w:lang w:val="zh-CN"/>
        </w:rPr>
        <w:t>采购人（行政机关）因政策变化、规划调整而不履行政府采购合同的，供应商可依据《杭州市涉企补偿救济实施办法（试行）》向采购人（行政机关）提起补偿申请。</w:t>
      </w:r>
    </w:p>
    <w:p w14:paraId="46BDCA46">
      <w:pPr>
        <w:adjustRightInd/>
        <w:spacing w:line="360" w:lineRule="auto"/>
        <w:jc w:val="center"/>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lang w:eastAsia="zh-CN"/>
        </w:rPr>
        <w:t>五</w:t>
      </w:r>
      <w:r>
        <w:rPr>
          <w:rFonts w:hint="eastAsia" w:ascii="仿宋" w:hAnsi="仿宋" w:eastAsia="仿宋" w:cs="仿宋"/>
          <w:b/>
          <w:color w:val="auto"/>
          <w:sz w:val="32"/>
          <w:szCs w:val="20"/>
          <w:highlight w:val="none"/>
        </w:rPr>
        <w:t>、磋商文件构成、修改、解释</w:t>
      </w:r>
    </w:p>
    <w:p w14:paraId="2CF7B3E6">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26" w:leftChars="0"/>
        <w:jc w:val="left"/>
        <w:textAlignment w:val="auto"/>
        <w:outlineLvl w:val="9"/>
        <w:rPr>
          <w:rFonts w:hint="eastAsia" w:ascii="仿宋_GB2312" w:hAnsi="仿宋" w:eastAsia="仿宋_GB2312"/>
          <w:b/>
          <w:color w:val="auto"/>
          <w:sz w:val="24"/>
          <w:highlight w:val="none"/>
        </w:rPr>
      </w:pPr>
      <w:r>
        <w:rPr>
          <w:rFonts w:hint="eastAsia" w:ascii="仿宋_GB2312" w:hAnsi="仿宋" w:eastAsia="仿宋_GB2312"/>
          <w:b/>
          <w:color w:val="auto"/>
          <w:sz w:val="24"/>
          <w:highlight w:val="none"/>
          <w:lang w:val="en-US" w:eastAsia="zh-CN"/>
        </w:rPr>
        <w:t>1.</w:t>
      </w:r>
      <w:r>
        <w:rPr>
          <w:rFonts w:hint="eastAsia" w:ascii="仿宋_GB2312" w:hAnsi="仿宋" w:eastAsia="仿宋_GB2312"/>
          <w:b/>
          <w:color w:val="auto"/>
          <w:sz w:val="24"/>
          <w:highlight w:val="none"/>
        </w:rPr>
        <w:t>磋商文件的构成</w:t>
      </w:r>
    </w:p>
    <w:p w14:paraId="334528C0">
      <w:pPr>
        <w:pStyle w:val="32"/>
        <w:keepNext w:val="0"/>
        <w:keepLines w:val="0"/>
        <w:pageBreakBefore w:val="0"/>
        <w:widowControl w:val="0"/>
        <w:numPr>
          <w:ilvl w:val="0"/>
          <w:numId w:val="0"/>
        </w:numPr>
        <w:kinsoku/>
        <w:wordWrap/>
        <w:overflowPunct/>
        <w:topLinePunct w:val="0"/>
        <w:autoSpaceDE/>
        <w:autoSpaceDN/>
        <w:bidi w:val="0"/>
        <w:adjustRightInd w:val="0"/>
        <w:spacing w:line="360" w:lineRule="auto"/>
        <w:ind w:left="397" w:leftChars="0"/>
        <w:textAlignment w:val="auto"/>
        <w:outlineLvl w:val="9"/>
        <w:rPr>
          <w:rFonts w:ascii="仿宋_GB2312" w:hAnsi="仿宋" w:eastAsia="仿宋_GB2312"/>
          <w:color w:val="auto"/>
          <w:sz w:val="24"/>
          <w:szCs w:val="24"/>
          <w:highlight w:val="none"/>
        </w:rPr>
      </w:pPr>
      <w:r>
        <w:rPr>
          <w:rFonts w:hint="eastAsia" w:ascii="仿宋_GB2312" w:hAnsi="仿宋" w:eastAsia="仿宋_GB2312"/>
          <w:color w:val="auto"/>
          <w:sz w:val="24"/>
          <w:szCs w:val="24"/>
          <w:highlight w:val="none"/>
          <w:lang w:val="en-US" w:eastAsia="zh-CN"/>
        </w:rPr>
        <w:t>1.1</w:t>
      </w:r>
      <w:r>
        <w:rPr>
          <w:rFonts w:hint="eastAsia" w:ascii="仿宋_GB2312" w:hAnsi="仿宋" w:eastAsia="仿宋_GB2312"/>
          <w:color w:val="auto"/>
          <w:sz w:val="24"/>
          <w:szCs w:val="24"/>
          <w:highlight w:val="none"/>
        </w:rPr>
        <w:t>磋商文件包括下列文件及附件</w:t>
      </w:r>
    </w:p>
    <w:p w14:paraId="555944D0">
      <w:pPr>
        <w:pStyle w:val="32"/>
        <w:keepNext w:val="0"/>
        <w:keepLines w:val="0"/>
        <w:pageBreakBefore w:val="0"/>
        <w:widowControl w:val="0"/>
        <w:numPr>
          <w:ilvl w:val="0"/>
          <w:numId w:val="20"/>
        </w:numPr>
        <w:kinsoku/>
        <w:wordWrap/>
        <w:overflowPunct/>
        <w:topLinePunct w:val="0"/>
        <w:autoSpaceDE/>
        <w:autoSpaceDN/>
        <w:bidi w:val="0"/>
        <w:adjustRightInd w:val="0"/>
        <w:spacing w:line="360" w:lineRule="auto"/>
        <w:ind w:left="800" w:leftChars="0"/>
        <w:textAlignment w:val="auto"/>
        <w:outlineLvl w:val="9"/>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供应商邀请</w:t>
      </w:r>
    </w:p>
    <w:p w14:paraId="6A877239">
      <w:pPr>
        <w:pStyle w:val="32"/>
        <w:keepNext w:val="0"/>
        <w:keepLines w:val="0"/>
        <w:pageBreakBefore w:val="0"/>
        <w:widowControl w:val="0"/>
        <w:numPr>
          <w:ilvl w:val="0"/>
          <w:numId w:val="20"/>
        </w:numPr>
        <w:kinsoku/>
        <w:wordWrap/>
        <w:overflowPunct/>
        <w:topLinePunct w:val="0"/>
        <w:autoSpaceDE/>
        <w:autoSpaceDN/>
        <w:bidi w:val="0"/>
        <w:adjustRightInd w:val="0"/>
        <w:spacing w:line="360" w:lineRule="auto"/>
        <w:ind w:left="800" w:leftChars="0"/>
        <w:textAlignment w:val="auto"/>
        <w:outlineLvl w:val="9"/>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竞争性磋商流程</w:t>
      </w:r>
    </w:p>
    <w:p w14:paraId="1F7E67F7">
      <w:pPr>
        <w:pStyle w:val="32"/>
        <w:keepNext w:val="0"/>
        <w:keepLines w:val="0"/>
        <w:pageBreakBefore w:val="0"/>
        <w:widowControl w:val="0"/>
        <w:numPr>
          <w:ilvl w:val="0"/>
          <w:numId w:val="20"/>
        </w:numPr>
        <w:kinsoku/>
        <w:wordWrap/>
        <w:overflowPunct/>
        <w:topLinePunct w:val="0"/>
        <w:autoSpaceDE/>
        <w:autoSpaceDN/>
        <w:bidi w:val="0"/>
        <w:adjustRightInd w:val="0"/>
        <w:spacing w:line="360" w:lineRule="auto"/>
        <w:ind w:left="800" w:leftChars="0"/>
        <w:textAlignment w:val="auto"/>
        <w:outlineLvl w:val="9"/>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供应商须知</w:t>
      </w:r>
    </w:p>
    <w:p w14:paraId="5E799C9F">
      <w:pPr>
        <w:pStyle w:val="32"/>
        <w:keepNext w:val="0"/>
        <w:keepLines w:val="0"/>
        <w:pageBreakBefore w:val="0"/>
        <w:widowControl w:val="0"/>
        <w:numPr>
          <w:ilvl w:val="0"/>
          <w:numId w:val="20"/>
        </w:numPr>
        <w:kinsoku/>
        <w:wordWrap/>
        <w:overflowPunct/>
        <w:topLinePunct w:val="0"/>
        <w:autoSpaceDE/>
        <w:autoSpaceDN/>
        <w:bidi w:val="0"/>
        <w:adjustRightInd w:val="0"/>
        <w:spacing w:line="360" w:lineRule="auto"/>
        <w:ind w:left="800" w:leftChars="0"/>
        <w:textAlignment w:val="auto"/>
        <w:outlineLvl w:val="9"/>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采购需求</w:t>
      </w:r>
    </w:p>
    <w:p w14:paraId="4060B6D6">
      <w:pPr>
        <w:pStyle w:val="32"/>
        <w:keepNext w:val="0"/>
        <w:keepLines w:val="0"/>
        <w:pageBreakBefore w:val="0"/>
        <w:widowControl w:val="0"/>
        <w:numPr>
          <w:ilvl w:val="0"/>
          <w:numId w:val="20"/>
        </w:numPr>
        <w:kinsoku/>
        <w:wordWrap/>
        <w:overflowPunct/>
        <w:topLinePunct w:val="0"/>
        <w:autoSpaceDE/>
        <w:autoSpaceDN/>
        <w:bidi w:val="0"/>
        <w:adjustRightInd w:val="0"/>
        <w:spacing w:line="360" w:lineRule="auto"/>
        <w:ind w:left="800" w:leftChars="0"/>
        <w:textAlignment w:val="auto"/>
        <w:outlineLvl w:val="9"/>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评审方法及评审标准</w:t>
      </w:r>
    </w:p>
    <w:p w14:paraId="45B2BE47">
      <w:pPr>
        <w:pStyle w:val="32"/>
        <w:keepNext w:val="0"/>
        <w:keepLines w:val="0"/>
        <w:pageBreakBefore w:val="0"/>
        <w:widowControl w:val="0"/>
        <w:numPr>
          <w:ilvl w:val="0"/>
          <w:numId w:val="20"/>
        </w:numPr>
        <w:kinsoku/>
        <w:wordWrap/>
        <w:overflowPunct/>
        <w:topLinePunct w:val="0"/>
        <w:autoSpaceDE/>
        <w:autoSpaceDN/>
        <w:bidi w:val="0"/>
        <w:adjustRightInd w:val="0"/>
        <w:spacing w:line="360" w:lineRule="auto"/>
        <w:ind w:left="800" w:leftChars="0"/>
        <w:textAlignment w:val="auto"/>
        <w:outlineLvl w:val="9"/>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拟签订的合同文本</w:t>
      </w:r>
    </w:p>
    <w:p w14:paraId="457D6B9C">
      <w:pPr>
        <w:pStyle w:val="32"/>
        <w:keepNext w:val="0"/>
        <w:keepLines w:val="0"/>
        <w:pageBreakBefore w:val="0"/>
        <w:widowControl w:val="0"/>
        <w:numPr>
          <w:ilvl w:val="0"/>
          <w:numId w:val="20"/>
        </w:numPr>
        <w:kinsoku/>
        <w:wordWrap/>
        <w:overflowPunct/>
        <w:topLinePunct w:val="0"/>
        <w:autoSpaceDE/>
        <w:autoSpaceDN/>
        <w:bidi w:val="0"/>
        <w:adjustRightInd w:val="0"/>
        <w:spacing w:line="360" w:lineRule="auto"/>
        <w:ind w:left="800" w:leftChars="0"/>
        <w:textAlignment w:val="auto"/>
        <w:outlineLvl w:val="9"/>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应提交的有关格式范例</w:t>
      </w:r>
    </w:p>
    <w:p w14:paraId="3CA7D636">
      <w:pPr>
        <w:pStyle w:val="32"/>
        <w:keepNext w:val="0"/>
        <w:keepLines w:val="0"/>
        <w:pageBreakBefore w:val="0"/>
        <w:widowControl w:val="0"/>
        <w:numPr>
          <w:ilvl w:val="0"/>
          <w:numId w:val="20"/>
        </w:numPr>
        <w:kinsoku/>
        <w:wordWrap/>
        <w:overflowPunct/>
        <w:topLinePunct w:val="0"/>
        <w:autoSpaceDE/>
        <w:autoSpaceDN/>
        <w:bidi w:val="0"/>
        <w:adjustRightInd w:val="0"/>
        <w:spacing w:line="360" w:lineRule="auto"/>
        <w:ind w:left="800" w:leftChars="0"/>
        <w:textAlignment w:val="auto"/>
        <w:outlineLvl w:val="9"/>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最后报价格式</w:t>
      </w:r>
    </w:p>
    <w:p w14:paraId="3FA4B707">
      <w:pPr>
        <w:pStyle w:val="32"/>
        <w:keepNext w:val="0"/>
        <w:keepLines w:val="0"/>
        <w:pageBreakBefore w:val="0"/>
        <w:widowControl w:val="0"/>
        <w:numPr>
          <w:ilvl w:val="0"/>
          <w:numId w:val="0"/>
        </w:numPr>
        <w:kinsoku/>
        <w:wordWrap/>
        <w:overflowPunct/>
        <w:topLinePunct w:val="0"/>
        <w:autoSpaceDE/>
        <w:autoSpaceDN/>
        <w:bidi w:val="0"/>
        <w:adjustRightInd w:val="0"/>
        <w:spacing w:line="360" w:lineRule="auto"/>
        <w:ind w:left="397" w:leftChars="0"/>
        <w:textAlignment w:val="auto"/>
        <w:outlineLvl w:val="9"/>
        <w:rPr>
          <w:rFonts w:hint="eastAsia" w:ascii="仿宋_GB2312" w:hAnsi="仿宋" w:eastAsia="仿宋_GB2312"/>
          <w:color w:val="auto"/>
          <w:sz w:val="24"/>
          <w:szCs w:val="24"/>
          <w:highlight w:val="none"/>
          <w:lang w:val="en-US" w:eastAsia="zh-CN"/>
        </w:rPr>
      </w:pPr>
      <w:r>
        <w:rPr>
          <w:rFonts w:hint="eastAsia" w:ascii="仿宋_GB2312" w:hAnsi="仿宋" w:eastAsia="仿宋_GB2312"/>
          <w:color w:val="auto"/>
          <w:sz w:val="24"/>
          <w:szCs w:val="24"/>
          <w:highlight w:val="none"/>
          <w:lang w:val="en-US" w:eastAsia="zh-CN"/>
        </w:rPr>
        <w:t>1.2与本项目有关的澄清或者修改的内容为磋商文件的组成部分。</w:t>
      </w:r>
    </w:p>
    <w:p w14:paraId="044559EC">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26" w:leftChars="0"/>
        <w:jc w:val="left"/>
        <w:textAlignment w:val="auto"/>
        <w:outlineLvl w:val="9"/>
        <w:rPr>
          <w:rFonts w:hint="eastAsia" w:ascii="仿宋_GB2312" w:hAnsi="仿宋" w:eastAsia="仿宋_GB2312"/>
          <w:b/>
          <w:color w:val="auto"/>
          <w:sz w:val="24"/>
          <w:highlight w:val="none"/>
        </w:rPr>
      </w:pPr>
      <w:r>
        <w:rPr>
          <w:rFonts w:hint="eastAsia" w:ascii="仿宋_GB2312" w:hAnsi="仿宋" w:eastAsia="仿宋_GB2312"/>
          <w:b/>
          <w:color w:val="auto"/>
          <w:sz w:val="24"/>
          <w:highlight w:val="none"/>
          <w:lang w:val="en-US" w:eastAsia="zh-CN"/>
        </w:rPr>
        <w:t>2.</w:t>
      </w:r>
      <w:r>
        <w:rPr>
          <w:rFonts w:hint="eastAsia" w:ascii="仿宋_GB2312" w:hAnsi="仿宋" w:eastAsia="仿宋_GB2312"/>
          <w:b/>
          <w:color w:val="auto"/>
          <w:sz w:val="24"/>
          <w:highlight w:val="none"/>
        </w:rPr>
        <w:t>磋商文件的澄清、修改</w:t>
      </w:r>
    </w:p>
    <w:p w14:paraId="34D1E8E5">
      <w:pPr>
        <w:pStyle w:val="396"/>
        <w:numPr>
          <w:ilvl w:val="0"/>
          <w:numId w:val="0"/>
        </w:numPr>
        <w:snapToGrid w:val="0"/>
        <w:spacing w:before="0"/>
        <w:ind w:left="17" w:leftChars="0" w:firstLine="379" w:firstLineChars="158"/>
        <w:rPr>
          <w:rFonts w:ascii="仿宋_GB2312" w:hAnsi="仿宋" w:eastAsia="仿宋_GB2312" w:cs="仿宋_GB2312"/>
          <w:color w:val="auto"/>
          <w:highlight w:val="none"/>
        </w:rPr>
      </w:pPr>
      <w:r>
        <w:rPr>
          <w:rFonts w:hint="eastAsia" w:ascii="仿宋_GB2312" w:hAnsi="仿宋" w:eastAsia="仿宋_GB2312" w:cs="仿宋_GB2312"/>
          <w:color w:val="auto"/>
          <w:highlight w:val="none"/>
          <w:lang w:val="en-US" w:eastAsia="zh-CN"/>
        </w:rPr>
        <w:t>2.1</w:t>
      </w:r>
      <w:r>
        <w:rPr>
          <w:rFonts w:hint="eastAsia" w:ascii="仿宋_GB2312" w:hAnsi="仿宋" w:eastAsia="仿宋_GB2312" w:cs="仿宋_GB2312"/>
          <w:color w:val="auto"/>
          <w:highlight w:val="none"/>
        </w:rPr>
        <w:t>已获取磋商文件的潜在供应商，若有问题需要澄清，应于提交首次响应文件截止时间前，以书面形式向</w:t>
      </w:r>
      <w:r>
        <w:rPr>
          <w:rFonts w:hint="eastAsia" w:ascii="仿宋_GB2312" w:hAnsi="仿宋" w:eastAsia="仿宋_GB2312" w:cs="仿宋_GB2312"/>
          <w:color w:val="auto"/>
          <w:highlight w:val="none"/>
          <w:lang w:eastAsia="zh-CN"/>
        </w:rPr>
        <w:t>采购代理机构</w:t>
      </w:r>
      <w:r>
        <w:rPr>
          <w:rFonts w:hint="eastAsia" w:ascii="仿宋_GB2312" w:hAnsi="仿宋" w:eastAsia="仿宋_GB2312" w:cs="仿宋_GB2312"/>
          <w:color w:val="auto"/>
          <w:highlight w:val="none"/>
        </w:rPr>
        <w:t>提出。</w:t>
      </w:r>
    </w:p>
    <w:p w14:paraId="664DBAB4">
      <w:pPr>
        <w:pStyle w:val="396"/>
        <w:numPr>
          <w:ilvl w:val="0"/>
          <w:numId w:val="0"/>
        </w:numPr>
        <w:snapToGrid w:val="0"/>
        <w:spacing w:before="0"/>
        <w:ind w:left="17" w:leftChars="0" w:firstLine="379" w:firstLineChars="158"/>
        <w:rPr>
          <w:rFonts w:hint="eastAsia" w:ascii="仿宋_GB2312" w:hAnsi="仿宋" w:eastAsia="仿宋_GB2312" w:cs="仿宋_GB2312"/>
          <w:color w:val="auto"/>
          <w:highlight w:val="none"/>
        </w:rPr>
      </w:pPr>
      <w:r>
        <w:rPr>
          <w:rFonts w:hint="eastAsia" w:ascii="仿宋_GB2312" w:hAnsi="仿宋" w:eastAsia="仿宋_GB2312" w:cs="仿宋_GB2312"/>
          <w:color w:val="auto"/>
          <w:highlight w:val="none"/>
          <w:lang w:val="en-US" w:eastAsia="zh-CN"/>
        </w:rPr>
        <w:t>2.2</w:t>
      </w:r>
      <w:r>
        <w:rPr>
          <w:rFonts w:hint="eastAsia" w:ascii="仿宋_GB2312" w:hAnsi="仿宋" w:eastAsia="仿宋_GB2312" w:cs="仿宋_GB2312"/>
          <w:color w:val="auto"/>
          <w:highlight w:val="none"/>
          <w:lang w:eastAsia="zh-CN"/>
        </w:rPr>
        <w:t>采购代理机构</w:t>
      </w:r>
      <w:r>
        <w:rPr>
          <w:rFonts w:hint="eastAsia" w:ascii="仿宋_GB2312" w:hAnsi="仿宋" w:eastAsia="仿宋_GB2312" w:cs="仿宋_GB2312"/>
          <w:color w:val="auto"/>
          <w:highlight w:val="none"/>
        </w:rPr>
        <w:t>如对已发出的磋商文件进行必要澄清或者修改的，将在发布磋商邀请公告的网站上发布更正（延期）公告，同时视情况延长提交首次响应文件截止时间和响应文件开启时间。该澄清或者修改的内容为磋商文件的组成部分。</w:t>
      </w:r>
    </w:p>
    <w:p w14:paraId="45924688">
      <w:pPr>
        <w:pStyle w:val="396"/>
        <w:numPr>
          <w:ilvl w:val="0"/>
          <w:numId w:val="0"/>
        </w:numPr>
        <w:snapToGrid w:val="0"/>
        <w:spacing w:before="0"/>
        <w:ind w:left="17" w:leftChars="0" w:firstLine="379" w:firstLineChars="158"/>
        <w:rPr>
          <w:rFonts w:hint="eastAsia" w:ascii="仿宋_GB2312" w:hAnsi="仿宋" w:eastAsia="仿宋_GB2312" w:cs="仿宋_GB2312"/>
          <w:color w:val="auto"/>
          <w:highlight w:val="none"/>
        </w:rPr>
      </w:pPr>
      <w:r>
        <w:rPr>
          <w:rFonts w:hint="eastAsia" w:ascii="仿宋_GB2312" w:hAnsi="仿宋" w:eastAsia="仿宋_GB2312" w:cs="仿宋_GB2312"/>
          <w:color w:val="auto"/>
          <w:highlight w:val="none"/>
          <w:lang w:val="en-US" w:eastAsia="zh-CN"/>
        </w:rPr>
        <w:t>2.3</w:t>
      </w:r>
      <w:r>
        <w:rPr>
          <w:rFonts w:hint="eastAsia" w:ascii="仿宋_GB2312" w:hAnsi="仿宋" w:eastAsia="仿宋_GB2312" w:cs="仿宋_GB2312"/>
          <w:color w:val="auto"/>
          <w:highlight w:val="none"/>
        </w:rPr>
        <w:t>澄清或者修改的内容可能影响响应文件编制的，采购人、</w:t>
      </w:r>
      <w:r>
        <w:rPr>
          <w:rFonts w:hint="eastAsia" w:ascii="仿宋_GB2312" w:hAnsi="仿宋" w:eastAsia="仿宋_GB2312" w:cs="仿宋_GB2312"/>
          <w:color w:val="auto"/>
          <w:highlight w:val="none"/>
          <w:lang w:eastAsia="zh-CN"/>
        </w:rPr>
        <w:t>采购代理机构</w:t>
      </w:r>
      <w:r>
        <w:rPr>
          <w:rFonts w:hint="eastAsia" w:ascii="仿宋_GB2312" w:hAnsi="仿宋" w:eastAsia="仿宋_GB2312" w:cs="仿宋_GB2312"/>
          <w:color w:val="auto"/>
          <w:highlight w:val="none"/>
        </w:rPr>
        <w:t>应当在提交首次响应文件截止时间至少5日前，通知所有获取磋商文件的供应商；不足5日的，采购人、</w:t>
      </w:r>
      <w:r>
        <w:rPr>
          <w:rFonts w:hint="eastAsia" w:ascii="仿宋_GB2312" w:hAnsi="仿宋" w:eastAsia="仿宋_GB2312" w:cs="仿宋_GB2312"/>
          <w:color w:val="auto"/>
          <w:highlight w:val="none"/>
          <w:lang w:eastAsia="zh-CN"/>
        </w:rPr>
        <w:t>采购代理机构</w:t>
      </w:r>
      <w:r>
        <w:rPr>
          <w:rFonts w:hint="eastAsia" w:ascii="仿宋_GB2312" w:hAnsi="仿宋" w:eastAsia="仿宋_GB2312" w:cs="仿宋_GB2312"/>
          <w:color w:val="auto"/>
          <w:highlight w:val="none"/>
        </w:rPr>
        <w:t>应当顺延提交首次响应文件截止时间。</w:t>
      </w:r>
    </w:p>
    <w:p w14:paraId="3EF756C3">
      <w:pPr>
        <w:pStyle w:val="396"/>
        <w:snapToGrid w:val="0"/>
        <w:spacing w:before="0"/>
        <w:ind w:firstLine="482"/>
        <w:rPr>
          <w:rFonts w:ascii="仿宋_GB2312" w:hAnsi="仿宋" w:eastAsia="仿宋_GB2312"/>
          <w:color w:val="auto"/>
          <w:highlight w:val="none"/>
        </w:rPr>
      </w:pPr>
      <w:r>
        <w:rPr>
          <w:rFonts w:hint="eastAsia" w:ascii="仿宋_GB2312" w:hAnsi="仿宋" w:eastAsia="仿宋_GB2312"/>
          <w:b/>
          <w:color w:val="auto"/>
          <w:highlight w:val="none"/>
        </w:rPr>
        <w:t>▲</w:t>
      </w:r>
      <w:r>
        <w:rPr>
          <w:rFonts w:hint="eastAsia" w:ascii="仿宋_GB2312" w:hAnsi="仿宋" w:eastAsia="仿宋_GB2312" w:cs="仿宋_GB2312"/>
          <w:b/>
          <w:color w:val="auto"/>
          <w:szCs w:val="21"/>
          <w:highlight w:val="none"/>
        </w:rPr>
        <w:t>响应文件未按磋商文件的澄清、修改的内容编制，又不符合实质性要求的，响应无效。</w:t>
      </w:r>
    </w:p>
    <w:p w14:paraId="5307AE2D">
      <w:pPr>
        <w:pStyle w:val="22"/>
        <w:rPr>
          <w:rFonts w:ascii="仿宋_GB2312" w:hAnsi="仿宋_GB2312" w:eastAsia="仿宋_GB2312" w:cs="仿宋_GB2312"/>
          <w:color w:val="auto"/>
          <w:sz w:val="18"/>
          <w:szCs w:val="18"/>
          <w:highlight w:val="none"/>
          <w:lang w:val="en-US"/>
        </w:rPr>
      </w:pPr>
      <w:r>
        <w:rPr>
          <w:rFonts w:hint="eastAsia" w:ascii="仿宋_GB2312" w:hAnsi="仿宋_GB2312" w:eastAsia="仿宋_GB2312" w:cs="仿宋_GB2312"/>
          <w:color w:val="auto"/>
          <w:szCs w:val="24"/>
          <w:highlight w:val="none"/>
          <w:lang w:val="en-US"/>
        </w:rPr>
        <w:t xml:space="preserve">    </w:t>
      </w:r>
    </w:p>
    <w:p w14:paraId="563A56FD">
      <w:pPr>
        <w:adjustRightInd/>
        <w:spacing w:line="360" w:lineRule="auto"/>
        <w:jc w:val="center"/>
        <w:outlineLvl w:val="1"/>
        <w:rPr>
          <w:rFonts w:hint="eastAsia" w:ascii="仿宋" w:hAnsi="仿宋" w:eastAsia="仿宋" w:cs="仿宋"/>
          <w:b/>
          <w:color w:val="auto"/>
          <w:sz w:val="32"/>
          <w:szCs w:val="20"/>
          <w:highlight w:val="none"/>
          <w:lang w:eastAsia="zh-CN"/>
        </w:rPr>
      </w:pPr>
      <w:r>
        <w:rPr>
          <w:rFonts w:hint="eastAsia" w:ascii="仿宋" w:hAnsi="仿宋" w:eastAsia="仿宋" w:cs="仿宋"/>
          <w:b/>
          <w:color w:val="auto"/>
          <w:sz w:val="32"/>
          <w:szCs w:val="20"/>
          <w:highlight w:val="none"/>
          <w:lang w:eastAsia="zh-CN"/>
        </w:rPr>
        <w:t>六、响应文件的编制</w:t>
      </w:r>
    </w:p>
    <w:p w14:paraId="3684A876">
      <w:pPr>
        <w:keepNext w:val="0"/>
        <w:keepLines w:val="0"/>
        <w:pageBreakBefore w:val="0"/>
        <w:widowControl w:val="0"/>
        <w:numPr>
          <w:ilvl w:val="0"/>
          <w:numId w:val="0"/>
        </w:numPr>
        <w:kinsoku/>
        <w:wordWrap/>
        <w:overflowPunct/>
        <w:topLinePunct w:val="0"/>
        <w:bidi w:val="0"/>
        <w:adjustRightInd w:val="0"/>
        <w:snapToGrid w:val="0"/>
        <w:spacing w:line="360" w:lineRule="auto"/>
        <w:ind w:left="26" w:leftChars="0"/>
        <w:jc w:val="left"/>
        <w:textAlignment w:val="auto"/>
        <w:outlineLvl w:val="9"/>
        <w:rPr>
          <w:rFonts w:hint="eastAsia" w:ascii="仿宋_GB2312" w:hAnsi="仿宋" w:eastAsia="仿宋_GB2312"/>
          <w:b/>
          <w:color w:val="auto"/>
          <w:sz w:val="24"/>
          <w:highlight w:val="none"/>
          <w:lang w:eastAsia="zh-CN"/>
        </w:rPr>
      </w:pPr>
      <w:r>
        <w:rPr>
          <w:rFonts w:hint="eastAsia" w:ascii="仿宋_GB2312" w:hAnsi="仿宋" w:eastAsia="仿宋_GB2312"/>
          <w:b/>
          <w:color w:val="auto"/>
          <w:sz w:val="24"/>
          <w:highlight w:val="none"/>
          <w:lang w:val="en-US" w:eastAsia="zh-CN"/>
        </w:rPr>
        <w:t>1.</w:t>
      </w:r>
      <w:r>
        <w:rPr>
          <w:rFonts w:hint="eastAsia" w:ascii="仿宋_GB2312" w:hAnsi="仿宋" w:eastAsia="仿宋_GB2312"/>
          <w:b/>
          <w:color w:val="auto"/>
          <w:sz w:val="24"/>
          <w:highlight w:val="none"/>
          <w:lang w:eastAsia="zh-CN"/>
        </w:rPr>
        <w:t>响应文件的语言</w:t>
      </w:r>
    </w:p>
    <w:p w14:paraId="1EE9A3BB">
      <w:pPr>
        <w:pStyle w:val="32"/>
        <w:keepNext w:val="0"/>
        <w:keepLines w:val="0"/>
        <w:pageBreakBefore w:val="0"/>
        <w:widowControl w:val="0"/>
        <w:kinsoku/>
        <w:wordWrap/>
        <w:overflowPunct/>
        <w:topLinePunct w:val="0"/>
        <w:bidi w:val="0"/>
        <w:adjustRightInd w:val="0"/>
        <w:spacing w:line="360" w:lineRule="auto"/>
        <w:ind w:firstLine="480" w:firstLineChars="200"/>
        <w:textAlignment w:val="auto"/>
        <w:outlineLvl w:val="9"/>
        <w:rPr>
          <w:rFonts w:ascii="仿宋_GB2312" w:hAnsi="仿宋_GB2312" w:eastAsia="仿宋_GB2312" w:cs="仿宋_GB2312"/>
          <w:b/>
          <w:color w:val="auto"/>
          <w:sz w:val="24"/>
          <w:szCs w:val="24"/>
          <w:highlight w:val="none"/>
        </w:rPr>
      </w:pPr>
      <w:r>
        <w:rPr>
          <w:rFonts w:hint="eastAsia" w:ascii="仿宋_GB2312" w:hAnsi="仿宋" w:eastAsia="仿宋_GB2312"/>
          <w:color w:val="auto"/>
          <w:sz w:val="24"/>
          <w:highlight w:val="none"/>
        </w:rPr>
        <w:t>响应文件及供应商与采购有关的来往通知、函件和文件均应使用中文。</w:t>
      </w:r>
    </w:p>
    <w:p w14:paraId="56BBBADE">
      <w:pPr>
        <w:keepNext w:val="0"/>
        <w:keepLines w:val="0"/>
        <w:pageBreakBefore w:val="0"/>
        <w:widowControl w:val="0"/>
        <w:numPr>
          <w:ilvl w:val="0"/>
          <w:numId w:val="0"/>
        </w:numPr>
        <w:kinsoku/>
        <w:wordWrap/>
        <w:overflowPunct/>
        <w:topLinePunct w:val="0"/>
        <w:bidi w:val="0"/>
        <w:adjustRightInd w:val="0"/>
        <w:snapToGrid w:val="0"/>
        <w:spacing w:line="360" w:lineRule="auto"/>
        <w:ind w:left="26" w:leftChars="0"/>
        <w:jc w:val="left"/>
        <w:textAlignment w:val="auto"/>
        <w:outlineLvl w:val="9"/>
        <w:rPr>
          <w:rFonts w:hint="eastAsia" w:ascii="仿宋_GB2312" w:hAnsi="仿宋" w:eastAsia="仿宋_GB2312"/>
          <w:b/>
          <w:color w:val="auto"/>
          <w:sz w:val="24"/>
          <w:highlight w:val="none"/>
          <w:lang w:eastAsia="zh-CN"/>
        </w:rPr>
      </w:pPr>
      <w:r>
        <w:rPr>
          <w:rFonts w:hint="eastAsia" w:ascii="仿宋_GB2312" w:hAnsi="仿宋" w:eastAsia="仿宋_GB2312"/>
          <w:b/>
          <w:color w:val="auto"/>
          <w:sz w:val="24"/>
          <w:highlight w:val="none"/>
          <w:lang w:val="en-US" w:eastAsia="zh-CN"/>
        </w:rPr>
        <w:t>2.</w:t>
      </w:r>
      <w:r>
        <w:rPr>
          <w:rFonts w:hint="eastAsia" w:ascii="仿宋_GB2312" w:hAnsi="仿宋" w:eastAsia="仿宋_GB2312"/>
          <w:b/>
          <w:color w:val="auto"/>
          <w:sz w:val="24"/>
          <w:highlight w:val="none"/>
          <w:lang w:eastAsia="zh-CN"/>
        </w:rPr>
        <w:t>响应文件的组成</w:t>
      </w:r>
    </w:p>
    <w:p w14:paraId="2C5938A3">
      <w:pPr>
        <w:pStyle w:val="32"/>
        <w:keepNext w:val="0"/>
        <w:keepLines w:val="0"/>
        <w:pageBreakBefore w:val="0"/>
        <w:widowControl w:val="0"/>
        <w:kinsoku/>
        <w:wordWrap/>
        <w:overflowPunct/>
        <w:topLinePunct w:val="0"/>
        <w:bidi w:val="0"/>
        <w:adjustRightInd w:val="0"/>
        <w:spacing w:line="360" w:lineRule="auto"/>
        <w:ind w:firstLine="480" w:firstLineChars="200"/>
        <w:textAlignment w:val="auto"/>
        <w:outlineLvl w:val="9"/>
        <w:rPr>
          <w:rFonts w:ascii="仿宋_GB2312" w:hAnsi="仿宋_GB2312" w:eastAsia="仿宋_GB2312" w:cs="仿宋_GB2312"/>
          <w:b/>
          <w:color w:val="auto"/>
          <w:sz w:val="24"/>
          <w:szCs w:val="24"/>
          <w:highlight w:val="none"/>
        </w:rPr>
      </w:pPr>
      <w:r>
        <w:rPr>
          <w:rFonts w:hint="eastAsia" w:ascii="仿宋_GB2312" w:hAnsi="仿宋" w:eastAsia="仿宋_GB2312"/>
          <w:color w:val="auto"/>
          <w:sz w:val="24"/>
          <w:highlight w:val="none"/>
        </w:rPr>
        <w:t>响应文件应当包括以下主要内容：</w:t>
      </w:r>
    </w:p>
    <w:p w14:paraId="3AB05F55">
      <w:pPr>
        <w:keepNext w:val="0"/>
        <w:keepLines w:val="0"/>
        <w:pageBreakBefore w:val="0"/>
        <w:widowControl w:val="0"/>
        <w:numPr>
          <w:ilvl w:val="1"/>
          <w:numId w:val="21"/>
        </w:numPr>
        <w:kinsoku/>
        <w:wordWrap/>
        <w:overflowPunct/>
        <w:topLinePunct w:val="0"/>
        <w:bidi w:val="0"/>
        <w:adjustRightInd w:val="0"/>
        <w:snapToGrid w:val="0"/>
        <w:spacing w:line="360" w:lineRule="auto"/>
        <w:ind w:left="850" w:leftChars="0" w:hanging="453" w:firstLineChars="0"/>
        <w:textAlignment w:val="auto"/>
        <w:outlineLvl w:val="9"/>
        <w:rPr>
          <w:rFonts w:hint="eastAsia"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资格文件：</w:t>
      </w:r>
    </w:p>
    <w:p w14:paraId="3038FFC6">
      <w:pPr>
        <w:keepNext w:val="0"/>
        <w:keepLines w:val="0"/>
        <w:pageBreakBefore w:val="0"/>
        <w:widowControl w:val="0"/>
        <w:numPr>
          <w:ilvl w:val="0"/>
          <w:numId w:val="22"/>
        </w:numPr>
        <w:kinsoku/>
        <w:wordWrap/>
        <w:overflowPunct/>
        <w:topLinePunct w:val="0"/>
        <w:bidi w:val="0"/>
        <w:adjustRightInd w:val="0"/>
        <w:snapToGrid w:val="0"/>
        <w:spacing w:line="360" w:lineRule="auto"/>
        <w:ind w:left="1508" w:leftChars="0" w:hanging="708" w:firstLineChars="0"/>
        <w:textAlignment w:val="auto"/>
        <w:outlineLvl w:val="9"/>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符合参加政府采购活动应当具备的一般条件的承诺函；</w:t>
      </w:r>
    </w:p>
    <w:p w14:paraId="1A4B8854">
      <w:pPr>
        <w:keepNext w:val="0"/>
        <w:keepLines w:val="0"/>
        <w:pageBreakBefore w:val="0"/>
        <w:widowControl w:val="0"/>
        <w:numPr>
          <w:ilvl w:val="0"/>
          <w:numId w:val="22"/>
        </w:numPr>
        <w:kinsoku/>
        <w:wordWrap/>
        <w:overflowPunct/>
        <w:topLinePunct w:val="0"/>
        <w:bidi w:val="0"/>
        <w:adjustRightInd w:val="0"/>
        <w:snapToGrid w:val="0"/>
        <w:spacing w:line="360" w:lineRule="auto"/>
        <w:ind w:left="1508" w:leftChars="0" w:hanging="708" w:firstLineChars="0"/>
        <w:textAlignment w:val="auto"/>
        <w:outlineLvl w:val="9"/>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联合协议</w:t>
      </w:r>
      <w:r>
        <w:rPr>
          <w:rFonts w:hint="eastAsia" w:ascii="仿宋_GB2312" w:hAnsi="仿宋" w:eastAsia="仿宋_GB2312" w:cs="仿宋_GB2312"/>
          <w:color w:val="auto"/>
          <w:sz w:val="24"/>
          <w:highlight w:val="none"/>
          <w:lang w:eastAsia="zh-CN"/>
        </w:rPr>
        <w:t>；（如果有）</w:t>
      </w:r>
    </w:p>
    <w:p w14:paraId="7145BE2A">
      <w:pPr>
        <w:keepNext w:val="0"/>
        <w:keepLines w:val="0"/>
        <w:pageBreakBefore w:val="0"/>
        <w:widowControl w:val="0"/>
        <w:numPr>
          <w:ilvl w:val="0"/>
          <w:numId w:val="22"/>
        </w:numPr>
        <w:kinsoku/>
        <w:wordWrap/>
        <w:overflowPunct/>
        <w:topLinePunct w:val="0"/>
        <w:bidi w:val="0"/>
        <w:adjustRightInd w:val="0"/>
        <w:snapToGrid w:val="0"/>
        <w:spacing w:line="360" w:lineRule="auto"/>
        <w:ind w:left="1508" w:leftChars="0" w:hanging="708" w:firstLineChars="0"/>
        <w:textAlignment w:val="auto"/>
        <w:outlineLvl w:val="9"/>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落实政府采购政策需满足的资格要求；</w:t>
      </w:r>
      <w:r>
        <w:rPr>
          <w:rFonts w:hint="eastAsia" w:ascii="仿宋_GB2312" w:hAnsi="仿宋" w:eastAsia="仿宋_GB2312" w:cs="仿宋_GB2312"/>
          <w:color w:val="auto"/>
          <w:sz w:val="24"/>
          <w:highlight w:val="none"/>
          <w:lang w:eastAsia="zh-CN"/>
        </w:rPr>
        <w:t>（</w:t>
      </w:r>
      <w:r>
        <w:rPr>
          <w:rFonts w:hint="eastAsia" w:ascii="仿宋" w:hAnsi="仿宋" w:eastAsia="仿宋" w:cs="仿宋"/>
          <w:bCs/>
          <w:color w:val="auto"/>
          <w:sz w:val="24"/>
          <w:highlight w:val="none"/>
          <w:lang w:val="en-US" w:eastAsia="zh-CN"/>
        </w:rPr>
        <w:t>如果有，按采购公告“申请人的资格要求”第2项；未要求的，无需提供</w:t>
      </w:r>
      <w:r>
        <w:rPr>
          <w:rFonts w:hint="eastAsia" w:ascii="仿宋_GB2312" w:hAnsi="仿宋" w:eastAsia="仿宋_GB2312" w:cs="仿宋_GB2312"/>
          <w:color w:val="auto"/>
          <w:sz w:val="24"/>
          <w:highlight w:val="none"/>
          <w:lang w:eastAsia="zh-CN"/>
        </w:rPr>
        <w:t>）</w:t>
      </w:r>
    </w:p>
    <w:p w14:paraId="42A62511">
      <w:pPr>
        <w:keepNext w:val="0"/>
        <w:keepLines w:val="0"/>
        <w:pageBreakBefore w:val="0"/>
        <w:widowControl w:val="0"/>
        <w:numPr>
          <w:ilvl w:val="0"/>
          <w:numId w:val="22"/>
        </w:numPr>
        <w:kinsoku/>
        <w:wordWrap/>
        <w:overflowPunct/>
        <w:topLinePunct w:val="0"/>
        <w:bidi w:val="0"/>
        <w:adjustRightInd w:val="0"/>
        <w:snapToGrid w:val="0"/>
        <w:spacing w:line="360" w:lineRule="auto"/>
        <w:ind w:left="1508" w:leftChars="0" w:hanging="708" w:firstLineChars="0"/>
        <w:textAlignment w:val="auto"/>
        <w:outlineLvl w:val="9"/>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本项目的特定资格要求。</w:t>
      </w:r>
      <w:r>
        <w:rPr>
          <w:rFonts w:hint="eastAsia" w:ascii="仿宋" w:hAnsi="仿宋" w:eastAsia="仿宋" w:cs="仿宋"/>
          <w:color w:val="auto"/>
          <w:sz w:val="24"/>
          <w:highlight w:val="none"/>
        </w:rPr>
        <w:t>（</w:t>
      </w:r>
      <w:r>
        <w:rPr>
          <w:rFonts w:hint="eastAsia" w:ascii="仿宋" w:hAnsi="仿宋" w:eastAsia="仿宋" w:cs="仿宋"/>
          <w:bCs/>
          <w:color w:val="auto"/>
          <w:sz w:val="24"/>
          <w:highlight w:val="none"/>
          <w:lang w:val="en-US" w:eastAsia="zh-CN"/>
        </w:rPr>
        <w:t>如果有，按采购公告“申请人的资格要求”第3项；未要求的，无需提供</w:t>
      </w:r>
      <w:r>
        <w:rPr>
          <w:rFonts w:hint="eastAsia" w:ascii="仿宋" w:hAnsi="仿宋" w:eastAsia="仿宋" w:cs="仿宋"/>
          <w:color w:val="auto"/>
          <w:sz w:val="24"/>
          <w:highlight w:val="none"/>
        </w:rPr>
        <w:t>）</w:t>
      </w:r>
    </w:p>
    <w:p w14:paraId="66EFE845">
      <w:pPr>
        <w:keepNext w:val="0"/>
        <w:keepLines w:val="0"/>
        <w:pageBreakBefore w:val="0"/>
        <w:widowControl w:val="0"/>
        <w:numPr>
          <w:ilvl w:val="1"/>
          <w:numId w:val="21"/>
        </w:numPr>
        <w:kinsoku/>
        <w:wordWrap/>
        <w:overflowPunct/>
        <w:topLinePunct w:val="0"/>
        <w:bidi w:val="0"/>
        <w:adjustRightInd w:val="0"/>
        <w:snapToGrid w:val="0"/>
        <w:spacing w:line="360" w:lineRule="auto"/>
        <w:ind w:left="850" w:leftChars="0" w:hanging="453" w:firstLineChars="0"/>
        <w:textAlignment w:val="auto"/>
        <w:outlineLvl w:val="9"/>
        <w:rPr>
          <w:rFonts w:hint="eastAsia" w:ascii="仿宋_GB2312" w:hAnsi="仿宋" w:eastAsia="仿宋_GB2312" w:cs="仿宋_GB2312"/>
          <w:b/>
          <w:color w:val="auto"/>
          <w:sz w:val="24"/>
          <w:highlight w:val="none"/>
          <w:lang w:val="zh-CN"/>
        </w:rPr>
      </w:pPr>
      <w:r>
        <w:rPr>
          <w:rFonts w:hint="eastAsia" w:ascii="仿宋_GB2312" w:hAnsi="仿宋" w:eastAsia="仿宋_GB2312" w:cs="仿宋_GB2312"/>
          <w:b/>
          <w:color w:val="auto"/>
          <w:sz w:val="24"/>
          <w:highlight w:val="none"/>
        </w:rPr>
        <w:t>商务技术</w:t>
      </w:r>
      <w:r>
        <w:rPr>
          <w:rFonts w:hint="eastAsia" w:ascii="仿宋_GB2312" w:hAnsi="仿宋" w:eastAsia="仿宋_GB2312" w:cs="仿宋_GB2312"/>
          <w:b/>
          <w:color w:val="auto"/>
          <w:sz w:val="24"/>
          <w:highlight w:val="none"/>
          <w:lang w:val="zh-CN"/>
        </w:rPr>
        <w:t>文件：</w:t>
      </w:r>
    </w:p>
    <w:p w14:paraId="1B6E95D0">
      <w:pPr>
        <w:keepNext w:val="0"/>
        <w:keepLines w:val="0"/>
        <w:pageBreakBefore w:val="0"/>
        <w:widowControl w:val="0"/>
        <w:numPr>
          <w:ilvl w:val="0"/>
          <w:numId w:val="23"/>
        </w:numPr>
        <w:kinsoku/>
        <w:wordWrap/>
        <w:overflowPunct/>
        <w:topLinePunct w:val="0"/>
        <w:bidi w:val="0"/>
        <w:adjustRightInd w:val="0"/>
        <w:snapToGrid w:val="0"/>
        <w:spacing w:line="360" w:lineRule="auto"/>
        <w:ind w:left="425" w:leftChars="0" w:firstLine="215" w:firstLineChars="0"/>
        <w:textAlignment w:val="auto"/>
        <w:outlineLvl w:val="9"/>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lang w:eastAsia="zh-CN"/>
        </w:rPr>
        <w:t>响应</w:t>
      </w:r>
      <w:r>
        <w:rPr>
          <w:rFonts w:ascii="仿宋_GB2312" w:hAnsi="仿宋" w:eastAsia="仿宋_GB2312" w:cs="仿宋_GB2312"/>
          <w:color w:val="auto"/>
          <w:sz w:val="24"/>
          <w:highlight w:val="none"/>
        </w:rPr>
        <w:t>函；</w:t>
      </w:r>
      <w:r>
        <w:rPr>
          <w:rFonts w:ascii="仿宋_GB2312" w:hAnsi="仿宋" w:eastAsia="仿宋_GB2312" w:cs="仿宋_GB2312"/>
          <w:color w:val="auto"/>
          <w:sz w:val="24"/>
          <w:highlight w:val="none"/>
          <w:lang w:val="zh-CN"/>
        </w:rPr>
        <w:t xml:space="preserve"> </w:t>
      </w:r>
    </w:p>
    <w:p w14:paraId="45F41D07">
      <w:pPr>
        <w:keepNext w:val="0"/>
        <w:keepLines w:val="0"/>
        <w:pageBreakBefore w:val="0"/>
        <w:widowControl w:val="0"/>
        <w:numPr>
          <w:ilvl w:val="0"/>
          <w:numId w:val="23"/>
        </w:numPr>
        <w:kinsoku/>
        <w:wordWrap/>
        <w:overflowPunct/>
        <w:topLinePunct w:val="0"/>
        <w:bidi w:val="0"/>
        <w:adjustRightInd w:val="0"/>
        <w:snapToGrid w:val="0"/>
        <w:spacing w:line="360" w:lineRule="auto"/>
        <w:ind w:left="425" w:leftChars="0" w:firstLine="215" w:firstLineChars="0"/>
        <w:textAlignment w:val="auto"/>
        <w:outlineLvl w:val="9"/>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授权委托书或法定代表人（单位负责人、自然人本人）身份证明；</w:t>
      </w:r>
    </w:p>
    <w:p w14:paraId="668E147B">
      <w:pPr>
        <w:keepNext w:val="0"/>
        <w:keepLines w:val="0"/>
        <w:pageBreakBefore w:val="0"/>
        <w:widowControl w:val="0"/>
        <w:numPr>
          <w:ilvl w:val="0"/>
          <w:numId w:val="23"/>
        </w:numPr>
        <w:kinsoku/>
        <w:wordWrap/>
        <w:overflowPunct/>
        <w:topLinePunct w:val="0"/>
        <w:bidi w:val="0"/>
        <w:adjustRightInd w:val="0"/>
        <w:snapToGrid w:val="0"/>
        <w:spacing w:line="360" w:lineRule="auto"/>
        <w:ind w:left="425" w:leftChars="0" w:firstLine="215" w:firstLineChars="0"/>
        <w:textAlignment w:val="auto"/>
        <w:outlineLvl w:val="9"/>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分包意向协议；</w:t>
      </w:r>
      <w:r>
        <w:rPr>
          <w:rFonts w:hint="eastAsia" w:ascii="仿宋_GB2312" w:hAnsi="仿宋" w:eastAsia="仿宋_GB2312"/>
          <w:b w:val="0"/>
          <w:bCs/>
          <w:color w:val="auto"/>
          <w:sz w:val="24"/>
          <w:highlight w:val="none"/>
          <w:lang w:eastAsia="zh-CN"/>
        </w:rPr>
        <w:t>（如果有）</w:t>
      </w:r>
    </w:p>
    <w:p w14:paraId="3333F8DC">
      <w:pPr>
        <w:keepNext w:val="0"/>
        <w:keepLines w:val="0"/>
        <w:pageBreakBefore w:val="0"/>
        <w:widowControl w:val="0"/>
        <w:numPr>
          <w:ilvl w:val="0"/>
          <w:numId w:val="23"/>
        </w:numPr>
        <w:kinsoku/>
        <w:wordWrap/>
        <w:overflowPunct/>
        <w:topLinePunct w:val="0"/>
        <w:bidi w:val="0"/>
        <w:adjustRightInd w:val="0"/>
        <w:snapToGrid w:val="0"/>
        <w:spacing w:line="360" w:lineRule="auto"/>
        <w:ind w:left="425" w:leftChars="0" w:firstLine="215" w:firstLineChars="0"/>
        <w:textAlignment w:val="auto"/>
        <w:outlineLvl w:val="9"/>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符合性审查资料；</w:t>
      </w:r>
    </w:p>
    <w:p w14:paraId="42D97DE8">
      <w:pPr>
        <w:keepNext w:val="0"/>
        <w:keepLines w:val="0"/>
        <w:pageBreakBefore w:val="0"/>
        <w:widowControl w:val="0"/>
        <w:numPr>
          <w:ilvl w:val="0"/>
          <w:numId w:val="23"/>
        </w:numPr>
        <w:kinsoku/>
        <w:wordWrap/>
        <w:overflowPunct/>
        <w:topLinePunct w:val="0"/>
        <w:bidi w:val="0"/>
        <w:adjustRightInd w:val="0"/>
        <w:snapToGrid w:val="0"/>
        <w:spacing w:line="360" w:lineRule="auto"/>
        <w:ind w:left="425" w:leftChars="0" w:firstLine="215" w:firstLineChars="0"/>
        <w:textAlignment w:val="auto"/>
        <w:outlineLvl w:val="9"/>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评标标准相应的商务技术资料；</w:t>
      </w:r>
    </w:p>
    <w:p w14:paraId="29E857C6">
      <w:pPr>
        <w:keepNext w:val="0"/>
        <w:keepLines w:val="0"/>
        <w:pageBreakBefore w:val="0"/>
        <w:widowControl w:val="0"/>
        <w:numPr>
          <w:ilvl w:val="0"/>
          <w:numId w:val="23"/>
        </w:numPr>
        <w:kinsoku/>
        <w:wordWrap/>
        <w:overflowPunct/>
        <w:topLinePunct w:val="0"/>
        <w:bidi w:val="0"/>
        <w:adjustRightInd w:val="0"/>
        <w:snapToGrid w:val="0"/>
        <w:spacing w:line="360" w:lineRule="auto"/>
        <w:ind w:left="425" w:leftChars="0" w:firstLine="215" w:firstLineChars="0"/>
        <w:textAlignment w:val="auto"/>
        <w:outlineLvl w:val="9"/>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标的清单；</w:t>
      </w:r>
    </w:p>
    <w:p w14:paraId="182F410F">
      <w:pPr>
        <w:keepNext w:val="0"/>
        <w:keepLines w:val="0"/>
        <w:pageBreakBefore w:val="0"/>
        <w:widowControl w:val="0"/>
        <w:numPr>
          <w:ilvl w:val="0"/>
          <w:numId w:val="23"/>
        </w:numPr>
        <w:kinsoku/>
        <w:wordWrap/>
        <w:overflowPunct/>
        <w:topLinePunct w:val="0"/>
        <w:bidi w:val="0"/>
        <w:adjustRightInd w:val="0"/>
        <w:snapToGrid w:val="0"/>
        <w:spacing w:line="360" w:lineRule="auto"/>
        <w:ind w:left="425" w:leftChars="0" w:firstLine="215" w:firstLineChars="0"/>
        <w:textAlignment w:val="auto"/>
        <w:outlineLvl w:val="9"/>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商务技术偏离表；</w:t>
      </w:r>
    </w:p>
    <w:p w14:paraId="4A56A337">
      <w:pPr>
        <w:keepNext w:val="0"/>
        <w:keepLines w:val="0"/>
        <w:pageBreakBefore w:val="0"/>
        <w:widowControl w:val="0"/>
        <w:numPr>
          <w:ilvl w:val="0"/>
          <w:numId w:val="23"/>
        </w:numPr>
        <w:kinsoku/>
        <w:wordWrap/>
        <w:overflowPunct/>
        <w:topLinePunct w:val="0"/>
        <w:bidi w:val="0"/>
        <w:adjustRightInd w:val="0"/>
        <w:snapToGrid w:val="0"/>
        <w:spacing w:line="360" w:lineRule="auto"/>
        <w:ind w:left="425" w:leftChars="0" w:firstLine="215" w:firstLineChars="0"/>
        <w:textAlignment w:val="auto"/>
        <w:outlineLvl w:val="9"/>
        <w:rPr>
          <w:rFonts w:ascii="仿宋_GB2312" w:hAnsi="仿宋" w:eastAsia="仿宋_GB2312" w:cs="仿宋_GB2312"/>
          <w:color w:val="auto"/>
          <w:sz w:val="24"/>
          <w:highlight w:val="none"/>
          <w:lang w:val="zh-CN"/>
        </w:rPr>
      </w:pPr>
      <w:r>
        <w:rPr>
          <w:rFonts w:hint="eastAsia" w:ascii="仿宋_GB2312" w:hAnsi="仿宋" w:eastAsia="仿宋_GB2312" w:cs="仿宋_GB2312"/>
          <w:color w:val="auto"/>
          <w:sz w:val="24"/>
          <w:highlight w:val="none"/>
          <w:lang w:val="zh-CN"/>
        </w:rPr>
        <w:t>政府采购供应商廉洁自律承诺书。</w:t>
      </w:r>
    </w:p>
    <w:p w14:paraId="1236DBA5">
      <w:pPr>
        <w:keepNext w:val="0"/>
        <w:keepLines w:val="0"/>
        <w:pageBreakBefore w:val="0"/>
        <w:widowControl w:val="0"/>
        <w:numPr>
          <w:ilvl w:val="1"/>
          <w:numId w:val="21"/>
        </w:numPr>
        <w:kinsoku/>
        <w:wordWrap/>
        <w:overflowPunct/>
        <w:topLinePunct w:val="0"/>
        <w:bidi w:val="0"/>
        <w:adjustRightInd w:val="0"/>
        <w:snapToGrid w:val="0"/>
        <w:spacing w:line="360" w:lineRule="auto"/>
        <w:ind w:left="850" w:leftChars="0" w:hanging="453" w:firstLineChars="0"/>
        <w:textAlignment w:val="auto"/>
        <w:outlineLvl w:val="9"/>
        <w:rPr>
          <w:rFonts w:hint="eastAsia" w:ascii="仿宋_GB2312" w:hAnsi="仿宋" w:eastAsia="仿宋_GB2312" w:cs="仿宋_GB2312"/>
          <w:b/>
          <w:color w:val="auto"/>
          <w:sz w:val="24"/>
          <w:highlight w:val="none"/>
          <w:lang w:val="zh-CN"/>
        </w:rPr>
      </w:pPr>
      <w:r>
        <w:rPr>
          <w:rFonts w:hint="eastAsia" w:ascii="仿宋_GB2312" w:hAnsi="仿宋" w:eastAsia="仿宋_GB2312" w:cs="仿宋_GB2312"/>
          <w:b/>
          <w:color w:val="auto"/>
          <w:sz w:val="24"/>
          <w:highlight w:val="none"/>
          <w:lang w:val="zh-CN"/>
        </w:rPr>
        <w:t xml:space="preserve">报价文件： </w:t>
      </w:r>
    </w:p>
    <w:p w14:paraId="3F4EEBA8">
      <w:pPr>
        <w:keepNext w:val="0"/>
        <w:keepLines w:val="0"/>
        <w:pageBreakBefore w:val="0"/>
        <w:widowControl w:val="0"/>
        <w:numPr>
          <w:ilvl w:val="0"/>
          <w:numId w:val="24"/>
        </w:numPr>
        <w:kinsoku/>
        <w:wordWrap/>
        <w:overflowPunct/>
        <w:topLinePunct w:val="0"/>
        <w:bidi w:val="0"/>
        <w:adjustRightInd w:val="0"/>
        <w:snapToGrid w:val="0"/>
        <w:spacing w:line="360" w:lineRule="auto"/>
        <w:ind w:left="425" w:leftChars="0" w:firstLine="215" w:firstLineChars="0"/>
        <w:textAlignment w:val="auto"/>
        <w:outlineLvl w:val="9"/>
        <w:rPr>
          <w:rFonts w:ascii="仿宋_GB2312" w:hAnsi="仿宋" w:eastAsia="仿宋_GB2312" w:cs="仿宋_GB2312"/>
          <w:i w:val="0"/>
          <w:iCs w:val="0"/>
          <w:color w:val="auto"/>
          <w:sz w:val="24"/>
          <w:highlight w:val="none"/>
        </w:rPr>
      </w:pPr>
      <w:r>
        <w:rPr>
          <w:rFonts w:hint="eastAsia" w:ascii="仿宋_GB2312" w:hAnsi="仿宋" w:eastAsia="仿宋_GB2312" w:cs="仿宋_GB2312"/>
          <w:i w:val="0"/>
          <w:iCs w:val="0"/>
          <w:color w:val="auto"/>
          <w:sz w:val="24"/>
          <w:highlight w:val="none"/>
          <w:lang w:eastAsia="zh-CN"/>
        </w:rPr>
        <w:t>初始报价一览表</w:t>
      </w:r>
      <w:r>
        <w:rPr>
          <w:rFonts w:ascii="仿宋_GB2312" w:hAnsi="仿宋" w:eastAsia="仿宋_GB2312" w:cs="仿宋_GB2312"/>
          <w:i w:val="0"/>
          <w:iCs w:val="0"/>
          <w:color w:val="auto"/>
          <w:sz w:val="24"/>
          <w:highlight w:val="none"/>
        </w:rPr>
        <w:t>；</w:t>
      </w:r>
    </w:p>
    <w:p w14:paraId="3650BDFE">
      <w:pPr>
        <w:keepNext w:val="0"/>
        <w:keepLines w:val="0"/>
        <w:pageBreakBefore w:val="0"/>
        <w:widowControl w:val="0"/>
        <w:numPr>
          <w:ilvl w:val="0"/>
          <w:numId w:val="24"/>
        </w:numPr>
        <w:kinsoku/>
        <w:wordWrap/>
        <w:overflowPunct/>
        <w:topLinePunct w:val="0"/>
        <w:bidi w:val="0"/>
        <w:adjustRightInd w:val="0"/>
        <w:snapToGrid w:val="0"/>
        <w:spacing w:line="360" w:lineRule="auto"/>
        <w:ind w:left="425" w:leftChars="0" w:firstLine="215" w:firstLineChars="0"/>
        <w:textAlignment w:val="auto"/>
        <w:outlineLvl w:val="9"/>
        <w:rPr>
          <w:rFonts w:ascii="仿宋_GB2312" w:hAnsi="仿宋" w:eastAsia="仿宋_GB2312" w:cs="仿宋_GB2312"/>
          <w:i w:val="0"/>
          <w:iCs w:val="0"/>
          <w:color w:val="auto"/>
          <w:sz w:val="24"/>
          <w:highlight w:val="none"/>
        </w:rPr>
      </w:pPr>
      <w:r>
        <w:rPr>
          <w:rFonts w:ascii="仿宋_GB2312" w:hAnsi="仿宋" w:eastAsia="仿宋_GB2312" w:cs="仿宋_GB2312"/>
          <w:i w:val="0"/>
          <w:iCs w:val="0"/>
          <w:color w:val="auto"/>
          <w:sz w:val="24"/>
          <w:highlight w:val="none"/>
        </w:rPr>
        <w:t>中小企业声明函。</w:t>
      </w:r>
      <w:r>
        <w:rPr>
          <w:rFonts w:hint="eastAsia" w:ascii="仿宋_GB2312" w:hAnsi="仿宋" w:eastAsia="仿宋_GB2312" w:cs="仿宋_GB2312"/>
          <w:i w:val="0"/>
          <w:iCs w:val="0"/>
          <w:color w:val="auto"/>
          <w:sz w:val="24"/>
          <w:highlight w:val="none"/>
          <w:lang w:eastAsia="zh-CN"/>
        </w:rPr>
        <w:t>（如果有）</w:t>
      </w:r>
    </w:p>
    <w:p w14:paraId="2B977183">
      <w:pPr>
        <w:keepNext w:val="0"/>
        <w:keepLines w:val="0"/>
        <w:pageBreakBefore w:val="0"/>
        <w:widowControl w:val="0"/>
        <w:kinsoku/>
        <w:wordWrap/>
        <w:overflowPunct/>
        <w:topLinePunct w:val="0"/>
        <w:bidi w:val="0"/>
        <w:adjustRightInd w:val="0"/>
        <w:spacing w:line="360" w:lineRule="auto"/>
        <w:ind w:firstLine="420" w:firstLineChars="0"/>
        <w:textAlignment w:val="auto"/>
        <w:outlineLvl w:val="9"/>
        <w:rPr>
          <w:rFonts w:ascii="仿宋_GB2312" w:hAnsi="仿宋" w:eastAsia="仿宋_GB2312"/>
          <w:b/>
          <w:color w:val="auto"/>
          <w:sz w:val="24"/>
          <w:highlight w:val="none"/>
        </w:rPr>
      </w:pPr>
      <w:r>
        <w:rPr>
          <w:rFonts w:hint="eastAsia" w:ascii="仿宋_GB2312" w:hAnsi="仿宋" w:eastAsia="仿宋_GB2312"/>
          <w:b/>
          <w:color w:val="auto"/>
          <w:sz w:val="24"/>
          <w:highlight w:val="none"/>
          <w:lang w:eastAsia="zh-CN"/>
        </w:rPr>
        <w:t>响应</w:t>
      </w:r>
      <w:r>
        <w:rPr>
          <w:rFonts w:hint="eastAsia" w:ascii="仿宋_GB2312" w:hAnsi="仿宋" w:eastAsia="仿宋_GB2312"/>
          <w:b/>
          <w:color w:val="auto"/>
          <w:sz w:val="24"/>
          <w:highlight w:val="none"/>
        </w:rPr>
        <w:t>文件含有采购人不能接受的附加条件的，</w:t>
      </w:r>
      <w:r>
        <w:rPr>
          <w:rFonts w:hint="eastAsia" w:ascii="仿宋_GB2312" w:hAnsi="仿宋" w:eastAsia="仿宋_GB2312"/>
          <w:b/>
          <w:color w:val="auto"/>
          <w:sz w:val="24"/>
          <w:highlight w:val="none"/>
          <w:lang w:eastAsia="zh-CN"/>
        </w:rPr>
        <w:t>磋商</w:t>
      </w:r>
      <w:r>
        <w:rPr>
          <w:rFonts w:hint="eastAsia" w:ascii="仿宋_GB2312" w:hAnsi="仿宋" w:eastAsia="仿宋_GB2312"/>
          <w:b/>
          <w:color w:val="auto"/>
          <w:sz w:val="24"/>
          <w:highlight w:val="none"/>
        </w:rPr>
        <w:t>无效；</w:t>
      </w:r>
    </w:p>
    <w:p w14:paraId="13A61120">
      <w:pPr>
        <w:keepNext w:val="0"/>
        <w:keepLines w:val="0"/>
        <w:pageBreakBefore w:val="0"/>
        <w:widowControl w:val="0"/>
        <w:kinsoku/>
        <w:wordWrap/>
        <w:overflowPunct/>
        <w:topLinePunct w:val="0"/>
        <w:bidi w:val="0"/>
        <w:adjustRightInd w:val="0"/>
        <w:spacing w:line="360" w:lineRule="auto"/>
        <w:ind w:firstLine="420" w:firstLineChars="0"/>
        <w:textAlignment w:val="auto"/>
        <w:outlineLvl w:val="9"/>
        <w:rPr>
          <w:rFonts w:hint="eastAsia" w:ascii="仿宋_GB2312" w:hAnsi="仿宋" w:eastAsia="仿宋_GB2312"/>
          <w:b/>
          <w:color w:val="auto"/>
          <w:sz w:val="24"/>
          <w:highlight w:val="none"/>
        </w:rPr>
      </w:pPr>
      <w:r>
        <w:rPr>
          <w:rFonts w:hint="eastAsia" w:ascii="仿宋" w:hAnsi="仿宋" w:eastAsia="仿宋" w:cs="仿宋"/>
          <w:b/>
          <w:color w:val="auto"/>
          <w:sz w:val="24"/>
          <w:highlight w:val="none"/>
        </w:rPr>
        <w:t>投标人应对投标文件中材料的真实性、合法性负责</w:t>
      </w:r>
      <w:r>
        <w:rPr>
          <w:rFonts w:hint="eastAsia" w:ascii="仿宋" w:hAnsi="仿宋" w:eastAsia="仿宋" w:cs="仿宋"/>
          <w:b/>
          <w:color w:val="auto"/>
          <w:sz w:val="24"/>
          <w:highlight w:val="none"/>
          <w:lang w:eastAsia="zh-CN"/>
        </w:rPr>
        <w:t>。</w:t>
      </w:r>
      <w:r>
        <w:rPr>
          <w:rFonts w:hint="eastAsia" w:ascii="仿宋_GB2312" w:hAnsi="仿宋" w:eastAsia="仿宋_GB2312"/>
          <w:b/>
          <w:color w:val="auto"/>
          <w:sz w:val="24"/>
          <w:highlight w:val="none"/>
          <w:lang w:eastAsia="zh-CN"/>
        </w:rPr>
        <w:t>供应商</w:t>
      </w:r>
      <w:r>
        <w:rPr>
          <w:rFonts w:hint="eastAsia" w:ascii="仿宋_GB2312" w:hAnsi="仿宋" w:eastAsia="仿宋_GB2312"/>
          <w:b/>
          <w:color w:val="auto"/>
          <w:sz w:val="24"/>
          <w:highlight w:val="none"/>
        </w:rPr>
        <w:t>提供虚假材料</w:t>
      </w:r>
      <w:r>
        <w:rPr>
          <w:rFonts w:hint="eastAsia" w:ascii="仿宋_GB2312" w:hAnsi="仿宋" w:eastAsia="仿宋_GB2312"/>
          <w:b/>
          <w:color w:val="auto"/>
          <w:sz w:val="24"/>
          <w:highlight w:val="none"/>
          <w:lang w:eastAsia="zh-CN"/>
        </w:rPr>
        <w:t>响应</w:t>
      </w:r>
      <w:r>
        <w:rPr>
          <w:rFonts w:hint="eastAsia" w:ascii="仿宋_GB2312" w:hAnsi="仿宋" w:eastAsia="仿宋_GB2312"/>
          <w:b/>
          <w:color w:val="auto"/>
          <w:sz w:val="24"/>
          <w:highlight w:val="none"/>
        </w:rPr>
        <w:t>的，</w:t>
      </w:r>
      <w:r>
        <w:rPr>
          <w:rFonts w:hint="eastAsia" w:ascii="仿宋_GB2312" w:hAnsi="仿宋" w:eastAsia="仿宋_GB2312"/>
          <w:b/>
          <w:color w:val="auto"/>
          <w:sz w:val="24"/>
          <w:highlight w:val="none"/>
          <w:lang w:eastAsia="zh-CN"/>
        </w:rPr>
        <w:t>磋商</w:t>
      </w:r>
      <w:r>
        <w:rPr>
          <w:rFonts w:hint="eastAsia" w:ascii="仿宋_GB2312" w:hAnsi="仿宋" w:eastAsia="仿宋_GB2312"/>
          <w:b/>
          <w:color w:val="auto"/>
          <w:sz w:val="24"/>
          <w:highlight w:val="none"/>
        </w:rPr>
        <w:t>无效。</w:t>
      </w:r>
    </w:p>
    <w:p w14:paraId="249200E7">
      <w:pPr>
        <w:pStyle w:val="22"/>
        <w:keepNext w:val="0"/>
        <w:keepLines w:val="0"/>
        <w:pageBreakBefore w:val="0"/>
        <w:widowControl w:val="0"/>
        <w:kinsoku/>
        <w:wordWrap/>
        <w:overflowPunct/>
        <w:topLinePunct w:val="0"/>
        <w:bidi w:val="0"/>
        <w:adjustRightInd w:val="0"/>
        <w:textAlignment w:val="auto"/>
        <w:outlineLvl w:val="9"/>
        <w:rPr>
          <w:color w:val="auto"/>
          <w:highlight w:val="none"/>
        </w:rPr>
      </w:pPr>
    </w:p>
    <w:p w14:paraId="34A0723F">
      <w:pPr>
        <w:keepNext w:val="0"/>
        <w:keepLines w:val="0"/>
        <w:pageBreakBefore w:val="0"/>
        <w:widowControl w:val="0"/>
        <w:numPr>
          <w:ilvl w:val="0"/>
          <w:numId w:val="0"/>
        </w:numPr>
        <w:kinsoku/>
        <w:wordWrap/>
        <w:overflowPunct/>
        <w:topLinePunct w:val="0"/>
        <w:bidi w:val="0"/>
        <w:adjustRightInd w:val="0"/>
        <w:snapToGrid w:val="0"/>
        <w:spacing w:line="360" w:lineRule="auto"/>
        <w:ind w:left="26" w:leftChars="0"/>
        <w:jc w:val="left"/>
        <w:textAlignment w:val="auto"/>
        <w:outlineLvl w:val="9"/>
        <w:rPr>
          <w:rFonts w:hint="eastAsia" w:ascii="仿宋_GB2312" w:hAnsi="仿宋" w:eastAsia="仿宋_GB2312"/>
          <w:b/>
          <w:color w:val="auto"/>
          <w:sz w:val="24"/>
          <w:highlight w:val="none"/>
          <w:lang w:eastAsia="zh-CN"/>
        </w:rPr>
      </w:pPr>
      <w:r>
        <w:rPr>
          <w:rFonts w:hint="eastAsia" w:ascii="仿宋_GB2312" w:hAnsi="仿宋" w:eastAsia="仿宋_GB2312"/>
          <w:b/>
          <w:color w:val="auto"/>
          <w:sz w:val="24"/>
          <w:highlight w:val="none"/>
          <w:lang w:val="en-US" w:eastAsia="zh-CN"/>
        </w:rPr>
        <w:t>3.</w:t>
      </w:r>
      <w:r>
        <w:rPr>
          <w:rFonts w:hint="eastAsia" w:ascii="仿宋_GB2312" w:hAnsi="仿宋" w:eastAsia="仿宋_GB2312"/>
          <w:b/>
          <w:color w:val="auto"/>
          <w:sz w:val="24"/>
          <w:highlight w:val="none"/>
          <w:lang w:eastAsia="zh-CN"/>
        </w:rPr>
        <w:t>响应文件的编制和签署</w:t>
      </w:r>
    </w:p>
    <w:p w14:paraId="713DF24E">
      <w:pPr>
        <w:keepNext w:val="0"/>
        <w:keepLines w:val="0"/>
        <w:pageBreakBefore w:val="0"/>
        <w:widowControl w:val="0"/>
        <w:numPr>
          <w:ilvl w:val="0"/>
          <w:numId w:val="0"/>
        </w:numPr>
        <w:kinsoku/>
        <w:wordWrap/>
        <w:overflowPunct/>
        <w:topLinePunct w:val="0"/>
        <w:bidi w:val="0"/>
        <w:adjustRightInd w:val="0"/>
        <w:spacing w:line="360" w:lineRule="auto"/>
        <w:ind w:left="0" w:leftChars="0" w:firstLine="420" w:firstLineChars="175"/>
        <w:textAlignment w:val="auto"/>
        <w:outlineLvl w:val="9"/>
        <w:rPr>
          <w:rFonts w:ascii="仿宋_GB2312" w:hAnsi="仿宋" w:eastAsia="仿宋_GB2312" w:cs="仿宋_GB2312"/>
          <w:b/>
          <w:color w:val="auto"/>
          <w:sz w:val="24"/>
          <w:highlight w:val="none"/>
        </w:rPr>
      </w:pPr>
      <w:r>
        <w:rPr>
          <w:rFonts w:hint="eastAsia" w:ascii="仿宋_GB2312" w:hAnsi="仿宋" w:eastAsia="仿宋_GB2312" w:cs="仿宋_GB2312"/>
          <w:color w:val="auto"/>
          <w:kern w:val="0"/>
          <w:sz w:val="24"/>
          <w:highlight w:val="none"/>
          <w:lang w:val="en-US" w:eastAsia="zh-CN"/>
        </w:rPr>
        <w:t>3.1</w:t>
      </w:r>
      <w:r>
        <w:rPr>
          <w:rFonts w:hint="eastAsia" w:ascii="仿宋_GB2312" w:hAnsi="仿宋" w:eastAsia="仿宋_GB2312" w:cs="仿宋_GB2312"/>
          <w:color w:val="auto"/>
          <w:kern w:val="0"/>
          <w:sz w:val="24"/>
          <w:highlight w:val="none"/>
          <w:lang w:val="zh-CN"/>
        </w:rPr>
        <w:t>响应文件分为资格文件、商务技术文件、报价文件三部分。各供应商在编制响应文件时请按照磋商文件第七部分规定的格式进行，混乱的编排导致响应文件被误读或磋商小组查找不到有效文件是供应商的风险。</w:t>
      </w:r>
    </w:p>
    <w:p w14:paraId="5080E7DE">
      <w:pPr>
        <w:keepNext w:val="0"/>
        <w:keepLines w:val="0"/>
        <w:pageBreakBefore w:val="0"/>
        <w:widowControl w:val="0"/>
        <w:numPr>
          <w:ilvl w:val="0"/>
          <w:numId w:val="0"/>
        </w:numPr>
        <w:kinsoku/>
        <w:wordWrap/>
        <w:overflowPunct/>
        <w:topLinePunct w:val="0"/>
        <w:bidi w:val="0"/>
        <w:adjustRightInd w:val="0"/>
        <w:spacing w:line="360" w:lineRule="auto"/>
        <w:ind w:left="0" w:leftChars="0" w:firstLine="420" w:firstLineChars="175"/>
        <w:textAlignment w:val="auto"/>
        <w:outlineLvl w:val="9"/>
        <w:rPr>
          <w:rFonts w:hint="eastAsia"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en-US" w:eastAsia="zh-CN"/>
        </w:rPr>
        <w:t>3.2</w:t>
      </w:r>
      <w:r>
        <w:rPr>
          <w:rFonts w:hint="eastAsia" w:ascii="仿宋_GB2312" w:hAnsi="仿宋" w:eastAsia="仿宋_GB2312" w:cs="仿宋_GB2312"/>
          <w:color w:val="auto"/>
          <w:kern w:val="0"/>
          <w:sz w:val="24"/>
          <w:highlight w:val="none"/>
          <w:lang w:val="zh-CN"/>
        </w:rPr>
        <w:t>供应商进行电子交易应安装客户端软件—“政采云电子交易客户端”，并按照磋商文件和电子交易平台的要求编制并加密响应文件。供应商未按规定加密的响应文件，电子交易平台将拒收并提示。</w:t>
      </w:r>
    </w:p>
    <w:p w14:paraId="3EF5A64D">
      <w:pPr>
        <w:keepNext w:val="0"/>
        <w:keepLines w:val="0"/>
        <w:pageBreakBefore w:val="0"/>
        <w:widowControl w:val="0"/>
        <w:numPr>
          <w:ilvl w:val="0"/>
          <w:numId w:val="0"/>
        </w:numPr>
        <w:kinsoku/>
        <w:wordWrap/>
        <w:overflowPunct/>
        <w:topLinePunct w:val="0"/>
        <w:bidi w:val="0"/>
        <w:adjustRightInd w:val="0"/>
        <w:spacing w:line="360" w:lineRule="auto"/>
        <w:ind w:left="0" w:leftChars="0" w:firstLine="420" w:firstLineChars="175"/>
        <w:textAlignment w:val="auto"/>
        <w:outlineLvl w:val="9"/>
        <w:rPr>
          <w:rFonts w:hint="eastAsia"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en-US" w:eastAsia="zh-CN"/>
        </w:rPr>
        <w:t>3.3</w:t>
      </w:r>
      <w:r>
        <w:rPr>
          <w:rFonts w:hint="eastAsia" w:ascii="仿宋_GB2312" w:hAnsi="仿宋" w:eastAsia="仿宋_GB2312" w:cs="仿宋_GB2312"/>
          <w:color w:val="auto"/>
          <w:kern w:val="0"/>
          <w:sz w:val="24"/>
          <w:highlight w:val="none"/>
          <w:lang w:val="zh-CN"/>
        </w:rPr>
        <w:t>使用“政采云电子交易客户端”需要提前申领CA数字证书，申领流程请自行前往“浙江政府采购网-下载专区-电子交易客户端-CA驱动和申领流程”进行查阅。</w:t>
      </w:r>
    </w:p>
    <w:p w14:paraId="314223F7">
      <w:pPr>
        <w:keepNext w:val="0"/>
        <w:keepLines w:val="0"/>
        <w:pageBreakBefore w:val="0"/>
        <w:widowControl w:val="0"/>
        <w:numPr>
          <w:ilvl w:val="0"/>
          <w:numId w:val="0"/>
        </w:numPr>
        <w:kinsoku/>
        <w:wordWrap/>
        <w:overflowPunct/>
        <w:topLinePunct w:val="0"/>
        <w:bidi w:val="0"/>
        <w:adjustRightInd w:val="0"/>
        <w:spacing w:line="360" w:lineRule="auto"/>
        <w:ind w:left="0" w:leftChars="0" w:firstLine="420" w:firstLineChars="175"/>
        <w:textAlignment w:val="auto"/>
        <w:outlineLvl w:val="9"/>
        <w:rPr>
          <w:rFonts w:hint="eastAsia"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3.4响应文件按照磋商文件第七部分格式要求进行签署、盖章。▲供应商的响应文件未按照磋商文件要求签署、盖章的，其响应无效。</w:t>
      </w:r>
    </w:p>
    <w:p w14:paraId="6AD0E96F">
      <w:pPr>
        <w:keepNext w:val="0"/>
        <w:keepLines w:val="0"/>
        <w:pageBreakBefore w:val="0"/>
        <w:widowControl w:val="0"/>
        <w:numPr>
          <w:ilvl w:val="0"/>
          <w:numId w:val="0"/>
        </w:numPr>
        <w:kinsoku/>
        <w:wordWrap/>
        <w:overflowPunct/>
        <w:topLinePunct w:val="0"/>
        <w:bidi w:val="0"/>
        <w:adjustRightInd w:val="0"/>
        <w:spacing w:line="360" w:lineRule="auto"/>
        <w:ind w:left="0" w:leftChars="0" w:firstLine="420" w:firstLineChars="175"/>
        <w:textAlignment w:val="auto"/>
        <w:outlineLvl w:val="9"/>
        <w:rPr>
          <w:rFonts w:hint="eastAsia"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3.5为确保网上操作合法、有效和安全，供应商应当在响应截止时间前完成在“政府采购云平台”的身份认证，确保在电子交易过程中能够对相关数据电文进行加密和使用电子签名。</w:t>
      </w:r>
    </w:p>
    <w:p w14:paraId="0B10D02A">
      <w:pPr>
        <w:keepNext w:val="0"/>
        <w:keepLines w:val="0"/>
        <w:pageBreakBefore w:val="0"/>
        <w:widowControl w:val="0"/>
        <w:numPr>
          <w:ilvl w:val="0"/>
          <w:numId w:val="0"/>
        </w:numPr>
        <w:kinsoku/>
        <w:wordWrap/>
        <w:overflowPunct/>
        <w:topLinePunct w:val="0"/>
        <w:bidi w:val="0"/>
        <w:adjustRightInd w:val="0"/>
        <w:spacing w:line="360" w:lineRule="auto"/>
        <w:ind w:left="0" w:leftChars="0" w:firstLine="420" w:firstLineChars="175"/>
        <w:textAlignment w:val="auto"/>
        <w:outlineLvl w:val="9"/>
        <w:rPr>
          <w:rFonts w:hint="eastAsia"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3.6磋商文件对响应文件签署、盖章的要求适用于电子签名。</w:t>
      </w:r>
    </w:p>
    <w:p w14:paraId="6DA735D8">
      <w:pPr>
        <w:numPr>
          <w:ilvl w:val="0"/>
          <w:numId w:val="0"/>
        </w:numPr>
        <w:spacing w:line="360" w:lineRule="auto"/>
        <w:ind w:left="0" w:leftChars="0" w:firstLine="420" w:firstLineChars="175"/>
        <w:rPr>
          <w:rFonts w:hint="eastAsia" w:ascii="仿宋_GB2312" w:hAnsi="仿宋" w:eastAsia="仿宋_GB2312" w:cs="仿宋_GB2312"/>
          <w:color w:val="auto"/>
          <w:kern w:val="0"/>
          <w:sz w:val="24"/>
          <w:highlight w:val="none"/>
          <w:lang w:val="zh-CN"/>
        </w:rPr>
      </w:pPr>
    </w:p>
    <w:p w14:paraId="5B3E97AF">
      <w:pPr>
        <w:adjustRightInd/>
        <w:spacing w:line="360" w:lineRule="auto"/>
        <w:jc w:val="center"/>
        <w:outlineLvl w:val="1"/>
        <w:rPr>
          <w:rFonts w:hint="eastAsia" w:ascii="仿宋" w:hAnsi="仿宋" w:eastAsia="仿宋" w:cs="仿宋"/>
          <w:b/>
          <w:color w:val="auto"/>
          <w:sz w:val="32"/>
          <w:szCs w:val="20"/>
          <w:highlight w:val="none"/>
          <w:lang w:val="zh-CN" w:eastAsia="zh-CN"/>
        </w:rPr>
      </w:pPr>
      <w:r>
        <w:rPr>
          <w:rFonts w:hint="eastAsia" w:ascii="仿宋" w:hAnsi="仿宋" w:eastAsia="仿宋" w:cs="仿宋"/>
          <w:b/>
          <w:color w:val="auto"/>
          <w:sz w:val="32"/>
          <w:szCs w:val="20"/>
          <w:highlight w:val="none"/>
          <w:lang w:eastAsia="zh-CN"/>
        </w:rPr>
        <w:t>七、响应文件的提交和备份</w:t>
      </w:r>
    </w:p>
    <w:p w14:paraId="2BE27388">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26" w:leftChars="0"/>
        <w:jc w:val="left"/>
        <w:textAlignment w:val="auto"/>
        <w:outlineLvl w:val="9"/>
        <w:rPr>
          <w:rFonts w:hint="eastAsia" w:ascii="仿宋_GB2312" w:hAnsi="仿宋" w:eastAsia="仿宋_GB2312"/>
          <w:b/>
          <w:color w:val="auto"/>
          <w:sz w:val="24"/>
          <w:highlight w:val="none"/>
          <w:lang w:eastAsia="zh-CN"/>
        </w:rPr>
      </w:pPr>
      <w:r>
        <w:rPr>
          <w:rFonts w:hint="eastAsia" w:ascii="仿宋_GB2312" w:hAnsi="仿宋" w:eastAsia="仿宋_GB2312"/>
          <w:b/>
          <w:color w:val="auto"/>
          <w:sz w:val="24"/>
          <w:highlight w:val="none"/>
          <w:lang w:val="en-US" w:eastAsia="zh-CN"/>
        </w:rPr>
        <w:t>1.</w:t>
      </w:r>
      <w:r>
        <w:rPr>
          <w:rFonts w:hint="eastAsia" w:ascii="仿宋_GB2312" w:hAnsi="仿宋" w:eastAsia="仿宋_GB2312"/>
          <w:b/>
          <w:color w:val="auto"/>
          <w:sz w:val="24"/>
          <w:highlight w:val="none"/>
          <w:lang w:eastAsia="zh-CN"/>
        </w:rPr>
        <w:t>响应文件的提交、补充、修改、撤回</w:t>
      </w:r>
    </w:p>
    <w:p w14:paraId="2A7B2A4D">
      <w:pPr>
        <w:keepNext w:val="0"/>
        <w:keepLines w:val="0"/>
        <w:pageBreakBefore w:val="0"/>
        <w:widowControl w:val="0"/>
        <w:numPr>
          <w:ilvl w:val="0"/>
          <w:numId w:val="0"/>
        </w:numPr>
        <w:kinsoku/>
        <w:wordWrap/>
        <w:overflowPunct/>
        <w:topLinePunct w:val="0"/>
        <w:autoSpaceDE/>
        <w:autoSpaceDN/>
        <w:bidi w:val="0"/>
        <w:adjustRightInd w:val="0"/>
        <w:spacing w:line="360" w:lineRule="auto"/>
        <w:ind w:left="0" w:leftChars="0" w:firstLine="420" w:firstLineChars="175"/>
        <w:textAlignment w:val="auto"/>
        <w:outlineLvl w:val="9"/>
        <w:rPr>
          <w:rFonts w:hint="eastAsia" w:ascii="仿宋_GB2312" w:hAnsi="仿宋" w:eastAsia="仿宋_GB2312" w:cs="仿宋_GB2312"/>
          <w:color w:val="auto"/>
          <w:kern w:val="0"/>
          <w:sz w:val="24"/>
          <w:highlight w:val="none"/>
          <w:lang w:val="en-US" w:eastAsia="zh-CN"/>
        </w:rPr>
      </w:pPr>
      <w:r>
        <w:rPr>
          <w:rFonts w:hint="eastAsia" w:ascii="仿宋_GB2312" w:hAnsi="仿宋" w:eastAsia="仿宋_GB2312" w:cs="仿宋_GB2312"/>
          <w:color w:val="auto"/>
          <w:kern w:val="0"/>
          <w:sz w:val="24"/>
          <w:highlight w:val="none"/>
          <w:lang w:val="en-US" w:eastAsia="zh-CN"/>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524BDE0">
      <w:pPr>
        <w:keepNext w:val="0"/>
        <w:keepLines w:val="0"/>
        <w:pageBreakBefore w:val="0"/>
        <w:widowControl w:val="0"/>
        <w:numPr>
          <w:ilvl w:val="0"/>
          <w:numId w:val="0"/>
        </w:numPr>
        <w:kinsoku/>
        <w:wordWrap/>
        <w:overflowPunct/>
        <w:topLinePunct w:val="0"/>
        <w:autoSpaceDE/>
        <w:autoSpaceDN/>
        <w:bidi w:val="0"/>
        <w:adjustRightInd w:val="0"/>
        <w:spacing w:line="360" w:lineRule="auto"/>
        <w:ind w:left="0" w:leftChars="0" w:firstLine="420" w:firstLineChars="175"/>
        <w:textAlignment w:val="auto"/>
        <w:outlineLvl w:val="9"/>
        <w:rPr>
          <w:rFonts w:hint="eastAsia" w:ascii="仿宋_GB2312" w:hAnsi="仿宋" w:eastAsia="仿宋_GB2312" w:cs="仿宋_GB2312"/>
          <w:color w:val="auto"/>
          <w:kern w:val="0"/>
          <w:sz w:val="24"/>
          <w:highlight w:val="none"/>
          <w:lang w:val="en-US" w:eastAsia="zh-CN"/>
        </w:rPr>
      </w:pPr>
      <w:r>
        <w:rPr>
          <w:rFonts w:hint="eastAsia" w:ascii="仿宋_GB2312" w:hAnsi="仿宋" w:eastAsia="仿宋_GB2312" w:cs="仿宋_GB2312"/>
          <w:color w:val="auto"/>
          <w:kern w:val="0"/>
          <w:sz w:val="24"/>
          <w:highlight w:val="none"/>
          <w:lang w:val="en-US" w:eastAsia="zh-CN"/>
        </w:rPr>
        <w:t>1.2 在响应截止时间以后，不能补充、修改响应文件。</w:t>
      </w:r>
    </w:p>
    <w:p w14:paraId="601389C5">
      <w:pPr>
        <w:keepNext w:val="0"/>
        <w:keepLines w:val="0"/>
        <w:pageBreakBefore w:val="0"/>
        <w:widowControl w:val="0"/>
        <w:numPr>
          <w:ilvl w:val="0"/>
          <w:numId w:val="0"/>
        </w:numPr>
        <w:kinsoku/>
        <w:wordWrap/>
        <w:overflowPunct/>
        <w:topLinePunct w:val="0"/>
        <w:autoSpaceDE/>
        <w:autoSpaceDN/>
        <w:bidi w:val="0"/>
        <w:adjustRightInd w:val="0"/>
        <w:spacing w:line="360" w:lineRule="auto"/>
        <w:ind w:left="0" w:leftChars="0" w:firstLine="420" w:firstLineChars="175"/>
        <w:textAlignment w:val="auto"/>
        <w:outlineLvl w:val="9"/>
        <w:rPr>
          <w:rFonts w:hint="eastAsia" w:ascii="仿宋_GB2312" w:hAnsi="仿宋" w:eastAsia="仿宋_GB2312" w:cs="仿宋_GB2312"/>
          <w:color w:val="auto"/>
          <w:kern w:val="0"/>
          <w:sz w:val="24"/>
          <w:highlight w:val="none"/>
          <w:lang w:val="en-US" w:eastAsia="zh-CN"/>
        </w:rPr>
      </w:pPr>
      <w:r>
        <w:rPr>
          <w:rFonts w:hint="eastAsia" w:ascii="仿宋_GB2312" w:hAnsi="仿宋" w:eastAsia="仿宋_GB2312" w:cs="仿宋_GB2312"/>
          <w:color w:val="auto"/>
          <w:kern w:val="0"/>
          <w:sz w:val="24"/>
          <w:highlight w:val="none"/>
          <w:lang w:val="en-US" w:eastAsia="zh-CN"/>
        </w:rPr>
        <w:t>1.3 在提交“最后报价”后，供应商不能退出磋商。</w:t>
      </w:r>
    </w:p>
    <w:p w14:paraId="7DC96A1D">
      <w:pPr>
        <w:keepNext w:val="0"/>
        <w:keepLines w:val="0"/>
        <w:pageBreakBefore w:val="0"/>
        <w:widowControl w:val="0"/>
        <w:numPr>
          <w:ilvl w:val="0"/>
          <w:numId w:val="0"/>
        </w:numPr>
        <w:kinsoku/>
        <w:wordWrap/>
        <w:overflowPunct/>
        <w:topLinePunct w:val="0"/>
        <w:autoSpaceDE/>
        <w:autoSpaceDN/>
        <w:bidi w:val="0"/>
        <w:adjustRightInd w:val="0"/>
        <w:spacing w:line="360" w:lineRule="auto"/>
        <w:ind w:left="0" w:leftChars="0" w:firstLine="420" w:firstLineChars="175"/>
        <w:textAlignment w:val="auto"/>
        <w:outlineLvl w:val="9"/>
        <w:rPr>
          <w:rFonts w:hint="eastAsia" w:ascii="仿宋_GB2312" w:hAnsi="仿宋" w:eastAsia="仿宋_GB2312" w:cs="仿宋_GB2312"/>
          <w:color w:val="auto"/>
          <w:kern w:val="0"/>
          <w:sz w:val="24"/>
          <w:highlight w:val="none"/>
          <w:lang w:val="en-US" w:eastAsia="zh-CN"/>
        </w:rPr>
      </w:pPr>
      <w:r>
        <w:rPr>
          <w:rFonts w:hint="eastAsia" w:ascii="仿宋_GB2312" w:hAnsi="仿宋" w:eastAsia="仿宋_GB2312" w:cs="仿宋_GB2312"/>
          <w:color w:val="auto"/>
          <w:kern w:val="0"/>
          <w:sz w:val="24"/>
          <w:highlight w:val="none"/>
          <w:lang w:val="en-US" w:eastAsia="zh-CN"/>
        </w:rPr>
        <w:t>1.4 电子交易平台收到响应文件，将妥善保存并即时向供应商发出确认回执通知。在响应截止时间前，除供应商补充、修改或者撤回响应文件外，任何单位和个人不得解密或提取响应文件。</w:t>
      </w:r>
    </w:p>
    <w:p w14:paraId="18E97318">
      <w:pPr>
        <w:keepNext w:val="0"/>
        <w:keepLines w:val="0"/>
        <w:pageBreakBefore w:val="0"/>
        <w:widowControl w:val="0"/>
        <w:numPr>
          <w:ilvl w:val="0"/>
          <w:numId w:val="0"/>
        </w:numPr>
        <w:kinsoku/>
        <w:wordWrap/>
        <w:overflowPunct/>
        <w:topLinePunct w:val="0"/>
        <w:autoSpaceDE/>
        <w:autoSpaceDN/>
        <w:bidi w:val="0"/>
        <w:adjustRightInd w:val="0"/>
        <w:spacing w:line="360" w:lineRule="auto"/>
        <w:ind w:left="0" w:leftChars="0" w:firstLine="420" w:firstLineChars="175"/>
        <w:textAlignment w:val="auto"/>
        <w:outlineLvl w:val="9"/>
        <w:rPr>
          <w:rFonts w:ascii="仿宋_GB2312" w:hAnsi="仿宋" w:eastAsia="仿宋_GB2312" w:cs="仿宋_GB2312"/>
          <w:color w:val="auto"/>
          <w:szCs w:val="24"/>
          <w:highlight w:val="none"/>
        </w:rPr>
      </w:pPr>
      <w:r>
        <w:rPr>
          <w:rFonts w:hint="eastAsia" w:ascii="仿宋_GB2312" w:hAnsi="仿宋" w:eastAsia="仿宋_GB2312" w:cs="仿宋_GB2312"/>
          <w:color w:val="auto"/>
          <w:kern w:val="0"/>
          <w:sz w:val="24"/>
          <w:highlight w:val="none"/>
          <w:lang w:val="en-US" w:eastAsia="zh-CN"/>
        </w:rPr>
        <w:t>1.5 采购代理机构可以视情况延长提交响应文件的截止时间。在上述情况下，采购代理机构与供应商以前在响应截止期方面的全部权利、责任和义务，将适用于延长至新的响应截止期</w:t>
      </w:r>
      <w:r>
        <w:rPr>
          <w:rFonts w:hint="eastAsia" w:ascii="仿宋_GB2312" w:hAnsi="仿宋" w:eastAsia="仿宋_GB2312" w:cs="仿宋_GB2312"/>
          <w:color w:val="auto"/>
          <w:kern w:val="0"/>
          <w:sz w:val="24"/>
          <w:highlight w:val="none"/>
          <w:lang w:val="zh-CN"/>
        </w:rPr>
        <w:t>。</w:t>
      </w:r>
    </w:p>
    <w:p w14:paraId="68962E3F">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26" w:leftChars="0"/>
        <w:jc w:val="left"/>
        <w:textAlignment w:val="auto"/>
        <w:outlineLvl w:val="9"/>
        <w:rPr>
          <w:rFonts w:hint="eastAsia" w:ascii="仿宋_GB2312" w:hAnsi="仿宋" w:eastAsia="仿宋_GB2312"/>
          <w:b/>
          <w:color w:val="auto"/>
          <w:sz w:val="24"/>
          <w:highlight w:val="none"/>
          <w:lang w:eastAsia="zh-CN"/>
        </w:rPr>
      </w:pPr>
      <w:r>
        <w:rPr>
          <w:rFonts w:hint="eastAsia" w:ascii="仿宋_GB2312" w:hAnsi="仿宋" w:eastAsia="仿宋_GB2312"/>
          <w:b/>
          <w:color w:val="auto"/>
          <w:sz w:val="24"/>
          <w:highlight w:val="none"/>
          <w:lang w:val="en-US" w:eastAsia="zh-CN"/>
        </w:rPr>
        <w:t>2.</w:t>
      </w:r>
      <w:r>
        <w:rPr>
          <w:rFonts w:hint="eastAsia" w:ascii="仿宋_GB2312" w:hAnsi="仿宋" w:eastAsia="仿宋_GB2312"/>
          <w:b/>
          <w:color w:val="auto"/>
          <w:sz w:val="24"/>
          <w:highlight w:val="none"/>
          <w:lang w:eastAsia="zh-CN"/>
        </w:rPr>
        <w:t>备份响应文件</w:t>
      </w:r>
    </w:p>
    <w:p w14:paraId="6AD3F67C">
      <w:pPr>
        <w:pStyle w:val="32"/>
        <w:numPr>
          <w:ilvl w:val="0"/>
          <w:numId w:val="0"/>
        </w:numPr>
        <w:spacing w:line="360" w:lineRule="auto"/>
        <w:ind w:left="17" w:leftChars="0" w:firstLine="379" w:firstLineChars="158"/>
        <w:rPr>
          <w:rFonts w:ascii="仿宋_GB2312" w:hAnsi="仿宋" w:eastAsia="仿宋_GB2312" w:cs="仿宋_GB2312"/>
          <w:b/>
          <w:bCs/>
          <w:color w:val="auto"/>
          <w:sz w:val="24"/>
          <w:szCs w:val="24"/>
          <w:highlight w:val="none"/>
        </w:rPr>
      </w:pPr>
      <w:r>
        <w:rPr>
          <w:rFonts w:hint="eastAsia" w:ascii="仿宋_GB2312" w:hAnsi="仿宋" w:eastAsia="仿宋_GB2312" w:cs="仿宋_GB2312"/>
          <w:b w:val="0"/>
          <w:bCs w:val="0"/>
          <w:color w:val="auto"/>
          <w:sz w:val="24"/>
          <w:szCs w:val="24"/>
          <w:highlight w:val="none"/>
          <w:lang w:val="en-US" w:eastAsia="zh-CN"/>
        </w:rPr>
        <w:t>2.1</w:t>
      </w:r>
      <w:r>
        <w:rPr>
          <w:rFonts w:hint="eastAsia" w:ascii="仿宋_GB2312" w:hAnsi="仿宋" w:eastAsia="仿宋_GB2312" w:cs="仿宋_GB2312"/>
          <w:b w:val="0"/>
          <w:bCs w:val="0"/>
          <w:color w:val="auto"/>
          <w:sz w:val="24"/>
          <w:szCs w:val="24"/>
          <w:highlight w:val="none"/>
        </w:rPr>
        <w:t>供应商在电子交易平台传输提交响应文件后，还可以在响应截止时间前直接提交或者以邮政快递方式递交备份响应文件1份，</w:t>
      </w:r>
      <w:r>
        <w:rPr>
          <w:rFonts w:hint="eastAsia" w:ascii="仿宋_GB2312" w:hAnsi="仿宋" w:eastAsia="仿宋_GB2312" w:cs="仿宋_GB2312"/>
          <w:b/>
          <w:bCs/>
          <w:color w:val="auto"/>
          <w:sz w:val="24"/>
          <w:szCs w:val="24"/>
          <w:highlight w:val="none"/>
        </w:rPr>
        <w:t>但采购人、</w:t>
      </w:r>
      <w:r>
        <w:rPr>
          <w:rFonts w:hint="eastAsia" w:ascii="仿宋_GB2312" w:hAnsi="仿宋" w:eastAsia="仿宋_GB2312" w:cs="仿宋_GB2312"/>
          <w:b/>
          <w:bCs/>
          <w:color w:val="auto"/>
          <w:sz w:val="24"/>
          <w:szCs w:val="24"/>
          <w:highlight w:val="none"/>
          <w:lang w:eastAsia="zh-CN"/>
        </w:rPr>
        <w:t>采购代理机构</w:t>
      </w:r>
      <w:r>
        <w:rPr>
          <w:rFonts w:hint="eastAsia" w:ascii="仿宋_GB2312" w:hAnsi="仿宋" w:eastAsia="仿宋_GB2312" w:cs="仿宋_GB2312"/>
          <w:b/>
          <w:bCs/>
          <w:color w:val="auto"/>
          <w:sz w:val="24"/>
          <w:szCs w:val="24"/>
          <w:highlight w:val="none"/>
        </w:rPr>
        <w:t>不强制或变相强制供应商提交备份响应文件。</w:t>
      </w:r>
    </w:p>
    <w:p w14:paraId="540A2E3A">
      <w:pPr>
        <w:pStyle w:val="32"/>
        <w:numPr>
          <w:ilvl w:val="0"/>
          <w:numId w:val="0"/>
        </w:numPr>
        <w:spacing w:line="360" w:lineRule="auto"/>
        <w:ind w:left="17" w:leftChars="0" w:firstLine="379" w:firstLineChars="158"/>
        <w:rPr>
          <w:rFonts w:hint="eastAsia" w:ascii="仿宋_GB2312" w:hAnsi="仿宋" w:eastAsia="仿宋_GB2312" w:cs="仿宋_GB2312"/>
          <w:b w:val="0"/>
          <w:bCs w:val="0"/>
          <w:color w:val="auto"/>
          <w:sz w:val="24"/>
          <w:szCs w:val="24"/>
          <w:highlight w:val="none"/>
          <w:lang w:eastAsia="zh-CN"/>
        </w:rPr>
      </w:pPr>
      <w:r>
        <w:rPr>
          <w:rFonts w:hint="eastAsia" w:ascii="仿宋_GB2312" w:hAnsi="仿宋" w:eastAsia="仿宋_GB2312" w:cs="仿宋_GB2312"/>
          <w:b w:val="0"/>
          <w:bCs w:val="0"/>
          <w:color w:val="auto"/>
          <w:sz w:val="24"/>
          <w:szCs w:val="24"/>
          <w:highlight w:val="none"/>
          <w:lang w:val="en-US" w:eastAsia="zh-CN"/>
        </w:rPr>
        <w:t>2.2</w:t>
      </w:r>
      <w:r>
        <w:rPr>
          <w:rFonts w:hint="eastAsia" w:ascii="仿宋_GB2312" w:hAnsi="仿宋" w:eastAsia="仿宋_GB2312" w:cs="仿宋_GB2312"/>
          <w:b w:val="0"/>
          <w:bCs w:val="0"/>
          <w:color w:val="auto"/>
          <w:sz w:val="24"/>
          <w:szCs w:val="24"/>
          <w:highlight w:val="none"/>
        </w:rPr>
        <w:t>备份响应文件须在“政采云投标客户端”制作生成，并储存在DVD光盘</w:t>
      </w:r>
      <w:r>
        <w:rPr>
          <w:rFonts w:hint="eastAsia" w:ascii="仿宋_GB2312" w:hAnsi="仿宋" w:eastAsia="仿宋_GB2312" w:cs="仿宋_GB2312"/>
          <w:b w:val="0"/>
          <w:bCs w:val="0"/>
          <w:color w:val="auto"/>
          <w:sz w:val="24"/>
          <w:szCs w:val="24"/>
          <w:highlight w:val="none"/>
          <w:lang w:eastAsia="zh-CN"/>
        </w:rPr>
        <w:t>或</w:t>
      </w:r>
      <w:r>
        <w:rPr>
          <w:rFonts w:hint="eastAsia" w:ascii="仿宋_GB2312" w:hAnsi="仿宋" w:eastAsia="仿宋_GB2312" w:cs="仿宋_GB2312"/>
          <w:b w:val="0"/>
          <w:bCs w:val="0"/>
          <w:color w:val="auto"/>
          <w:sz w:val="24"/>
          <w:szCs w:val="24"/>
          <w:highlight w:val="none"/>
          <w:lang w:val="en-US" w:eastAsia="zh-CN"/>
        </w:rPr>
        <w:t>U盘</w:t>
      </w:r>
      <w:r>
        <w:rPr>
          <w:rFonts w:hint="eastAsia" w:ascii="仿宋_GB2312" w:hAnsi="仿宋" w:eastAsia="仿宋_GB2312" w:cs="仿宋_GB2312"/>
          <w:b w:val="0"/>
          <w:bCs w:val="0"/>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_GB2312" w:hAnsi="仿宋" w:eastAsia="仿宋_GB2312" w:cs="仿宋_GB2312"/>
          <w:b w:val="0"/>
          <w:bCs w:val="0"/>
          <w:color w:val="auto"/>
          <w:sz w:val="24"/>
          <w:szCs w:val="24"/>
          <w:highlight w:val="none"/>
          <w:lang w:eastAsia="zh-CN"/>
        </w:rPr>
        <w:t>。</w:t>
      </w:r>
    </w:p>
    <w:p w14:paraId="05A57E37">
      <w:pPr>
        <w:pStyle w:val="32"/>
        <w:numPr>
          <w:ilvl w:val="0"/>
          <w:numId w:val="0"/>
        </w:numPr>
        <w:spacing w:line="360" w:lineRule="auto"/>
        <w:ind w:left="17" w:leftChars="0" w:firstLine="381" w:firstLineChars="158"/>
        <w:rPr>
          <w:rFonts w:ascii="仿宋_GB2312" w:hAnsi="仿宋" w:eastAsia="仿宋_GB2312" w:cs="仿宋_GB2312"/>
          <w:b/>
          <w:bCs/>
          <w:color w:val="auto"/>
          <w:sz w:val="24"/>
          <w:szCs w:val="24"/>
          <w:highlight w:val="none"/>
        </w:rPr>
      </w:pPr>
      <w:r>
        <w:rPr>
          <w:rFonts w:hint="eastAsia" w:asciiTheme="minorEastAsia" w:hAnsiTheme="minorEastAsia" w:eastAsiaTheme="minorEastAsia"/>
          <w:b/>
          <w:color w:val="auto"/>
          <w:sz w:val="24"/>
          <w:highlight w:val="none"/>
        </w:rPr>
        <w:t>▲</w:t>
      </w:r>
      <w:r>
        <w:rPr>
          <w:rFonts w:hint="eastAsia" w:ascii="仿宋_GB2312" w:hAnsi="仿宋" w:eastAsia="仿宋_GB2312"/>
          <w:b/>
          <w:bCs/>
          <w:color w:val="auto"/>
          <w:sz w:val="24"/>
          <w:highlight w:val="none"/>
        </w:rPr>
        <w:t>不符合上述制作、</w:t>
      </w:r>
      <w:r>
        <w:rPr>
          <w:rFonts w:hint="eastAsia" w:ascii="仿宋_GB2312" w:hAnsi="仿宋" w:eastAsia="仿宋_GB2312" w:cs="仿宋_GB2312"/>
          <w:b/>
          <w:bCs/>
          <w:color w:val="auto"/>
          <w:sz w:val="24"/>
          <w:szCs w:val="24"/>
          <w:highlight w:val="none"/>
        </w:rPr>
        <w:t>存储、密封规定的备份响应文件将被视为无效或者被拒绝接收。</w:t>
      </w:r>
    </w:p>
    <w:p w14:paraId="1D548FF0">
      <w:pPr>
        <w:pStyle w:val="32"/>
        <w:numPr>
          <w:ilvl w:val="0"/>
          <w:numId w:val="0"/>
        </w:numPr>
        <w:spacing w:line="360" w:lineRule="auto"/>
        <w:ind w:left="17" w:leftChars="0" w:firstLine="379" w:firstLineChars="158"/>
        <w:rPr>
          <w:rFonts w:hint="eastAsia" w:ascii="仿宋_GB2312" w:hAnsi="仿宋" w:eastAsia="仿宋_GB2312" w:cs="仿宋_GB2312"/>
          <w:b w:val="0"/>
          <w:bCs w:val="0"/>
          <w:color w:val="auto"/>
          <w:sz w:val="24"/>
          <w:szCs w:val="24"/>
          <w:highlight w:val="none"/>
        </w:rPr>
      </w:pPr>
      <w:r>
        <w:rPr>
          <w:rFonts w:hint="eastAsia" w:ascii="仿宋_GB2312" w:hAnsi="仿宋" w:eastAsia="仿宋_GB2312" w:cs="仿宋_GB2312"/>
          <w:b w:val="0"/>
          <w:bCs w:val="0"/>
          <w:color w:val="auto"/>
          <w:sz w:val="24"/>
          <w:szCs w:val="24"/>
          <w:highlight w:val="none"/>
          <w:lang w:val="en-US" w:eastAsia="zh-CN"/>
        </w:rPr>
        <w:t>2.3</w:t>
      </w:r>
      <w:r>
        <w:rPr>
          <w:rFonts w:hint="eastAsia" w:ascii="仿宋_GB2312" w:hAnsi="仿宋" w:eastAsia="仿宋_GB2312" w:cs="仿宋_GB2312"/>
          <w:b w:val="0"/>
          <w:bCs w:val="0"/>
          <w:color w:val="auto"/>
          <w:sz w:val="24"/>
          <w:szCs w:val="24"/>
          <w:highlight w:val="none"/>
        </w:rPr>
        <w:t>直接提交备份响应文件的，供应商应于响应截止时间前在磋商公告中载明的开启响应文件的地点将备份响应文件提交给</w:t>
      </w:r>
      <w:r>
        <w:rPr>
          <w:rFonts w:hint="eastAsia" w:ascii="仿宋_GB2312" w:hAnsi="仿宋" w:eastAsia="仿宋_GB2312" w:cs="仿宋_GB2312"/>
          <w:b w:val="0"/>
          <w:bCs w:val="0"/>
          <w:color w:val="auto"/>
          <w:sz w:val="24"/>
          <w:szCs w:val="24"/>
          <w:highlight w:val="none"/>
          <w:lang w:eastAsia="zh-CN"/>
        </w:rPr>
        <w:t>采购代理机构</w:t>
      </w:r>
      <w:r>
        <w:rPr>
          <w:rFonts w:hint="eastAsia" w:ascii="仿宋_GB2312" w:hAnsi="仿宋" w:eastAsia="仿宋_GB2312" w:cs="仿宋_GB2312"/>
          <w:b w:val="0"/>
          <w:bCs w:val="0"/>
          <w:color w:val="auto"/>
          <w:sz w:val="24"/>
          <w:szCs w:val="24"/>
          <w:highlight w:val="none"/>
        </w:rPr>
        <w:t>，</w:t>
      </w:r>
      <w:r>
        <w:rPr>
          <w:rFonts w:hint="eastAsia" w:ascii="仿宋_GB2312" w:hAnsi="仿宋" w:eastAsia="仿宋_GB2312" w:cs="仿宋_GB2312"/>
          <w:b w:val="0"/>
          <w:bCs w:val="0"/>
          <w:color w:val="auto"/>
          <w:sz w:val="24"/>
          <w:szCs w:val="24"/>
          <w:highlight w:val="none"/>
          <w:lang w:eastAsia="zh-CN"/>
        </w:rPr>
        <w:t>采购代理机构</w:t>
      </w:r>
      <w:r>
        <w:rPr>
          <w:rFonts w:hint="eastAsia" w:ascii="仿宋_GB2312" w:hAnsi="仿宋" w:eastAsia="仿宋_GB2312" w:cs="仿宋_GB2312"/>
          <w:b w:val="0"/>
          <w:bCs w:val="0"/>
          <w:color w:val="auto"/>
          <w:sz w:val="24"/>
          <w:szCs w:val="24"/>
          <w:highlight w:val="none"/>
        </w:rPr>
        <w:t>将拒绝接受逾期送达的备份响应文件。</w:t>
      </w:r>
    </w:p>
    <w:p w14:paraId="761FF595">
      <w:pPr>
        <w:pStyle w:val="32"/>
        <w:numPr>
          <w:ilvl w:val="0"/>
          <w:numId w:val="0"/>
        </w:numPr>
        <w:spacing w:line="360" w:lineRule="auto"/>
        <w:ind w:left="17" w:leftChars="0" w:firstLine="379" w:firstLineChars="158"/>
        <w:rPr>
          <w:rFonts w:hint="eastAsia" w:ascii="仿宋_GB2312" w:hAnsi="仿宋" w:eastAsia="仿宋_GB2312" w:cs="仿宋_GB2312"/>
          <w:b w:val="0"/>
          <w:bCs w:val="0"/>
          <w:color w:val="auto"/>
          <w:sz w:val="24"/>
          <w:szCs w:val="24"/>
          <w:highlight w:val="none"/>
        </w:rPr>
      </w:pPr>
      <w:r>
        <w:rPr>
          <w:rFonts w:hint="eastAsia" w:ascii="仿宋_GB2312" w:hAnsi="仿宋" w:eastAsia="仿宋_GB2312" w:cs="仿宋_GB2312"/>
          <w:b w:val="0"/>
          <w:bCs w:val="0"/>
          <w:color w:val="auto"/>
          <w:sz w:val="24"/>
          <w:szCs w:val="24"/>
          <w:highlight w:val="none"/>
          <w:lang w:val="en-US" w:eastAsia="zh-CN"/>
        </w:rPr>
        <w:t>2.4</w:t>
      </w:r>
      <w:r>
        <w:rPr>
          <w:rFonts w:hint="eastAsia" w:ascii="仿宋_GB2312" w:hAnsi="仿宋" w:eastAsia="仿宋_GB2312" w:cs="仿宋_GB2312"/>
          <w:b w:val="0"/>
          <w:bCs w:val="0"/>
          <w:color w:val="auto"/>
          <w:sz w:val="24"/>
          <w:szCs w:val="24"/>
          <w:highlight w:val="none"/>
        </w:rPr>
        <w:t>以邮政快递方式递交备份响应文件的，供应商应先将备份响应文件按要求密封和标记，再进行邮政快递包装后邮寄。备份响应文件须在提交响应文件截止时间之前送达</w:t>
      </w:r>
      <w:r>
        <w:rPr>
          <w:rFonts w:hint="eastAsia" w:ascii="仿宋_GB2312" w:hAnsi="仿宋" w:eastAsia="仿宋_GB2312" w:cs="仿宋_GB2312"/>
          <w:b w:val="0"/>
          <w:bCs w:val="0"/>
          <w:color w:val="auto"/>
          <w:sz w:val="24"/>
          <w:szCs w:val="24"/>
          <w:highlight w:val="none"/>
          <w:lang w:eastAsia="zh-CN"/>
        </w:rPr>
        <w:t>磋商</w:t>
      </w:r>
      <w:r>
        <w:rPr>
          <w:rFonts w:hint="eastAsia" w:ascii="仿宋_GB2312" w:hAnsi="仿宋" w:eastAsia="仿宋_GB2312" w:cs="仿宋_GB2312"/>
          <w:b w:val="0"/>
          <w:bCs w:val="0"/>
          <w:color w:val="auto"/>
          <w:sz w:val="24"/>
          <w:szCs w:val="24"/>
          <w:highlight w:val="none"/>
        </w:rPr>
        <w:t>文件第</w:t>
      </w:r>
      <w:r>
        <w:rPr>
          <w:rFonts w:hint="eastAsia" w:ascii="仿宋_GB2312" w:hAnsi="仿宋" w:eastAsia="仿宋_GB2312" w:cs="仿宋_GB2312"/>
          <w:b w:val="0"/>
          <w:bCs w:val="0"/>
          <w:color w:val="auto"/>
          <w:sz w:val="24"/>
          <w:szCs w:val="24"/>
          <w:highlight w:val="none"/>
          <w:lang w:eastAsia="zh-CN"/>
        </w:rPr>
        <w:t>三</w:t>
      </w:r>
      <w:r>
        <w:rPr>
          <w:rFonts w:hint="eastAsia" w:ascii="仿宋_GB2312" w:hAnsi="仿宋" w:eastAsia="仿宋_GB2312" w:cs="仿宋_GB2312"/>
          <w:b w:val="0"/>
          <w:bCs w:val="0"/>
          <w:color w:val="auto"/>
          <w:sz w:val="24"/>
          <w:szCs w:val="24"/>
          <w:highlight w:val="none"/>
        </w:rPr>
        <w:t>部分</w:t>
      </w:r>
      <w:r>
        <w:rPr>
          <w:rFonts w:hint="eastAsia" w:ascii="仿宋_GB2312" w:hAnsi="仿宋" w:eastAsia="仿宋_GB2312" w:cs="仿宋_GB2312"/>
          <w:b w:val="0"/>
          <w:bCs w:val="0"/>
          <w:color w:val="auto"/>
          <w:sz w:val="24"/>
          <w:szCs w:val="24"/>
          <w:highlight w:val="none"/>
          <w:lang w:eastAsia="zh-CN"/>
        </w:rPr>
        <w:t>供应商</w:t>
      </w:r>
      <w:r>
        <w:rPr>
          <w:rFonts w:hint="eastAsia" w:ascii="仿宋_GB2312" w:hAnsi="仿宋" w:eastAsia="仿宋_GB2312" w:cs="仿宋_GB2312"/>
          <w:b w:val="0"/>
          <w:bCs w:val="0"/>
          <w:color w:val="auto"/>
          <w:sz w:val="24"/>
          <w:szCs w:val="24"/>
          <w:highlight w:val="none"/>
        </w:rPr>
        <w:t>须知前附表规定的备份</w:t>
      </w:r>
      <w:r>
        <w:rPr>
          <w:rFonts w:hint="eastAsia" w:ascii="仿宋_GB2312" w:hAnsi="仿宋" w:eastAsia="仿宋_GB2312" w:cs="仿宋_GB2312"/>
          <w:b w:val="0"/>
          <w:bCs w:val="0"/>
          <w:color w:val="auto"/>
          <w:sz w:val="24"/>
          <w:szCs w:val="24"/>
          <w:highlight w:val="none"/>
          <w:lang w:eastAsia="zh-CN"/>
        </w:rPr>
        <w:t>响应</w:t>
      </w:r>
      <w:r>
        <w:rPr>
          <w:rFonts w:hint="eastAsia" w:ascii="仿宋_GB2312" w:hAnsi="仿宋" w:eastAsia="仿宋_GB2312" w:cs="仿宋_GB2312"/>
          <w:b w:val="0"/>
          <w:bCs w:val="0"/>
          <w:color w:val="auto"/>
          <w:sz w:val="24"/>
          <w:szCs w:val="24"/>
          <w:highlight w:val="none"/>
        </w:rPr>
        <w:t>文件送达地点；送达时间以签收人签收时间为准。</w:t>
      </w:r>
      <w:r>
        <w:rPr>
          <w:rFonts w:hint="eastAsia" w:ascii="仿宋_GB2312" w:hAnsi="仿宋" w:eastAsia="仿宋_GB2312" w:cs="仿宋_GB2312"/>
          <w:b w:val="0"/>
          <w:bCs w:val="0"/>
          <w:color w:val="auto"/>
          <w:sz w:val="24"/>
          <w:szCs w:val="24"/>
          <w:highlight w:val="none"/>
          <w:lang w:eastAsia="zh-CN"/>
        </w:rPr>
        <w:t>采购代理机构</w:t>
      </w:r>
      <w:r>
        <w:rPr>
          <w:rFonts w:hint="eastAsia" w:ascii="仿宋_GB2312" w:hAnsi="仿宋" w:eastAsia="仿宋_GB2312" w:cs="仿宋_GB2312"/>
          <w:b w:val="0"/>
          <w:bCs w:val="0"/>
          <w:color w:val="auto"/>
          <w:sz w:val="24"/>
          <w:szCs w:val="24"/>
          <w:highlight w:val="none"/>
        </w:rPr>
        <w:t>将拒绝接受逾期送达的备份响应文件。邮寄过程中，电子备份响应文件发生泄露、遗失、损坏或延期送达等情况的，由供应商自行负责。</w:t>
      </w:r>
    </w:p>
    <w:p w14:paraId="32BFE9AE">
      <w:pPr>
        <w:pStyle w:val="32"/>
        <w:numPr>
          <w:ilvl w:val="0"/>
          <w:numId w:val="0"/>
        </w:numPr>
        <w:spacing w:line="360" w:lineRule="auto"/>
        <w:ind w:left="17" w:leftChars="0" w:firstLine="381" w:firstLineChars="158"/>
        <w:rPr>
          <w:rFonts w:hint="eastAsia" w:ascii="仿宋_GB2312" w:hAnsi="仿宋" w:eastAsia="仿宋_GB2312" w:cs="仿宋_GB2312"/>
          <w:b/>
          <w:bCs/>
          <w:color w:val="auto"/>
          <w:sz w:val="24"/>
          <w:szCs w:val="24"/>
          <w:highlight w:val="none"/>
        </w:rPr>
      </w:pPr>
      <w:r>
        <w:rPr>
          <w:rFonts w:hint="eastAsia" w:ascii="仿宋_GB2312" w:hAnsi="仿宋" w:eastAsia="仿宋_GB2312" w:cs="仿宋_GB2312"/>
          <w:b/>
          <w:bCs/>
          <w:color w:val="auto"/>
          <w:sz w:val="24"/>
          <w:szCs w:val="24"/>
          <w:highlight w:val="none"/>
          <w:lang w:val="en-US" w:eastAsia="zh-CN"/>
        </w:rPr>
        <w:t>2.5</w:t>
      </w:r>
      <w:r>
        <w:rPr>
          <w:rFonts w:hint="eastAsia" w:ascii="仿宋_GB2312" w:hAnsi="仿宋" w:eastAsia="仿宋_GB2312" w:cs="仿宋_GB2312"/>
          <w:b/>
          <w:bCs/>
          <w:color w:val="auto"/>
          <w:sz w:val="24"/>
          <w:szCs w:val="24"/>
          <w:highlight w:val="none"/>
        </w:rPr>
        <w:t>▲供应商仅提交备份响应文件，未在电子交易平台传输提交响应文件的，响应无效。</w:t>
      </w:r>
    </w:p>
    <w:p w14:paraId="1CCC4168">
      <w:pPr>
        <w:pStyle w:val="32"/>
        <w:numPr>
          <w:ilvl w:val="0"/>
          <w:numId w:val="0"/>
        </w:numPr>
        <w:spacing w:line="360" w:lineRule="auto"/>
        <w:ind w:left="397" w:leftChars="0"/>
        <w:rPr>
          <w:rFonts w:hint="eastAsia" w:ascii="仿宋" w:hAnsi="仿宋" w:eastAsia="仿宋" w:cs="仿宋"/>
          <w:b w:val="0"/>
          <w:bCs w:val="0"/>
          <w:color w:val="auto"/>
          <w:sz w:val="24"/>
          <w:szCs w:val="24"/>
          <w:highlight w:val="none"/>
        </w:rPr>
      </w:pPr>
    </w:p>
    <w:p w14:paraId="3E430919">
      <w:pPr>
        <w:adjustRightInd/>
        <w:spacing w:line="360" w:lineRule="auto"/>
        <w:jc w:val="center"/>
        <w:outlineLvl w:val="1"/>
        <w:rPr>
          <w:rFonts w:hint="eastAsia" w:ascii="仿宋" w:hAnsi="仿宋" w:eastAsia="仿宋" w:cs="仿宋"/>
          <w:b/>
          <w:color w:val="auto"/>
          <w:sz w:val="32"/>
          <w:szCs w:val="20"/>
          <w:highlight w:val="none"/>
          <w:lang w:eastAsia="zh-CN"/>
        </w:rPr>
      </w:pPr>
      <w:r>
        <w:rPr>
          <w:rFonts w:hint="eastAsia" w:ascii="仿宋" w:hAnsi="仿宋" w:eastAsia="仿宋" w:cs="仿宋"/>
          <w:b/>
          <w:color w:val="auto"/>
          <w:sz w:val="32"/>
          <w:szCs w:val="20"/>
          <w:highlight w:val="none"/>
          <w:lang w:eastAsia="zh-CN"/>
        </w:rPr>
        <w:t>八、开启响应文件与信用信息查询</w:t>
      </w:r>
    </w:p>
    <w:p w14:paraId="3B3C25C9">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 开启响应文件</w:t>
      </w:r>
    </w:p>
    <w:p w14:paraId="343017C4">
      <w:pPr>
        <w:pStyle w:val="32"/>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1.1 </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按照磋商文件规定的时间通过电子交易平台组织响应文件开启，所有供应商均应当准时在线参加。</w:t>
      </w:r>
      <w:r>
        <w:rPr>
          <w:rFonts w:hint="eastAsia" w:ascii="仿宋" w:hAnsi="仿宋" w:eastAsia="仿宋" w:cs="仿宋"/>
          <w:b/>
          <w:color w:val="auto"/>
          <w:sz w:val="24"/>
          <w:szCs w:val="24"/>
          <w:highlight w:val="none"/>
        </w:rPr>
        <w:t>供应商数量不符合规定的，不得开启响应文件。</w:t>
      </w:r>
    </w:p>
    <w:p w14:paraId="7B1AFB16">
      <w:pPr>
        <w:pStyle w:val="32"/>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1.2开启响应文件时，电子交易平台按开启响应文件时间自动提取所有响应文件。</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依托电子交易平台发起开始解密指令，供应商按照平台提示和磋商文件的规定在半小时内完成在线解密。</w:t>
      </w:r>
    </w:p>
    <w:p w14:paraId="0D405033">
      <w:pPr>
        <w:pStyle w:val="32"/>
        <w:spacing w:line="360" w:lineRule="auto"/>
        <w:ind w:firstLine="361" w:firstLineChars="15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52AF83EA">
      <w:pPr>
        <w:pStyle w:val="396"/>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2.信用信息查询</w:t>
      </w:r>
    </w:p>
    <w:p w14:paraId="1EB88500">
      <w:pPr>
        <w:pStyle w:val="396"/>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2.1信用信息查询渠道及截止时间：</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将通过“信用中国”网站(</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"http://www.creditchina.gov.cn" </w:instrText>
      </w:r>
      <w:r>
        <w:rPr>
          <w:rFonts w:hint="eastAsia" w:ascii="仿宋" w:hAnsi="仿宋" w:eastAsia="仿宋" w:cs="仿宋"/>
          <w:color w:val="auto"/>
          <w:highlight w:val="none"/>
        </w:rPr>
        <w:fldChar w:fldCharType="separate"/>
      </w:r>
      <w:r>
        <w:rPr>
          <w:rStyle w:val="68"/>
          <w:rFonts w:hint="eastAsia" w:ascii="仿宋" w:hAnsi="仿宋" w:eastAsia="仿宋" w:cs="仿宋"/>
          <w:snapToGrid/>
          <w:color w:val="auto"/>
          <w:sz w:val="24"/>
          <w:szCs w:val="24"/>
          <w:highlight w:val="none"/>
        </w:rPr>
        <w:t>www.creditchina.gov.cn</w:t>
      </w:r>
      <w:r>
        <w:rPr>
          <w:rStyle w:val="68"/>
          <w:rFonts w:hint="eastAsia" w:ascii="仿宋" w:hAnsi="仿宋" w:eastAsia="仿宋" w:cs="仿宋"/>
          <w:snapToGrid/>
          <w:color w:val="auto"/>
          <w:sz w:val="24"/>
          <w:szCs w:val="24"/>
          <w:highlight w:val="none"/>
        </w:rPr>
        <w:fldChar w:fldCharType="end"/>
      </w:r>
      <w:r>
        <w:rPr>
          <w:rFonts w:hint="eastAsia" w:ascii="仿宋" w:hAnsi="仿宋" w:eastAsia="仿宋" w:cs="仿宋"/>
          <w:color w:val="auto"/>
          <w:kern w:val="0"/>
          <w:szCs w:val="24"/>
          <w:highlight w:val="none"/>
        </w:rPr>
        <w:t>)、中国政府采购网(www.ccgp.gov.cn)渠道查询供应商响应截止时间前的信用记录。</w:t>
      </w:r>
    </w:p>
    <w:p w14:paraId="785300A5">
      <w:pPr>
        <w:pStyle w:val="396"/>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2.2信用信息查询记录和证据留存的具体方式：现场查询的供应商的信用记录、查询结果经确认后存档。</w:t>
      </w:r>
    </w:p>
    <w:p w14:paraId="7CF4F527">
      <w:pPr>
        <w:pStyle w:val="396"/>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14:paraId="75A9A2F4">
      <w:pPr>
        <w:pStyle w:val="396"/>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359181D4">
      <w:pPr>
        <w:adjustRightInd/>
        <w:spacing w:line="360" w:lineRule="auto"/>
        <w:jc w:val="center"/>
        <w:outlineLvl w:val="1"/>
        <w:rPr>
          <w:rFonts w:hint="eastAsia" w:ascii="仿宋" w:hAnsi="仿宋" w:eastAsia="仿宋" w:cs="仿宋"/>
          <w:b/>
          <w:color w:val="auto"/>
          <w:sz w:val="32"/>
          <w:szCs w:val="20"/>
          <w:highlight w:val="none"/>
          <w:lang w:eastAsia="zh-CN"/>
        </w:rPr>
      </w:pPr>
      <w:r>
        <w:rPr>
          <w:rFonts w:hint="eastAsia" w:ascii="仿宋" w:hAnsi="仿宋" w:eastAsia="仿宋" w:cs="仿宋"/>
          <w:b/>
          <w:color w:val="auto"/>
          <w:sz w:val="32"/>
          <w:szCs w:val="20"/>
          <w:highlight w:val="none"/>
          <w:lang w:eastAsia="zh-CN"/>
        </w:rPr>
        <w:t>九、提交最后报价</w:t>
      </w:r>
    </w:p>
    <w:p w14:paraId="1110C5B5">
      <w:pPr>
        <w:snapToGrid w:val="0"/>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color w:val="auto"/>
          <w:sz w:val="24"/>
          <w:highlight w:val="none"/>
        </w:rPr>
        <w:t>供应商的</w:t>
      </w:r>
      <w:r>
        <w:rPr>
          <w:rFonts w:hint="eastAsia" w:ascii="仿宋" w:hAnsi="仿宋" w:eastAsia="仿宋" w:cs="仿宋"/>
          <w:b/>
          <w:color w:val="auto"/>
          <w:sz w:val="24"/>
          <w:highlight w:val="none"/>
        </w:rPr>
        <w:t>最后报价文件</w:t>
      </w:r>
      <w:r>
        <w:rPr>
          <w:rFonts w:hint="eastAsia" w:ascii="仿宋" w:hAnsi="仿宋" w:eastAsia="仿宋" w:cs="仿宋"/>
          <w:color w:val="auto"/>
          <w:sz w:val="24"/>
          <w:highlight w:val="none"/>
        </w:rPr>
        <w:t>应包括以下内容（均需使用电子签名）：</w:t>
      </w:r>
    </w:p>
    <w:p w14:paraId="514DFBDA">
      <w:pPr>
        <w:pStyle w:val="32"/>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9"/>
        <w:rPr>
          <w:rFonts w:hint="eastAsia" w:ascii="仿宋" w:hAnsi="仿宋" w:eastAsia="仿宋" w:cs="仿宋"/>
          <w:b/>
          <w:color w:val="auto"/>
          <w:sz w:val="32"/>
          <w:szCs w:val="20"/>
          <w:highlight w:val="none"/>
        </w:rPr>
      </w:pPr>
      <w:r>
        <w:rPr>
          <w:rFonts w:hint="eastAsia" w:ascii="仿宋" w:hAnsi="仿宋" w:eastAsia="仿宋" w:cs="仿宋"/>
          <w:color w:val="auto"/>
          <w:sz w:val="24"/>
          <w:szCs w:val="24"/>
          <w:highlight w:val="none"/>
        </w:rPr>
        <w:t>1.1最后报价一览表</w:t>
      </w:r>
      <w:r>
        <w:rPr>
          <w:rFonts w:hint="eastAsia" w:ascii="仿宋" w:hAnsi="仿宋" w:eastAsia="仿宋" w:cs="仿宋"/>
          <w:color w:val="auto"/>
          <w:sz w:val="24"/>
          <w:szCs w:val="24"/>
          <w:highlight w:val="none"/>
          <w:lang w:eastAsia="zh-CN"/>
        </w:rPr>
        <w:t>。</w:t>
      </w:r>
    </w:p>
    <w:p w14:paraId="3ACEFD69">
      <w:pPr>
        <w:adjustRightInd/>
        <w:spacing w:line="360" w:lineRule="auto"/>
        <w:jc w:val="center"/>
        <w:outlineLvl w:val="1"/>
        <w:rPr>
          <w:rFonts w:hint="eastAsia" w:ascii="仿宋" w:hAnsi="仿宋" w:eastAsia="仿宋" w:cs="仿宋"/>
          <w:b/>
          <w:color w:val="auto"/>
          <w:sz w:val="32"/>
          <w:szCs w:val="20"/>
          <w:highlight w:val="none"/>
          <w:lang w:eastAsia="zh-CN"/>
        </w:rPr>
      </w:pPr>
      <w:r>
        <w:rPr>
          <w:rFonts w:hint="eastAsia" w:ascii="仿宋" w:hAnsi="仿宋" w:eastAsia="仿宋" w:cs="仿宋"/>
          <w:b/>
          <w:color w:val="auto"/>
          <w:sz w:val="32"/>
          <w:szCs w:val="20"/>
          <w:highlight w:val="none"/>
          <w:lang w:eastAsia="zh-CN"/>
        </w:rPr>
        <w:t>十、评审</w:t>
      </w:r>
    </w:p>
    <w:p w14:paraId="66F4B299">
      <w:pPr>
        <w:pStyle w:val="396"/>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szCs w:val="24"/>
          <w:highlight w:val="none"/>
        </w:rPr>
        <w:t>1.</w:t>
      </w:r>
      <w:r>
        <w:rPr>
          <w:rFonts w:hint="eastAsia" w:ascii="仿宋" w:hAnsi="仿宋" w:eastAsia="仿宋" w:cs="仿宋"/>
          <w:b/>
          <w:color w:val="auto"/>
          <w:highlight w:val="none"/>
        </w:rPr>
        <w:t xml:space="preserve"> 评审方法：</w:t>
      </w:r>
      <w:r>
        <w:rPr>
          <w:rFonts w:hint="eastAsia" w:ascii="仿宋" w:hAnsi="仿宋" w:eastAsia="仿宋" w:cs="仿宋"/>
          <w:color w:val="auto"/>
          <w:highlight w:val="none"/>
        </w:rPr>
        <w:t>综合评分法。</w:t>
      </w:r>
    </w:p>
    <w:p w14:paraId="290C8241">
      <w:pPr>
        <w:pStyle w:val="396"/>
        <w:spacing w:before="0"/>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 价格分计算方法：</w:t>
      </w:r>
      <w:r>
        <w:rPr>
          <w:rFonts w:hint="eastAsia" w:ascii="仿宋" w:hAnsi="仿宋" w:eastAsia="仿宋" w:cs="仿宋"/>
          <w:color w:val="auto"/>
          <w:highlight w:val="none"/>
        </w:rPr>
        <w:t>低价优先法。</w:t>
      </w:r>
    </w:p>
    <w:p w14:paraId="79261154">
      <w:pPr>
        <w:pStyle w:val="396"/>
        <w:spacing w:before="0"/>
        <w:ind w:firstLine="0" w:firstLineChars="0"/>
        <w:rPr>
          <w:rFonts w:hint="eastAsia" w:ascii="仿宋" w:hAnsi="仿宋" w:eastAsia="仿宋" w:cs="仿宋"/>
          <w:color w:val="auto"/>
          <w:szCs w:val="24"/>
          <w:highlight w:val="none"/>
        </w:rPr>
      </w:pPr>
      <w:r>
        <w:rPr>
          <w:rFonts w:hint="eastAsia" w:ascii="仿宋" w:hAnsi="仿宋" w:eastAsia="仿宋" w:cs="仿宋"/>
          <w:b/>
          <w:color w:val="auto"/>
          <w:highlight w:val="none"/>
        </w:rPr>
        <w:t>3. 评审要求：</w:t>
      </w:r>
      <w:r>
        <w:rPr>
          <w:rFonts w:hint="eastAsia" w:ascii="仿宋" w:hAnsi="仿宋" w:eastAsia="仿宋" w:cs="仿宋"/>
          <w:color w:val="auto"/>
          <w:highlight w:val="none"/>
        </w:rPr>
        <w:t>详见磋商文件第五部分“评审方法及评审标准”。</w:t>
      </w:r>
    </w:p>
    <w:p w14:paraId="74ED4511">
      <w:pPr>
        <w:adjustRightInd/>
        <w:spacing w:line="360" w:lineRule="auto"/>
        <w:jc w:val="center"/>
        <w:outlineLvl w:val="1"/>
        <w:rPr>
          <w:rFonts w:hint="eastAsia" w:ascii="仿宋" w:hAnsi="仿宋" w:eastAsia="仿宋" w:cs="仿宋"/>
          <w:b/>
          <w:color w:val="auto"/>
          <w:sz w:val="32"/>
          <w:szCs w:val="20"/>
          <w:highlight w:val="none"/>
          <w:lang w:eastAsia="zh-CN"/>
        </w:rPr>
      </w:pPr>
      <w:r>
        <w:rPr>
          <w:rFonts w:hint="eastAsia" w:ascii="仿宋" w:hAnsi="仿宋" w:eastAsia="仿宋" w:cs="仿宋"/>
          <w:b/>
          <w:color w:val="auto"/>
          <w:sz w:val="32"/>
          <w:szCs w:val="20"/>
          <w:highlight w:val="none"/>
          <w:lang w:eastAsia="zh-CN"/>
        </w:rPr>
        <w:t>十一、成交</w:t>
      </w:r>
    </w:p>
    <w:p w14:paraId="64538FC1">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highlight w:val="none"/>
        </w:rPr>
        <w:t>1. 推荐成交候选供应商</w:t>
      </w:r>
    </w:p>
    <w:p w14:paraId="5F6A2888">
      <w:pP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265E630E">
      <w:pPr>
        <w:pStyle w:val="32"/>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 确定成交供应商</w:t>
      </w:r>
    </w:p>
    <w:p w14:paraId="77BE4DBC">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0BD884C8">
      <w:pPr>
        <w:tabs>
          <w:tab w:val="left" w:pos="0"/>
        </w:tabs>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3．成交通知及成交结果公告</w:t>
      </w:r>
    </w:p>
    <w:p w14:paraId="0C2BA019">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szCs w:val="21"/>
          <w:highlight w:val="none"/>
        </w:rPr>
        <w:t>3.1自成交人确定之日起2个工作日内，</w:t>
      </w:r>
      <w:r>
        <w:rPr>
          <w:rFonts w:hint="eastAsia" w:ascii="仿宋" w:hAnsi="仿宋" w:eastAsia="仿宋" w:cs="仿宋"/>
          <w:color w:val="auto"/>
          <w:sz w:val="24"/>
          <w:szCs w:val="21"/>
          <w:highlight w:val="none"/>
          <w:lang w:eastAsia="zh-CN"/>
        </w:rPr>
        <w:t>采购代理机构</w:t>
      </w:r>
      <w:r>
        <w:rPr>
          <w:rFonts w:hint="eastAsia" w:ascii="仿宋" w:hAnsi="仿宋" w:eastAsia="仿宋" w:cs="仿宋"/>
          <w:color w:val="auto"/>
          <w:sz w:val="24"/>
          <w:szCs w:val="21"/>
          <w:highlight w:val="none"/>
        </w:rPr>
        <w:t>通过电子交易平台向成交人发出成交通知书，</w:t>
      </w:r>
      <w:r>
        <w:rPr>
          <w:rFonts w:hint="eastAsia" w:ascii="仿宋" w:hAnsi="仿宋" w:eastAsia="仿宋" w:cs="仿宋"/>
          <w:color w:val="auto"/>
          <w:sz w:val="24"/>
          <w:highlight w:val="none"/>
        </w:rPr>
        <w:t>同时编制发布采购</w:t>
      </w:r>
      <w:r>
        <w:rPr>
          <w:rFonts w:hint="eastAsia" w:ascii="仿宋" w:hAnsi="仿宋" w:eastAsia="仿宋" w:cs="仿宋"/>
          <w:color w:val="auto"/>
          <w:sz w:val="24"/>
          <w:szCs w:val="21"/>
          <w:highlight w:val="none"/>
        </w:rPr>
        <w:t>成交结果公告。</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也可以以纸质形式进行成交通知。</w:t>
      </w:r>
    </w:p>
    <w:p w14:paraId="4CB133E0">
      <w:pPr>
        <w:spacing w:line="360" w:lineRule="auto"/>
        <w:ind w:firstLine="360" w:firstLineChars="150"/>
        <w:rPr>
          <w:rFonts w:hint="eastAsia" w:ascii="仿宋" w:hAnsi="仿宋" w:eastAsia="仿宋" w:cs="仿宋"/>
          <w:color w:val="auto"/>
          <w:sz w:val="24"/>
          <w:szCs w:val="21"/>
          <w:highlight w:val="none"/>
        </w:rPr>
      </w:pPr>
      <w:r>
        <w:rPr>
          <w:rFonts w:hint="eastAsia" w:ascii="仿宋" w:hAnsi="仿宋" w:eastAsia="仿宋" w:cs="仿宋"/>
          <w:color w:val="auto"/>
          <w:sz w:val="24"/>
          <w:highlight w:val="none"/>
        </w:rPr>
        <w:t>3.2</w:t>
      </w:r>
      <w:r>
        <w:rPr>
          <w:rFonts w:hint="eastAsia" w:ascii="仿宋" w:hAnsi="仿宋" w:eastAsia="仿宋" w:cs="仿宋"/>
          <w:color w:val="auto"/>
          <w:sz w:val="24"/>
          <w:szCs w:val="21"/>
          <w:highlight w:val="none"/>
        </w:rPr>
        <w:t>成交</w:t>
      </w:r>
      <w:r>
        <w:rPr>
          <w:rFonts w:hint="eastAsia" w:ascii="仿宋" w:hAnsi="仿宋" w:eastAsia="仿宋" w:cs="仿宋"/>
          <w:color w:val="auto"/>
          <w:sz w:val="24"/>
          <w:highlight w:val="none"/>
        </w:rPr>
        <w:t>结果公告内容包括采购人及其委托的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的名称、地址、联系方式，项目名称和项目编号，成交人名称、地址和成交金额，主要</w:t>
      </w:r>
      <w:r>
        <w:rPr>
          <w:rFonts w:hint="eastAsia" w:ascii="仿宋" w:hAnsi="仿宋" w:eastAsia="仿宋" w:cs="仿宋"/>
          <w:color w:val="auto"/>
          <w:sz w:val="24"/>
          <w:highlight w:val="none"/>
          <w:lang w:eastAsia="zh-CN"/>
        </w:rPr>
        <w:t>成交</w:t>
      </w:r>
      <w:r>
        <w:rPr>
          <w:rFonts w:hint="eastAsia" w:ascii="仿宋" w:hAnsi="仿宋" w:eastAsia="仿宋" w:cs="仿宋"/>
          <w:color w:val="auto"/>
          <w:sz w:val="24"/>
          <w:highlight w:val="none"/>
        </w:rPr>
        <w:t>标的的名称、规格型号、数量、单价、服务要求，开标记录、</w:t>
      </w:r>
      <w:bookmarkStart w:id="40" w:name="_Hlk101184471"/>
      <w:r>
        <w:rPr>
          <w:rFonts w:hint="eastAsia" w:ascii="仿宋" w:hAnsi="仿宋" w:eastAsia="仿宋" w:cs="仿宋"/>
          <w:color w:val="auto"/>
          <w:sz w:val="24"/>
          <w:highlight w:val="none"/>
        </w:rPr>
        <w:t>资格审查情况、评审专家抽取规则、符合性审查情况、</w:t>
      </w:r>
      <w:bookmarkEnd w:id="40"/>
      <w:r>
        <w:rPr>
          <w:rFonts w:hint="eastAsia" w:ascii="仿宋" w:hAnsi="仿宋" w:eastAsia="仿宋" w:cs="仿宋"/>
          <w:color w:val="auto"/>
          <w:sz w:val="24"/>
          <w:highlight w:val="none"/>
        </w:rPr>
        <w:t>未成交情况说明、成交公告期限以及评审专家名单、评分汇总及明细。</w:t>
      </w:r>
    </w:p>
    <w:p w14:paraId="34D5F27E">
      <w:pPr>
        <w:spacing w:line="360" w:lineRule="auto"/>
        <w:ind w:firstLine="360" w:firstLineChars="15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3.3公告期限为1个工作日。</w:t>
      </w:r>
    </w:p>
    <w:p w14:paraId="51D2C3D1">
      <w:pPr>
        <w:adjustRightInd/>
        <w:spacing w:line="360" w:lineRule="auto"/>
        <w:jc w:val="center"/>
        <w:outlineLvl w:val="1"/>
        <w:rPr>
          <w:rFonts w:hint="eastAsia" w:ascii="仿宋" w:hAnsi="仿宋" w:eastAsia="仿宋" w:cs="仿宋"/>
          <w:b/>
          <w:color w:val="auto"/>
          <w:sz w:val="32"/>
          <w:szCs w:val="20"/>
          <w:highlight w:val="none"/>
          <w:lang w:eastAsia="zh-CN"/>
        </w:rPr>
      </w:pPr>
      <w:r>
        <w:rPr>
          <w:rFonts w:hint="eastAsia" w:ascii="仿宋" w:hAnsi="仿宋" w:eastAsia="仿宋" w:cs="仿宋"/>
          <w:b/>
          <w:color w:val="auto"/>
          <w:sz w:val="32"/>
          <w:szCs w:val="20"/>
          <w:highlight w:val="none"/>
          <w:lang w:eastAsia="zh-CN"/>
        </w:rPr>
        <w:t>十二、合同</w:t>
      </w:r>
    </w:p>
    <w:p w14:paraId="0436246F">
      <w:pP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1.合同主要条款：</w:t>
      </w:r>
      <w:r>
        <w:rPr>
          <w:rFonts w:hint="eastAsia" w:ascii="仿宋" w:hAnsi="仿宋" w:eastAsia="仿宋" w:cs="仿宋"/>
          <w:color w:val="auto"/>
          <w:sz w:val="24"/>
          <w:highlight w:val="none"/>
        </w:rPr>
        <w:t>详见“第六部分拟签订的合同文本”。</w:t>
      </w:r>
    </w:p>
    <w:p w14:paraId="0234E653">
      <w:pP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2.合同的签订</w:t>
      </w:r>
    </w:p>
    <w:p w14:paraId="4AC64476">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Cs w:val="21"/>
          <w:highlight w:val="none"/>
        </w:rPr>
        <w:t>2.1</w:t>
      </w:r>
      <w:r>
        <w:rPr>
          <w:rFonts w:hint="eastAsia" w:ascii="仿宋" w:hAnsi="仿宋" w:eastAsia="仿宋" w:cs="仿宋"/>
          <w:color w:val="auto"/>
          <w:kern w:val="0"/>
          <w:sz w:val="24"/>
          <w:highlight w:val="none"/>
        </w:rPr>
        <w:t>采购人与</w:t>
      </w:r>
      <w:r>
        <w:rPr>
          <w:rFonts w:hint="eastAsia" w:ascii="仿宋" w:hAnsi="仿宋" w:eastAsia="仿宋" w:cs="仿宋"/>
          <w:color w:val="auto"/>
          <w:kern w:val="0"/>
          <w:sz w:val="24"/>
          <w:highlight w:val="none"/>
          <w:lang w:eastAsia="zh-CN"/>
        </w:rPr>
        <w:t>成交供应商</w:t>
      </w:r>
      <w:r>
        <w:rPr>
          <w:rFonts w:hint="eastAsia" w:ascii="仿宋" w:hAnsi="仿宋" w:eastAsia="仿宋" w:cs="仿宋"/>
          <w:color w:val="auto"/>
          <w:kern w:val="0"/>
          <w:sz w:val="24"/>
          <w:highlight w:val="none"/>
        </w:rPr>
        <w:t>应当通过电子交易平台在</w:t>
      </w:r>
      <w:r>
        <w:rPr>
          <w:rFonts w:hint="eastAsia" w:ascii="仿宋" w:hAnsi="仿宋" w:eastAsia="仿宋" w:cs="仿宋"/>
          <w:color w:val="auto"/>
          <w:kern w:val="0"/>
          <w:sz w:val="24"/>
          <w:highlight w:val="none"/>
          <w:lang w:eastAsia="zh-CN"/>
        </w:rPr>
        <w:t>成交</w:t>
      </w:r>
      <w:r>
        <w:rPr>
          <w:rFonts w:hint="eastAsia" w:ascii="仿宋" w:hAnsi="仿宋" w:eastAsia="仿宋" w:cs="仿宋"/>
          <w:color w:val="auto"/>
          <w:kern w:val="0"/>
          <w:sz w:val="24"/>
          <w:highlight w:val="none"/>
        </w:rPr>
        <w:t>通知书发出之日起三十日内，按照</w:t>
      </w:r>
      <w:r>
        <w:rPr>
          <w:rFonts w:hint="eastAsia" w:ascii="仿宋" w:hAnsi="仿宋" w:eastAsia="仿宋" w:cs="仿宋"/>
          <w:color w:val="auto"/>
          <w:kern w:val="0"/>
          <w:sz w:val="24"/>
          <w:highlight w:val="none"/>
          <w:lang w:eastAsia="zh-CN"/>
        </w:rPr>
        <w:t>磋商</w:t>
      </w:r>
      <w:r>
        <w:rPr>
          <w:rFonts w:hint="eastAsia" w:ascii="仿宋" w:hAnsi="仿宋" w:eastAsia="仿宋" w:cs="仿宋"/>
          <w:color w:val="auto"/>
          <w:kern w:val="0"/>
          <w:sz w:val="24"/>
          <w:highlight w:val="none"/>
        </w:rPr>
        <w:t>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w:t>
      </w:r>
      <w:r>
        <w:rPr>
          <w:rFonts w:hint="eastAsia" w:ascii="仿宋" w:hAnsi="仿宋" w:eastAsia="仿宋" w:cs="仿宋"/>
          <w:color w:val="auto"/>
          <w:kern w:val="0"/>
          <w:sz w:val="24"/>
          <w:highlight w:val="none"/>
          <w:lang w:eastAsia="zh-CN"/>
        </w:rPr>
        <w:t>成交</w:t>
      </w:r>
      <w:r>
        <w:rPr>
          <w:rFonts w:hint="eastAsia" w:ascii="仿宋" w:hAnsi="仿宋" w:eastAsia="仿宋" w:cs="仿宋"/>
          <w:color w:val="auto"/>
          <w:kern w:val="0"/>
          <w:sz w:val="24"/>
          <w:highlight w:val="none"/>
        </w:rPr>
        <w:t>通知书发出之日起10个工作日内，与</w:t>
      </w:r>
      <w:r>
        <w:rPr>
          <w:rFonts w:hint="eastAsia" w:ascii="仿宋" w:hAnsi="仿宋" w:eastAsia="仿宋" w:cs="仿宋"/>
          <w:color w:val="auto"/>
          <w:kern w:val="0"/>
          <w:sz w:val="24"/>
          <w:highlight w:val="none"/>
          <w:lang w:eastAsia="zh-CN"/>
        </w:rPr>
        <w:t>成交</w:t>
      </w:r>
      <w:r>
        <w:rPr>
          <w:rFonts w:hint="eastAsia" w:ascii="仿宋" w:hAnsi="仿宋" w:eastAsia="仿宋" w:cs="仿宋"/>
          <w:color w:val="auto"/>
          <w:kern w:val="0"/>
          <w:sz w:val="24"/>
          <w:highlight w:val="none"/>
        </w:rPr>
        <w:t>供应商按照</w:t>
      </w:r>
      <w:r>
        <w:rPr>
          <w:rFonts w:hint="eastAsia" w:ascii="仿宋" w:hAnsi="仿宋" w:eastAsia="仿宋" w:cs="仿宋"/>
          <w:color w:val="auto"/>
          <w:kern w:val="0"/>
          <w:sz w:val="24"/>
          <w:highlight w:val="none"/>
          <w:lang w:eastAsia="zh-CN"/>
        </w:rPr>
        <w:t>磋商</w:t>
      </w:r>
      <w:r>
        <w:rPr>
          <w:rFonts w:hint="eastAsia" w:ascii="仿宋" w:hAnsi="仿宋" w:eastAsia="仿宋" w:cs="仿宋"/>
          <w:color w:val="auto"/>
          <w:kern w:val="0"/>
          <w:sz w:val="24"/>
          <w:highlight w:val="none"/>
        </w:rPr>
        <w:t>文件确定的事项签订政府采购合同。</w:t>
      </w:r>
    </w:p>
    <w:p w14:paraId="71978C27">
      <w:pPr>
        <w:pStyle w:val="396"/>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2.2成交供应商按规定的日期、时间、地点，由法定代表人或其授权代表与采购人代表签订合同。如成交供应商为联合体的，由联合体成员各方法定代表人或其授权代表与采购人代表签订合同。</w:t>
      </w:r>
    </w:p>
    <w:p w14:paraId="270CDA6D">
      <w:pP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1A8271C0">
      <w:pP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F279E40">
      <w:pPr>
        <w:spacing w:line="360" w:lineRule="auto"/>
        <w:ind w:firstLine="465" w:firstLineChars="194"/>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2.5如签订合同并生效后，供应商无故拒绝或延期，除按照合同条款处理外，列入不良行为记录一次，并给予通报。</w:t>
      </w:r>
    </w:p>
    <w:p w14:paraId="734C29AE">
      <w:pPr>
        <w:pStyle w:val="396"/>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2.6采购合同由采购人与成交供应商根据磋商文件、响应文件等内容通过政府采购电子交易平台在线签订，自动备案。</w:t>
      </w:r>
    </w:p>
    <w:p w14:paraId="6B7B2DF0">
      <w:pP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3．履约保证金</w:t>
      </w:r>
    </w:p>
    <w:p w14:paraId="4583F27A">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拟签订的合同文本要求成交供应商提交履约保证金的，供应商应当以支票、汇票、本票或者金融机构、担保机构出具的保函等非现金形式提交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5C288FD4">
      <w:pPr>
        <w:tabs>
          <w:tab w:val="left" w:pos="0"/>
        </w:tabs>
        <w:spacing w:line="360" w:lineRule="auto"/>
        <w:ind w:firstLine="482"/>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w:t>
      </w:r>
      <w:r>
        <w:rPr>
          <w:rFonts w:hint="eastAsia" w:ascii="仿宋" w:hAnsi="仿宋" w:eastAsia="仿宋" w:cs="仿宋"/>
          <w:snapToGrid w:val="0"/>
          <w:color w:val="auto"/>
          <w:kern w:val="28"/>
          <w:sz w:val="24"/>
          <w:highlight w:val="none"/>
          <w:lang w:eastAsia="zh-CN"/>
        </w:rPr>
        <w:t>成交</w:t>
      </w:r>
      <w:r>
        <w:rPr>
          <w:rFonts w:hint="eastAsia" w:ascii="仿宋" w:hAnsi="仿宋" w:eastAsia="仿宋" w:cs="仿宋"/>
          <w:snapToGrid w:val="0"/>
          <w:color w:val="auto"/>
          <w:kern w:val="28"/>
          <w:sz w:val="24"/>
          <w:highlight w:val="none"/>
        </w:rPr>
        <w:t>项目—确认信息—等待保险/保函受理—确认保单—支付保费—成功出单。政采云金融专线</w:t>
      </w:r>
      <w:r>
        <w:rPr>
          <w:rFonts w:hint="eastAsia" w:ascii="宋体" w:hAnsi="宋体" w:cs="Times New Roman"/>
          <w:kern w:val="2"/>
          <w:sz w:val="24"/>
          <w:highlight w:val="none"/>
          <w:lang w:val="en-US" w:eastAsia="zh-CN"/>
        </w:rPr>
        <w:t>95763</w:t>
      </w:r>
      <w:r>
        <w:rPr>
          <w:rFonts w:hint="eastAsia" w:ascii="仿宋" w:hAnsi="仿宋" w:eastAsia="仿宋" w:cs="仿宋"/>
          <w:snapToGrid w:val="0"/>
          <w:color w:val="auto"/>
          <w:kern w:val="28"/>
          <w:sz w:val="24"/>
          <w:highlight w:val="none"/>
        </w:rPr>
        <w:t>。</w:t>
      </w:r>
    </w:p>
    <w:p w14:paraId="771DE1F0">
      <w:pP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4.预付款</w:t>
      </w:r>
    </w:p>
    <w:p w14:paraId="385F1C87">
      <w:pPr>
        <w:tabs>
          <w:tab w:val="left" w:pos="0"/>
        </w:tabs>
        <w:spacing w:line="360" w:lineRule="auto"/>
        <w:ind w:firstLine="482"/>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cs="Times New Roman"/>
          <w:kern w:val="2"/>
          <w:sz w:val="24"/>
          <w:highlight w:val="none"/>
          <w:lang w:val="en-US" w:eastAsia="zh-CN"/>
        </w:rPr>
        <w:t>95763</w:t>
      </w:r>
      <w:r>
        <w:rPr>
          <w:rFonts w:hint="eastAsia" w:ascii="仿宋" w:hAnsi="仿宋" w:eastAsia="仿宋" w:cs="仿宋"/>
          <w:snapToGrid w:val="0"/>
          <w:color w:val="auto"/>
          <w:kern w:val="28"/>
          <w:sz w:val="24"/>
          <w:highlight w:val="none"/>
        </w:rPr>
        <w:t>。</w:t>
      </w:r>
    </w:p>
    <w:p w14:paraId="78828538">
      <w:pPr>
        <w:adjustRightInd/>
        <w:spacing w:line="360" w:lineRule="auto"/>
        <w:jc w:val="center"/>
        <w:outlineLvl w:val="1"/>
        <w:rPr>
          <w:rFonts w:hint="eastAsia" w:ascii="仿宋" w:hAnsi="仿宋" w:eastAsia="仿宋" w:cs="仿宋"/>
          <w:b/>
          <w:color w:val="auto"/>
          <w:sz w:val="32"/>
          <w:szCs w:val="20"/>
          <w:highlight w:val="none"/>
          <w:lang w:eastAsia="zh-CN"/>
        </w:rPr>
      </w:pPr>
      <w:r>
        <w:rPr>
          <w:rFonts w:hint="eastAsia" w:ascii="仿宋" w:hAnsi="仿宋" w:eastAsia="仿宋" w:cs="仿宋"/>
          <w:b/>
          <w:color w:val="auto"/>
          <w:sz w:val="32"/>
          <w:szCs w:val="20"/>
          <w:highlight w:val="none"/>
          <w:lang w:eastAsia="zh-CN"/>
        </w:rPr>
        <w:t>十三、验收</w:t>
      </w:r>
    </w:p>
    <w:p w14:paraId="7F88AC03">
      <w:pPr>
        <w:pStyle w:val="24"/>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1.验收</w:t>
      </w:r>
    </w:p>
    <w:p w14:paraId="3B7EE279">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402F176">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1.2采购人可以邀请参加本项目的其他供应商或者第三方机构参与验收。参与验收的供应商或者第三方机构的意见作为验收书的参考资料一并存档。</w:t>
      </w:r>
    </w:p>
    <w:p w14:paraId="76D7B757">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5A67590">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00272FE">
      <w:pPr>
        <w:tabs>
          <w:tab w:val="left" w:pos="0"/>
        </w:tabs>
        <w:spacing w:line="360" w:lineRule="auto"/>
        <w:ind w:firstLine="480"/>
        <w:rPr>
          <w:rFonts w:hint="eastAsia" w:ascii="仿宋" w:hAnsi="仿宋" w:eastAsia="仿宋" w:cs="仿宋"/>
          <w:color w:val="auto"/>
          <w:kern w:val="0"/>
          <w:sz w:val="24"/>
          <w:highlight w:val="none"/>
          <w:lang w:val="en-US" w:eastAsia="zh-CN"/>
        </w:rPr>
      </w:pPr>
      <w:r>
        <w:rPr>
          <w:rFonts w:hint="eastAsia" w:ascii="仿宋" w:hAnsi="仿宋" w:eastAsia="仿宋" w:cs="仿宋"/>
          <w:bCs/>
          <w:color w:val="auto"/>
          <w:sz w:val="24"/>
          <w:highlight w:val="none"/>
          <w:lang w:val="en-US" w:eastAsia="zh-CN"/>
        </w:rPr>
        <w:t>1.5</w:t>
      </w:r>
      <w:r>
        <w:rPr>
          <w:rFonts w:hint="eastAsia" w:ascii="仿宋" w:hAnsi="仿宋" w:eastAsia="仿宋" w:cs="仿宋"/>
          <w:bCs/>
          <w:color w:val="auto"/>
          <w:sz w:val="24"/>
          <w:highlight w:val="none"/>
          <w:lang w:val="en-US"/>
        </w:rPr>
        <w:t>对于满足合同约定的采购资金支付条件的，供应商可通过政采云平台提起在线支付申请、查询支付结果，路径为政采云-我的工作台-</w:t>
      </w:r>
      <w:r>
        <w:rPr>
          <w:rFonts w:hint="eastAsia" w:ascii="仿宋" w:hAnsi="仿宋" w:eastAsia="仿宋" w:cs="仿宋"/>
          <w:bCs/>
          <w:color w:val="auto"/>
          <w:sz w:val="24"/>
          <w:highlight w:val="none"/>
          <w:lang w:val="en-US" w:eastAsia="zh-CN"/>
        </w:rPr>
        <w:t>合同管理</w:t>
      </w:r>
      <w:r>
        <w:rPr>
          <w:rFonts w:hint="eastAsia" w:ascii="仿宋" w:hAnsi="仿宋" w:eastAsia="仿宋" w:cs="仿宋"/>
          <w:bCs/>
          <w:color w:val="auto"/>
          <w:sz w:val="24"/>
          <w:highlight w:val="none"/>
          <w:lang w:val="en-US"/>
        </w:rPr>
        <w:t>-支付管理。对于供应商提起在线支付申请的，采购</w:t>
      </w:r>
      <w:r>
        <w:rPr>
          <w:rFonts w:hint="eastAsia" w:ascii="仿宋" w:hAnsi="仿宋" w:eastAsia="仿宋" w:cs="仿宋"/>
          <w:bCs/>
          <w:color w:val="auto"/>
          <w:sz w:val="24"/>
          <w:highlight w:val="none"/>
          <w:lang w:val="en-US" w:eastAsia="zh-CN"/>
        </w:rPr>
        <w:t>人</w:t>
      </w:r>
      <w:r>
        <w:rPr>
          <w:rFonts w:hint="eastAsia" w:ascii="仿宋" w:hAnsi="仿宋" w:eastAsia="仿宋" w:cs="仿宋"/>
          <w:bCs/>
          <w:color w:val="auto"/>
          <w:sz w:val="24"/>
          <w:highlight w:val="none"/>
          <w:lang w:val="en-US"/>
        </w:rPr>
        <w:t>应当</w:t>
      </w:r>
      <w:r>
        <w:rPr>
          <w:rFonts w:hint="eastAsia" w:ascii="仿宋" w:hAnsi="仿宋" w:eastAsia="仿宋" w:cs="仿宋"/>
          <w:bCs/>
          <w:color w:val="auto"/>
          <w:sz w:val="24"/>
          <w:highlight w:val="none"/>
          <w:lang w:val="en-US" w:eastAsia="zh-CN"/>
        </w:rPr>
        <w:t>按规定</w:t>
      </w:r>
      <w:r>
        <w:rPr>
          <w:rFonts w:hint="eastAsia" w:ascii="仿宋" w:hAnsi="仿宋" w:eastAsia="仿宋" w:cs="仿宋"/>
          <w:bCs/>
          <w:color w:val="auto"/>
          <w:sz w:val="24"/>
          <w:highlight w:val="none"/>
          <w:lang w:val="en-US"/>
        </w:rPr>
        <w:t>做好审核并完成支付</w:t>
      </w:r>
      <w:r>
        <w:rPr>
          <w:rFonts w:hint="eastAsia" w:ascii="仿宋" w:hAnsi="仿宋" w:eastAsia="仿宋" w:cs="仿宋"/>
          <w:bCs/>
          <w:color w:val="auto"/>
          <w:sz w:val="24"/>
          <w:highlight w:val="none"/>
          <w:lang w:val="en-US" w:eastAsia="zh-CN"/>
        </w:rPr>
        <w:t>。</w:t>
      </w:r>
    </w:p>
    <w:p w14:paraId="60445344">
      <w:pPr>
        <w:adjustRightInd/>
        <w:spacing w:line="360" w:lineRule="auto"/>
        <w:jc w:val="center"/>
        <w:outlineLvl w:val="1"/>
        <w:rPr>
          <w:rFonts w:hint="eastAsia" w:ascii="仿宋" w:hAnsi="仿宋" w:eastAsia="仿宋" w:cs="仿宋"/>
          <w:b/>
          <w:color w:val="auto"/>
          <w:sz w:val="32"/>
          <w:szCs w:val="20"/>
          <w:highlight w:val="none"/>
          <w:lang w:eastAsia="zh-CN"/>
        </w:rPr>
      </w:pPr>
      <w:r>
        <w:rPr>
          <w:rFonts w:hint="eastAsia" w:ascii="仿宋" w:hAnsi="仿宋" w:eastAsia="仿宋" w:cs="仿宋"/>
          <w:b/>
          <w:color w:val="auto"/>
          <w:sz w:val="32"/>
          <w:szCs w:val="20"/>
          <w:highlight w:val="none"/>
          <w:lang w:eastAsia="zh-CN"/>
        </w:rPr>
        <w:t>十四、电子交易活动的中止</w:t>
      </w:r>
    </w:p>
    <w:p w14:paraId="48F8E45B">
      <w:pPr>
        <w:tabs>
          <w:tab w:val="left" w:pos="0"/>
        </w:tabs>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电子交易活动的中止</w:t>
      </w:r>
    </w:p>
    <w:p w14:paraId="169D6BD7">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采购过程中出现以下情形，导致电子交易平台无法正常运行，或者无法保证电子交易的公平、公正和安全时，</w:t>
      </w:r>
      <w:r>
        <w:rPr>
          <w:rFonts w:hint="eastAsia" w:ascii="仿宋" w:hAnsi="仿宋" w:eastAsia="仿宋" w:cs="仿宋"/>
          <w:color w:val="auto"/>
          <w:kern w:val="0"/>
          <w:sz w:val="24"/>
          <w:highlight w:val="none"/>
          <w:lang w:eastAsia="zh-CN"/>
        </w:rPr>
        <w:t>采购代理机构</w:t>
      </w:r>
      <w:r>
        <w:rPr>
          <w:rFonts w:hint="eastAsia" w:ascii="仿宋" w:hAnsi="仿宋" w:eastAsia="仿宋" w:cs="仿宋"/>
          <w:color w:val="auto"/>
          <w:kern w:val="0"/>
          <w:sz w:val="24"/>
          <w:highlight w:val="none"/>
        </w:rPr>
        <w:t>可中止电子交易活动：</w:t>
      </w:r>
    </w:p>
    <w:p w14:paraId="34E64749">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1.1电子交易平台发生故障而无法登录访问的； </w:t>
      </w:r>
    </w:p>
    <w:p w14:paraId="424F6246">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1.2电子交易平台应用或数据库出现错误，不能进行正常操作的；</w:t>
      </w:r>
    </w:p>
    <w:p w14:paraId="35AA6B06">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1.3电子交易平台发现严重安全漏洞，有潜在泄密危险的；</w:t>
      </w:r>
    </w:p>
    <w:p w14:paraId="3BA4E62D">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1.4病毒发作导致不能进行正常操作的； </w:t>
      </w:r>
    </w:p>
    <w:p w14:paraId="52DEBFC7">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1.5其他无法保证电子交易的公平、公正和安全的情况。</w:t>
      </w:r>
    </w:p>
    <w:p w14:paraId="4712A343">
      <w:pPr>
        <w:pStyle w:val="396"/>
        <w:numPr>
          <w:ilvl w:val="0"/>
          <w:numId w:val="0"/>
        </w:numPr>
        <w:spacing w:before="0"/>
        <w:rPr>
          <w:rFonts w:ascii="仿宋" w:hAnsi="仿宋" w:eastAsia="仿宋" w:cs="仿宋"/>
          <w:color w:val="auto"/>
          <w:kern w:val="0"/>
          <w:szCs w:val="24"/>
          <w:highlight w:val="none"/>
        </w:rPr>
      </w:pPr>
      <w:r>
        <w:rPr>
          <w:rFonts w:hint="eastAsia" w:ascii="仿宋" w:hAnsi="仿宋" w:eastAsia="仿宋" w:cs="仿宋"/>
          <w:b/>
          <w:color w:val="auto"/>
          <w:sz w:val="24"/>
          <w:highlight w:val="none"/>
        </w:rPr>
        <w:t>2.出现以上情形，不影响采购公平、公正性的，采购组织机构可以待上述情形消除后继续组织电子交易活动，也可以决定某些环节以纸质形式进行；影响或可能影响采购公平、公正性的，应当重新采购。</w:t>
      </w:r>
    </w:p>
    <w:bookmarkEnd w:id="9"/>
    <w:p w14:paraId="467B4817">
      <w:pPr>
        <w:rPr>
          <w:rFonts w:ascii="仿宋" w:hAnsi="仿宋" w:eastAsia="仿宋" w:cs="仿宋"/>
          <w:b/>
          <w:color w:val="auto"/>
          <w:sz w:val="36"/>
          <w:szCs w:val="36"/>
          <w:highlight w:val="none"/>
        </w:rPr>
      </w:pPr>
      <w:bookmarkStart w:id="41" w:name="_Hlt68057669"/>
      <w:bookmarkEnd w:id="41"/>
      <w:bookmarkStart w:id="42" w:name="_Hlt75236011"/>
      <w:bookmarkEnd w:id="42"/>
      <w:bookmarkStart w:id="43" w:name="_Hlt74714665"/>
      <w:bookmarkEnd w:id="43"/>
      <w:bookmarkStart w:id="44" w:name="_Hlt74707468"/>
      <w:bookmarkEnd w:id="44"/>
      <w:bookmarkStart w:id="45" w:name="_Hlt68072990"/>
      <w:bookmarkEnd w:id="45"/>
      <w:bookmarkStart w:id="46" w:name="_Hlt74730295"/>
      <w:bookmarkEnd w:id="46"/>
      <w:bookmarkStart w:id="47" w:name="_Hlt75236290"/>
      <w:bookmarkEnd w:id="47"/>
      <w:bookmarkStart w:id="48" w:name="_Hlt74729768"/>
      <w:bookmarkEnd w:id="48"/>
      <w:bookmarkStart w:id="49" w:name="_Hlt75236101"/>
      <w:bookmarkEnd w:id="49"/>
      <w:bookmarkStart w:id="50" w:name="_Toc164416483"/>
      <w:bookmarkStart w:id="51" w:name="第三部分"/>
      <w:r>
        <w:rPr>
          <w:rFonts w:ascii="仿宋" w:hAnsi="仿宋" w:eastAsia="仿宋" w:cs="仿宋"/>
          <w:b/>
          <w:color w:val="auto"/>
          <w:sz w:val="36"/>
          <w:szCs w:val="36"/>
          <w:highlight w:val="none"/>
        </w:rPr>
        <w:br w:type="page"/>
      </w:r>
    </w:p>
    <w:p w14:paraId="17BE4218">
      <w:pPr>
        <w:adjustRightInd/>
        <w:spacing w:line="360"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采购需求※</w:t>
      </w:r>
    </w:p>
    <w:p w14:paraId="010C86CF">
      <w:pPr>
        <w:pStyle w:val="3"/>
        <w:keepNext/>
        <w:keepLines/>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ind w:left="0" w:leftChars="0"/>
        <w:textAlignment w:val="auto"/>
        <w:rPr>
          <w:rFonts w:hint="eastAsia" w:ascii="仿宋" w:hAnsi="仿宋" w:eastAsia="仿宋" w:cs="仿宋"/>
          <w:color w:val="auto"/>
          <w:sz w:val="24"/>
          <w:szCs w:val="24"/>
          <w:highlight w:val="none"/>
          <w:shd w:val="clear" w:color="auto" w:fill="auto"/>
        </w:rPr>
      </w:pPr>
      <w:bookmarkStart w:id="52" w:name="_Toc32166"/>
      <w:bookmarkStart w:id="53" w:name="_Toc30857"/>
      <w:bookmarkStart w:id="54" w:name="_Toc22609"/>
      <w:bookmarkStart w:id="55" w:name="_Toc21755"/>
      <w:bookmarkStart w:id="56" w:name="_Toc418846105"/>
      <w:bookmarkStart w:id="57" w:name="_Toc12471"/>
      <w:r>
        <w:rPr>
          <w:rFonts w:hint="eastAsia" w:ascii="仿宋" w:hAnsi="仿宋" w:eastAsia="仿宋" w:cs="仿宋"/>
          <w:color w:val="auto"/>
          <w:sz w:val="24"/>
          <w:szCs w:val="24"/>
          <w:highlight w:val="none"/>
          <w:shd w:val="clear" w:color="auto" w:fill="auto"/>
        </w:rPr>
        <w:t>一、项目概况</w:t>
      </w:r>
      <w:bookmarkEnd w:id="52"/>
      <w:bookmarkEnd w:id="53"/>
      <w:bookmarkEnd w:id="54"/>
      <w:bookmarkEnd w:id="55"/>
      <w:bookmarkEnd w:id="56"/>
    </w:p>
    <w:p w14:paraId="70AC63EB">
      <w:pPr>
        <w:pageBreakBefore w:val="0"/>
        <w:widowControl w:val="0"/>
        <w:tabs>
          <w:tab w:val="left" w:pos="0"/>
        </w:tabs>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shd w:val="clear" w:color="auto" w:fill="auto"/>
        </w:rPr>
      </w:pPr>
      <w:bookmarkStart w:id="58" w:name="_Toc418846106"/>
      <w:r>
        <w:rPr>
          <w:rFonts w:hint="eastAsia" w:ascii="仿宋" w:hAnsi="仿宋" w:eastAsia="仿宋" w:cs="仿宋"/>
          <w:color w:val="auto"/>
          <w:sz w:val="24"/>
          <w:highlight w:val="none"/>
          <w:shd w:val="clear" w:color="auto" w:fill="auto"/>
        </w:rPr>
        <w:t>1、项目名称：</w:t>
      </w:r>
      <w:r>
        <w:rPr>
          <w:rFonts w:hint="eastAsia" w:ascii="仿宋" w:hAnsi="仿宋" w:eastAsia="仿宋" w:cs="仿宋"/>
          <w:color w:val="auto"/>
          <w:sz w:val="24"/>
          <w:highlight w:val="none"/>
          <w:lang w:eastAsia="zh-CN"/>
        </w:rPr>
        <w:t>杭州市上城区人民政府复议应诉类法律服务项目</w:t>
      </w:r>
      <w:r>
        <w:rPr>
          <w:rFonts w:hint="eastAsia" w:ascii="仿宋" w:hAnsi="仿宋" w:eastAsia="仿宋" w:cs="仿宋"/>
          <w:color w:val="auto"/>
          <w:sz w:val="24"/>
          <w:highlight w:val="none"/>
          <w:shd w:val="clear" w:color="auto" w:fill="auto"/>
        </w:rPr>
        <w:t>。</w:t>
      </w:r>
    </w:p>
    <w:p w14:paraId="74E142EE">
      <w:pPr>
        <w:pageBreakBefore w:val="0"/>
        <w:widowControl w:val="0"/>
        <w:tabs>
          <w:tab w:val="left" w:pos="0"/>
        </w:tabs>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标项一标项名称：</w:t>
      </w:r>
      <w:r>
        <w:rPr>
          <w:rFonts w:hint="eastAsia" w:ascii="仿宋" w:hAnsi="仿宋" w:eastAsia="仿宋" w:cs="仿宋"/>
          <w:color w:val="auto"/>
          <w:sz w:val="24"/>
          <w:highlight w:val="none"/>
          <w:lang w:eastAsia="zh-CN"/>
        </w:rPr>
        <w:t>杭州市上城区人民政府复议应诉类法律服务项目</w:t>
      </w:r>
      <w:r>
        <w:rPr>
          <w:rFonts w:hint="eastAsia" w:ascii="仿宋" w:hAnsi="仿宋" w:eastAsia="仿宋" w:cs="仿宋"/>
          <w:color w:val="auto"/>
          <w:sz w:val="24"/>
          <w:highlight w:val="none"/>
          <w:lang w:val="en-US" w:eastAsia="zh-CN"/>
        </w:rPr>
        <w:t>标项一；</w:t>
      </w:r>
    </w:p>
    <w:p w14:paraId="40B2195D">
      <w:pPr>
        <w:pageBreakBefore w:val="0"/>
        <w:widowControl w:val="0"/>
        <w:tabs>
          <w:tab w:val="left" w:pos="0"/>
        </w:tabs>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标项二标项名称：</w:t>
      </w:r>
      <w:r>
        <w:rPr>
          <w:rFonts w:hint="eastAsia" w:ascii="仿宋" w:hAnsi="仿宋" w:eastAsia="仿宋" w:cs="仿宋"/>
          <w:color w:val="auto"/>
          <w:sz w:val="24"/>
          <w:highlight w:val="none"/>
          <w:lang w:eastAsia="zh-CN"/>
        </w:rPr>
        <w:t>杭州市上城区人民政府复议应诉类法律服务项目</w:t>
      </w:r>
      <w:r>
        <w:rPr>
          <w:rFonts w:hint="eastAsia" w:ascii="仿宋" w:hAnsi="仿宋" w:eastAsia="仿宋" w:cs="仿宋"/>
          <w:color w:val="auto"/>
          <w:sz w:val="24"/>
          <w:highlight w:val="none"/>
          <w:lang w:val="en-US" w:eastAsia="zh-CN"/>
        </w:rPr>
        <w:t>标项二；</w:t>
      </w:r>
    </w:p>
    <w:p w14:paraId="0CF10B23">
      <w:pPr>
        <w:pageBreakBefore w:val="0"/>
        <w:widowControl w:val="0"/>
        <w:tabs>
          <w:tab w:val="left" w:pos="0"/>
        </w:tabs>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标项三标项名称：</w:t>
      </w:r>
      <w:r>
        <w:rPr>
          <w:rFonts w:hint="eastAsia" w:ascii="仿宋" w:hAnsi="仿宋" w:eastAsia="仿宋" w:cs="仿宋"/>
          <w:color w:val="auto"/>
          <w:sz w:val="24"/>
          <w:highlight w:val="none"/>
          <w:lang w:eastAsia="zh-CN"/>
        </w:rPr>
        <w:t>杭州市上城区人民政府复议应诉类法律服务项目</w:t>
      </w:r>
      <w:r>
        <w:rPr>
          <w:rFonts w:hint="eastAsia" w:ascii="仿宋" w:hAnsi="仿宋" w:eastAsia="仿宋" w:cs="仿宋"/>
          <w:color w:val="auto"/>
          <w:sz w:val="24"/>
          <w:highlight w:val="none"/>
          <w:lang w:val="en-US" w:eastAsia="zh-CN"/>
        </w:rPr>
        <w:t>标项三。</w:t>
      </w:r>
    </w:p>
    <w:p w14:paraId="2A022404">
      <w:pPr>
        <w:pageBreakBefore w:val="0"/>
        <w:widowControl w:val="0"/>
        <w:tabs>
          <w:tab w:val="left" w:pos="0"/>
        </w:tabs>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shd w:val="clear" w:color="auto" w:fill="auto"/>
        </w:rPr>
        <w:t>2、</w:t>
      </w:r>
      <w:bookmarkEnd w:id="58"/>
      <w:r>
        <w:rPr>
          <w:rFonts w:hint="eastAsia" w:ascii="仿宋" w:hAnsi="仿宋" w:eastAsia="仿宋" w:cs="仿宋"/>
          <w:color w:val="auto"/>
          <w:sz w:val="24"/>
          <w:highlight w:val="none"/>
          <w:lang w:val="en-US" w:eastAsia="zh-CN"/>
        </w:rPr>
        <w:t>项目基本内容</w:t>
      </w:r>
      <w:r>
        <w:rPr>
          <w:rFonts w:hint="eastAsia" w:ascii="仿宋" w:hAnsi="仿宋" w:eastAsia="仿宋" w:cs="仿宋"/>
          <w:color w:val="auto"/>
          <w:sz w:val="24"/>
          <w:highlight w:val="none"/>
          <w:lang w:eastAsia="zh-CN"/>
        </w:rPr>
        <w:t>：根据采购人要求，提供专业法律服务团队，参与区政府及机关单位行政复议及应诉等审查、咨询工作，为区政府处理复议应诉过程中的相关法律问题等提供法律保障。根据安排，本项目共三个标项：</w:t>
      </w:r>
    </w:p>
    <w:p w14:paraId="50195CE8">
      <w:pPr>
        <w:pageBreakBefore w:val="0"/>
        <w:widowControl w:val="0"/>
        <w:tabs>
          <w:tab w:val="left" w:pos="0"/>
        </w:tabs>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标项一主要面向以区政府（区司法局）为被申请人的行政复议案件及后续引发的行政诉讼案件；</w:t>
      </w:r>
    </w:p>
    <w:p w14:paraId="2CBB22EF">
      <w:pPr>
        <w:pageBreakBefore w:val="0"/>
        <w:widowControl w:val="0"/>
        <w:tabs>
          <w:tab w:val="left" w:pos="0"/>
        </w:tabs>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标项二主要面向以区政府为单独被告的行政诉讼案件；</w:t>
      </w:r>
    </w:p>
    <w:p w14:paraId="5C092580">
      <w:pPr>
        <w:pageBreakBefore w:val="0"/>
        <w:widowControl w:val="0"/>
        <w:tabs>
          <w:tab w:val="left" w:pos="0"/>
        </w:tabs>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标项三主要面向以区政府为复议机关而引发的复议后诉讼案件。</w:t>
      </w:r>
    </w:p>
    <w:p w14:paraId="6BBA8B52">
      <w:pPr>
        <w:pageBreakBefore w:val="0"/>
        <w:widowControl w:val="0"/>
        <w:tabs>
          <w:tab w:val="left" w:pos="0"/>
        </w:tabs>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采购人有权根据工作需要对上述内容进行合理安排或调整。最终内容以采购人要求为准</w:t>
      </w:r>
      <w:r>
        <w:rPr>
          <w:rFonts w:hint="eastAsia" w:ascii="仿宋" w:hAnsi="仿宋" w:eastAsia="仿宋" w:cs="仿宋"/>
          <w:color w:val="auto"/>
          <w:sz w:val="24"/>
          <w:highlight w:val="none"/>
          <w:lang w:eastAsia="zh-CN"/>
        </w:rPr>
        <w:t>。</w:t>
      </w:r>
    </w:p>
    <w:p w14:paraId="36DE705D">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highlight w:val="none"/>
          <w:lang w:val="en-US" w:eastAsia="zh-CN"/>
        </w:rPr>
      </w:pPr>
      <w:r>
        <w:rPr>
          <w:rFonts w:hint="eastAsia" w:ascii="仿宋" w:hAnsi="仿宋" w:eastAsia="仿宋" w:cs="仿宋"/>
          <w:color w:val="auto"/>
          <w:sz w:val="24"/>
          <w:highlight w:val="none"/>
          <w:lang w:val="en-US" w:eastAsia="zh-CN"/>
        </w:rPr>
        <w:t>3、服务期：整体服务期为一年。</w:t>
      </w:r>
      <w:r>
        <w:rPr>
          <w:rFonts w:hint="eastAsia" w:ascii="仿宋" w:hAnsi="仿宋" w:eastAsia="仿宋" w:cs="仿宋"/>
          <w:color w:val="auto"/>
          <w:sz w:val="24"/>
          <w:highlight w:val="none"/>
        </w:rPr>
        <w:t>在服务期内，成交供应商接受采购人具体项目委托，并根据采购人的时间计划安排相关工作</w:t>
      </w:r>
      <w:r>
        <w:rPr>
          <w:rFonts w:hint="eastAsia" w:ascii="仿宋" w:hAnsi="仿宋" w:eastAsia="仿宋" w:cs="仿宋"/>
          <w:color w:val="auto"/>
          <w:sz w:val="24"/>
          <w:highlight w:val="none"/>
          <w:lang w:eastAsia="zh-CN"/>
        </w:rPr>
        <w:t>。</w:t>
      </w:r>
    </w:p>
    <w:p w14:paraId="3A6EB435">
      <w:pPr>
        <w:pStyle w:val="3"/>
        <w:keepNext/>
        <w:keepLines/>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ind w:left="0" w:leftChars="0"/>
        <w:textAlignment w:val="auto"/>
        <w:rPr>
          <w:rFonts w:hint="eastAsia" w:ascii="仿宋" w:hAnsi="仿宋" w:eastAsia="仿宋" w:cs="仿宋"/>
          <w:color w:val="auto"/>
          <w:sz w:val="24"/>
          <w:szCs w:val="24"/>
          <w:highlight w:val="none"/>
          <w:shd w:val="clear" w:color="auto" w:fill="auto"/>
          <w:lang w:val="en-US" w:eastAsia="zh-CN"/>
        </w:rPr>
      </w:pPr>
      <w:bookmarkStart w:id="59" w:name="_Toc8772"/>
      <w:bookmarkStart w:id="60" w:name="_Toc3454"/>
      <w:r>
        <w:rPr>
          <w:rFonts w:hint="eastAsia" w:ascii="仿宋" w:hAnsi="仿宋" w:eastAsia="仿宋" w:cs="仿宋"/>
          <w:color w:val="auto"/>
          <w:sz w:val="24"/>
          <w:szCs w:val="24"/>
          <w:highlight w:val="none"/>
          <w:shd w:val="clear" w:color="auto" w:fill="auto"/>
          <w:lang w:val="en-US" w:eastAsia="zh-CN"/>
        </w:rPr>
        <w:t>二、标项一服务要求</w:t>
      </w:r>
      <w:bookmarkEnd w:id="59"/>
      <w:bookmarkEnd w:id="60"/>
    </w:p>
    <w:p w14:paraId="2797B9BD">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本标项主要面向以区政府（区司法局）为被申请人的行政复议案件及后续引发的行政诉讼案件。</w:t>
      </w:r>
    </w:p>
    <w:p w14:paraId="239DECEE">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（一）工作职责</w:t>
      </w:r>
    </w:p>
    <w:p w14:paraId="237551E5">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1.对区政府（区司法局）作为被申请人的行政复议案件及后续引发的行政诉讼案件提供专业法律意见并出具相关文书，或应区政府（区司法局）要求，对相关工作进行法律论证；</w:t>
      </w:r>
    </w:p>
    <w:p w14:paraId="30F0A0BB">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2.受区政府（区司法局）委托代理区政府（区司法局）作为复议被申请人的行政复议案件或尚未形成复议的行政争议，提供专业法律意见并出具相关文书； </w:t>
      </w:r>
    </w:p>
    <w:p w14:paraId="324CC91A">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3.协助区政府（区司法局）进行与本标项内容相关的法治宣传培训，向区政府（区司法局）提供有关法律信息和法律咨询，对区政府（区司法局）行政管理中的法律问题提出意见和建议；</w:t>
      </w:r>
    </w:p>
    <w:p w14:paraId="7F388205">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4.办理区政府（区司法局）委托的与本标项内容相关的其他法律事务。</w:t>
      </w:r>
    </w:p>
    <w:p w14:paraId="7A13C0F1">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（二）法律咨询</w:t>
      </w:r>
    </w:p>
    <w:p w14:paraId="23B6F491">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1.为采购人的各科室工作人员提供日常法律咨询服务，对服务对象的法律咨询及法律事务应按服务对象要求作出及时解答，一般应在 24 小时（紧急事务应在2小时）内作出回复，并对相关问题提出具体的可操作方案和解决途径；</w:t>
      </w:r>
    </w:p>
    <w:p w14:paraId="612E7338">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2.根据采购人通知列席部分案件或突发事件相关协调探讨会议，无特殊情况需在2小时内响应，对采购人的决策进行法律论证和法律风险的评价。</w:t>
      </w:r>
    </w:p>
    <w:p w14:paraId="6B1A52EA">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（三）法律宣传及培训服务</w:t>
      </w:r>
    </w:p>
    <w:p w14:paraId="57C4DA21">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1.为采购人及服务对象复议应诉实务难点、执法规范、舆情应对等方面法律知识和业务培训，每年不少于一次。</w:t>
      </w:r>
    </w:p>
    <w:p w14:paraId="0DA8A902">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2.协助采购人对法律工作人员进行业务指导和技巧培训，无特殊情况每周须固定坐班一天。</w:t>
      </w:r>
    </w:p>
    <w:p w14:paraId="2BBE2E55">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（四）其他</w:t>
      </w:r>
    </w:p>
    <w:p w14:paraId="579EE521">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1.成交供应商应建立完善的复议应诉审核管理工作制度，正式文书或材料须在规定期限内经供应商主任或副主任签字审核后交至采购人。</w:t>
      </w:r>
    </w:p>
    <w:p w14:paraId="5709D383">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2.接服务单位通知，需可及时响应，2个小时到达现场。</w:t>
      </w:r>
    </w:p>
    <w:p w14:paraId="0729C057">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3.主动做好与采购人的配合服务，并做好在服务期及服务期结束后合理期限内涉及采购人涉密信息、资料的保密措施。</w:t>
      </w:r>
    </w:p>
    <w:p w14:paraId="76A34B77">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4.成交供应商应当对上城区或行政复议机关的总体情况和工作内容有相当程度的了解，有区县（市）级及以上党委或人民政府的法律顾问经历。</w:t>
      </w:r>
    </w:p>
    <w:p w14:paraId="7727A9E9">
      <w:pPr>
        <w:pStyle w:val="22"/>
        <w:snapToGrid w:val="0"/>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5.因标项中的服务内容以采购人待委托的实际任务为准，供应商应事先考虑可能存在托任务数量的因素，并承担相应风险。</w:t>
      </w:r>
    </w:p>
    <w:p w14:paraId="470B2FD3">
      <w:pPr>
        <w:pStyle w:val="3"/>
        <w:keepNext/>
        <w:keepLines/>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ind w:left="0" w:leftChars="0"/>
        <w:textAlignment w:val="auto"/>
        <w:rPr>
          <w:rFonts w:hint="eastAsia" w:ascii="仿宋" w:hAnsi="仿宋" w:eastAsia="仿宋" w:cs="仿宋"/>
          <w:color w:val="auto"/>
          <w:sz w:val="24"/>
          <w:szCs w:val="24"/>
          <w:highlight w:val="none"/>
          <w:shd w:val="clear" w:color="auto" w:fill="auto"/>
          <w:lang w:val="en-US" w:eastAsia="zh-CN"/>
        </w:rPr>
      </w:pPr>
      <w:r>
        <w:rPr>
          <w:rFonts w:hint="eastAsia" w:ascii="仿宋" w:eastAsia="仿宋" w:cs="仿宋"/>
          <w:color w:val="auto"/>
          <w:sz w:val="24"/>
          <w:szCs w:val="24"/>
          <w:highlight w:val="none"/>
          <w:shd w:val="clear" w:color="auto" w:fill="auto"/>
          <w:lang w:val="en-US" w:eastAsia="zh-CN"/>
        </w:rPr>
        <w:t>三</w:t>
      </w:r>
      <w:r>
        <w:rPr>
          <w:rFonts w:hint="eastAsia" w:ascii="仿宋" w:hAnsi="仿宋" w:eastAsia="仿宋" w:cs="仿宋"/>
          <w:color w:val="auto"/>
          <w:sz w:val="24"/>
          <w:szCs w:val="24"/>
          <w:highlight w:val="none"/>
          <w:shd w:val="clear" w:color="auto" w:fill="auto"/>
          <w:lang w:val="en-US" w:eastAsia="zh-CN"/>
        </w:rPr>
        <w:t>、标项</w:t>
      </w:r>
      <w:r>
        <w:rPr>
          <w:rFonts w:hint="eastAsia" w:ascii="仿宋" w:eastAsia="仿宋" w:cs="仿宋"/>
          <w:color w:val="auto"/>
          <w:sz w:val="24"/>
          <w:szCs w:val="24"/>
          <w:highlight w:val="none"/>
          <w:shd w:val="clear" w:color="auto" w:fill="auto"/>
          <w:lang w:val="en-US" w:eastAsia="zh-CN"/>
        </w:rPr>
        <w:t>二</w:t>
      </w:r>
      <w:r>
        <w:rPr>
          <w:rFonts w:hint="eastAsia" w:ascii="仿宋" w:hAnsi="仿宋" w:eastAsia="仿宋" w:cs="仿宋"/>
          <w:color w:val="auto"/>
          <w:sz w:val="24"/>
          <w:szCs w:val="24"/>
          <w:highlight w:val="none"/>
          <w:shd w:val="clear" w:color="auto" w:fill="auto"/>
          <w:lang w:val="en-US" w:eastAsia="zh-CN"/>
        </w:rPr>
        <w:t>服务要求</w:t>
      </w:r>
    </w:p>
    <w:p w14:paraId="6B7B21E0">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本标项主要面向以区政府为单独被告的行政诉讼案件。</w:t>
      </w:r>
    </w:p>
    <w:p w14:paraId="582C3F1E">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（一）工作职责</w:t>
      </w:r>
    </w:p>
    <w:p w14:paraId="5A22751F">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1.对区政府为单独被告的行政诉讼案件提供专业法律意见并出具相关文书，或应区政府（区司法局）要求，对相关工作进行法律论证；</w:t>
      </w:r>
    </w:p>
    <w:p w14:paraId="7E5DA37B">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2.受区政府（区司法局）委托，代理区政府为单独被告的行政诉讼案件，提供专业法律意见并出具相关文书； </w:t>
      </w:r>
    </w:p>
    <w:p w14:paraId="28FB8CED">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3.协助区政府（区司法局）进行与本标项内容相关的法治宣传培训，向区政府（区司法局）提供有关法律信息和法律咨询，对区政府（区司法局）行政管理中的法律问题提出意见和建议；</w:t>
      </w:r>
    </w:p>
    <w:p w14:paraId="79E19FA6">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4.办理区政府（区司法局）委托的与本标项内容相关的其他法律事务。</w:t>
      </w:r>
    </w:p>
    <w:p w14:paraId="0A66B078">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（二）法律咨询</w:t>
      </w:r>
    </w:p>
    <w:p w14:paraId="42BB8F29">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1.为采购人的各科室工作人员提供日常法律咨询服务，对服务对象的法律咨询及法律事务应按服务对象要求作出及时解答，一般应在 24 小时（紧急事务应在2小时）内作出回复，并对相关问题提出具体的可操作方案和解决途径；</w:t>
      </w:r>
    </w:p>
    <w:p w14:paraId="3B2E6D79">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2.根据采购人通知列席部分案件或突发事件相关协调探讨会议，无特殊情况需在2小时内响应，对采购人的决策进行法律论证和法律风险的评价。</w:t>
      </w:r>
    </w:p>
    <w:p w14:paraId="1B63ED95">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（三）法律宣传及培训服务</w:t>
      </w:r>
    </w:p>
    <w:p w14:paraId="30E2BF47">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1.为采购人及服务对象复议应诉实务难点、执法规范、舆情应对等方面法律知识和业务培训，每年不少于一次。</w:t>
      </w:r>
    </w:p>
    <w:p w14:paraId="1573091F">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2.协助采购人对法律工作人员进行业务指导和技巧培训，无特殊情况每周须固定坐班一天。</w:t>
      </w:r>
    </w:p>
    <w:p w14:paraId="737EBD00">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（四）其他</w:t>
      </w:r>
    </w:p>
    <w:p w14:paraId="06CC9BCC">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1.成交供应商应建立完善的复议应诉审核管理工作制度，正式文书或材料须在规定期限内经供应商主任或副主任签字审核后交至采购人。</w:t>
      </w:r>
    </w:p>
    <w:p w14:paraId="464C45DB">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2.接服务单位通知，需可及时响应，2个小时到达现场。</w:t>
      </w:r>
    </w:p>
    <w:p w14:paraId="7DAE4BDC">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3.主动做好与采购人的配合服务，并做好在服务期及服务期结束后合理期限内涉及采购人涉密信息、资料的保密措施。</w:t>
      </w:r>
    </w:p>
    <w:p w14:paraId="206D5AC2">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4.成交供应商应当对上城区或行政复议机关的总体情况和工作内容有相当程度的了解，有区县（市）级及以上党委或人民政府的法律顾问经历。</w:t>
      </w:r>
    </w:p>
    <w:p w14:paraId="52248F23">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5.因标项中的服务内容以采购人待委托的实际任务为准，供应商应事先考虑可能存在托任务数量的因素，并承担相应风险。</w:t>
      </w:r>
    </w:p>
    <w:p w14:paraId="38C5C9FA">
      <w:pPr>
        <w:pStyle w:val="3"/>
        <w:keepNext/>
        <w:keepLines/>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ind w:left="0" w:leftChars="0"/>
        <w:textAlignment w:val="auto"/>
        <w:rPr>
          <w:rFonts w:hint="eastAsia" w:ascii="仿宋" w:hAnsi="仿宋" w:eastAsia="仿宋" w:cs="仿宋"/>
          <w:color w:val="auto"/>
          <w:sz w:val="24"/>
          <w:szCs w:val="24"/>
          <w:highlight w:val="none"/>
          <w:shd w:val="clear" w:color="auto" w:fill="auto"/>
          <w:lang w:val="en-US" w:eastAsia="zh-CN"/>
        </w:rPr>
      </w:pPr>
      <w:r>
        <w:rPr>
          <w:rFonts w:hint="eastAsia" w:ascii="仿宋" w:eastAsia="仿宋" w:cs="仿宋"/>
          <w:color w:val="auto"/>
          <w:sz w:val="24"/>
          <w:szCs w:val="24"/>
          <w:highlight w:val="none"/>
          <w:shd w:val="clear" w:color="auto" w:fill="auto"/>
          <w:lang w:val="en-US" w:eastAsia="zh-CN"/>
        </w:rPr>
        <w:t>四</w:t>
      </w:r>
      <w:r>
        <w:rPr>
          <w:rFonts w:hint="eastAsia" w:ascii="仿宋" w:hAnsi="仿宋" w:eastAsia="仿宋" w:cs="仿宋"/>
          <w:color w:val="auto"/>
          <w:sz w:val="24"/>
          <w:szCs w:val="24"/>
          <w:highlight w:val="none"/>
          <w:shd w:val="clear" w:color="auto" w:fill="auto"/>
          <w:lang w:val="en-US" w:eastAsia="zh-CN"/>
        </w:rPr>
        <w:t>、标项</w:t>
      </w:r>
      <w:r>
        <w:rPr>
          <w:rFonts w:hint="eastAsia" w:ascii="仿宋" w:eastAsia="仿宋" w:cs="仿宋"/>
          <w:color w:val="auto"/>
          <w:sz w:val="24"/>
          <w:szCs w:val="24"/>
          <w:highlight w:val="none"/>
          <w:shd w:val="clear" w:color="auto" w:fill="auto"/>
          <w:lang w:val="en-US" w:eastAsia="zh-CN"/>
        </w:rPr>
        <w:t>三</w:t>
      </w:r>
      <w:r>
        <w:rPr>
          <w:rFonts w:hint="eastAsia" w:ascii="仿宋" w:hAnsi="仿宋" w:eastAsia="仿宋" w:cs="仿宋"/>
          <w:color w:val="auto"/>
          <w:sz w:val="24"/>
          <w:szCs w:val="24"/>
          <w:highlight w:val="none"/>
          <w:shd w:val="clear" w:color="auto" w:fill="auto"/>
          <w:lang w:val="en-US" w:eastAsia="zh-CN"/>
        </w:rPr>
        <w:t>服务要求</w:t>
      </w:r>
    </w:p>
    <w:p w14:paraId="3FCD34A1">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default" w:ascii="仿宋" w:hAnsi="仿宋" w:eastAsia="仿宋" w:cs="仿宋"/>
          <w:highlight w:val="none"/>
          <w:lang w:val="en-US" w:eastAsia="zh-CN"/>
        </w:rPr>
      </w:pPr>
      <w:r>
        <w:rPr>
          <w:rFonts w:hint="eastAsia" w:ascii="仿宋" w:hAnsi="仿宋" w:eastAsia="仿宋" w:cs="仿宋"/>
          <w:highlight w:val="none"/>
          <w:lang w:val="en-US" w:eastAsia="zh-CN"/>
        </w:rPr>
        <w:t>本标项主要面向以区政府为复议机关而引发的复议后诉讼案件</w:t>
      </w:r>
    </w:p>
    <w:p w14:paraId="0445643D">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（一）工作职责</w:t>
      </w:r>
    </w:p>
    <w:p w14:paraId="3CACA95D">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1.对区政府为复议机关而引发的复议后诉讼案件提供专业法律意见并出具相关文书，或应区政府（区司法局）要求，对相关工作进行法律论证；</w:t>
      </w:r>
    </w:p>
    <w:p w14:paraId="1B4FE6A8">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 xml:space="preserve">2.受区政府（区司法局）委托，代理区政府为复议机关而引发的复议后诉讼案件，提供专业法律意见并出具相关文书； </w:t>
      </w:r>
    </w:p>
    <w:p w14:paraId="210F6BE9">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3.协助区政府（区司法局）进行与本标项内容相关的法治宣传培训，向区政府（区司法局）提供有关法律信息和法律咨询，对区政府（区司法局）行政管理中的法律问题提出意见和建议；</w:t>
      </w:r>
    </w:p>
    <w:p w14:paraId="6E2DFA82">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4.办理区政府（区司法局）委托的与本标项内容相关的其他法律事务。</w:t>
      </w:r>
    </w:p>
    <w:p w14:paraId="3CF3EB2E">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（二）法律咨询</w:t>
      </w:r>
    </w:p>
    <w:p w14:paraId="76B0FB84">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1.为采购人的各科室工作人员提供日常法律咨询服务，对服务对象的法律咨询及法律事务应按服务对象要求作出及时解答，一般应在 24 小时（紧急事务应在2小时）内作出回复，并对相关问题提出具体的可操作方案和解决途径；</w:t>
      </w:r>
    </w:p>
    <w:p w14:paraId="4E48FBF5">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2.根据采购人通知列席部分案件或突发事件相关协调探讨会议，无特殊情况需在2小时内响应，对采购人的决策进行法律论证和法律风险的评价。</w:t>
      </w:r>
    </w:p>
    <w:p w14:paraId="5674FCAF">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（三）法律宣传及培训服务</w:t>
      </w:r>
    </w:p>
    <w:p w14:paraId="4D21B03F">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1.为采购人及服务对象复议应诉实务难点、执法规范、舆情应对等方面法律知识和业务培训，每年不少于一次。</w:t>
      </w:r>
    </w:p>
    <w:p w14:paraId="3188607D">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2.协助采购人对法律工作人员进行业务指导和技巧培训。</w:t>
      </w:r>
    </w:p>
    <w:p w14:paraId="3350B094">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（四）其他</w:t>
      </w:r>
    </w:p>
    <w:p w14:paraId="3BEF9D88">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1.成交供应商应建立完善的复议应诉审核管理工作制度，正式文书或材料须在规定期限内经供应商局长或副局长签字审核后交至采购人。</w:t>
      </w:r>
    </w:p>
    <w:p w14:paraId="7B54D758">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2.接服务单位通知，需可及时响应，2个小时到达现场。</w:t>
      </w:r>
    </w:p>
    <w:p w14:paraId="70FAF1D9">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3.主动做好与采购人的配合服务，并做好在服务期及服务期结束后合理期限内涉及采购人涉密信息、资料的保密措施。</w:t>
      </w:r>
    </w:p>
    <w:p w14:paraId="000E09E7">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4.成交供应商应当对上城区或行政复议机关的总体情况和工作内容有相当程度的了解，有区县（市）级及以上党委或人民政府的法律顾问经历。</w:t>
      </w:r>
    </w:p>
    <w:p w14:paraId="7106D1EB">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5.因标项中的服务内容以采购人待委托的实际任务为准，供应商应事先考虑可能存在托任务数量的因素，并承担相应风险。</w:t>
      </w:r>
    </w:p>
    <w:p w14:paraId="02102006">
      <w:pPr>
        <w:pStyle w:val="3"/>
        <w:keepNext/>
        <w:keepLines/>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ind w:left="0" w:leftChars="0"/>
        <w:textAlignment w:val="auto"/>
        <w:rPr>
          <w:rFonts w:hint="eastAsia" w:ascii="仿宋" w:hAnsi="仿宋" w:eastAsia="仿宋" w:cs="仿宋"/>
          <w:color w:val="auto"/>
          <w:sz w:val="24"/>
          <w:szCs w:val="24"/>
          <w:highlight w:val="none"/>
          <w:shd w:val="clear" w:color="auto" w:fill="auto"/>
          <w:lang w:val="en-US" w:eastAsia="zh-CN"/>
        </w:rPr>
      </w:pPr>
      <w:r>
        <w:rPr>
          <w:rFonts w:hint="eastAsia" w:ascii="仿宋" w:eastAsia="仿宋" w:cs="仿宋"/>
          <w:color w:val="auto"/>
          <w:sz w:val="24"/>
          <w:szCs w:val="24"/>
          <w:highlight w:val="none"/>
          <w:shd w:val="clear" w:color="auto" w:fill="auto"/>
          <w:lang w:val="en-US" w:eastAsia="zh-CN"/>
        </w:rPr>
        <w:t>五</w:t>
      </w:r>
      <w:r>
        <w:rPr>
          <w:rFonts w:hint="eastAsia" w:ascii="仿宋" w:hAnsi="仿宋" w:eastAsia="仿宋" w:cs="仿宋"/>
          <w:color w:val="auto"/>
          <w:sz w:val="24"/>
          <w:szCs w:val="24"/>
          <w:highlight w:val="none"/>
          <w:shd w:val="clear" w:color="auto" w:fill="auto"/>
          <w:lang w:val="en-US" w:eastAsia="zh-CN"/>
        </w:rPr>
        <w:t>、考核</w:t>
      </w:r>
      <w:r>
        <w:rPr>
          <w:rFonts w:hint="eastAsia" w:ascii="仿宋" w:eastAsia="仿宋" w:cs="仿宋"/>
          <w:color w:val="auto"/>
          <w:sz w:val="24"/>
          <w:szCs w:val="24"/>
          <w:highlight w:val="none"/>
          <w:shd w:val="clear" w:color="auto" w:fill="auto"/>
          <w:lang w:val="en-US" w:eastAsia="zh-CN"/>
        </w:rPr>
        <w:t>及验收</w:t>
      </w:r>
    </w:p>
    <w:p w14:paraId="7249EA3F">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1、服务期间采购人有权进行中期考核，根据考核结果，采购人视情况作如下处理：</w:t>
      </w:r>
    </w:p>
    <w:p w14:paraId="09F77581">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（1）服务质量达不到要求的，采购人有权要求成交供应商更换相关人员。</w:t>
      </w:r>
    </w:p>
    <w:p w14:paraId="16A75A08">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（2）团队成员与磋商响应文件不一致的或服务质量不佳，整体考核结果未达到采购人要求的，采购人有权终止合同。</w:t>
      </w:r>
    </w:p>
    <w:p w14:paraId="6157D32B">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2、考核主要内容如下，以采购人最终确认为准。</w:t>
      </w:r>
    </w:p>
    <w:p w14:paraId="1BC6129C">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（1）未及时响应采购人的要求和安排，多次迟到或无故推脱的。</w:t>
      </w:r>
    </w:p>
    <w:p w14:paraId="2A122844">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（2）因工作人员不当言论、行为发生信访事件的。</w:t>
      </w:r>
    </w:p>
    <w:p w14:paraId="2A3E19B6">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（3）实际参与本项目的团队成员及数量与响应文件不一致的。</w:t>
      </w:r>
    </w:p>
    <w:p w14:paraId="6EDF1D30">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kern w:val="2"/>
          <w:sz w:val="24"/>
          <w:szCs w:val="21"/>
          <w:highlight w:val="none"/>
          <w:lang w:val="en-US" w:eastAsia="zh-CN" w:bidi="ar-SA"/>
        </w:rPr>
      </w:pPr>
      <w:r>
        <w:rPr>
          <w:rFonts w:hint="eastAsia" w:ascii="仿宋" w:hAnsi="仿宋" w:eastAsia="仿宋" w:cs="仿宋"/>
          <w:kern w:val="2"/>
          <w:sz w:val="24"/>
          <w:szCs w:val="21"/>
          <w:highlight w:val="none"/>
          <w:lang w:val="en-US" w:eastAsia="zh-CN" w:bidi="ar-SA"/>
        </w:rPr>
        <w:t>（4）未按时提交的相应法律文书或法律意见的，经多次催促的；或提交文书质量不过关，多次被要求返工的；</w:t>
      </w:r>
    </w:p>
    <w:p w14:paraId="266E8861">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kern w:val="2"/>
          <w:sz w:val="24"/>
          <w:szCs w:val="21"/>
          <w:highlight w:val="none"/>
          <w:lang w:val="en-US" w:eastAsia="zh-CN" w:bidi="ar-SA"/>
        </w:rPr>
      </w:pPr>
      <w:r>
        <w:rPr>
          <w:rFonts w:hint="eastAsia" w:ascii="仿宋" w:hAnsi="仿宋" w:eastAsia="仿宋" w:cs="仿宋"/>
          <w:kern w:val="2"/>
          <w:sz w:val="24"/>
          <w:szCs w:val="21"/>
          <w:highlight w:val="none"/>
          <w:lang w:val="en-US" w:eastAsia="zh-CN" w:bidi="ar-SA"/>
        </w:rPr>
        <w:t>（5）提供的法律意见或法律文书存在纰漏，造成工作严重失误的，或导致区政府因此被纠错或败诉的。</w:t>
      </w:r>
    </w:p>
    <w:p w14:paraId="01249EDD">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（6）服务保障不到位，检查缺少记录和台账资料，资料不齐的。</w:t>
      </w:r>
    </w:p>
    <w:p w14:paraId="4AFDEC1E">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（7）发生吃、拿、卡、要等问题的。</w:t>
      </w:r>
    </w:p>
    <w:p w14:paraId="014218CD">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（8）发生弄虚作假的行为。</w:t>
      </w:r>
    </w:p>
    <w:p w14:paraId="4AACEA2A">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（9）其他任何有可能影响考核公正性的行为的。</w:t>
      </w:r>
    </w:p>
    <w:p w14:paraId="7D23CFBC">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zh-CN" w:eastAsia="zh-CN"/>
        </w:rPr>
      </w:pPr>
      <w:r>
        <w:rPr>
          <w:rFonts w:hint="eastAsia" w:ascii="仿宋" w:hAnsi="仿宋" w:eastAsia="仿宋" w:cs="仿宋"/>
          <w:highlight w:val="none"/>
          <w:lang w:val="en-US" w:eastAsia="zh-CN"/>
        </w:rPr>
        <w:t>3、服务期满，</w:t>
      </w:r>
      <w:r>
        <w:rPr>
          <w:rFonts w:hint="eastAsia" w:ascii="仿宋" w:hAnsi="仿宋" w:eastAsia="仿宋" w:cs="仿宋"/>
          <w:highlight w:val="none"/>
          <w:lang w:val="zh-CN" w:eastAsia="zh-CN"/>
        </w:rPr>
        <w:t>本项目</w:t>
      </w:r>
      <w:r>
        <w:rPr>
          <w:rFonts w:hint="eastAsia" w:ascii="仿宋" w:hAnsi="仿宋" w:eastAsia="仿宋" w:cs="仿宋"/>
          <w:highlight w:val="none"/>
          <w:lang w:val="en-US" w:eastAsia="zh-CN"/>
        </w:rPr>
        <w:t>组织</w:t>
      </w:r>
      <w:r>
        <w:rPr>
          <w:rFonts w:hint="eastAsia" w:ascii="仿宋" w:hAnsi="仿宋" w:eastAsia="仿宋" w:cs="仿宋"/>
          <w:highlight w:val="none"/>
          <w:lang w:val="zh-CN" w:eastAsia="zh-CN"/>
        </w:rPr>
        <w:t>履约验收，验收合格的情况作为项目支付的依据。</w:t>
      </w:r>
    </w:p>
    <w:p w14:paraId="243F1FC5">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zh-CN" w:eastAsia="zh-CN"/>
        </w:rPr>
      </w:pPr>
      <w:r>
        <w:rPr>
          <w:rFonts w:hint="eastAsia" w:ascii="仿宋" w:hAnsi="仿宋" w:eastAsia="仿宋" w:cs="仿宋"/>
          <w:highlight w:val="none"/>
          <w:lang w:val="zh-CN" w:eastAsia="zh-CN"/>
        </w:rPr>
        <w:t>验收依据：①采购文件确定的技术指标或者服务要求；②</w:t>
      </w:r>
      <w:r>
        <w:rPr>
          <w:rFonts w:hint="eastAsia" w:ascii="仿宋" w:hAnsi="仿宋" w:eastAsia="仿宋" w:cs="仿宋"/>
          <w:highlight w:val="none"/>
          <w:lang w:val="en-US" w:eastAsia="zh-CN"/>
        </w:rPr>
        <w:t>响应</w:t>
      </w:r>
      <w:r>
        <w:rPr>
          <w:rFonts w:hint="eastAsia" w:ascii="仿宋" w:hAnsi="仿宋" w:eastAsia="仿宋" w:cs="仿宋"/>
          <w:highlight w:val="none"/>
          <w:lang w:val="zh-CN" w:eastAsia="zh-CN"/>
        </w:rPr>
        <w:t>文件承诺、询标回复；③服务合同。未进行相应约定的，应当符合国家强制性规定、政策要求、安全标准、行业或企业有关标准等。</w:t>
      </w:r>
    </w:p>
    <w:p w14:paraId="75DA15AC">
      <w:pPr>
        <w:rPr>
          <w:rFonts w:hint="default"/>
          <w:highlight w:val="none"/>
          <w:lang w:val="en-US" w:eastAsia="zh-CN"/>
        </w:rPr>
      </w:pPr>
    </w:p>
    <w:p w14:paraId="4E8BD2A6">
      <w:pPr>
        <w:pStyle w:val="3"/>
        <w:keepNext/>
        <w:keepLines/>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ind w:left="0" w:leftChars="0"/>
        <w:textAlignment w:val="auto"/>
        <w:rPr>
          <w:rFonts w:hint="eastAsia" w:ascii="仿宋" w:eastAsia="仿宋" w:cs="仿宋"/>
          <w:color w:val="auto"/>
          <w:sz w:val="24"/>
          <w:szCs w:val="24"/>
          <w:highlight w:val="none"/>
          <w:shd w:val="clear" w:color="auto" w:fill="auto"/>
          <w:lang w:val="en-US" w:eastAsia="zh-CN"/>
        </w:rPr>
      </w:pPr>
      <w:bookmarkStart w:id="61" w:name="_Toc29371"/>
      <w:bookmarkStart w:id="62" w:name="_Toc6924"/>
      <w:r>
        <w:rPr>
          <w:rFonts w:hint="eastAsia" w:ascii="仿宋" w:eastAsia="仿宋" w:cs="仿宋"/>
          <w:color w:val="auto"/>
          <w:sz w:val="24"/>
          <w:szCs w:val="24"/>
          <w:highlight w:val="none"/>
          <w:shd w:val="clear" w:color="auto" w:fill="auto"/>
          <w:lang w:val="en-US" w:eastAsia="zh-CN"/>
        </w:rPr>
        <w:t>六、商务要求</w:t>
      </w:r>
      <w:bookmarkEnd w:id="61"/>
      <w:bookmarkEnd w:id="62"/>
    </w:p>
    <w:p w14:paraId="6B37FFC7">
      <w:pPr>
        <w:pStyle w:val="22"/>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outlineLvl w:val="9"/>
        <w:rPr>
          <w:rFonts w:hint="eastAsia" w:ascii="仿宋" w:hAnsi="仿宋" w:eastAsia="仿宋" w:cs="仿宋"/>
          <w:b w:val="0"/>
          <w:bCs w:val="0"/>
          <w:color w:val="auto"/>
          <w:sz w:val="24"/>
          <w:highlight w:val="none"/>
          <w:shd w:val="clear" w:color="auto" w:fill="auto"/>
          <w:lang w:eastAsia="zh-CN"/>
        </w:rPr>
      </w:pPr>
      <w:bookmarkStart w:id="63" w:name="_Toc18522"/>
      <w:r>
        <w:rPr>
          <w:rFonts w:hint="eastAsia" w:ascii="仿宋" w:hAnsi="仿宋" w:eastAsia="仿宋" w:cs="仿宋"/>
          <w:b w:val="0"/>
          <w:bCs w:val="0"/>
          <w:color w:val="auto"/>
          <w:sz w:val="24"/>
          <w:highlight w:val="none"/>
          <w:shd w:val="clear" w:color="auto" w:fill="auto"/>
          <w:lang w:eastAsia="zh-CN"/>
        </w:rPr>
        <w:t>（一）报价要求</w:t>
      </w:r>
    </w:p>
    <w:p w14:paraId="567002D4">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b w:val="0"/>
          <w:bCs w:val="0"/>
          <w:highlight w:val="none"/>
          <w:lang w:val="en-US" w:eastAsia="zh-CN"/>
        </w:rPr>
      </w:pPr>
      <w:r>
        <w:rPr>
          <w:rFonts w:hint="eastAsia" w:ascii="仿宋" w:hAnsi="仿宋" w:eastAsia="仿宋" w:cs="仿宋"/>
          <w:b w:val="0"/>
          <w:bCs w:val="0"/>
          <w:highlight w:val="none"/>
          <w:lang w:val="en-US" w:eastAsia="zh-CN"/>
        </w:rPr>
        <w:t>1、本次项目报价为综合单价包干，按件计费。</w:t>
      </w:r>
    </w:p>
    <w:p w14:paraId="6898F84E">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b w:val="0"/>
          <w:bCs w:val="0"/>
          <w:highlight w:val="none"/>
          <w:lang w:val="en-US" w:eastAsia="zh-CN"/>
        </w:rPr>
      </w:pPr>
      <w:r>
        <w:rPr>
          <w:rFonts w:hint="eastAsia" w:ascii="仿宋" w:hAnsi="仿宋" w:eastAsia="仿宋" w:cs="仿宋"/>
          <w:b w:val="0"/>
          <w:bCs w:val="0"/>
          <w:snapToGrid w:val="0"/>
          <w:color w:val="auto"/>
          <w:kern w:val="0"/>
          <w:sz w:val="24"/>
          <w:highlight w:val="none"/>
          <w:shd w:val="clear" w:color="auto" w:fill="auto"/>
          <w:lang w:val="en-US" w:eastAsia="zh-CN"/>
        </w:rPr>
        <w:t>▲</w:t>
      </w:r>
      <w:r>
        <w:rPr>
          <w:rFonts w:hint="eastAsia" w:ascii="仿宋" w:hAnsi="仿宋" w:eastAsia="仿宋" w:cs="仿宋"/>
          <w:b w:val="0"/>
          <w:bCs w:val="0"/>
          <w:highlight w:val="none"/>
          <w:lang w:val="en-US" w:eastAsia="zh-CN"/>
        </w:rPr>
        <w:t>案件最高限价均为7000元/件。综合单价超过最高限价的，将作无效标处理。</w:t>
      </w:r>
    </w:p>
    <w:p w14:paraId="60DE15E7">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b w:val="0"/>
          <w:bCs w:val="0"/>
          <w:highlight w:val="none"/>
        </w:rPr>
      </w:pPr>
      <w:r>
        <w:rPr>
          <w:rFonts w:hint="eastAsia" w:ascii="仿宋" w:hAnsi="仿宋" w:eastAsia="仿宋" w:cs="仿宋"/>
          <w:b w:val="0"/>
          <w:bCs w:val="0"/>
          <w:highlight w:val="none"/>
          <w:lang w:val="en-US" w:eastAsia="zh-CN"/>
        </w:rPr>
        <w:t>2、报价均应包括</w:t>
      </w:r>
      <w:r>
        <w:rPr>
          <w:rFonts w:hint="eastAsia" w:ascii="仿宋" w:hAnsi="仿宋" w:eastAsia="仿宋" w:cs="仿宋"/>
          <w:b w:val="0"/>
          <w:bCs w:val="0"/>
          <w:highlight w:val="none"/>
          <w:lang w:eastAsia="zh-CN"/>
        </w:rPr>
        <w:t>为</w:t>
      </w:r>
      <w:r>
        <w:rPr>
          <w:rFonts w:hint="eastAsia" w:ascii="仿宋" w:hAnsi="仿宋" w:eastAsia="仿宋" w:cs="仿宋"/>
          <w:b w:val="0"/>
          <w:bCs w:val="0"/>
          <w:highlight w:val="none"/>
        </w:rPr>
        <w:t>完成本项目服务工作所需的人力物力成本、直接费用（包括但不限于杭州市区以外的交通、住宿、通讯、电信、文印等）</w:t>
      </w:r>
      <w:r>
        <w:rPr>
          <w:rFonts w:hint="eastAsia" w:ascii="仿宋" w:hAnsi="仿宋" w:eastAsia="仿宋" w:cs="仿宋"/>
          <w:b w:val="0"/>
          <w:bCs w:val="0"/>
          <w:highlight w:val="none"/>
          <w:lang w:eastAsia="zh-CN"/>
        </w:rPr>
        <w:t>、</w:t>
      </w:r>
      <w:r>
        <w:rPr>
          <w:rFonts w:hint="eastAsia" w:ascii="仿宋" w:hAnsi="仿宋" w:eastAsia="仿宋" w:cs="仿宋"/>
          <w:b w:val="0"/>
          <w:bCs w:val="0"/>
          <w:highlight w:val="none"/>
        </w:rPr>
        <w:t>间接费用（包括但不限于委托审计、鉴定费、公证费、查档费，其他用于收集资料的费用）</w:t>
      </w:r>
      <w:r>
        <w:rPr>
          <w:rFonts w:hint="eastAsia" w:ascii="仿宋" w:hAnsi="仿宋" w:eastAsia="仿宋" w:cs="仿宋"/>
          <w:b w:val="0"/>
          <w:bCs w:val="0"/>
          <w:highlight w:val="none"/>
          <w:lang w:eastAsia="zh-CN"/>
        </w:rPr>
        <w:t>、</w:t>
      </w:r>
      <w:r>
        <w:rPr>
          <w:rFonts w:hint="eastAsia" w:ascii="仿宋" w:hAnsi="仿宋" w:eastAsia="仿宋" w:cs="仿宋"/>
          <w:b w:val="0"/>
          <w:bCs w:val="0"/>
          <w:highlight w:val="none"/>
        </w:rPr>
        <w:t>管理费、其他费用、利润、税金等完成本项目的所有费用。</w:t>
      </w:r>
    </w:p>
    <w:p w14:paraId="3025B21F">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b w:val="0"/>
          <w:bCs w:val="0"/>
          <w:highlight w:val="none"/>
          <w:lang w:val="en-US" w:eastAsia="zh-CN"/>
        </w:rPr>
      </w:pPr>
      <w:r>
        <w:rPr>
          <w:rFonts w:hint="eastAsia" w:ascii="仿宋" w:hAnsi="仿宋" w:eastAsia="仿宋" w:cs="仿宋"/>
          <w:b w:val="0"/>
          <w:bCs w:val="0"/>
          <w:highlight w:val="none"/>
          <w:lang w:val="en-US" w:eastAsia="zh-CN"/>
        </w:rPr>
        <w:t>3、报价低于50%（不含）的，应当在报价文件中出具《报价情况说明》，详细阐述不影响服务质量或者诚信履约的具体理由及依据。经评标委员会讨论认为供应商的报价说明不能证明其报价合理性，或有可能影响服务质量，或者影响诚信履约的，评审小组将对其作无效投标处理。</w:t>
      </w:r>
    </w:p>
    <w:p w14:paraId="3D5716BC">
      <w:pPr>
        <w:pStyle w:val="22"/>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outlineLvl w:val="9"/>
        <w:rPr>
          <w:rFonts w:hint="eastAsia" w:ascii="仿宋" w:hAnsi="仿宋" w:eastAsia="仿宋" w:cs="仿宋"/>
          <w:b w:val="0"/>
          <w:bCs w:val="0"/>
          <w:color w:val="auto"/>
          <w:sz w:val="24"/>
          <w:highlight w:val="none"/>
          <w:shd w:val="clear" w:color="auto" w:fill="auto"/>
          <w:lang w:val="en-US" w:eastAsia="zh-CN"/>
        </w:rPr>
      </w:pPr>
      <w:r>
        <w:rPr>
          <w:rFonts w:hint="eastAsia" w:ascii="仿宋" w:hAnsi="仿宋" w:eastAsia="仿宋" w:cs="仿宋"/>
          <w:b w:val="0"/>
          <w:bCs w:val="0"/>
          <w:color w:val="auto"/>
          <w:sz w:val="24"/>
          <w:highlight w:val="none"/>
          <w:shd w:val="clear" w:color="auto" w:fill="auto"/>
          <w:lang w:eastAsia="zh-CN"/>
        </w:rPr>
        <w:t>（二）履约保证金</w:t>
      </w:r>
    </w:p>
    <w:p w14:paraId="44D28ED5">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lang w:val="en-US" w:eastAsia="zh-CN"/>
        </w:rPr>
        <w:t>无需</w:t>
      </w:r>
      <w:r>
        <w:rPr>
          <w:rFonts w:hint="eastAsia" w:ascii="仿宋" w:hAnsi="仿宋" w:eastAsia="仿宋" w:cs="仿宋"/>
          <w:b w:val="0"/>
          <w:bCs w:val="0"/>
          <w:color w:val="auto"/>
          <w:sz w:val="24"/>
          <w:highlight w:val="none"/>
        </w:rPr>
        <w:t>交纳履约保证金。</w:t>
      </w:r>
      <w:r>
        <w:rPr>
          <w:rFonts w:hint="eastAsia" w:ascii="仿宋" w:hAnsi="仿宋" w:eastAsia="仿宋" w:cs="仿宋"/>
          <w:b w:val="0"/>
          <w:bCs w:val="0"/>
          <w:color w:val="auto"/>
          <w:sz w:val="24"/>
          <w:highlight w:val="none"/>
          <w:lang w:val="en-US" w:eastAsia="zh-CN"/>
        </w:rPr>
        <w:t>如有违约行为，从应付合同费用中扣除。</w:t>
      </w:r>
    </w:p>
    <w:p w14:paraId="4DD63376">
      <w:pPr>
        <w:pStyle w:val="22"/>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outlineLvl w:val="9"/>
        <w:rPr>
          <w:rFonts w:hint="eastAsia" w:ascii="仿宋" w:hAnsi="仿宋" w:eastAsia="仿宋" w:cs="仿宋"/>
          <w:b w:val="0"/>
          <w:bCs w:val="0"/>
          <w:color w:val="auto"/>
          <w:sz w:val="24"/>
          <w:highlight w:val="none"/>
          <w:shd w:val="clear" w:color="auto" w:fill="auto"/>
          <w:lang w:eastAsia="zh-CN"/>
        </w:rPr>
      </w:pPr>
      <w:r>
        <w:rPr>
          <w:rFonts w:hint="eastAsia" w:ascii="仿宋" w:hAnsi="仿宋" w:eastAsia="仿宋" w:cs="仿宋"/>
          <w:b w:val="0"/>
          <w:bCs w:val="0"/>
          <w:color w:val="auto"/>
          <w:sz w:val="24"/>
          <w:highlight w:val="none"/>
          <w:shd w:val="clear" w:color="auto" w:fill="auto"/>
          <w:lang w:eastAsia="zh-CN"/>
        </w:rPr>
        <w:t>（三）预付款及合同款付款条件</w:t>
      </w:r>
    </w:p>
    <w:p w14:paraId="7BF76DFB">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outlineLvl w:val="9"/>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1.预付款</w:t>
      </w:r>
    </w:p>
    <w:p w14:paraId="7CD8C82B">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outlineLvl w:val="9"/>
        <w:rPr>
          <w:rFonts w:ascii="仿宋" w:hAnsi="仿宋" w:eastAsia="仿宋" w:cs="仿宋"/>
          <w:b w:val="0"/>
          <w:bCs w:val="0"/>
          <w:sz w:val="24"/>
          <w:highlight w:val="none"/>
        </w:rPr>
      </w:pPr>
      <w:r>
        <w:rPr>
          <w:rFonts w:hint="eastAsia" w:ascii="仿宋" w:hAnsi="仿宋" w:eastAsia="仿宋" w:cs="仿宋"/>
          <w:b w:val="0"/>
          <w:bCs w:val="0"/>
          <w:sz w:val="24"/>
          <w:highlight w:val="none"/>
        </w:rPr>
        <w:t>（1）合同生效后具备实施条件</w:t>
      </w:r>
      <w:r>
        <w:rPr>
          <w:rFonts w:hint="eastAsia" w:ascii="仿宋" w:hAnsi="仿宋" w:eastAsia="仿宋" w:cs="仿宋"/>
          <w:b w:val="0"/>
          <w:bCs w:val="0"/>
          <w:snapToGrid w:val="0"/>
          <w:color w:val="auto"/>
          <w:sz w:val="24"/>
          <w:szCs w:val="24"/>
          <w:highlight w:val="none"/>
        </w:rPr>
        <w:t>5个工作日内</w:t>
      </w:r>
      <w:r>
        <w:rPr>
          <w:rFonts w:hint="eastAsia" w:ascii="仿宋" w:hAnsi="仿宋" w:eastAsia="仿宋" w:cs="仿宋"/>
          <w:b w:val="0"/>
          <w:bCs w:val="0"/>
          <w:sz w:val="24"/>
          <w:highlight w:val="none"/>
        </w:rPr>
        <w:t>，采购人向</w:t>
      </w:r>
      <w:r>
        <w:rPr>
          <w:rFonts w:hint="eastAsia" w:ascii="仿宋" w:hAnsi="仿宋" w:eastAsia="仿宋" w:cs="仿宋"/>
          <w:b w:val="0"/>
          <w:bCs w:val="0"/>
          <w:sz w:val="24"/>
          <w:highlight w:val="none"/>
          <w:lang w:val="en-US" w:eastAsia="zh-CN"/>
        </w:rPr>
        <w:t>成交供应商</w:t>
      </w:r>
      <w:r>
        <w:rPr>
          <w:rFonts w:hint="eastAsia" w:ascii="仿宋" w:hAnsi="仿宋" w:eastAsia="仿宋" w:cs="仿宋"/>
          <w:b w:val="0"/>
          <w:bCs w:val="0"/>
          <w:sz w:val="24"/>
          <w:highlight w:val="none"/>
        </w:rPr>
        <w:t>支付</w:t>
      </w:r>
      <w:r>
        <w:rPr>
          <w:rFonts w:hint="eastAsia" w:ascii="仿宋" w:hAnsi="仿宋" w:eastAsia="仿宋" w:cs="仿宋"/>
          <w:b w:val="0"/>
          <w:bCs w:val="0"/>
          <w:snapToGrid w:val="0"/>
          <w:color w:val="auto"/>
          <w:sz w:val="24"/>
          <w:szCs w:val="24"/>
          <w:highlight w:val="none"/>
        </w:rPr>
        <w:t>合同金额</w:t>
      </w:r>
      <w:r>
        <w:rPr>
          <w:rFonts w:hint="eastAsia" w:ascii="仿宋" w:hAnsi="仿宋" w:eastAsia="仿宋" w:cs="仿宋"/>
          <w:b w:val="0"/>
          <w:bCs w:val="0"/>
          <w:snapToGrid w:val="0"/>
          <w:color w:val="auto"/>
          <w:sz w:val="24"/>
          <w:szCs w:val="24"/>
          <w:highlight w:val="none"/>
          <w:lang w:eastAsia="zh-CN"/>
        </w:rPr>
        <w:t>（</w:t>
      </w:r>
      <w:r>
        <w:rPr>
          <w:rFonts w:hint="eastAsia" w:ascii="仿宋" w:hAnsi="仿宋" w:eastAsia="仿宋" w:cs="仿宋"/>
          <w:b w:val="0"/>
          <w:bCs w:val="0"/>
          <w:snapToGrid w:val="0"/>
          <w:color w:val="auto"/>
          <w:sz w:val="24"/>
          <w:szCs w:val="24"/>
          <w:highlight w:val="none"/>
          <w:lang w:val="en-US" w:eastAsia="zh-CN"/>
        </w:rPr>
        <w:t>即年度标项预算</w:t>
      </w:r>
      <w:r>
        <w:rPr>
          <w:rFonts w:hint="eastAsia" w:ascii="仿宋" w:hAnsi="仿宋" w:eastAsia="仿宋" w:cs="仿宋"/>
          <w:b w:val="0"/>
          <w:bCs w:val="0"/>
          <w:snapToGrid w:val="0"/>
          <w:color w:val="auto"/>
          <w:sz w:val="24"/>
          <w:szCs w:val="24"/>
          <w:highlight w:val="none"/>
          <w:lang w:eastAsia="zh-CN"/>
        </w:rPr>
        <w:t>）</w:t>
      </w:r>
      <w:r>
        <w:rPr>
          <w:rFonts w:hint="eastAsia" w:ascii="仿宋" w:hAnsi="仿宋" w:eastAsia="仿宋" w:cs="仿宋"/>
          <w:b w:val="0"/>
          <w:bCs w:val="0"/>
          <w:snapToGrid w:val="0"/>
          <w:color w:val="auto"/>
          <w:sz w:val="24"/>
          <w:szCs w:val="24"/>
          <w:highlight w:val="none"/>
        </w:rPr>
        <w:t>的</w:t>
      </w:r>
      <w:r>
        <w:rPr>
          <w:rFonts w:hint="eastAsia" w:ascii="仿宋" w:hAnsi="仿宋" w:eastAsia="仿宋" w:cs="仿宋"/>
          <w:b w:val="0"/>
          <w:bCs w:val="0"/>
          <w:snapToGrid w:val="0"/>
          <w:color w:val="auto"/>
          <w:sz w:val="24"/>
          <w:szCs w:val="24"/>
          <w:highlight w:val="none"/>
          <w:lang w:val="en-US" w:eastAsia="zh-CN"/>
        </w:rPr>
        <w:t>5</w:t>
      </w:r>
      <w:r>
        <w:rPr>
          <w:rFonts w:hint="eastAsia" w:ascii="仿宋" w:hAnsi="仿宋" w:eastAsia="仿宋" w:cs="仿宋"/>
          <w:b w:val="0"/>
          <w:bCs w:val="0"/>
          <w:snapToGrid w:val="0"/>
          <w:color w:val="auto"/>
          <w:sz w:val="24"/>
          <w:szCs w:val="24"/>
          <w:highlight w:val="none"/>
        </w:rPr>
        <w:t>0%</w:t>
      </w:r>
      <w:r>
        <w:rPr>
          <w:rFonts w:hint="eastAsia" w:ascii="仿宋" w:hAnsi="仿宋" w:eastAsia="仿宋" w:cs="仿宋"/>
          <w:b w:val="0"/>
          <w:bCs w:val="0"/>
          <w:sz w:val="24"/>
          <w:highlight w:val="none"/>
        </w:rPr>
        <w:t>作为预付款；</w:t>
      </w:r>
    </w:p>
    <w:p w14:paraId="3568AC25">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outlineLvl w:val="9"/>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rPr>
        <w:t>（2）支付了预付款的，采购人有权要求中标人提供预付款金额等额的且不可撤销的预付款保函</w:t>
      </w:r>
      <w:r>
        <w:rPr>
          <w:rFonts w:hint="eastAsia" w:ascii="仿宋" w:hAnsi="仿宋" w:eastAsia="仿宋" w:cs="仿宋"/>
          <w:b w:val="0"/>
          <w:bCs w:val="0"/>
          <w:sz w:val="24"/>
          <w:highlight w:val="none"/>
          <w:lang w:eastAsia="zh-CN"/>
        </w:rPr>
        <w:t>；</w:t>
      </w:r>
    </w:p>
    <w:p w14:paraId="2BC05986">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b w:val="0"/>
          <w:bCs w:val="0"/>
          <w:snapToGrid w:val="0"/>
          <w:color w:val="auto"/>
          <w:sz w:val="24"/>
          <w:szCs w:val="24"/>
          <w:highlight w:val="none"/>
          <w:lang w:val="en-US" w:eastAsia="zh-CN"/>
        </w:rPr>
      </w:pPr>
      <w:r>
        <w:rPr>
          <w:rFonts w:hint="eastAsia" w:ascii="仿宋" w:hAnsi="仿宋" w:eastAsia="仿宋" w:cs="仿宋"/>
          <w:b w:val="0"/>
          <w:bCs w:val="0"/>
          <w:sz w:val="24"/>
          <w:highlight w:val="none"/>
        </w:rPr>
        <w:t>（3）在签订合同时，中标人明确表示无需预付款或者主动要求降低预付款比例的，可不适用预付款相关规定。</w:t>
      </w:r>
    </w:p>
    <w:p w14:paraId="3E39F28F">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default" w:ascii="仿宋" w:hAnsi="仿宋" w:eastAsia="仿宋" w:cs="仿宋"/>
          <w:b w:val="0"/>
          <w:bCs w:val="0"/>
          <w:snapToGrid w:val="0"/>
          <w:color w:val="auto"/>
          <w:sz w:val="24"/>
          <w:szCs w:val="24"/>
          <w:highlight w:val="none"/>
          <w:lang w:val="en-US" w:eastAsia="zh-CN"/>
        </w:rPr>
      </w:pPr>
      <w:r>
        <w:rPr>
          <w:rFonts w:hint="eastAsia" w:ascii="仿宋" w:hAnsi="仿宋" w:eastAsia="仿宋" w:cs="仿宋"/>
          <w:b w:val="0"/>
          <w:bCs w:val="0"/>
          <w:snapToGrid w:val="0"/>
          <w:color w:val="auto"/>
          <w:sz w:val="24"/>
          <w:szCs w:val="24"/>
          <w:highlight w:val="none"/>
          <w:lang w:val="en-US" w:eastAsia="zh-CN"/>
        </w:rPr>
        <w:t>2、合同款支付</w:t>
      </w:r>
    </w:p>
    <w:p w14:paraId="1CD56951">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b w:val="0"/>
          <w:bCs w:val="0"/>
          <w:snapToGrid w:val="0"/>
          <w:color w:val="auto"/>
          <w:sz w:val="24"/>
          <w:szCs w:val="24"/>
          <w:highlight w:val="none"/>
        </w:rPr>
      </w:pPr>
      <w:r>
        <w:rPr>
          <w:rFonts w:hint="eastAsia" w:ascii="仿宋" w:hAnsi="仿宋" w:eastAsia="仿宋" w:cs="仿宋"/>
          <w:b w:val="0"/>
          <w:bCs w:val="0"/>
          <w:snapToGrid w:val="0"/>
          <w:color w:val="auto"/>
          <w:sz w:val="24"/>
          <w:szCs w:val="24"/>
          <w:highlight w:val="none"/>
          <w:lang w:val="en-US" w:eastAsia="zh-CN"/>
        </w:rPr>
        <w:t>（1）</w:t>
      </w:r>
      <w:r>
        <w:rPr>
          <w:rFonts w:hint="eastAsia" w:ascii="仿宋" w:hAnsi="仿宋" w:eastAsia="仿宋" w:cs="仿宋"/>
          <w:b w:val="0"/>
          <w:bCs w:val="0"/>
          <w:snapToGrid w:val="0"/>
          <w:color w:val="auto"/>
          <w:sz w:val="24"/>
          <w:szCs w:val="24"/>
          <w:highlight w:val="none"/>
        </w:rPr>
        <w:t>合同生效后具备实施条件5个工作日内</w:t>
      </w:r>
      <w:r>
        <w:rPr>
          <w:rFonts w:hint="eastAsia" w:ascii="仿宋" w:hAnsi="仿宋" w:eastAsia="仿宋" w:cs="仿宋"/>
          <w:b w:val="0"/>
          <w:bCs w:val="0"/>
          <w:snapToGrid w:val="0"/>
          <w:color w:val="auto"/>
          <w:sz w:val="24"/>
          <w:szCs w:val="24"/>
          <w:highlight w:val="none"/>
          <w:lang w:eastAsia="zh-CN"/>
        </w:rPr>
        <w:t>，</w:t>
      </w:r>
      <w:r>
        <w:rPr>
          <w:rFonts w:hint="eastAsia" w:ascii="仿宋" w:hAnsi="仿宋" w:eastAsia="仿宋" w:cs="仿宋"/>
          <w:b w:val="0"/>
          <w:bCs w:val="0"/>
          <w:snapToGrid w:val="0"/>
          <w:color w:val="auto"/>
          <w:sz w:val="24"/>
          <w:szCs w:val="24"/>
          <w:highlight w:val="none"/>
          <w:lang w:val="en-US" w:eastAsia="zh-CN"/>
        </w:rPr>
        <w:t>采购人</w:t>
      </w:r>
      <w:r>
        <w:rPr>
          <w:rFonts w:hint="eastAsia" w:ascii="仿宋" w:hAnsi="仿宋" w:eastAsia="仿宋" w:cs="仿宋"/>
          <w:b w:val="0"/>
          <w:bCs w:val="0"/>
          <w:snapToGrid w:val="0"/>
          <w:color w:val="auto"/>
          <w:sz w:val="24"/>
          <w:szCs w:val="24"/>
          <w:highlight w:val="none"/>
        </w:rPr>
        <w:t>向</w:t>
      </w:r>
      <w:r>
        <w:rPr>
          <w:rFonts w:hint="eastAsia" w:ascii="仿宋" w:hAnsi="仿宋" w:eastAsia="仿宋" w:cs="仿宋"/>
          <w:b w:val="0"/>
          <w:bCs w:val="0"/>
          <w:snapToGrid w:val="0"/>
          <w:color w:val="auto"/>
          <w:sz w:val="24"/>
          <w:szCs w:val="24"/>
          <w:highlight w:val="none"/>
          <w:lang w:val="en-US" w:eastAsia="zh-CN"/>
        </w:rPr>
        <w:t>成交供应商</w:t>
      </w:r>
      <w:r>
        <w:rPr>
          <w:rFonts w:hint="eastAsia" w:ascii="仿宋" w:hAnsi="仿宋" w:eastAsia="仿宋" w:cs="仿宋"/>
          <w:b w:val="0"/>
          <w:bCs w:val="0"/>
          <w:snapToGrid w:val="0"/>
          <w:color w:val="auto"/>
          <w:sz w:val="24"/>
          <w:szCs w:val="24"/>
          <w:highlight w:val="none"/>
        </w:rPr>
        <w:t>支付合同金额</w:t>
      </w:r>
      <w:r>
        <w:rPr>
          <w:rFonts w:hint="eastAsia" w:ascii="仿宋" w:hAnsi="仿宋" w:eastAsia="仿宋" w:cs="仿宋"/>
          <w:b w:val="0"/>
          <w:bCs w:val="0"/>
          <w:snapToGrid w:val="0"/>
          <w:color w:val="auto"/>
          <w:sz w:val="24"/>
          <w:szCs w:val="24"/>
          <w:highlight w:val="none"/>
          <w:lang w:eastAsia="zh-CN"/>
        </w:rPr>
        <w:t>（</w:t>
      </w:r>
      <w:r>
        <w:rPr>
          <w:rFonts w:hint="eastAsia" w:ascii="仿宋" w:hAnsi="仿宋" w:eastAsia="仿宋" w:cs="仿宋"/>
          <w:b w:val="0"/>
          <w:bCs w:val="0"/>
          <w:snapToGrid w:val="0"/>
          <w:color w:val="auto"/>
          <w:sz w:val="24"/>
          <w:szCs w:val="24"/>
          <w:highlight w:val="none"/>
          <w:lang w:val="en-US" w:eastAsia="zh-CN"/>
        </w:rPr>
        <w:t>即年度标项预算</w:t>
      </w:r>
      <w:r>
        <w:rPr>
          <w:rFonts w:hint="eastAsia" w:ascii="仿宋" w:hAnsi="仿宋" w:eastAsia="仿宋" w:cs="仿宋"/>
          <w:b w:val="0"/>
          <w:bCs w:val="0"/>
          <w:snapToGrid w:val="0"/>
          <w:color w:val="auto"/>
          <w:sz w:val="24"/>
          <w:szCs w:val="24"/>
          <w:highlight w:val="none"/>
          <w:lang w:eastAsia="zh-CN"/>
        </w:rPr>
        <w:t>）</w:t>
      </w:r>
      <w:r>
        <w:rPr>
          <w:rFonts w:hint="eastAsia" w:ascii="仿宋" w:hAnsi="仿宋" w:eastAsia="仿宋" w:cs="仿宋"/>
          <w:b w:val="0"/>
          <w:bCs w:val="0"/>
          <w:snapToGrid w:val="0"/>
          <w:color w:val="auto"/>
          <w:sz w:val="24"/>
          <w:szCs w:val="24"/>
          <w:highlight w:val="none"/>
        </w:rPr>
        <w:t>的</w:t>
      </w:r>
      <w:r>
        <w:rPr>
          <w:rFonts w:hint="eastAsia" w:ascii="仿宋" w:hAnsi="仿宋" w:eastAsia="仿宋" w:cs="仿宋"/>
          <w:b w:val="0"/>
          <w:bCs w:val="0"/>
          <w:snapToGrid w:val="0"/>
          <w:color w:val="auto"/>
          <w:sz w:val="24"/>
          <w:szCs w:val="24"/>
          <w:highlight w:val="none"/>
          <w:lang w:val="en-US" w:eastAsia="zh-CN"/>
        </w:rPr>
        <w:t>5</w:t>
      </w:r>
      <w:r>
        <w:rPr>
          <w:rFonts w:hint="eastAsia" w:ascii="仿宋" w:hAnsi="仿宋" w:eastAsia="仿宋" w:cs="仿宋"/>
          <w:b w:val="0"/>
          <w:bCs w:val="0"/>
          <w:snapToGrid w:val="0"/>
          <w:color w:val="auto"/>
          <w:sz w:val="24"/>
          <w:szCs w:val="24"/>
          <w:highlight w:val="none"/>
        </w:rPr>
        <w:t>0%；</w:t>
      </w:r>
      <w:r>
        <w:rPr>
          <w:rFonts w:hint="eastAsia" w:ascii="仿宋" w:hAnsi="仿宋" w:eastAsia="仿宋" w:cs="仿宋"/>
          <w:b w:val="0"/>
          <w:bCs w:val="0"/>
          <w:snapToGrid w:val="0"/>
          <w:color w:val="auto"/>
          <w:sz w:val="24"/>
          <w:szCs w:val="24"/>
          <w:highlight w:val="none"/>
          <w:lang w:val="en-US" w:eastAsia="zh-CN"/>
        </w:rPr>
        <w:t>（</w:t>
      </w:r>
      <w:r>
        <w:rPr>
          <w:rFonts w:hint="eastAsia" w:ascii="仿宋" w:hAnsi="仿宋" w:eastAsia="仿宋" w:cs="仿宋"/>
          <w:b w:val="0"/>
          <w:bCs w:val="0"/>
          <w:kern w:val="0"/>
          <w:sz w:val="24"/>
          <w:highlight w:val="none"/>
        </w:rPr>
        <w:t>支付了预付款的，预付款可抵扣相应金额合同款；签订合同时，中标人明确表示无需预付款的，采购人直接支付本次首款；签订合同时，中标人明确表示降低预付款比例的，预付款抵扣相应金额合同款</w:t>
      </w:r>
      <w:r>
        <w:rPr>
          <w:rFonts w:hint="eastAsia" w:ascii="仿宋" w:hAnsi="仿宋" w:eastAsia="仿宋" w:cs="仿宋"/>
          <w:b w:val="0"/>
          <w:bCs w:val="0"/>
          <w:snapToGrid w:val="0"/>
          <w:color w:val="auto"/>
          <w:sz w:val="24"/>
          <w:szCs w:val="24"/>
          <w:highlight w:val="none"/>
          <w:lang w:val="en-US" w:eastAsia="zh-CN"/>
        </w:rPr>
        <w:t>）</w:t>
      </w:r>
    </w:p>
    <w:p w14:paraId="51EE6C3A">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b w:val="0"/>
          <w:bCs w:val="0"/>
          <w:snapToGrid w:val="0"/>
          <w:color w:val="auto"/>
          <w:sz w:val="24"/>
          <w:szCs w:val="24"/>
          <w:highlight w:val="none"/>
          <w:lang w:val="en-US" w:eastAsia="zh-CN"/>
        </w:rPr>
      </w:pPr>
      <w:r>
        <w:rPr>
          <w:rFonts w:hint="eastAsia" w:ascii="仿宋" w:hAnsi="仿宋" w:eastAsia="仿宋" w:cs="仿宋"/>
          <w:b w:val="0"/>
          <w:bCs w:val="0"/>
          <w:snapToGrid w:val="0"/>
          <w:color w:val="auto"/>
          <w:sz w:val="24"/>
          <w:szCs w:val="24"/>
          <w:highlight w:val="none"/>
          <w:lang w:val="en-US" w:eastAsia="zh-CN"/>
        </w:rPr>
        <w:t>（2）根据实际发生的服务数量以及服务单价，每季度期满后的15日内一次性结算该季度服务费用。</w:t>
      </w:r>
    </w:p>
    <w:p w14:paraId="776C1CF1">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b w:val="0"/>
          <w:bCs w:val="0"/>
          <w:snapToGrid w:val="0"/>
          <w:color w:val="auto"/>
          <w:sz w:val="24"/>
          <w:szCs w:val="24"/>
          <w:highlight w:val="none"/>
          <w:lang w:val="en-US" w:eastAsia="zh-CN"/>
        </w:rPr>
      </w:pPr>
      <w:r>
        <w:rPr>
          <w:rFonts w:hint="eastAsia" w:ascii="仿宋" w:hAnsi="仿宋" w:eastAsia="仿宋" w:cs="仿宋"/>
          <w:b w:val="0"/>
          <w:bCs w:val="0"/>
          <w:snapToGrid w:val="0"/>
          <w:color w:val="auto"/>
          <w:sz w:val="24"/>
          <w:szCs w:val="24"/>
          <w:highlight w:val="none"/>
          <w:lang w:val="en-US" w:eastAsia="zh-CN"/>
        </w:rPr>
        <w:t>3、采购人每年支付的服务费用不超过标项预算。在服务期内，成交供应商应完成所有服务内容及数量，按实际数量计酬如超出标项预算的，采购人实际最多支付至标项预算金额。如未超过标项预算金额的，按实际进行结算后支付。</w:t>
      </w:r>
    </w:p>
    <w:p w14:paraId="46A7FCB8">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b w:val="0"/>
          <w:bCs w:val="0"/>
          <w:snapToGrid w:val="0"/>
          <w:color w:val="auto"/>
          <w:sz w:val="24"/>
          <w:szCs w:val="24"/>
          <w:highlight w:val="none"/>
          <w:lang w:val="en-US" w:eastAsia="zh-CN"/>
        </w:rPr>
      </w:pPr>
      <w:r>
        <w:rPr>
          <w:rFonts w:hint="eastAsia" w:ascii="仿宋" w:hAnsi="仿宋" w:eastAsia="仿宋" w:cs="仿宋"/>
          <w:b w:val="0"/>
          <w:bCs w:val="0"/>
          <w:snapToGrid w:val="0"/>
          <w:color w:val="auto"/>
          <w:sz w:val="24"/>
          <w:szCs w:val="24"/>
          <w:highlight w:val="none"/>
          <w:lang w:val="en-US" w:eastAsia="zh-CN"/>
        </w:rPr>
        <w:t>4、付款前，成交供应商须向采购人提供正规、等额、合法、有效的发票，以及服务台账清单。实际结算金额=应付金额-罚款金额。根据资金支付情况及财政支付制度，最终付款方式以双方确认，合同明确为准。</w:t>
      </w:r>
    </w:p>
    <w:p w14:paraId="441A929B">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outlineLvl w:val="9"/>
        <w:rPr>
          <w:rFonts w:hint="default" w:ascii="仿宋" w:hAnsi="仿宋" w:eastAsia="仿宋" w:cs="仿宋"/>
          <w:b w:val="0"/>
          <w:bCs w:val="0"/>
          <w:kern w:val="2"/>
          <w:sz w:val="24"/>
          <w:szCs w:val="21"/>
          <w:highlight w:val="none"/>
          <w:lang w:val="en-US" w:eastAsia="zh-CN" w:bidi="ar-SA"/>
        </w:rPr>
      </w:pPr>
      <w:r>
        <w:rPr>
          <w:rFonts w:hint="eastAsia" w:ascii="仿宋" w:hAnsi="仿宋" w:eastAsia="仿宋" w:cs="仿宋"/>
          <w:b w:val="0"/>
          <w:bCs w:val="0"/>
          <w:kern w:val="2"/>
          <w:sz w:val="24"/>
          <w:szCs w:val="21"/>
          <w:highlight w:val="none"/>
          <w:lang w:val="en-US" w:eastAsia="zh-CN" w:bidi="ar-SA"/>
        </w:rPr>
        <w:t>5、因成交供应商的过失导致区政府复议被纠错、行政诉讼败诉或出现其他严重情况的，相关案件委托费用不予结算。</w:t>
      </w:r>
    </w:p>
    <w:p w14:paraId="71F9060C">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（四）其他内容</w:t>
      </w:r>
    </w:p>
    <w:p w14:paraId="2A7F6CE0">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详见</w:t>
      </w:r>
      <w:r>
        <w:rPr>
          <w:rFonts w:hint="eastAsia" w:ascii="仿宋" w:hAnsi="仿宋" w:eastAsia="仿宋" w:cs="仿宋"/>
          <w:b w:val="0"/>
          <w:bCs w:val="0"/>
          <w:color w:val="auto"/>
          <w:sz w:val="24"/>
          <w:highlight w:val="none"/>
          <w:lang w:val="en-US" w:eastAsia="zh-CN"/>
        </w:rPr>
        <w:t>采购</w:t>
      </w:r>
      <w:r>
        <w:rPr>
          <w:rFonts w:hint="eastAsia" w:ascii="仿宋" w:hAnsi="仿宋" w:eastAsia="仿宋" w:cs="仿宋"/>
          <w:b w:val="0"/>
          <w:bCs w:val="0"/>
          <w:color w:val="auto"/>
          <w:sz w:val="24"/>
          <w:highlight w:val="none"/>
        </w:rPr>
        <w:t>文件的“</w:t>
      </w:r>
      <w:r>
        <w:rPr>
          <w:rFonts w:hint="eastAsia" w:ascii="仿宋" w:hAnsi="仿宋" w:eastAsia="仿宋" w:cs="仿宋"/>
          <w:b w:val="0"/>
          <w:bCs w:val="0"/>
          <w:color w:val="auto"/>
          <w:sz w:val="24"/>
          <w:highlight w:val="none"/>
          <w:lang w:eastAsia="zh-CN"/>
        </w:rPr>
        <w:t>第六部分 拟签订的合同文本</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eastAsia="zh-CN"/>
        </w:rPr>
        <w:t>供应商</w:t>
      </w:r>
      <w:r>
        <w:rPr>
          <w:rFonts w:hint="eastAsia" w:ascii="仿宋" w:hAnsi="仿宋" w:eastAsia="仿宋" w:cs="仿宋"/>
          <w:b w:val="0"/>
          <w:bCs w:val="0"/>
          <w:color w:val="auto"/>
          <w:sz w:val="24"/>
          <w:highlight w:val="none"/>
        </w:rPr>
        <w:t>应对合同内容进行审核，如有偏离，请在</w:t>
      </w:r>
      <w:r>
        <w:rPr>
          <w:rFonts w:hint="eastAsia" w:ascii="仿宋" w:hAnsi="仿宋" w:eastAsia="仿宋" w:cs="仿宋"/>
          <w:b w:val="0"/>
          <w:bCs w:val="0"/>
          <w:color w:val="auto"/>
          <w:sz w:val="24"/>
          <w:highlight w:val="none"/>
          <w:lang w:val="en-US" w:eastAsia="zh-CN"/>
        </w:rPr>
        <w:t>响应</w:t>
      </w:r>
      <w:r>
        <w:rPr>
          <w:rFonts w:hint="eastAsia" w:ascii="仿宋" w:hAnsi="仿宋" w:eastAsia="仿宋" w:cs="仿宋"/>
          <w:b w:val="0"/>
          <w:bCs w:val="0"/>
          <w:color w:val="auto"/>
          <w:sz w:val="24"/>
          <w:highlight w:val="none"/>
        </w:rPr>
        <w:t>文件的“偏离表”中反映。</w:t>
      </w:r>
    </w:p>
    <w:p w14:paraId="39176964">
      <w:pPr>
        <w:pStyle w:val="3"/>
        <w:keepNext/>
        <w:keepLines/>
        <w:pageBreakBefore w:val="0"/>
        <w:widowControl w:val="0"/>
        <w:numPr>
          <w:ilvl w:val="0"/>
          <w:numId w:val="0"/>
        </w:numPr>
        <w:kinsoku/>
        <w:wordWrap/>
        <w:overflowPunct/>
        <w:topLinePunct w:val="0"/>
        <w:autoSpaceDE/>
        <w:autoSpaceDN/>
        <w:bidi w:val="0"/>
        <w:adjustRightInd w:val="0"/>
        <w:snapToGrid w:val="0"/>
        <w:spacing w:before="157" w:beforeLines="50" w:after="157" w:afterLines="50" w:line="360" w:lineRule="auto"/>
        <w:ind w:left="0" w:leftChars="0"/>
        <w:textAlignment w:val="auto"/>
        <w:rPr>
          <w:rFonts w:hint="eastAsia" w:ascii="仿宋" w:eastAsia="仿宋" w:cs="仿宋"/>
          <w:color w:val="auto"/>
          <w:sz w:val="24"/>
          <w:szCs w:val="24"/>
          <w:highlight w:val="none"/>
          <w:shd w:val="clear" w:color="auto" w:fill="auto"/>
          <w:lang w:val="en-US" w:eastAsia="zh-CN"/>
        </w:rPr>
      </w:pPr>
      <w:bookmarkStart w:id="64" w:name="_Toc1552"/>
      <w:bookmarkStart w:id="65" w:name="_Toc18964"/>
      <w:r>
        <w:rPr>
          <w:rFonts w:hint="eastAsia" w:ascii="仿宋" w:eastAsia="仿宋" w:cs="仿宋"/>
          <w:color w:val="auto"/>
          <w:sz w:val="24"/>
          <w:szCs w:val="24"/>
          <w:highlight w:val="none"/>
          <w:shd w:val="clear" w:color="auto" w:fill="auto"/>
          <w:lang w:val="en-US" w:eastAsia="zh-CN"/>
        </w:rPr>
        <w:t>七、磋商响应要求</w:t>
      </w:r>
      <w:bookmarkEnd w:id="63"/>
      <w:bookmarkEnd w:id="64"/>
      <w:bookmarkEnd w:id="65"/>
    </w:p>
    <w:p w14:paraId="27DEDBBE">
      <w:pPr>
        <w:pStyle w:val="22"/>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textAlignment w:val="auto"/>
        <w:outlineLvl w:val="2"/>
        <w:rPr>
          <w:rFonts w:hint="eastAsia" w:ascii="仿宋" w:hAnsi="仿宋" w:eastAsia="仿宋" w:cs="仿宋"/>
          <w:b/>
          <w:bCs/>
          <w:color w:val="auto"/>
          <w:sz w:val="24"/>
          <w:highlight w:val="none"/>
          <w:shd w:val="clear" w:color="auto" w:fill="auto"/>
        </w:rPr>
      </w:pPr>
      <w:bookmarkStart w:id="66" w:name="_Toc21693"/>
      <w:r>
        <w:rPr>
          <w:rFonts w:hint="eastAsia" w:ascii="仿宋" w:hAnsi="仿宋" w:eastAsia="仿宋" w:cs="仿宋"/>
          <w:b/>
          <w:bCs/>
          <w:color w:val="auto"/>
          <w:sz w:val="24"/>
          <w:highlight w:val="none"/>
          <w:shd w:val="clear" w:color="auto" w:fill="auto"/>
          <w:lang w:eastAsia="zh-CN"/>
        </w:rPr>
        <w:t>（</w:t>
      </w:r>
      <w:r>
        <w:rPr>
          <w:rFonts w:hint="eastAsia" w:ascii="仿宋" w:hAnsi="仿宋" w:eastAsia="仿宋" w:cs="仿宋"/>
          <w:b/>
          <w:bCs/>
          <w:color w:val="auto"/>
          <w:sz w:val="24"/>
          <w:highlight w:val="none"/>
          <w:shd w:val="clear" w:color="auto" w:fill="auto"/>
          <w:lang w:val="en-US" w:eastAsia="zh-CN"/>
        </w:rPr>
        <w:t>一</w:t>
      </w:r>
      <w:r>
        <w:rPr>
          <w:rFonts w:hint="eastAsia" w:ascii="仿宋" w:hAnsi="仿宋" w:eastAsia="仿宋" w:cs="仿宋"/>
          <w:b/>
          <w:bCs/>
          <w:color w:val="auto"/>
          <w:sz w:val="24"/>
          <w:highlight w:val="none"/>
          <w:shd w:val="clear" w:color="auto" w:fill="auto"/>
          <w:lang w:eastAsia="zh-CN"/>
        </w:rPr>
        <w:t>）</w:t>
      </w:r>
      <w:r>
        <w:rPr>
          <w:rFonts w:hint="eastAsia" w:ascii="仿宋" w:hAnsi="仿宋" w:eastAsia="仿宋" w:cs="仿宋"/>
          <w:b/>
          <w:bCs/>
          <w:color w:val="auto"/>
          <w:sz w:val="24"/>
          <w:highlight w:val="none"/>
          <w:shd w:val="clear" w:color="auto" w:fill="auto"/>
          <w:lang w:val="en-US" w:eastAsia="zh-CN"/>
        </w:rPr>
        <w:t>供应商</w:t>
      </w:r>
      <w:r>
        <w:rPr>
          <w:rFonts w:hint="eastAsia" w:ascii="仿宋" w:hAnsi="仿宋" w:eastAsia="仿宋" w:cs="仿宋"/>
          <w:b/>
          <w:bCs/>
          <w:color w:val="auto"/>
          <w:sz w:val="24"/>
          <w:highlight w:val="none"/>
          <w:shd w:val="clear" w:color="auto" w:fill="auto"/>
        </w:rPr>
        <w:t>要求</w:t>
      </w:r>
      <w:bookmarkEnd w:id="66"/>
    </w:p>
    <w:p w14:paraId="171A9C64">
      <w:pPr>
        <w:pStyle w:val="22"/>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仿宋" w:hAnsi="仿宋" w:eastAsia="仿宋" w:cs="仿宋"/>
          <w:bCs/>
          <w:color w:val="auto"/>
          <w:sz w:val="24"/>
          <w:highlight w:val="none"/>
          <w:shd w:val="clear" w:color="auto" w:fill="auto"/>
        </w:rPr>
      </w:pPr>
      <w:r>
        <w:rPr>
          <w:rFonts w:hint="eastAsia" w:ascii="仿宋" w:hAnsi="仿宋" w:eastAsia="仿宋" w:cs="仿宋"/>
          <w:bCs/>
          <w:color w:val="auto"/>
          <w:sz w:val="24"/>
          <w:highlight w:val="none"/>
          <w:shd w:val="clear" w:color="auto" w:fill="auto"/>
          <w:lang w:val="en-US" w:eastAsia="zh-CN"/>
        </w:rPr>
        <w:t>1、供应商</w:t>
      </w:r>
      <w:r>
        <w:rPr>
          <w:rFonts w:hint="eastAsia" w:ascii="仿宋" w:hAnsi="仿宋" w:eastAsia="仿宋" w:cs="仿宋"/>
          <w:bCs/>
          <w:color w:val="auto"/>
          <w:sz w:val="24"/>
          <w:highlight w:val="none"/>
        </w:rPr>
        <w:t>202</w:t>
      </w: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rPr>
        <w:t>年</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月1日以来承担过各级党委、</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rPr>
        <w:t>政府机关、</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rPr>
        <w:t>事业单位</w:t>
      </w:r>
      <w:r>
        <w:rPr>
          <w:rFonts w:hint="eastAsia" w:ascii="仿宋" w:hAnsi="仿宋" w:eastAsia="仿宋" w:cs="仿宋"/>
          <w:bCs/>
          <w:color w:val="auto"/>
          <w:sz w:val="24"/>
          <w:highlight w:val="none"/>
          <w:lang w:eastAsia="zh-CN"/>
        </w:rPr>
        <w:t>或各级复议机关</w:t>
      </w:r>
      <w:r>
        <w:rPr>
          <w:rFonts w:hint="eastAsia" w:ascii="仿宋" w:hAnsi="仿宋" w:eastAsia="仿宋" w:cs="仿宋"/>
          <w:bCs/>
          <w:color w:val="auto"/>
          <w:sz w:val="24"/>
          <w:highlight w:val="none"/>
        </w:rPr>
        <w:t>的</w:t>
      </w:r>
      <w:r>
        <w:rPr>
          <w:rFonts w:hint="eastAsia" w:ascii="仿宋" w:hAnsi="仿宋" w:eastAsia="仿宋" w:cs="仿宋"/>
          <w:bCs/>
          <w:color w:val="auto"/>
          <w:sz w:val="24"/>
          <w:highlight w:val="none"/>
          <w:lang w:val="en-US" w:eastAsia="zh-CN"/>
        </w:rPr>
        <w:t>年度</w:t>
      </w:r>
      <w:r>
        <w:rPr>
          <w:rFonts w:hint="eastAsia" w:ascii="仿宋" w:hAnsi="仿宋" w:eastAsia="仿宋" w:cs="仿宋"/>
          <w:bCs/>
          <w:color w:val="auto"/>
          <w:sz w:val="24"/>
          <w:highlight w:val="none"/>
        </w:rPr>
        <w:t>法律顾问项目</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shd w:val="clear" w:color="auto" w:fill="auto"/>
        </w:rPr>
        <w:t>建议有</w:t>
      </w:r>
      <w:r>
        <w:rPr>
          <w:rFonts w:hint="eastAsia" w:ascii="仿宋" w:hAnsi="仿宋" w:eastAsia="仿宋" w:cs="仿宋"/>
          <w:bCs/>
          <w:color w:val="auto"/>
          <w:sz w:val="24"/>
          <w:highlight w:val="none"/>
          <w:lang w:val="en-US" w:eastAsia="zh-CN"/>
        </w:rPr>
        <w:t>行政复议、行政诉讼、国家赔偿、拆迁安置、违章建筑拆除、政府信息公开、工程建设</w:t>
      </w:r>
      <w:r>
        <w:rPr>
          <w:rFonts w:hint="eastAsia" w:ascii="仿宋" w:hAnsi="仿宋" w:eastAsia="仿宋" w:cs="仿宋"/>
          <w:bCs/>
          <w:color w:val="auto"/>
          <w:sz w:val="24"/>
          <w:szCs w:val="22"/>
          <w:highlight w:val="none"/>
          <w:lang w:val="en-US" w:eastAsia="zh-CN"/>
        </w:rPr>
        <w:t>等各方面（类型）的经验和专业能力</w:t>
      </w:r>
      <w:r>
        <w:rPr>
          <w:rFonts w:hint="eastAsia" w:ascii="仿宋" w:hAnsi="仿宋" w:eastAsia="仿宋" w:cs="仿宋"/>
          <w:bCs/>
          <w:color w:val="auto"/>
          <w:sz w:val="24"/>
          <w:highlight w:val="none"/>
          <w:shd w:val="clear" w:color="auto" w:fill="auto"/>
        </w:rPr>
        <w:t>，能提供快速的服务响应，具有较强的项目管理、技术服务和组织实施能力。</w:t>
      </w:r>
    </w:p>
    <w:p w14:paraId="4DC32958">
      <w:pPr>
        <w:pStyle w:val="22"/>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仿宋" w:hAnsi="仿宋" w:eastAsia="仿宋" w:cs="仿宋"/>
          <w:bCs/>
          <w:color w:val="auto"/>
          <w:sz w:val="24"/>
          <w:highlight w:val="none"/>
          <w:shd w:val="clear" w:color="auto" w:fill="auto"/>
        </w:rPr>
      </w:pPr>
      <w:r>
        <w:rPr>
          <w:rFonts w:hint="eastAsia" w:ascii="仿宋" w:hAnsi="仿宋" w:eastAsia="仿宋" w:cs="仿宋"/>
          <w:bCs/>
          <w:color w:val="auto"/>
          <w:sz w:val="24"/>
          <w:highlight w:val="none"/>
          <w:shd w:val="clear" w:color="auto" w:fill="auto"/>
          <w:lang w:val="en-US" w:eastAsia="zh-CN"/>
        </w:rPr>
        <w:t>2、成交供应商在</w:t>
      </w:r>
      <w:r>
        <w:rPr>
          <w:rFonts w:hint="eastAsia" w:ascii="仿宋" w:hAnsi="仿宋" w:eastAsia="仿宋" w:cs="仿宋"/>
          <w:bCs/>
          <w:color w:val="auto"/>
          <w:sz w:val="24"/>
          <w:highlight w:val="none"/>
          <w:shd w:val="clear" w:color="auto" w:fill="auto"/>
        </w:rPr>
        <w:t>项目参与过程中必须保证不将</w:t>
      </w:r>
      <w:r>
        <w:rPr>
          <w:rFonts w:hint="eastAsia" w:ascii="仿宋" w:hAnsi="仿宋" w:eastAsia="仿宋" w:cs="仿宋"/>
          <w:bCs/>
          <w:color w:val="auto"/>
          <w:sz w:val="24"/>
          <w:highlight w:val="none"/>
          <w:shd w:val="clear" w:color="auto" w:fill="auto"/>
          <w:lang w:val="en-US" w:eastAsia="zh-CN"/>
        </w:rPr>
        <w:t>采购人</w:t>
      </w:r>
      <w:r>
        <w:rPr>
          <w:rFonts w:hint="eastAsia" w:ascii="仿宋" w:hAnsi="仿宋" w:eastAsia="仿宋" w:cs="仿宋"/>
          <w:bCs/>
          <w:color w:val="auto"/>
          <w:sz w:val="24"/>
          <w:highlight w:val="none"/>
          <w:shd w:val="clear" w:color="auto" w:fill="auto"/>
        </w:rPr>
        <w:t>各种数据资料及各类信息等向第三方透露</w:t>
      </w:r>
      <w:r>
        <w:rPr>
          <w:rFonts w:hint="eastAsia" w:ascii="仿宋" w:hAnsi="仿宋" w:eastAsia="仿宋" w:cs="仿宋"/>
          <w:bCs/>
          <w:color w:val="auto"/>
          <w:sz w:val="24"/>
          <w:highlight w:val="none"/>
          <w:shd w:val="clear" w:color="auto" w:fill="auto"/>
          <w:lang w:eastAsia="zh-CN"/>
        </w:rPr>
        <w:t>，</w:t>
      </w:r>
      <w:r>
        <w:rPr>
          <w:rFonts w:hint="eastAsia" w:ascii="仿宋" w:hAnsi="仿宋" w:eastAsia="仿宋" w:cs="仿宋"/>
          <w:bCs/>
          <w:color w:val="auto"/>
          <w:sz w:val="24"/>
          <w:highlight w:val="none"/>
          <w:shd w:val="clear" w:color="auto" w:fill="auto"/>
        </w:rPr>
        <w:t>在服务过程中严格执行保密相关要求。</w:t>
      </w:r>
      <w:r>
        <w:rPr>
          <w:rFonts w:hint="eastAsia" w:ascii="仿宋" w:hAnsi="仿宋" w:eastAsia="仿宋" w:cs="仿宋"/>
          <w:bCs/>
          <w:color w:val="auto"/>
          <w:sz w:val="24"/>
          <w:highlight w:val="none"/>
          <w:shd w:val="clear" w:color="auto" w:fill="auto"/>
          <w:lang w:val="en-US" w:eastAsia="zh-CN"/>
        </w:rPr>
        <w:t>响应文件中应提供</w:t>
      </w:r>
      <w:r>
        <w:rPr>
          <w:rFonts w:hint="eastAsia" w:ascii="仿宋" w:hAnsi="仿宋" w:eastAsia="仿宋" w:cs="宋体"/>
          <w:color w:val="auto"/>
          <w:sz w:val="24"/>
          <w:highlight w:val="none"/>
          <w:lang w:val="en-US" w:eastAsia="zh-CN"/>
        </w:rPr>
        <w:t>对采购人的涉密信息、资料保密方面切实可行的保密措施和方案，并承诺</w:t>
      </w:r>
      <w:r>
        <w:rPr>
          <w:rFonts w:hint="eastAsia" w:ascii="仿宋" w:hAnsi="仿宋" w:eastAsia="仿宋" w:cs="仿宋"/>
          <w:bCs/>
          <w:color w:val="auto"/>
          <w:sz w:val="24"/>
          <w:highlight w:val="none"/>
          <w:shd w:val="clear" w:color="auto" w:fill="auto"/>
        </w:rPr>
        <w:t>如</w:t>
      </w:r>
      <w:r>
        <w:rPr>
          <w:rFonts w:hint="eastAsia" w:ascii="仿宋" w:hAnsi="仿宋" w:eastAsia="仿宋" w:cs="仿宋"/>
          <w:bCs/>
          <w:color w:val="auto"/>
          <w:sz w:val="24"/>
          <w:highlight w:val="none"/>
          <w:shd w:val="clear" w:color="auto" w:fill="auto"/>
          <w:lang w:val="en-US" w:eastAsia="zh-CN"/>
        </w:rPr>
        <w:t>成交</w:t>
      </w:r>
      <w:r>
        <w:rPr>
          <w:rFonts w:hint="eastAsia" w:ascii="仿宋" w:hAnsi="仿宋" w:eastAsia="仿宋" w:cs="仿宋"/>
          <w:bCs/>
          <w:color w:val="auto"/>
          <w:sz w:val="24"/>
          <w:highlight w:val="none"/>
          <w:shd w:val="clear" w:color="auto" w:fill="auto"/>
        </w:rPr>
        <w:t>，</w:t>
      </w:r>
      <w:r>
        <w:rPr>
          <w:rFonts w:hint="eastAsia" w:ascii="仿宋" w:hAnsi="仿宋" w:eastAsia="仿宋" w:cs="仿宋"/>
          <w:bCs/>
          <w:color w:val="auto"/>
          <w:sz w:val="24"/>
          <w:highlight w:val="none"/>
          <w:shd w:val="clear" w:color="auto" w:fill="auto"/>
          <w:lang w:val="en-US" w:eastAsia="zh-CN"/>
        </w:rPr>
        <w:t>成交供应商</w:t>
      </w:r>
      <w:r>
        <w:rPr>
          <w:rFonts w:hint="eastAsia" w:ascii="仿宋" w:hAnsi="仿宋" w:eastAsia="仿宋" w:cs="仿宋"/>
          <w:bCs/>
          <w:color w:val="auto"/>
          <w:sz w:val="24"/>
          <w:highlight w:val="none"/>
          <w:shd w:val="clear" w:color="auto" w:fill="auto"/>
        </w:rPr>
        <w:t>还必须随合同一同签署保密协议。</w:t>
      </w:r>
    </w:p>
    <w:p w14:paraId="07090804">
      <w:pPr>
        <w:pStyle w:val="22"/>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仿宋" w:hAnsi="仿宋" w:eastAsia="仿宋" w:cs="仿宋"/>
          <w:bCs/>
          <w:color w:val="auto"/>
          <w:sz w:val="24"/>
          <w:szCs w:val="22"/>
          <w:highlight w:val="none"/>
          <w:shd w:val="clear" w:color="auto" w:fill="auto"/>
          <w:lang w:val="en-US" w:eastAsia="zh-CN"/>
        </w:rPr>
      </w:pPr>
      <w:r>
        <w:rPr>
          <w:rFonts w:hint="eastAsia" w:ascii="仿宋" w:hAnsi="仿宋" w:eastAsia="仿宋" w:cs="仿宋"/>
          <w:bCs/>
          <w:color w:val="auto"/>
          <w:sz w:val="24"/>
          <w:szCs w:val="22"/>
          <w:highlight w:val="none"/>
          <w:shd w:val="clear" w:color="auto" w:fill="auto"/>
          <w:lang w:val="en-US" w:eastAsia="zh-CN"/>
        </w:rPr>
        <w:t>3、供应商应根据自身经验、优势，对行政机关等本项目相关服务对象的日常工作内容</w:t>
      </w:r>
      <w:r>
        <w:rPr>
          <w:rFonts w:hint="eastAsia" w:ascii="仿宋" w:hAnsi="仿宋" w:eastAsia="仿宋" w:cs="仿宋"/>
          <w:bCs/>
          <w:color w:val="auto"/>
          <w:sz w:val="24"/>
          <w:szCs w:val="22"/>
          <w:highlight w:val="none"/>
          <w:shd w:val="clear" w:color="auto" w:fill="auto"/>
        </w:rPr>
        <w:t>、</w:t>
      </w:r>
      <w:r>
        <w:rPr>
          <w:rFonts w:hint="eastAsia" w:ascii="仿宋" w:hAnsi="仿宋" w:eastAsia="仿宋" w:cs="仿宋"/>
          <w:bCs/>
          <w:color w:val="auto"/>
          <w:sz w:val="24"/>
          <w:szCs w:val="22"/>
          <w:highlight w:val="none"/>
          <w:shd w:val="clear" w:color="auto" w:fill="auto"/>
          <w:lang w:val="en-US" w:eastAsia="zh-CN"/>
        </w:rPr>
        <w:t>可能涉及的法律服务</w:t>
      </w:r>
      <w:r>
        <w:rPr>
          <w:rFonts w:hint="eastAsia" w:ascii="仿宋" w:hAnsi="仿宋" w:eastAsia="仿宋" w:cs="仿宋"/>
          <w:bCs/>
          <w:color w:val="auto"/>
          <w:sz w:val="24"/>
          <w:szCs w:val="22"/>
          <w:highlight w:val="none"/>
          <w:shd w:val="clear" w:color="auto" w:fill="auto"/>
        </w:rPr>
        <w:t>现状及存在问题的</w:t>
      </w:r>
      <w:r>
        <w:rPr>
          <w:rFonts w:hint="eastAsia" w:ascii="仿宋" w:hAnsi="仿宋" w:eastAsia="仿宋" w:cs="仿宋"/>
          <w:bCs/>
          <w:color w:val="auto"/>
          <w:sz w:val="24"/>
          <w:szCs w:val="22"/>
          <w:highlight w:val="none"/>
          <w:shd w:val="clear" w:color="auto" w:fill="auto"/>
          <w:lang w:val="en-US" w:eastAsia="zh-CN"/>
        </w:rPr>
        <w:t>有相当的</w:t>
      </w:r>
      <w:r>
        <w:rPr>
          <w:rFonts w:hint="eastAsia" w:ascii="仿宋" w:hAnsi="仿宋" w:eastAsia="仿宋" w:cs="仿宋"/>
          <w:bCs/>
          <w:color w:val="auto"/>
          <w:sz w:val="24"/>
          <w:szCs w:val="22"/>
          <w:highlight w:val="none"/>
          <w:shd w:val="clear" w:color="auto" w:fill="auto"/>
        </w:rPr>
        <w:t>理解</w:t>
      </w:r>
      <w:r>
        <w:rPr>
          <w:rFonts w:hint="eastAsia" w:ascii="仿宋" w:hAnsi="仿宋" w:eastAsia="仿宋" w:cs="仿宋"/>
          <w:bCs/>
          <w:color w:val="auto"/>
          <w:sz w:val="24"/>
          <w:szCs w:val="22"/>
          <w:highlight w:val="none"/>
          <w:shd w:val="clear" w:color="auto" w:fill="auto"/>
          <w:lang w:val="en-US" w:eastAsia="zh-CN"/>
        </w:rPr>
        <w:t>与成熟应对措施。</w:t>
      </w:r>
    </w:p>
    <w:p w14:paraId="32BF3E93">
      <w:pPr>
        <w:pStyle w:val="23"/>
        <w:rPr>
          <w:rFonts w:hint="default"/>
          <w:highlight w:val="none"/>
          <w:lang w:val="en-US" w:eastAsia="zh-CN"/>
        </w:rPr>
      </w:pPr>
      <w:r>
        <w:rPr>
          <w:rFonts w:hint="eastAsia" w:ascii="宋体" w:hAnsi="宋体" w:eastAsia="宋体" w:cs="宋体"/>
          <w:bCs/>
          <w:color w:val="auto"/>
          <w:sz w:val="24"/>
          <w:szCs w:val="22"/>
          <w:highlight w:val="none"/>
          <w:shd w:val="clear" w:color="auto" w:fill="auto"/>
          <w:lang w:val="en-US" w:eastAsia="zh-CN"/>
        </w:rPr>
        <w:t>▲</w:t>
      </w:r>
      <w:r>
        <w:rPr>
          <w:rFonts w:hint="eastAsia" w:ascii="仿宋" w:hAnsi="仿宋" w:eastAsia="仿宋" w:cs="仿宋"/>
          <w:bCs/>
          <w:color w:val="auto"/>
          <w:sz w:val="24"/>
          <w:szCs w:val="22"/>
          <w:highlight w:val="none"/>
          <w:shd w:val="clear" w:color="auto" w:fill="auto"/>
          <w:lang w:val="en-US" w:eastAsia="zh-CN"/>
        </w:rPr>
        <w:t>4、至磋商响应截止日当天，供应商如仍有代理原告并以采购人为被告的案件或类似情形的，鉴于存在利益冲突，应回避</w:t>
      </w:r>
      <w:r>
        <w:rPr>
          <w:rFonts w:hint="eastAsia" w:ascii="仿宋" w:hAnsi="仿宋" w:eastAsia="仿宋" w:cs="仿宋"/>
          <w:color w:val="auto"/>
          <w:sz w:val="24"/>
          <w:highlight w:val="none"/>
          <w:lang w:val="en-US" w:eastAsia="zh-CN"/>
        </w:rPr>
        <w:t>，不得参与本项目磋商响应。磋商响应文件中提供承诺，明确“</w:t>
      </w:r>
      <w:r>
        <w:rPr>
          <w:rFonts w:hint="eastAsia" w:ascii="仿宋" w:hAnsi="仿宋" w:eastAsia="仿宋" w:cs="仿宋"/>
          <w:bCs/>
          <w:color w:val="auto"/>
          <w:sz w:val="24"/>
          <w:szCs w:val="22"/>
          <w:highlight w:val="none"/>
          <w:shd w:val="clear" w:color="auto" w:fill="auto"/>
          <w:lang w:val="en-US" w:eastAsia="zh-CN"/>
        </w:rPr>
        <w:t>至磋商响应截止日当天，供应商没有代理原告并以采购人为被告的案件或类似情形的</w:t>
      </w:r>
      <w:r>
        <w:rPr>
          <w:rFonts w:hint="eastAsia" w:ascii="仿宋" w:hAnsi="仿宋" w:eastAsia="仿宋" w:cs="仿宋"/>
          <w:color w:val="auto"/>
          <w:sz w:val="24"/>
          <w:highlight w:val="none"/>
          <w:lang w:val="en-US" w:eastAsia="zh-CN"/>
        </w:rPr>
        <w:t>”。</w:t>
      </w:r>
    </w:p>
    <w:p w14:paraId="59B7FFD5">
      <w:pPr>
        <w:pStyle w:val="22"/>
        <w:pageBreakBefore w:val="0"/>
        <w:widowControl w:val="0"/>
        <w:kinsoku/>
        <w:wordWrap/>
        <w:overflowPunct/>
        <w:topLinePunct w:val="0"/>
        <w:bidi w:val="0"/>
        <w:adjustRightInd w:val="0"/>
        <w:snapToGrid w:val="0"/>
        <w:spacing w:line="360" w:lineRule="auto"/>
        <w:ind w:left="0" w:firstLine="482" w:firstLineChars="200"/>
        <w:textAlignment w:val="auto"/>
        <w:outlineLvl w:val="2"/>
        <w:rPr>
          <w:rFonts w:hint="eastAsia" w:ascii="仿宋" w:hAnsi="仿宋" w:eastAsia="仿宋" w:cs="仿宋"/>
          <w:b/>
          <w:bCs/>
          <w:color w:val="auto"/>
          <w:sz w:val="24"/>
          <w:highlight w:val="none"/>
          <w:shd w:val="clear" w:color="auto" w:fill="auto"/>
          <w:lang w:val="en-US" w:eastAsia="zh-CN"/>
        </w:rPr>
      </w:pPr>
      <w:bookmarkStart w:id="67" w:name="_Toc465"/>
      <w:r>
        <w:rPr>
          <w:rFonts w:hint="eastAsia" w:ascii="仿宋" w:hAnsi="仿宋" w:eastAsia="仿宋" w:cs="仿宋"/>
          <w:b/>
          <w:bCs/>
          <w:color w:val="auto"/>
          <w:sz w:val="24"/>
          <w:highlight w:val="none"/>
          <w:shd w:val="clear" w:color="auto" w:fill="auto"/>
          <w:lang w:val="en-US" w:eastAsia="zh-CN"/>
        </w:rPr>
        <w:t>（二）项目团队要求</w:t>
      </w:r>
      <w:bookmarkEnd w:id="67"/>
    </w:p>
    <w:p w14:paraId="740642E3">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bCs/>
          <w:color w:val="auto"/>
          <w:sz w:val="24"/>
          <w:highlight w:val="none"/>
          <w:lang w:val="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供应商需</w:t>
      </w:r>
      <w:r>
        <w:rPr>
          <w:rFonts w:hint="eastAsia" w:ascii="仿宋" w:hAnsi="仿宋" w:eastAsia="仿宋" w:cs="仿宋"/>
          <w:color w:val="auto"/>
          <w:sz w:val="24"/>
          <w:highlight w:val="none"/>
        </w:rPr>
        <w:t>为本项目配备</w:t>
      </w:r>
      <w:r>
        <w:rPr>
          <w:rFonts w:hint="eastAsia" w:ascii="仿宋" w:hAnsi="仿宋" w:eastAsia="仿宋" w:cs="仿宋"/>
          <w:color w:val="auto"/>
          <w:sz w:val="24"/>
          <w:highlight w:val="none"/>
          <w:lang w:val="en-US" w:eastAsia="zh-CN"/>
        </w:rPr>
        <w:t>法律顾问</w:t>
      </w:r>
      <w:r>
        <w:rPr>
          <w:rFonts w:hint="eastAsia" w:ascii="仿宋" w:hAnsi="仿宋" w:eastAsia="仿宋" w:cs="仿宋"/>
          <w:color w:val="auto"/>
          <w:sz w:val="24"/>
          <w:highlight w:val="none"/>
        </w:rPr>
        <w:t>团队</w:t>
      </w:r>
      <w:r>
        <w:rPr>
          <w:rFonts w:hint="eastAsia" w:ascii="仿宋" w:hAnsi="仿宋" w:eastAsia="仿宋" w:cs="仿宋"/>
          <w:color w:val="auto"/>
          <w:sz w:val="24"/>
          <w:highlight w:val="none"/>
          <w:lang w:eastAsia="zh-CN"/>
        </w:rPr>
        <w:t>，</w:t>
      </w:r>
      <w:r>
        <w:rPr>
          <w:rFonts w:hint="eastAsia" w:ascii="仿宋" w:hAnsi="仿宋" w:eastAsia="仿宋" w:cs="仿宋"/>
          <w:bCs/>
          <w:color w:val="auto"/>
          <w:sz w:val="24"/>
          <w:highlight w:val="none"/>
        </w:rPr>
        <w:t>投入本项目人员</w:t>
      </w:r>
      <w:r>
        <w:rPr>
          <w:rFonts w:hint="eastAsia" w:ascii="仿宋" w:hAnsi="仿宋" w:eastAsia="仿宋" w:cs="仿宋"/>
          <w:bCs/>
          <w:color w:val="auto"/>
          <w:sz w:val="24"/>
          <w:highlight w:val="none"/>
          <w:lang w:val="zh-CN"/>
        </w:rPr>
        <w:t>须提供社保机构出具</w:t>
      </w:r>
      <w:r>
        <w:rPr>
          <w:rFonts w:hint="eastAsia" w:ascii="仿宋" w:hAnsi="仿宋" w:eastAsia="仿宋" w:cs="仿宋"/>
          <w:bCs/>
          <w:color w:val="auto"/>
          <w:sz w:val="24"/>
          <w:highlight w:val="none"/>
          <w:lang w:val="en-US" w:eastAsia="zh-CN"/>
        </w:rPr>
        <w:t>供应商</w:t>
      </w:r>
      <w:r>
        <w:rPr>
          <w:rFonts w:hint="eastAsia" w:ascii="仿宋" w:hAnsi="仿宋" w:eastAsia="仿宋" w:cs="仿宋"/>
          <w:bCs/>
          <w:color w:val="auto"/>
          <w:sz w:val="24"/>
          <w:highlight w:val="none"/>
          <w:lang w:val="zh-CN"/>
        </w:rPr>
        <w:t>为其缴纳的</w:t>
      </w:r>
      <w:r>
        <w:rPr>
          <w:rFonts w:hint="eastAsia" w:ascii="仿宋" w:hAnsi="仿宋" w:eastAsia="仿宋" w:cs="仿宋"/>
          <w:bCs/>
          <w:color w:val="auto"/>
          <w:sz w:val="24"/>
          <w:highlight w:val="none"/>
          <w:lang w:val="en-US" w:eastAsia="zh-CN"/>
        </w:rPr>
        <w:t>至磋商响应截止时间3个月内任意时间出具的</w:t>
      </w:r>
      <w:r>
        <w:rPr>
          <w:rFonts w:hint="eastAsia" w:ascii="仿宋" w:hAnsi="仿宋" w:eastAsia="仿宋" w:cs="仿宋"/>
          <w:bCs/>
          <w:color w:val="auto"/>
          <w:sz w:val="24"/>
          <w:highlight w:val="none"/>
          <w:lang w:val="zh-CN"/>
        </w:rPr>
        <w:t>社保证明，</w:t>
      </w:r>
      <w:r>
        <w:rPr>
          <w:rFonts w:hint="eastAsia" w:ascii="仿宋" w:hAnsi="仿宋" w:eastAsia="仿宋" w:cs="仿宋"/>
          <w:b/>
          <w:bCs w:val="0"/>
          <w:color w:val="auto"/>
          <w:sz w:val="24"/>
          <w:highlight w:val="none"/>
          <w:lang w:val="zh-CN"/>
        </w:rPr>
        <w:t>否则</w:t>
      </w:r>
      <w:r>
        <w:rPr>
          <w:rFonts w:hint="eastAsia" w:ascii="仿宋" w:hAnsi="仿宋" w:eastAsia="仿宋" w:cs="仿宋"/>
          <w:b/>
          <w:bCs w:val="0"/>
          <w:color w:val="auto"/>
          <w:sz w:val="24"/>
          <w:highlight w:val="none"/>
          <w:lang w:val="en-US" w:eastAsia="zh-CN"/>
        </w:rPr>
        <w:t>人员不予认可</w:t>
      </w:r>
      <w:r>
        <w:rPr>
          <w:rFonts w:hint="eastAsia" w:ascii="仿宋" w:hAnsi="仿宋" w:eastAsia="仿宋" w:cs="仿宋"/>
          <w:bCs/>
          <w:color w:val="auto"/>
          <w:sz w:val="24"/>
          <w:highlight w:val="none"/>
          <w:lang w:val="zh-CN"/>
        </w:rPr>
        <w:t>。</w:t>
      </w:r>
    </w:p>
    <w:p w14:paraId="231B5C5B">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2、法律顾问团队清单应包括人员姓名、</w:t>
      </w:r>
      <w:r>
        <w:rPr>
          <w:rFonts w:hint="eastAsia" w:ascii="仿宋" w:hAnsi="仿宋" w:eastAsia="仿宋" w:cs="仿宋"/>
          <w:bCs/>
          <w:color w:val="auto"/>
          <w:sz w:val="24"/>
          <w:highlight w:val="none"/>
          <w:lang w:val="zh-CN" w:eastAsia="zh-CN"/>
        </w:rPr>
        <w:t>本项目拟任岗位、</w:t>
      </w:r>
      <w:r>
        <w:rPr>
          <w:rFonts w:hint="eastAsia" w:ascii="仿宋" w:hAnsi="仿宋" w:eastAsia="仿宋" w:cs="仿宋"/>
          <w:bCs/>
          <w:color w:val="auto"/>
          <w:sz w:val="24"/>
          <w:highlight w:val="none"/>
          <w:lang w:val="en-US" w:eastAsia="zh-CN"/>
        </w:rPr>
        <w:t>年龄、性别、从业年限、身份证号码、联系电话，并提供本人签名，</w:t>
      </w:r>
      <w:r>
        <w:rPr>
          <w:rFonts w:hint="eastAsia" w:ascii="仿宋" w:hAnsi="仿宋" w:eastAsia="仿宋" w:cs="仿宋"/>
          <w:b/>
          <w:bCs w:val="0"/>
          <w:color w:val="auto"/>
          <w:sz w:val="24"/>
          <w:highlight w:val="none"/>
          <w:lang w:val="en-US" w:eastAsia="zh-CN"/>
        </w:rPr>
        <w:t>否则人员不予认可</w:t>
      </w:r>
      <w:r>
        <w:rPr>
          <w:rFonts w:hint="eastAsia" w:ascii="仿宋" w:hAnsi="仿宋" w:eastAsia="仿宋" w:cs="仿宋"/>
          <w:bCs/>
          <w:color w:val="auto"/>
          <w:sz w:val="24"/>
          <w:highlight w:val="none"/>
          <w:lang w:val="en-US" w:eastAsia="zh-CN"/>
        </w:rPr>
        <w:t>。清单格式如下：</w:t>
      </w:r>
    </w:p>
    <w:tbl>
      <w:tblPr>
        <w:tblStyle w:val="60"/>
        <w:tblW w:w="9358" w:type="dxa"/>
        <w:tblInd w:w="108"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487"/>
        <w:gridCol w:w="997"/>
        <w:gridCol w:w="1025"/>
        <w:gridCol w:w="711"/>
        <w:gridCol w:w="683"/>
        <w:gridCol w:w="683"/>
        <w:gridCol w:w="1254"/>
        <w:gridCol w:w="1069"/>
        <w:gridCol w:w="1025"/>
        <w:gridCol w:w="826"/>
        <w:gridCol w:w="598"/>
      </w:tblGrid>
      <w:tr w14:paraId="471DDF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487" w:type="dxa"/>
            <w:tcBorders>
              <w:tl2br w:val="nil"/>
              <w:tr2bl w:val="nil"/>
            </w:tcBorders>
            <w:noWrap w:val="0"/>
            <w:vAlign w:val="center"/>
          </w:tcPr>
          <w:p w14:paraId="55049CD1">
            <w:pPr>
              <w:autoSpaceDE w:val="0"/>
              <w:autoSpaceDN w:val="0"/>
              <w:adjustRightInd w:val="0"/>
              <w:jc w:val="center"/>
              <w:rPr>
                <w:rFonts w:hint="eastAsia" w:ascii="仿宋" w:hAnsi="仿宋" w:eastAsia="仿宋" w:cs="仿宋"/>
                <w:szCs w:val="21"/>
                <w:highlight w:val="none"/>
              </w:rPr>
            </w:pPr>
            <w:r>
              <w:rPr>
                <w:rFonts w:hint="eastAsia" w:ascii="仿宋" w:hAnsi="仿宋" w:eastAsia="仿宋" w:cs="仿宋"/>
                <w:szCs w:val="21"/>
                <w:highlight w:val="none"/>
              </w:rPr>
              <w:t>序号</w:t>
            </w:r>
          </w:p>
        </w:tc>
        <w:tc>
          <w:tcPr>
            <w:tcW w:w="997" w:type="dxa"/>
            <w:tcBorders>
              <w:tl2br w:val="nil"/>
              <w:tr2bl w:val="nil"/>
            </w:tcBorders>
            <w:noWrap w:val="0"/>
            <w:vAlign w:val="center"/>
          </w:tcPr>
          <w:p w14:paraId="059BCBC3">
            <w:pPr>
              <w:autoSpaceDE w:val="0"/>
              <w:autoSpaceDN w:val="0"/>
              <w:adjustRightInd w:val="0"/>
              <w:jc w:val="center"/>
              <w:rPr>
                <w:rFonts w:hint="eastAsia" w:ascii="仿宋" w:hAnsi="仿宋" w:eastAsia="仿宋" w:cs="仿宋"/>
                <w:szCs w:val="21"/>
                <w:highlight w:val="none"/>
                <w:lang w:val="zh-CN"/>
              </w:rPr>
            </w:pPr>
            <w:r>
              <w:rPr>
                <w:rFonts w:hint="eastAsia" w:ascii="仿宋" w:hAnsi="仿宋" w:eastAsia="仿宋" w:cs="仿宋"/>
                <w:szCs w:val="21"/>
                <w:highlight w:val="none"/>
                <w:lang w:val="zh-CN"/>
              </w:rPr>
              <w:t>姓名</w:t>
            </w:r>
          </w:p>
        </w:tc>
        <w:tc>
          <w:tcPr>
            <w:tcW w:w="1025" w:type="dxa"/>
            <w:tcBorders>
              <w:tl2br w:val="nil"/>
              <w:tr2bl w:val="nil"/>
            </w:tcBorders>
            <w:noWrap w:val="0"/>
            <w:vAlign w:val="center"/>
          </w:tcPr>
          <w:p w14:paraId="3A0D2BE7">
            <w:pPr>
              <w:autoSpaceDE w:val="0"/>
              <w:autoSpaceDN w:val="0"/>
              <w:adjustRightInd w:val="0"/>
              <w:rPr>
                <w:rFonts w:hint="eastAsia" w:ascii="仿宋" w:hAnsi="仿宋" w:eastAsia="仿宋" w:cs="仿宋"/>
                <w:szCs w:val="21"/>
                <w:highlight w:val="none"/>
              </w:rPr>
            </w:pPr>
            <w:r>
              <w:rPr>
                <w:rFonts w:hint="eastAsia" w:ascii="仿宋" w:hAnsi="仿宋" w:eastAsia="仿宋" w:cs="仿宋"/>
                <w:szCs w:val="21"/>
                <w:highlight w:val="none"/>
                <w:lang w:val="zh-CN"/>
              </w:rPr>
              <w:t>本项目拟任岗位</w:t>
            </w:r>
          </w:p>
        </w:tc>
        <w:tc>
          <w:tcPr>
            <w:tcW w:w="711" w:type="dxa"/>
            <w:tcBorders>
              <w:tl2br w:val="nil"/>
              <w:tr2bl w:val="nil"/>
            </w:tcBorders>
            <w:noWrap w:val="0"/>
            <w:vAlign w:val="center"/>
          </w:tcPr>
          <w:p w14:paraId="3DFA2AB6">
            <w:pPr>
              <w:autoSpaceDE w:val="0"/>
              <w:autoSpaceDN w:val="0"/>
              <w:adjustRightInd w:val="0"/>
              <w:rPr>
                <w:rFonts w:hint="eastAsia" w:ascii="仿宋" w:hAnsi="仿宋" w:eastAsia="仿宋" w:cs="仿宋"/>
                <w:szCs w:val="21"/>
                <w:highlight w:val="none"/>
              </w:rPr>
            </w:pPr>
            <w:r>
              <w:rPr>
                <w:rFonts w:hint="eastAsia" w:ascii="仿宋" w:hAnsi="仿宋" w:eastAsia="仿宋" w:cs="仿宋"/>
                <w:szCs w:val="21"/>
                <w:highlight w:val="none"/>
                <w:lang w:val="zh-CN"/>
              </w:rPr>
              <w:t>年龄</w:t>
            </w:r>
          </w:p>
        </w:tc>
        <w:tc>
          <w:tcPr>
            <w:tcW w:w="683" w:type="dxa"/>
            <w:tcBorders>
              <w:tl2br w:val="nil"/>
              <w:tr2bl w:val="nil"/>
            </w:tcBorders>
            <w:noWrap w:val="0"/>
            <w:vAlign w:val="center"/>
          </w:tcPr>
          <w:p w14:paraId="07A2B32D">
            <w:pPr>
              <w:autoSpaceDE w:val="0"/>
              <w:autoSpaceDN w:val="0"/>
              <w:adjustRightInd w:val="0"/>
              <w:rPr>
                <w:rFonts w:hint="eastAsia" w:ascii="仿宋" w:hAnsi="仿宋" w:eastAsia="仿宋" w:cs="仿宋"/>
                <w:szCs w:val="21"/>
                <w:highlight w:val="none"/>
              </w:rPr>
            </w:pPr>
            <w:r>
              <w:rPr>
                <w:rFonts w:hint="eastAsia" w:ascii="仿宋" w:hAnsi="仿宋" w:eastAsia="仿宋" w:cs="仿宋"/>
                <w:szCs w:val="21"/>
                <w:highlight w:val="none"/>
                <w:lang w:val="zh-CN"/>
              </w:rPr>
              <w:t>性别</w:t>
            </w:r>
          </w:p>
        </w:tc>
        <w:tc>
          <w:tcPr>
            <w:tcW w:w="683" w:type="dxa"/>
            <w:tcBorders>
              <w:tl2br w:val="nil"/>
              <w:tr2bl w:val="nil"/>
            </w:tcBorders>
            <w:noWrap w:val="0"/>
            <w:vAlign w:val="center"/>
          </w:tcPr>
          <w:p w14:paraId="7F7D5C87">
            <w:pPr>
              <w:autoSpaceDE w:val="0"/>
              <w:autoSpaceDN w:val="0"/>
              <w:adjustRightInd w:val="0"/>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从业</w:t>
            </w:r>
          </w:p>
          <w:p w14:paraId="59F872D2">
            <w:pPr>
              <w:autoSpaceDE w:val="0"/>
              <w:autoSpaceDN w:val="0"/>
              <w:adjustRightInd w:val="0"/>
              <w:rPr>
                <w:rFonts w:hint="eastAsia" w:ascii="仿宋" w:hAnsi="仿宋" w:eastAsia="仿宋" w:cs="仿宋"/>
                <w:szCs w:val="21"/>
                <w:highlight w:val="none"/>
                <w:lang w:eastAsia="zh-CN"/>
              </w:rPr>
            </w:pPr>
            <w:r>
              <w:rPr>
                <w:rFonts w:hint="eastAsia" w:ascii="仿宋" w:hAnsi="仿宋" w:eastAsia="仿宋" w:cs="仿宋"/>
                <w:szCs w:val="21"/>
                <w:highlight w:val="none"/>
                <w:lang w:val="en-US" w:eastAsia="zh-CN"/>
              </w:rPr>
              <w:t>年限</w:t>
            </w:r>
          </w:p>
        </w:tc>
        <w:tc>
          <w:tcPr>
            <w:tcW w:w="1254" w:type="dxa"/>
            <w:tcBorders>
              <w:tl2br w:val="nil"/>
              <w:tr2bl w:val="nil"/>
            </w:tcBorders>
            <w:noWrap w:val="0"/>
            <w:vAlign w:val="center"/>
          </w:tcPr>
          <w:p w14:paraId="24E21E30">
            <w:pPr>
              <w:autoSpaceDE w:val="0"/>
              <w:autoSpaceDN w:val="0"/>
              <w:adjustRightInd w:val="0"/>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身份证号码</w:t>
            </w:r>
          </w:p>
        </w:tc>
        <w:tc>
          <w:tcPr>
            <w:tcW w:w="1069" w:type="dxa"/>
            <w:tcBorders>
              <w:tl2br w:val="nil"/>
              <w:tr2bl w:val="nil"/>
            </w:tcBorders>
            <w:noWrap w:val="0"/>
            <w:vAlign w:val="center"/>
          </w:tcPr>
          <w:p w14:paraId="4AFDC45E">
            <w:pPr>
              <w:autoSpaceDE w:val="0"/>
              <w:autoSpaceDN w:val="0"/>
              <w:adjustRightInd w:val="0"/>
              <w:rPr>
                <w:rFonts w:hint="default" w:ascii="仿宋" w:hAnsi="仿宋" w:eastAsia="仿宋" w:cs="仿宋"/>
                <w:szCs w:val="21"/>
                <w:highlight w:val="none"/>
                <w:lang w:val="en-US" w:eastAsia="zh-CN"/>
              </w:rPr>
            </w:pPr>
            <w:r>
              <w:rPr>
                <w:rFonts w:hint="eastAsia" w:ascii="仿宋" w:hAnsi="仿宋" w:eastAsia="仿宋" w:cs="仿宋"/>
                <w:szCs w:val="21"/>
                <w:highlight w:val="none"/>
                <w:lang w:val="en-US" w:eastAsia="zh-CN"/>
              </w:rPr>
              <w:t>联系手机</w:t>
            </w:r>
          </w:p>
        </w:tc>
        <w:tc>
          <w:tcPr>
            <w:tcW w:w="1025" w:type="dxa"/>
            <w:tcBorders>
              <w:tl2br w:val="nil"/>
              <w:tr2bl w:val="nil"/>
            </w:tcBorders>
            <w:noWrap w:val="0"/>
            <w:vAlign w:val="center"/>
          </w:tcPr>
          <w:p w14:paraId="59E47504">
            <w:pPr>
              <w:autoSpaceDE w:val="0"/>
              <w:autoSpaceDN w:val="0"/>
              <w:adjustRightInd w:val="0"/>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本人</w:t>
            </w:r>
          </w:p>
          <w:p w14:paraId="69329CDC">
            <w:pPr>
              <w:autoSpaceDE w:val="0"/>
              <w:autoSpaceDN w:val="0"/>
              <w:adjustRightInd w:val="0"/>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签名</w:t>
            </w:r>
          </w:p>
        </w:tc>
        <w:tc>
          <w:tcPr>
            <w:tcW w:w="826" w:type="dxa"/>
            <w:tcBorders>
              <w:tl2br w:val="nil"/>
              <w:tr2bl w:val="nil"/>
            </w:tcBorders>
            <w:noWrap w:val="0"/>
            <w:vAlign w:val="center"/>
          </w:tcPr>
          <w:p w14:paraId="40A472D7">
            <w:pPr>
              <w:autoSpaceDE w:val="0"/>
              <w:autoSpaceDN w:val="0"/>
              <w:adjustRightInd w:val="0"/>
              <w:jc w:val="center"/>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承诺</w:t>
            </w:r>
          </w:p>
        </w:tc>
        <w:tc>
          <w:tcPr>
            <w:tcW w:w="598" w:type="dxa"/>
            <w:tcBorders>
              <w:tl2br w:val="nil"/>
              <w:tr2bl w:val="nil"/>
            </w:tcBorders>
            <w:noWrap w:val="0"/>
            <w:vAlign w:val="center"/>
          </w:tcPr>
          <w:p w14:paraId="12CFFC1D">
            <w:pPr>
              <w:autoSpaceDE w:val="0"/>
              <w:autoSpaceDN w:val="0"/>
              <w:adjustRightInd w:val="0"/>
              <w:jc w:val="center"/>
              <w:rPr>
                <w:rFonts w:hint="eastAsia" w:ascii="仿宋" w:hAnsi="仿宋" w:eastAsia="仿宋" w:cs="仿宋"/>
                <w:szCs w:val="21"/>
                <w:highlight w:val="none"/>
                <w:lang w:val="zh-CN"/>
              </w:rPr>
            </w:pPr>
            <w:r>
              <w:rPr>
                <w:rFonts w:hint="eastAsia" w:ascii="仿宋" w:hAnsi="仿宋" w:eastAsia="仿宋" w:cs="仿宋"/>
                <w:szCs w:val="21"/>
                <w:highlight w:val="none"/>
                <w:lang w:val="zh-CN"/>
              </w:rPr>
              <w:t>备注</w:t>
            </w:r>
          </w:p>
        </w:tc>
      </w:tr>
      <w:tr w14:paraId="7E69BB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487" w:type="dxa"/>
            <w:tcBorders>
              <w:tl2br w:val="nil"/>
              <w:tr2bl w:val="nil"/>
            </w:tcBorders>
            <w:noWrap w:val="0"/>
            <w:vAlign w:val="center"/>
          </w:tcPr>
          <w:p w14:paraId="575173B4">
            <w:pPr>
              <w:autoSpaceDE w:val="0"/>
              <w:autoSpaceDN w:val="0"/>
              <w:adjustRightInd w:val="0"/>
              <w:rPr>
                <w:rFonts w:hint="eastAsia" w:ascii="仿宋" w:hAnsi="仿宋" w:eastAsia="仿宋" w:cs="仿宋"/>
                <w:szCs w:val="21"/>
                <w:highlight w:val="none"/>
              </w:rPr>
            </w:pPr>
          </w:p>
        </w:tc>
        <w:tc>
          <w:tcPr>
            <w:tcW w:w="997" w:type="dxa"/>
            <w:tcBorders>
              <w:tl2br w:val="nil"/>
              <w:tr2bl w:val="nil"/>
            </w:tcBorders>
            <w:noWrap w:val="0"/>
            <w:vAlign w:val="top"/>
          </w:tcPr>
          <w:p w14:paraId="17E34AF0">
            <w:pPr>
              <w:autoSpaceDE w:val="0"/>
              <w:autoSpaceDN w:val="0"/>
              <w:adjustRightInd w:val="0"/>
              <w:rPr>
                <w:rFonts w:hint="eastAsia" w:ascii="仿宋" w:hAnsi="仿宋" w:eastAsia="仿宋" w:cs="仿宋"/>
                <w:szCs w:val="21"/>
                <w:highlight w:val="none"/>
              </w:rPr>
            </w:pPr>
          </w:p>
        </w:tc>
        <w:tc>
          <w:tcPr>
            <w:tcW w:w="1025" w:type="dxa"/>
            <w:tcBorders>
              <w:tl2br w:val="nil"/>
              <w:tr2bl w:val="nil"/>
            </w:tcBorders>
            <w:noWrap w:val="0"/>
            <w:vAlign w:val="center"/>
          </w:tcPr>
          <w:p w14:paraId="54B0E56F">
            <w:pPr>
              <w:autoSpaceDE w:val="0"/>
              <w:autoSpaceDN w:val="0"/>
              <w:adjustRightInd w:val="0"/>
              <w:rPr>
                <w:rFonts w:hint="eastAsia" w:ascii="仿宋" w:hAnsi="仿宋" w:eastAsia="仿宋" w:cs="仿宋"/>
                <w:szCs w:val="21"/>
                <w:highlight w:val="none"/>
              </w:rPr>
            </w:pPr>
          </w:p>
        </w:tc>
        <w:tc>
          <w:tcPr>
            <w:tcW w:w="711" w:type="dxa"/>
            <w:tcBorders>
              <w:tl2br w:val="nil"/>
              <w:tr2bl w:val="nil"/>
            </w:tcBorders>
            <w:noWrap w:val="0"/>
            <w:vAlign w:val="center"/>
          </w:tcPr>
          <w:p w14:paraId="496118C7">
            <w:pPr>
              <w:autoSpaceDE w:val="0"/>
              <w:autoSpaceDN w:val="0"/>
              <w:adjustRightInd w:val="0"/>
              <w:rPr>
                <w:rFonts w:hint="eastAsia" w:ascii="仿宋" w:hAnsi="仿宋" w:eastAsia="仿宋" w:cs="仿宋"/>
                <w:szCs w:val="21"/>
                <w:highlight w:val="none"/>
              </w:rPr>
            </w:pPr>
          </w:p>
        </w:tc>
        <w:tc>
          <w:tcPr>
            <w:tcW w:w="683" w:type="dxa"/>
            <w:tcBorders>
              <w:tl2br w:val="nil"/>
              <w:tr2bl w:val="nil"/>
            </w:tcBorders>
            <w:noWrap w:val="0"/>
            <w:vAlign w:val="center"/>
          </w:tcPr>
          <w:p w14:paraId="3480431B">
            <w:pPr>
              <w:autoSpaceDE w:val="0"/>
              <w:autoSpaceDN w:val="0"/>
              <w:adjustRightInd w:val="0"/>
              <w:rPr>
                <w:rFonts w:hint="eastAsia" w:ascii="仿宋" w:hAnsi="仿宋" w:eastAsia="仿宋" w:cs="仿宋"/>
                <w:szCs w:val="21"/>
                <w:highlight w:val="none"/>
              </w:rPr>
            </w:pPr>
          </w:p>
        </w:tc>
        <w:tc>
          <w:tcPr>
            <w:tcW w:w="683" w:type="dxa"/>
            <w:tcBorders>
              <w:tl2br w:val="nil"/>
              <w:tr2bl w:val="nil"/>
            </w:tcBorders>
            <w:noWrap w:val="0"/>
            <w:vAlign w:val="center"/>
          </w:tcPr>
          <w:p w14:paraId="79D10E78">
            <w:pPr>
              <w:autoSpaceDE w:val="0"/>
              <w:autoSpaceDN w:val="0"/>
              <w:adjustRightInd w:val="0"/>
              <w:rPr>
                <w:rFonts w:hint="eastAsia" w:ascii="仿宋" w:hAnsi="仿宋" w:eastAsia="仿宋" w:cs="仿宋"/>
                <w:szCs w:val="21"/>
                <w:highlight w:val="none"/>
              </w:rPr>
            </w:pPr>
          </w:p>
        </w:tc>
        <w:tc>
          <w:tcPr>
            <w:tcW w:w="1254" w:type="dxa"/>
            <w:tcBorders>
              <w:tl2br w:val="nil"/>
              <w:tr2bl w:val="nil"/>
            </w:tcBorders>
            <w:noWrap w:val="0"/>
            <w:vAlign w:val="center"/>
          </w:tcPr>
          <w:p w14:paraId="0A5A4780">
            <w:pPr>
              <w:autoSpaceDE w:val="0"/>
              <w:autoSpaceDN w:val="0"/>
              <w:adjustRightInd w:val="0"/>
              <w:rPr>
                <w:rFonts w:hint="eastAsia" w:ascii="仿宋" w:hAnsi="仿宋" w:eastAsia="仿宋" w:cs="仿宋"/>
                <w:szCs w:val="21"/>
                <w:highlight w:val="none"/>
              </w:rPr>
            </w:pPr>
          </w:p>
        </w:tc>
        <w:tc>
          <w:tcPr>
            <w:tcW w:w="1069" w:type="dxa"/>
            <w:tcBorders>
              <w:tl2br w:val="nil"/>
              <w:tr2bl w:val="nil"/>
            </w:tcBorders>
            <w:noWrap w:val="0"/>
            <w:vAlign w:val="center"/>
          </w:tcPr>
          <w:p w14:paraId="37E0B0E9">
            <w:pPr>
              <w:autoSpaceDE w:val="0"/>
              <w:autoSpaceDN w:val="0"/>
              <w:adjustRightInd w:val="0"/>
              <w:rPr>
                <w:rFonts w:hint="eastAsia" w:ascii="仿宋" w:hAnsi="仿宋" w:eastAsia="仿宋" w:cs="仿宋"/>
                <w:szCs w:val="21"/>
                <w:highlight w:val="none"/>
              </w:rPr>
            </w:pPr>
          </w:p>
        </w:tc>
        <w:tc>
          <w:tcPr>
            <w:tcW w:w="1025" w:type="dxa"/>
            <w:tcBorders>
              <w:tl2br w:val="nil"/>
              <w:tr2bl w:val="nil"/>
            </w:tcBorders>
            <w:noWrap w:val="0"/>
            <w:vAlign w:val="center"/>
          </w:tcPr>
          <w:p w14:paraId="1966F4DD">
            <w:pPr>
              <w:autoSpaceDE w:val="0"/>
              <w:autoSpaceDN w:val="0"/>
              <w:adjustRightInd w:val="0"/>
              <w:ind w:left="5250"/>
              <w:rPr>
                <w:rFonts w:hint="eastAsia" w:ascii="仿宋" w:hAnsi="仿宋" w:eastAsia="仿宋" w:cs="仿宋"/>
                <w:szCs w:val="21"/>
                <w:highlight w:val="none"/>
              </w:rPr>
            </w:pPr>
          </w:p>
        </w:tc>
        <w:tc>
          <w:tcPr>
            <w:tcW w:w="826" w:type="dxa"/>
            <w:vMerge w:val="restart"/>
            <w:tcBorders>
              <w:tl2br w:val="nil"/>
              <w:tr2bl w:val="nil"/>
            </w:tcBorders>
            <w:noWrap w:val="0"/>
            <w:vAlign w:val="center"/>
          </w:tcPr>
          <w:p w14:paraId="52838C08">
            <w:pPr>
              <w:autoSpaceDE w:val="0"/>
              <w:autoSpaceDN w:val="0"/>
              <w:adjustRightInd w:val="0"/>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未经甲方同意，清单中人员不得随意更换</w:t>
            </w:r>
          </w:p>
        </w:tc>
        <w:tc>
          <w:tcPr>
            <w:tcW w:w="598" w:type="dxa"/>
            <w:tcBorders>
              <w:tl2br w:val="nil"/>
              <w:tr2bl w:val="nil"/>
            </w:tcBorders>
            <w:noWrap w:val="0"/>
            <w:vAlign w:val="center"/>
          </w:tcPr>
          <w:p w14:paraId="09820FB3">
            <w:pPr>
              <w:autoSpaceDE w:val="0"/>
              <w:autoSpaceDN w:val="0"/>
              <w:adjustRightInd w:val="0"/>
              <w:rPr>
                <w:rFonts w:hint="eastAsia" w:ascii="仿宋" w:hAnsi="仿宋" w:eastAsia="仿宋" w:cs="仿宋"/>
                <w:szCs w:val="21"/>
                <w:highlight w:val="none"/>
              </w:rPr>
            </w:pPr>
          </w:p>
        </w:tc>
      </w:tr>
      <w:tr w14:paraId="19C186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487" w:type="dxa"/>
            <w:tcBorders>
              <w:tl2br w:val="nil"/>
              <w:tr2bl w:val="nil"/>
            </w:tcBorders>
            <w:noWrap w:val="0"/>
            <w:vAlign w:val="center"/>
          </w:tcPr>
          <w:p w14:paraId="0534E6ED">
            <w:pPr>
              <w:autoSpaceDE w:val="0"/>
              <w:autoSpaceDN w:val="0"/>
              <w:adjustRightInd w:val="0"/>
              <w:rPr>
                <w:rFonts w:hint="eastAsia" w:ascii="仿宋" w:hAnsi="仿宋" w:eastAsia="仿宋" w:cs="仿宋"/>
                <w:szCs w:val="21"/>
                <w:highlight w:val="none"/>
              </w:rPr>
            </w:pPr>
          </w:p>
        </w:tc>
        <w:tc>
          <w:tcPr>
            <w:tcW w:w="997" w:type="dxa"/>
            <w:tcBorders>
              <w:tl2br w:val="nil"/>
              <w:tr2bl w:val="nil"/>
            </w:tcBorders>
            <w:noWrap w:val="0"/>
            <w:vAlign w:val="top"/>
          </w:tcPr>
          <w:p w14:paraId="57EAF23B">
            <w:pPr>
              <w:autoSpaceDE w:val="0"/>
              <w:autoSpaceDN w:val="0"/>
              <w:adjustRightInd w:val="0"/>
              <w:rPr>
                <w:rFonts w:hint="eastAsia" w:ascii="仿宋" w:hAnsi="仿宋" w:eastAsia="仿宋" w:cs="仿宋"/>
                <w:szCs w:val="21"/>
                <w:highlight w:val="none"/>
              </w:rPr>
            </w:pPr>
          </w:p>
        </w:tc>
        <w:tc>
          <w:tcPr>
            <w:tcW w:w="1025" w:type="dxa"/>
            <w:tcBorders>
              <w:tl2br w:val="nil"/>
              <w:tr2bl w:val="nil"/>
            </w:tcBorders>
            <w:noWrap w:val="0"/>
            <w:vAlign w:val="center"/>
          </w:tcPr>
          <w:p w14:paraId="7560D4D1">
            <w:pPr>
              <w:autoSpaceDE w:val="0"/>
              <w:autoSpaceDN w:val="0"/>
              <w:adjustRightInd w:val="0"/>
              <w:rPr>
                <w:rFonts w:hint="eastAsia" w:ascii="仿宋" w:hAnsi="仿宋" w:eastAsia="仿宋" w:cs="仿宋"/>
                <w:szCs w:val="21"/>
                <w:highlight w:val="none"/>
              </w:rPr>
            </w:pPr>
          </w:p>
        </w:tc>
        <w:tc>
          <w:tcPr>
            <w:tcW w:w="711" w:type="dxa"/>
            <w:tcBorders>
              <w:tl2br w:val="nil"/>
              <w:tr2bl w:val="nil"/>
            </w:tcBorders>
            <w:noWrap w:val="0"/>
            <w:vAlign w:val="center"/>
          </w:tcPr>
          <w:p w14:paraId="162DA457">
            <w:pPr>
              <w:autoSpaceDE w:val="0"/>
              <w:autoSpaceDN w:val="0"/>
              <w:adjustRightInd w:val="0"/>
              <w:rPr>
                <w:rFonts w:hint="eastAsia" w:ascii="仿宋" w:hAnsi="仿宋" w:eastAsia="仿宋" w:cs="仿宋"/>
                <w:szCs w:val="21"/>
                <w:highlight w:val="none"/>
              </w:rPr>
            </w:pPr>
          </w:p>
        </w:tc>
        <w:tc>
          <w:tcPr>
            <w:tcW w:w="683" w:type="dxa"/>
            <w:tcBorders>
              <w:tl2br w:val="nil"/>
              <w:tr2bl w:val="nil"/>
            </w:tcBorders>
            <w:noWrap w:val="0"/>
            <w:vAlign w:val="center"/>
          </w:tcPr>
          <w:p w14:paraId="4090B9AB">
            <w:pPr>
              <w:autoSpaceDE w:val="0"/>
              <w:autoSpaceDN w:val="0"/>
              <w:adjustRightInd w:val="0"/>
              <w:rPr>
                <w:rFonts w:hint="eastAsia" w:ascii="仿宋" w:hAnsi="仿宋" w:eastAsia="仿宋" w:cs="仿宋"/>
                <w:szCs w:val="21"/>
                <w:highlight w:val="none"/>
              </w:rPr>
            </w:pPr>
          </w:p>
        </w:tc>
        <w:tc>
          <w:tcPr>
            <w:tcW w:w="683" w:type="dxa"/>
            <w:tcBorders>
              <w:tl2br w:val="nil"/>
              <w:tr2bl w:val="nil"/>
            </w:tcBorders>
            <w:noWrap w:val="0"/>
            <w:vAlign w:val="center"/>
          </w:tcPr>
          <w:p w14:paraId="50957687">
            <w:pPr>
              <w:autoSpaceDE w:val="0"/>
              <w:autoSpaceDN w:val="0"/>
              <w:adjustRightInd w:val="0"/>
              <w:rPr>
                <w:rFonts w:hint="eastAsia" w:ascii="仿宋" w:hAnsi="仿宋" w:eastAsia="仿宋" w:cs="仿宋"/>
                <w:szCs w:val="21"/>
                <w:highlight w:val="none"/>
              </w:rPr>
            </w:pPr>
          </w:p>
        </w:tc>
        <w:tc>
          <w:tcPr>
            <w:tcW w:w="1254" w:type="dxa"/>
            <w:tcBorders>
              <w:tl2br w:val="nil"/>
              <w:tr2bl w:val="nil"/>
            </w:tcBorders>
            <w:noWrap w:val="0"/>
            <w:vAlign w:val="center"/>
          </w:tcPr>
          <w:p w14:paraId="29CBFB6D">
            <w:pPr>
              <w:autoSpaceDE w:val="0"/>
              <w:autoSpaceDN w:val="0"/>
              <w:adjustRightInd w:val="0"/>
              <w:rPr>
                <w:rFonts w:hint="eastAsia" w:ascii="仿宋" w:hAnsi="仿宋" w:eastAsia="仿宋" w:cs="仿宋"/>
                <w:szCs w:val="21"/>
                <w:highlight w:val="none"/>
              </w:rPr>
            </w:pPr>
          </w:p>
        </w:tc>
        <w:tc>
          <w:tcPr>
            <w:tcW w:w="1069" w:type="dxa"/>
            <w:tcBorders>
              <w:tl2br w:val="nil"/>
              <w:tr2bl w:val="nil"/>
            </w:tcBorders>
            <w:noWrap w:val="0"/>
            <w:vAlign w:val="center"/>
          </w:tcPr>
          <w:p w14:paraId="313F7AA1">
            <w:pPr>
              <w:autoSpaceDE w:val="0"/>
              <w:autoSpaceDN w:val="0"/>
              <w:adjustRightInd w:val="0"/>
              <w:rPr>
                <w:rFonts w:hint="eastAsia" w:ascii="仿宋" w:hAnsi="仿宋" w:eastAsia="仿宋" w:cs="仿宋"/>
                <w:szCs w:val="21"/>
                <w:highlight w:val="none"/>
              </w:rPr>
            </w:pPr>
          </w:p>
        </w:tc>
        <w:tc>
          <w:tcPr>
            <w:tcW w:w="1025" w:type="dxa"/>
            <w:tcBorders>
              <w:tl2br w:val="nil"/>
              <w:tr2bl w:val="nil"/>
            </w:tcBorders>
            <w:noWrap w:val="0"/>
            <w:vAlign w:val="center"/>
          </w:tcPr>
          <w:p w14:paraId="3B1FA786">
            <w:pPr>
              <w:autoSpaceDE w:val="0"/>
              <w:autoSpaceDN w:val="0"/>
              <w:adjustRightInd w:val="0"/>
              <w:ind w:left="5250"/>
              <w:rPr>
                <w:rFonts w:hint="eastAsia" w:ascii="仿宋" w:hAnsi="仿宋" w:eastAsia="仿宋" w:cs="仿宋"/>
                <w:szCs w:val="21"/>
                <w:highlight w:val="none"/>
              </w:rPr>
            </w:pPr>
          </w:p>
        </w:tc>
        <w:tc>
          <w:tcPr>
            <w:tcW w:w="826" w:type="dxa"/>
            <w:vMerge w:val="continue"/>
            <w:tcBorders>
              <w:tl2br w:val="nil"/>
              <w:tr2bl w:val="nil"/>
            </w:tcBorders>
            <w:noWrap w:val="0"/>
            <w:vAlign w:val="center"/>
          </w:tcPr>
          <w:p w14:paraId="73BCFBA5">
            <w:pPr>
              <w:autoSpaceDE w:val="0"/>
              <w:autoSpaceDN w:val="0"/>
              <w:adjustRightInd w:val="0"/>
              <w:rPr>
                <w:rFonts w:hint="eastAsia" w:ascii="仿宋" w:hAnsi="仿宋" w:eastAsia="仿宋" w:cs="仿宋"/>
                <w:szCs w:val="21"/>
                <w:highlight w:val="none"/>
                <w:lang w:val="en-US" w:eastAsia="zh-CN"/>
              </w:rPr>
            </w:pPr>
          </w:p>
        </w:tc>
        <w:tc>
          <w:tcPr>
            <w:tcW w:w="598" w:type="dxa"/>
            <w:tcBorders>
              <w:tl2br w:val="nil"/>
              <w:tr2bl w:val="nil"/>
            </w:tcBorders>
            <w:noWrap w:val="0"/>
            <w:vAlign w:val="center"/>
          </w:tcPr>
          <w:p w14:paraId="2A98D948">
            <w:pPr>
              <w:autoSpaceDE w:val="0"/>
              <w:autoSpaceDN w:val="0"/>
              <w:adjustRightInd w:val="0"/>
              <w:rPr>
                <w:rFonts w:hint="eastAsia" w:ascii="仿宋" w:hAnsi="仿宋" w:eastAsia="仿宋" w:cs="仿宋"/>
                <w:szCs w:val="21"/>
                <w:highlight w:val="none"/>
              </w:rPr>
            </w:pPr>
          </w:p>
        </w:tc>
      </w:tr>
      <w:tr w14:paraId="38B56F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487" w:type="dxa"/>
            <w:tcBorders>
              <w:tl2br w:val="nil"/>
              <w:tr2bl w:val="nil"/>
            </w:tcBorders>
            <w:noWrap w:val="0"/>
            <w:vAlign w:val="center"/>
          </w:tcPr>
          <w:p w14:paraId="6855C5E1">
            <w:pPr>
              <w:autoSpaceDE w:val="0"/>
              <w:autoSpaceDN w:val="0"/>
              <w:adjustRightInd w:val="0"/>
              <w:rPr>
                <w:rFonts w:hint="eastAsia" w:ascii="仿宋" w:hAnsi="仿宋" w:eastAsia="仿宋" w:cs="仿宋"/>
                <w:szCs w:val="21"/>
                <w:highlight w:val="none"/>
              </w:rPr>
            </w:pPr>
          </w:p>
        </w:tc>
        <w:tc>
          <w:tcPr>
            <w:tcW w:w="997" w:type="dxa"/>
            <w:tcBorders>
              <w:tl2br w:val="nil"/>
              <w:tr2bl w:val="nil"/>
            </w:tcBorders>
            <w:noWrap w:val="0"/>
            <w:vAlign w:val="top"/>
          </w:tcPr>
          <w:p w14:paraId="47418967">
            <w:pPr>
              <w:autoSpaceDE w:val="0"/>
              <w:autoSpaceDN w:val="0"/>
              <w:adjustRightInd w:val="0"/>
              <w:rPr>
                <w:rFonts w:hint="eastAsia" w:ascii="仿宋" w:hAnsi="仿宋" w:eastAsia="仿宋" w:cs="仿宋"/>
                <w:szCs w:val="21"/>
                <w:highlight w:val="none"/>
              </w:rPr>
            </w:pPr>
          </w:p>
        </w:tc>
        <w:tc>
          <w:tcPr>
            <w:tcW w:w="1025" w:type="dxa"/>
            <w:tcBorders>
              <w:tl2br w:val="nil"/>
              <w:tr2bl w:val="nil"/>
            </w:tcBorders>
            <w:noWrap w:val="0"/>
            <w:vAlign w:val="center"/>
          </w:tcPr>
          <w:p w14:paraId="7EF7255C">
            <w:pPr>
              <w:autoSpaceDE w:val="0"/>
              <w:autoSpaceDN w:val="0"/>
              <w:adjustRightInd w:val="0"/>
              <w:rPr>
                <w:rFonts w:hint="eastAsia" w:ascii="仿宋" w:hAnsi="仿宋" w:eastAsia="仿宋" w:cs="仿宋"/>
                <w:szCs w:val="21"/>
                <w:highlight w:val="none"/>
              </w:rPr>
            </w:pPr>
          </w:p>
        </w:tc>
        <w:tc>
          <w:tcPr>
            <w:tcW w:w="711" w:type="dxa"/>
            <w:tcBorders>
              <w:tl2br w:val="nil"/>
              <w:tr2bl w:val="nil"/>
            </w:tcBorders>
            <w:noWrap w:val="0"/>
            <w:vAlign w:val="center"/>
          </w:tcPr>
          <w:p w14:paraId="1FDCA28C">
            <w:pPr>
              <w:autoSpaceDE w:val="0"/>
              <w:autoSpaceDN w:val="0"/>
              <w:adjustRightInd w:val="0"/>
              <w:rPr>
                <w:rFonts w:hint="eastAsia" w:ascii="仿宋" w:hAnsi="仿宋" w:eastAsia="仿宋" w:cs="仿宋"/>
                <w:szCs w:val="21"/>
                <w:highlight w:val="none"/>
              </w:rPr>
            </w:pPr>
          </w:p>
        </w:tc>
        <w:tc>
          <w:tcPr>
            <w:tcW w:w="683" w:type="dxa"/>
            <w:tcBorders>
              <w:tl2br w:val="nil"/>
              <w:tr2bl w:val="nil"/>
            </w:tcBorders>
            <w:noWrap w:val="0"/>
            <w:vAlign w:val="center"/>
          </w:tcPr>
          <w:p w14:paraId="463FE8B1">
            <w:pPr>
              <w:autoSpaceDE w:val="0"/>
              <w:autoSpaceDN w:val="0"/>
              <w:adjustRightInd w:val="0"/>
              <w:rPr>
                <w:rFonts w:hint="eastAsia" w:ascii="仿宋" w:hAnsi="仿宋" w:eastAsia="仿宋" w:cs="仿宋"/>
                <w:szCs w:val="21"/>
                <w:highlight w:val="none"/>
              </w:rPr>
            </w:pPr>
          </w:p>
        </w:tc>
        <w:tc>
          <w:tcPr>
            <w:tcW w:w="683" w:type="dxa"/>
            <w:tcBorders>
              <w:tl2br w:val="nil"/>
              <w:tr2bl w:val="nil"/>
            </w:tcBorders>
            <w:noWrap w:val="0"/>
            <w:vAlign w:val="center"/>
          </w:tcPr>
          <w:p w14:paraId="2B70BDB5">
            <w:pPr>
              <w:autoSpaceDE w:val="0"/>
              <w:autoSpaceDN w:val="0"/>
              <w:adjustRightInd w:val="0"/>
              <w:rPr>
                <w:rFonts w:hint="eastAsia" w:ascii="仿宋" w:hAnsi="仿宋" w:eastAsia="仿宋" w:cs="仿宋"/>
                <w:szCs w:val="21"/>
                <w:highlight w:val="none"/>
              </w:rPr>
            </w:pPr>
          </w:p>
        </w:tc>
        <w:tc>
          <w:tcPr>
            <w:tcW w:w="1254" w:type="dxa"/>
            <w:tcBorders>
              <w:tl2br w:val="nil"/>
              <w:tr2bl w:val="nil"/>
            </w:tcBorders>
            <w:noWrap w:val="0"/>
            <w:vAlign w:val="center"/>
          </w:tcPr>
          <w:p w14:paraId="5B5271F1">
            <w:pPr>
              <w:autoSpaceDE w:val="0"/>
              <w:autoSpaceDN w:val="0"/>
              <w:adjustRightInd w:val="0"/>
              <w:rPr>
                <w:rFonts w:hint="eastAsia" w:ascii="仿宋" w:hAnsi="仿宋" w:eastAsia="仿宋" w:cs="仿宋"/>
                <w:szCs w:val="21"/>
                <w:highlight w:val="none"/>
              </w:rPr>
            </w:pPr>
          </w:p>
        </w:tc>
        <w:tc>
          <w:tcPr>
            <w:tcW w:w="1069" w:type="dxa"/>
            <w:tcBorders>
              <w:tl2br w:val="nil"/>
              <w:tr2bl w:val="nil"/>
            </w:tcBorders>
            <w:noWrap w:val="0"/>
            <w:vAlign w:val="center"/>
          </w:tcPr>
          <w:p w14:paraId="2B3C65D3">
            <w:pPr>
              <w:autoSpaceDE w:val="0"/>
              <w:autoSpaceDN w:val="0"/>
              <w:adjustRightInd w:val="0"/>
              <w:rPr>
                <w:rFonts w:hint="eastAsia" w:ascii="仿宋" w:hAnsi="仿宋" w:eastAsia="仿宋" w:cs="仿宋"/>
                <w:szCs w:val="21"/>
                <w:highlight w:val="none"/>
              </w:rPr>
            </w:pPr>
          </w:p>
        </w:tc>
        <w:tc>
          <w:tcPr>
            <w:tcW w:w="1025" w:type="dxa"/>
            <w:tcBorders>
              <w:tl2br w:val="nil"/>
              <w:tr2bl w:val="nil"/>
            </w:tcBorders>
            <w:noWrap w:val="0"/>
            <w:vAlign w:val="center"/>
          </w:tcPr>
          <w:p w14:paraId="02D445DB">
            <w:pPr>
              <w:autoSpaceDE w:val="0"/>
              <w:autoSpaceDN w:val="0"/>
              <w:adjustRightInd w:val="0"/>
              <w:ind w:left="5250"/>
              <w:rPr>
                <w:rFonts w:hint="eastAsia" w:ascii="仿宋" w:hAnsi="仿宋" w:eastAsia="仿宋" w:cs="仿宋"/>
                <w:szCs w:val="21"/>
                <w:highlight w:val="none"/>
              </w:rPr>
            </w:pPr>
          </w:p>
        </w:tc>
        <w:tc>
          <w:tcPr>
            <w:tcW w:w="826" w:type="dxa"/>
            <w:vMerge w:val="continue"/>
            <w:tcBorders>
              <w:tl2br w:val="nil"/>
              <w:tr2bl w:val="nil"/>
            </w:tcBorders>
            <w:noWrap w:val="0"/>
            <w:vAlign w:val="center"/>
          </w:tcPr>
          <w:p w14:paraId="4EC01844">
            <w:pPr>
              <w:autoSpaceDE w:val="0"/>
              <w:autoSpaceDN w:val="0"/>
              <w:adjustRightInd w:val="0"/>
              <w:rPr>
                <w:rFonts w:hint="eastAsia" w:ascii="仿宋" w:hAnsi="仿宋" w:eastAsia="仿宋" w:cs="仿宋"/>
                <w:szCs w:val="21"/>
                <w:highlight w:val="none"/>
                <w:lang w:val="en-US" w:eastAsia="zh-CN"/>
              </w:rPr>
            </w:pPr>
          </w:p>
        </w:tc>
        <w:tc>
          <w:tcPr>
            <w:tcW w:w="598" w:type="dxa"/>
            <w:tcBorders>
              <w:tl2br w:val="nil"/>
              <w:tr2bl w:val="nil"/>
            </w:tcBorders>
            <w:noWrap w:val="0"/>
            <w:vAlign w:val="center"/>
          </w:tcPr>
          <w:p w14:paraId="2C5A8FAD">
            <w:pPr>
              <w:autoSpaceDE w:val="0"/>
              <w:autoSpaceDN w:val="0"/>
              <w:adjustRightInd w:val="0"/>
              <w:rPr>
                <w:rFonts w:hint="eastAsia" w:ascii="仿宋" w:hAnsi="仿宋" w:eastAsia="仿宋" w:cs="仿宋"/>
                <w:szCs w:val="21"/>
                <w:highlight w:val="none"/>
              </w:rPr>
            </w:pPr>
          </w:p>
        </w:tc>
      </w:tr>
      <w:tr w14:paraId="38B3D6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487" w:type="dxa"/>
            <w:tcBorders>
              <w:tl2br w:val="nil"/>
              <w:tr2bl w:val="nil"/>
            </w:tcBorders>
            <w:noWrap w:val="0"/>
            <w:vAlign w:val="center"/>
          </w:tcPr>
          <w:p w14:paraId="5D026E8D">
            <w:pPr>
              <w:autoSpaceDE w:val="0"/>
              <w:autoSpaceDN w:val="0"/>
              <w:adjustRightInd w:val="0"/>
              <w:rPr>
                <w:rFonts w:hint="eastAsia" w:ascii="仿宋" w:hAnsi="仿宋" w:eastAsia="仿宋" w:cs="仿宋"/>
                <w:szCs w:val="21"/>
                <w:highlight w:val="none"/>
              </w:rPr>
            </w:pPr>
          </w:p>
        </w:tc>
        <w:tc>
          <w:tcPr>
            <w:tcW w:w="997" w:type="dxa"/>
            <w:tcBorders>
              <w:tl2br w:val="nil"/>
              <w:tr2bl w:val="nil"/>
            </w:tcBorders>
            <w:noWrap w:val="0"/>
            <w:vAlign w:val="top"/>
          </w:tcPr>
          <w:p w14:paraId="73492220">
            <w:pPr>
              <w:autoSpaceDE w:val="0"/>
              <w:autoSpaceDN w:val="0"/>
              <w:adjustRightInd w:val="0"/>
              <w:rPr>
                <w:rFonts w:hint="eastAsia" w:ascii="仿宋" w:hAnsi="仿宋" w:eastAsia="仿宋" w:cs="仿宋"/>
                <w:szCs w:val="21"/>
                <w:highlight w:val="none"/>
              </w:rPr>
            </w:pPr>
          </w:p>
        </w:tc>
        <w:tc>
          <w:tcPr>
            <w:tcW w:w="1025" w:type="dxa"/>
            <w:tcBorders>
              <w:tl2br w:val="nil"/>
              <w:tr2bl w:val="nil"/>
            </w:tcBorders>
            <w:noWrap w:val="0"/>
            <w:vAlign w:val="center"/>
          </w:tcPr>
          <w:p w14:paraId="665440BA">
            <w:pPr>
              <w:autoSpaceDE w:val="0"/>
              <w:autoSpaceDN w:val="0"/>
              <w:adjustRightInd w:val="0"/>
              <w:rPr>
                <w:rFonts w:hint="eastAsia" w:ascii="仿宋" w:hAnsi="仿宋" w:eastAsia="仿宋" w:cs="仿宋"/>
                <w:szCs w:val="21"/>
                <w:highlight w:val="none"/>
              </w:rPr>
            </w:pPr>
          </w:p>
        </w:tc>
        <w:tc>
          <w:tcPr>
            <w:tcW w:w="711" w:type="dxa"/>
            <w:tcBorders>
              <w:tl2br w:val="nil"/>
              <w:tr2bl w:val="nil"/>
            </w:tcBorders>
            <w:noWrap w:val="0"/>
            <w:vAlign w:val="center"/>
          </w:tcPr>
          <w:p w14:paraId="0D85F739">
            <w:pPr>
              <w:autoSpaceDE w:val="0"/>
              <w:autoSpaceDN w:val="0"/>
              <w:adjustRightInd w:val="0"/>
              <w:rPr>
                <w:rFonts w:hint="eastAsia" w:ascii="仿宋" w:hAnsi="仿宋" w:eastAsia="仿宋" w:cs="仿宋"/>
                <w:szCs w:val="21"/>
                <w:highlight w:val="none"/>
              </w:rPr>
            </w:pPr>
          </w:p>
        </w:tc>
        <w:tc>
          <w:tcPr>
            <w:tcW w:w="683" w:type="dxa"/>
            <w:tcBorders>
              <w:tl2br w:val="nil"/>
              <w:tr2bl w:val="nil"/>
            </w:tcBorders>
            <w:noWrap w:val="0"/>
            <w:vAlign w:val="center"/>
          </w:tcPr>
          <w:p w14:paraId="3EF43BB8">
            <w:pPr>
              <w:autoSpaceDE w:val="0"/>
              <w:autoSpaceDN w:val="0"/>
              <w:adjustRightInd w:val="0"/>
              <w:rPr>
                <w:rFonts w:hint="eastAsia" w:ascii="仿宋" w:hAnsi="仿宋" w:eastAsia="仿宋" w:cs="仿宋"/>
                <w:szCs w:val="21"/>
                <w:highlight w:val="none"/>
              </w:rPr>
            </w:pPr>
          </w:p>
        </w:tc>
        <w:tc>
          <w:tcPr>
            <w:tcW w:w="683" w:type="dxa"/>
            <w:tcBorders>
              <w:tl2br w:val="nil"/>
              <w:tr2bl w:val="nil"/>
            </w:tcBorders>
            <w:noWrap w:val="0"/>
            <w:vAlign w:val="center"/>
          </w:tcPr>
          <w:p w14:paraId="2347CB2C">
            <w:pPr>
              <w:autoSpaceDE w:val="0"/>
              <w:autoSpaceDN w:val="0"/>
              <w:adjustRightInd w:val="0"/>
              <w:rPr>
                <w:rFonts w:hint="eastAsia" w:ascii="仿宋" w:hAnsi="仿宋" w:eastAsia="仿宋" w:cs="仿宋"/>
                <w:szCs w:val="21"/>
                <w:highlight w:val="none"/>
              </w:rPr>
            </w:pPr>
          </w:p>
        </w:tc>
        <w:tc>
          <w:tcPr>
            <w:tcW w:w="1254" w:type="dxa"/>
            <w:tcBorders>
              <w:tl2br w:val="nil"/>
              <w:tr2bl w:val="nil"/>
            </w:tcBorders>
            <w:noWrap w:val="0"/>
            <w:vAlign w:val="center"/>
          </w:tcPr>
          <w:p w14:paraId="34CD0E5B">
            <w:pPr>
              <w:autoSpaceDE w:val="0"/>
              <w:autoSpaceDN w:val="0"/>
              <w:adjustRightInd w:val="0"/>
              <w:rPr>
                <w:rFonts w:hint="eastAsia" w:ascii="仿宋" w:hAnsi="仿宋" w:eastAsia="仿宋" w:cs="仿宋"/>
                <w:szCs w:val="21"/>
                <w:highlight w:val="none"/>
              </w:rPr>
            </w:pPr>
          </w:p>
        </w:tc>
        <w:tc>
          <w:tcPr>
            <w:tcW w:w="1069" w:type="dxa"/>
            <w:tcBorders>
              <w:tl2br w:val="nil"/>
              <w:tr2bl w:val="nil"/>
            </w:tcBorders>
            <w:noWrap w:val="0"/>
            <w:vAlign w:val="center"/>
          </w:tcPr>
          <w:p w14:paraId="1E759503">
            <w:pPr>
              <w:autoSpaceDE w:val="0"/>
              <w:autoSpaceDN w:val="0"/>
              <w:adjustRightInd w:val="0"/>
              <w:rPr>
                <w:rFonts w:hint="eastAsia" w:ascii="仿宋" w:hAnsi="仿宋" w:eastAsia="仿宋" w:cs="仿宋"/>
                <w:szCs w:val="21"/>
                <w:highlight w:val="none"/>
              </w:rPr>
            </w:pPr>
          </w:p>
        </w:tc>
        <w:tc>
          <w:tcPr>
            <w:tcW w:w="1025" w:type="dxa"/>
            <w:tcBorders>
              <w:tl2br w:val="nil"/>
              <w:tr2bl w:val="nil"/>
            </w:tcBorders>
            <w:noWrap w:val="0"/>
            <w:vAlign w:val="center"/>
          </w:tcPr>
          <w:p w14:paraId="3C861ED4">
            <w:pPr>
              <w:autoSpaceDE w:val="0"/>
              <w:autoSpaceDN w:val="0"/>
              <w:adjustRightInd w:val="0"/>
              <w:ind w:left="5250"/>
              <w:rPr>
                <w:rFonts w:hint="eastAsia" w:ascii="仿宋" w:hAnsi="仿宋" w:eastAsia="仿宋" w:cs="仿宋"/>
                <w:szCs w:val="21"/>
                <w:highlight w:val="none"/>
              </w:rPr>
            </w:pPr>
          </w:p>
        </w:tc>
        <w:tc>
          <w:tcPr>
            <w:tcW w:w="826" w:type="dxa"/>
            <w:vMerge w:val="continue"/>
            <w:tcBorders>
              <w:tl2br w:val="nil"/>
              <w:tr2bl w:val="nil"/>
            </w:tcBorders>
            <w:noWrap w:val="0"/>
            <w:vAlign w:val="center"/>
          </w:tcPr>
          <w:p w14:paraId="077B1B6E">
            <w:pPr>
              <w:autoSpaceDE w:val="0"/>
              <w:autoSpaceDN w:val="0"/>
              <w:adjustRightInd w:val="0"/>
              <w:rPr>
                <w:rFonts w:hint="eastAsia" w:ascii="仿宋" w:hAnsi="仿宋" w:eastAsia="仿宋" w:cs="仿宋"/>
                <w:szCs w:val="21"/>
                <w:highlight w:val="none"/>
                <w:lang w:val="en-US" w:eastAsia="zh-CN"/>
              </w:rPr>
            </w:pPr>
          </w:p>
        </w:tc>
        <w:tc>
          <w:tcPr>
            <w:tcW w:w="598" w:type="dxa"/>
            <w:tcBorders>
              <w:tl2br w:val="nil"/>
              <w:tr2bl w:val="nil"/>
            </w:tcBorders>
            <w:noWrap w:val="0"/>
            <w:vAlign w:val="center"/>
          </w:tcPr>
          <w:p w14:paraId="3CED131E">
            <w:pPr>
              <w:autoSpaceDE w:val="0"/>
              <w:autoSpaceDN w:val="0"/>
              <w:adjustRightInd w:val="0"/>
              <w:rPr>
                <w:rFonts w:hint="eastAsia" w:ascii="仿宋" w:hAnsi="仿宋" w:eastAsia="仿宋" w:cs="仿宋"/>
                <w:szCs w:val="21"/>
                <w:highlight w:val="none"/>
              </w:rPr>
            </w:pPr>
          </w:p>
        </w:tc>
      </w:tr>
      <w:tr w14:paraId="17E87A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487" w:type="dxa"/>
            <w:tcBorders>
              <w:tl2br w:val="nil"/>
              <w:tr2bl w:val="nil"/>
            </w:tcBorders>
            <w:noWrap w:val="0"/>
            <w:vAlign w:val="center"/>
          </w:tcPr>
          <w:p w14:paraId="0D17D987">
            <w:pPr>
              <w:autoSpaceDE w:val="0"/>
              <w:autoSpaceDN w:val="0"/>
              <w:adjustRightInd w:val="0"/>
              <w:rPr>
                <w:rFonts w:hint="eastAsia" w:ascii="仿宋" w:hAnsi="仿宋" w:eastAsia="仿宋" w:cs="仿宋"/>
                <w:szCs w:val="21"/>
                <w:highlight w:val="none"/>
              </w:rPr>
            </w:pPr>
          </w:p>
        </w:tc>
        <w:tc>
          <w:tcPr>
            <w:tcW w:w="997" w:type="dxa"/>
            <w:tcBorders>
              <w:tl2br w:val="nil"/>
              <w:tr2bl w:val="nil"/>
            </w:tcBorders>
            <w:noWrap w:val="0"/>
            <w:vAlign w:val="top"/>
          </w:tcPr>
          <w:p w14:paraId="684C6ACE">
            <w:pPr>
              <w:autoSpaceDE w:val="0"/>
              <w:autoSpaceDN w:val="0"/>
              <w:adjustRightInd w:val="0"/>
              <w:rPr>
                <w:rFonts w:hint="eastAsia" w:ascii="仿宋" w:hAnsi="仿宋" w:eastAsia="仿宋" w:cs="仿宋"/>
                <w:szCs w:val="21"/>
                <w:highlight w:val="none"/>
              </w:rPr>
            </w:pPr>
          </w:p>
        </w:tc>
        <w:tc>
          <w:tcPr>
            <w:tcW w:w="1025" w:type="dxa"/>
            <w:tcBorders>
              <w:tl2br w:val="nil"/>
              <w:tr2bl w:val="nil"/>
            </w:tcBorders>
            <w:noWrap w:val="0"/>
            <w:vAlign w:val="center"/>
          </w:tcPr>
          <w:p w14:paraId="66C9F8B5">
            <w:pPr>
              <w:autoSpaceDE w:val="0"/>
              <w:autoSpaceDN w:val="0"/>
              <w:adjustRightInd w:val="0"/>
              <w:rPr>
                <w:rFonts w:hint="eastAsia" w:ascii="仿宋" w:hAnsi="仿宋" w:eastAsia="仿宋" w:cs="仿宋"/>
                <w:szCs w:val="21"/>
                <w:highlight w:val="none"/>
              </w:rPr>
            </w:pPr>
          </w:p>
        </w:tc>
        <w:tc>
          <w:tcPr>
            <w:tcW w:w="711" w:type="dxa"/>
            <w:tcBorders>
              <w:tl2br w:val="nil"/>
              <w:tr2bl w:val="nil"/>
            </w:tcBorders>
            <w:noWrap w:val="0"/>
            <w:vAlign w:val="center"/>
          </w:tcPr>
          <w:p w14:paraId="79CD2076">
            <w:pPr>
              <w:autoSpaceDE w:val="0"/>
              <w:autoSpaceDN w:val="0"/>
              <w:adjustRightInd w:val="0"/>
              <w:rPr>
                <w:rFonts w:hint="eastAsia" w:ascii="仿宋" w:hAnsi="仿宋" w:eastAsia="仿宋" w:cs="仿宋"/>
                <w:szCs w:val="21"/>
                <w:highlight w:val="none"/>
              </w:rPr>
            </w:pPr>
          </w:p>
        </w:tc>
        <w:tc>
          <w:tcPr>
            <w:tcW w:w="683" w:type="dxa"/>
            <w:tcBorders>
              <w:tl2br w:val="nil"/>
              <w:tr2bl w:val="nil"/>
            </w:tcBorders>
            <w:noWrap w:val="0"/>
            <w:vAlign w:val="center"/>
          </w:tcPr>
          <w:p w14:paraId="5CBA02A0">
            <w:pPr>
              <w:autoSpaceDE w:val="0"/>
              <w:autoSpaceDN w:val="0"/>
              <w:adjustRightInd w:val="0"/>
              <w:rPr>
                <w:rFonts w:hint="eastAsia" w:ascii="仿宋" w:hAnsi="仿宋" w:eastAsia="仿宋" w:cs="仿宋"/>
                <w:szCs w:val="21"/>
                <w:highlight w:val="none"/>
              </w:rPr>
            </w:pPr>
          </w:p>
        </w:tc>
        <w:tc>
          <w:tcPr>
            <w:tcW w:w="683" w:type="dxa"/>
            <w:tcBorders>
              <w:tl2br w:val="nil"/>
              <w:tr2bl w:val="nil"/>
            </w:tcBorders>
            <w:noWrap w:val="0"/>
            <w:vAlign w:val="center"/>
          </w:tcPr>
          <w:p w14:paraId="5D2481C3">
            <w:pPr>
              <w:autoSpaceDE w:val="0"/>
              <w:autoSpaceDN w:val="0"/>
              <w:adjustRightInd w:val="0"/>
              <w:rPr>
                <w:rFonts w:hint="eastAsia" w:ascii="仿宋" w:hAnsi="仿宋" w:eastAsia="仿宋" w:cs="仿宋"/>
                <w:szCs w:val="21"/>
                <w:highlight w:val="none"/>
              </w:rPr>
            </w:pPr>
          </w:p>
        </w:tc>
        <w:tc>
          <w:tcPr>
            <w:tcW w:w="1254" w:type="dxa"/>
            <w:tcBorders>
              <w:tl2br w:val="nil"/>
              <w:tr2bl w:val="nil"/>
            </w:tcBorders>
            <w:noWrap w:val="0"/>
            <w:vAlign w:val="center"/>
          </w:tcPr>
          <w:p w14:paraId="658444F0">
            <w:pPr>
              <w:autoSpaceDE w:val="0"/>
              <w:autoSpaceDN w:val="0"/>
              <w:adjustRightInd w:val="0"/>
              <w:rPr>
                <w:rFonts w:hint="eastAsia" w:ascii="仿宋" w:hAnsi="仿宋" w:eastAsia="仿宋" w:cs="仿宋"/>
                <w:szCs w:val="21"/>
                <w:highlight w:val="none"/>
              </w:rPr>
            </w:pPr>
          </w:p>
        </w:tc>
        <w:tc>
          <w:tcPr>
            <w:tcW w:w="1069" w:type="dxa"/>
            <w:tcBorders>
              <w:tl2br w:val="nil"/>
              <w:tr2bl w:val="nil"/>
            </w:tcBorders>
            <w:noWrap w:val="0"/>
            <w:vAlign w:val="center"/>
          </w:tcPr>
          <w:p w14:paraId="1FB70858">
            <w:pPr>
              <w:autoSpaceDE w:val="0"/>
              <w:autoSpaceDN w:val="0"/>
              <w:adjustRightInd w:val="0"/>
              <w:rPr>
                <w:rFonts w:hint="eastAsia" w:ascii="仿宋" w:hAnsi="仿宋" w:eastAsia="仿宋" w:cs="仿宋"/>
                <w:szCs w:val="21"/>
                <w:highlight w:val="none"/>
              </w:rPr>
            </w:pPr>
          </w:p>
        </w:tc>
        <w:tc>
          <w:tcPr>
            <w:tcW w:w="1025" w:type="dxa"/>
            <w:tcBorders>
              <w:tl2br w:val="nil"/>
              <w:tr2bl w:val="nil"/>
            </w:tcBorders>
            <w:noWrap w:val="0"/>
            <w:vAlign w:val="center"/>
          </w:tcPr>
          <w:p w14:paraId="7D49F059">
            <w:pPr>
              <w:autoSpaceDE w:val="0"/>
              <w:autoSpaceDN w:val="0"/>
              <w:adjustRightInd w:val="0"/>
              <w:ind w:left="5250"/>
              <w:rPr>
                <w:rFonts w:hint="eastAsia" w:ascii="仿宋" w:hAnsi="仿宋" w:eastAsia="仿宋" w:cs="仿宋"/>
                <w:szCs w:val="21"/>
                <w:highlight w:val="none"/>
              </w:rPr>
            </w:pPr>
          </w:p>
        </w:tc>
        <w:tc>
          <w:tcPr>
            <w:tcW w:w="826" w:type="dxa"/>
            <w:vMerge w:val="continue"/>
            <w:tcBorders>
              <w:tl2br w:val="nil"/>
              <w:tr2bl w:val="nil"/>
            </w:tcBorders>
            <w:noWrap w:val="0"/>
            <w:vAlign w:val="center"/>
          </w:tcPr>
          <w:p w14:paraId="2B9E2DB9">
            <w:pPr>
              <w:autoSpaceDE w:val="0"/>
              <w:autoSpaceDN w:val="0"/>
              <w:adjustRightInd w:val="0"/>
              <w:rPr>
                <w:rFonts w:hint="eastAsia" w:ascii="仿宋" w:hAnsi="仿宋" w:eastAsia="仿宋" w:cs="仿宋"/>
                <w:szCs w:val="21"/>
                <w:highlight w:val="none"/>
                <w:lang w:val="en-US" w:eastAsia="zh-CN"/>
              </w:rPr>
            </w:pPr>
          </w:p>
        </w:tc>
        <w:tc>
          <w:tcPr>
            <w:tcW w:w="598" w:type="dxa"/>
            <w:tcBorders>
              <w:tl2br w:val="nil"/>
              <w:tr2bl w:val="nil"/>
            </w:tcBorders>
            <w:noWrap w:val="0"/>
            <w:vAlign w:val="center"/>
          </w:tcPr>
          <w:p w14:paraId="7FE9A0EB">
            <w:pPr>
              <w:autoSpaceDE w:val="0"/>
              <w:autoSpaceDN w:val="0"/>
              <w:adjustRightInd w:val="0"/>
              <w:rPr>
                <w:rFonts w:hint="eastAsia" w:ascii="仿宋" w:hAnsi="仿宋" w:eastAsia="仿宋" w:cs="仿宋"/>
                <w:szCs w:val="21"/>
                <w:highlight w:val="none"/>
              </w:rPr>
            </w:pPr>
          </w:p>
        </w:tc>
      </w:tr>
      <w:tr w14:paraId="06F9B4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487" w:type="dxa"/>
            <w:tcBorders>
              <w:tl2br w:val="nil"/>
              <w:tr2bl w:val="nil"/>
            </w:tcBorders>
            <w:noWrap w:val="0"/>
            <w:vAlign w:val="center"/>
          </w:tcPr>
          <w:p w14:paraId="10BA2681">
            <w:pPr>
              <w:autoSpaceDE w:val="0"/>
              <w:autoSpaceDN w:val="0"/>
              <w:adjustRightInd w:val="0"/>
              <w:rPr>
                <w:rFonts w:hint="eastAsia" w:ascii="仿宋" w:hAnsi="仿宋" w:eastAsia="仿宋" w:cs="仿宋"/>
                <w:szCs w:val="21"/>
                <w:highlight w:val="none"/>
              </w:rPr>
            </w:pPr>
          </w:p>
        </w:tc>
        <w:tc>
          <w:tcPr>
            <w:tcW w:w="997" w:type="dxa"/>
            <w:tcBorders>
              <w:tl2br w:val="nil"/>
              <w:tr2bl w:val="nil"/>
            </w:tcBorders>
            <w:noWrap w:val="0"/>
            <w:vAlign w:val="top"/>
          </w:tcPr>
          <w:p w14:paraId="153B2D10">
            <w:pPr>
              <w:autoSpaceDE w:val="0"/>
              <w:autoSpaceDN w:val="0"/>
              <w:adjustRightInd w:val="0"/>
              <w:rPr>
                <w:rFonts w:hint="eastAsia" w:ascii="仿宋" w:hAnsi="仿宋" w:eastAsia="仿宋" w:cs="仿宋"/>
                <w:szCs w:val="21"/>
                <w:highlight w:val="none"/>
              </w:rPr>
            </w:pPr>
          </w:p>
        </w:tc>
        <w:tc>
          <w:tcPr>
            <w:tcW w:w="1025" w:type="dxa"/>
            <w:tcBorders>
              <w:tl2br w:val="nil"/>
              <w:tr2bl w:val="nil"/>
            </w:tcBorders>
            <w:noWrap w:val="0"/>
            <w:vAlign w:val="center"/>
          </w:tcPr>
          <w:p w14:paraId="5ADEC429">
            <w:pPr>
              <w:autoSpaceDE w:val="0"/>
              <w:autoSpaceDN w:val="0"/>
              <w:adjustRightInd w:val="0"/>
              <w:rPr>
                <w:rFonts w:hint="eastAsia" w:ascii="仿宋" w:hAnsi="仿宋" w:eastAsia="仿宋" w:cs="仿宋"/>
                <w:szCs w:val="21"/>
                <w:highlight w:val="none"/>
              </w:rPr>
            </w:pPr>
          </w:p>
        </w:tc>
        <w:tc>
          <w:tcPr>
            <w:tcW w:w="711" w:type="dxa"/>
            <w:tcBorders>
              <w:tl2br w:val="nil"/>
              <w:tr2bl w:val="nil"/>
            </w:tcBorders>
            <w:noWrap w:val="0"/>
            <w:vAlign w:val="center"/>
          </w:tcPr>
          <w:p w14:paraId="47CB9F08">
            <w:pPr>
              <w:autoSpaceDE w:val="0"/>
              <w:autoSpaceDN w:val="0"/>
              <w:adjustRightInd w:val="0"/>
              <w:rPr>
                <w:rFonts w:hint="eastAsia" w:ascii="仿宋" w:hAnsi="仿宋" w:eastAsia="仿宋" w:cs="仿宋"/>
                <w:szCs w:val="21"/>
                <w:highlight w:val="none"/>
              </w:rPr>
            </w:pPr>
          </w:p>
        </w:tc>
        <w:tc>
          <w:tcPr>
            <w:tcW w:w="683" w:type="dxa"/>
            <w:tcBorders>
              <w:tl2br w:val="nil"/>
              <w:tr2bl w:val="nil"/>
            </w:tcBorders>
            <w:noWrap w:val="0"/>
            <w:vAlign w:val="center"/>
          </w:tcPr>
          <w:p w14:paraId="1741234A">
            <w:pPr>
              <w:autoSpaceDE w:val="0"/>
              <w:autoSpaceDN w:val="0"/>
              <w:adjustRightInd w:val="0"/>
              <w:rPr>
                <w:rFonts w:hint="eastAsia" w:ascii="仿宋" w:hAnsi="仿宋" w:eastAsia="仿宋" w:cs="仿宋"/>
                <w:szCs w:val="21"/>
                <w:highlight w:val="none"/>
              </w:rPr>
            </w:pPr>
          </w:p>
        </w:tc>
        <w:tc>
          <w:tcPr>
            <w:tcW w:w="683" w:type="dxa"/>
            <w:tcBorders>
              <w:tl2br w:val="nil"/>
              <w:tr2bl w:val="nil"/>
            </w:tcBorders>
            <w:noWrap w:val="0"/>
            <w:vAlign w:val="center"/>
          </w:tcPr>
          <w:p w14:paraId="69B41A78">
            <w:pPr>
              <w:autoSpaceDE w:val="0"/>
              <w:autoSpaceDN w:val="0"/>
              <w:adjustRightInd w:val="0"/>
              <w:rPr>
                <w:rFonts w:hint="eastAsia" w:ascii="仿宋" w:hAnsi="仿宋" w:eastAsia="仿宋" w:cs="仿宋"/>
                <w:szCs w:val="21"/>
                <w:highlight w:val="none"/>
              </w:rPr>
            </w:pPr>
          </w:p>
        </w:tc>
        <w:tc>
          <w:tcPr>
            <w:tcW w:w="1254" w:type="dxa"/>
            <w:tcBorders>
              <w:tl2br w:val="nil"/>
              <w:tr2bl w:val="nil"/>
            </w:tcBorders>
            <w:noWrap w:val="0"/>
            <w:vAlign w:val="center"/>
          </w:tcPr>
          <w:p w14:paraId="3D7FD3BF">
            <w:pPr>
              <w:autoSpaceDE w:val="0"/>
              <w:autoSpaceDN w:val="0"/>
              <w:adjustRightInd w:val="0"/>
              <w:rPr>
                <w:rFonts w:hint="eastAsia" w:ascii="仿宋" w:hAnsi="仿宋" w:eastAsia="仿宋" w:cs="仿宋"/>
                <w:szCs w:val="21"/>
                <w:highlight w:val="none"/>
              </w:rPr>
            </w:pPr>
          </w:p>
        </w:tc>
        <w:tc>
          <w:tcPr>
            <w:tcW w:w="1069" w:type="dxa"/>
            <w:tcBorders>
              <w:tl2br w:val="nil"/>
              <w:tr2bl w:val="nil"/>
            </w:tcBorders>
            <w:noWrap w:val="0"/>
            <w:vAlign w:val="center"/>
          </w:tcPr>
          <w:p w14:paraId="3EA1BBD9">
            <w:pPr>
              <w:autoSpaceDE w:val="0"/>
              <w:autoSpaceDN w:val="0"/>
              <w:adjustRightInd w:val="0"/>
              <w:rPr>
                <w:rFonts w:hint="eastAsia" w:ascii="仿宋" w:hAnsi="仿宋" w:eastAsia="仿宋" w:cs="仿宋"/>
                <w:szCs w:val="21"/>
                <w:highlight w:val="none"/>
              </w:rPr>
            </w:pPr>
          </w:p>
        </w:tc>
        <w:tc>
          <w:tcPr>
            <w:tcW w:w="1025" w:type="dxa"/>
            <w:tcBorders>
              <w:tl2br w:val="nil"/>
              <w:tr2bl w:val="nil"/>
            </w:tcBorders>
            <w:noWrap w:val="0"/>
            <w:vAlign w:val="center"/>
          </w:tcPr>
          <w:p w14:paraId="31130804">
            <w:pPr>
              <w:autoSpaceDE w:val="0"/>
              <w:autoSpaceDN w:val="0"/>
              <w:adjustRightInd w:val="0"/>
              <w:ind w:left="5250"/>
              <w:rPr>
                <w:rFonts w:hint="eastAsia" w:ascii="仿宋" w:hAnsi="仿宋" w:eastAsia="仿宋" w:cs="仿宋"/>
                <w:szCs w:val="21"/>
                <w:highlight w:val="none"/>
              </w:rPr>
            </w:pPr>
          </w:p>
        </w:tc>
        <w:tc>
          <w:tcPr>
            <w:tcW w:w="826" w:type="dxa"/>
            <w:vMerge w:val="continue"/>
            <w:tcBorders>
              <w:tl2br w:val="nil"/>
              <w:tr2bl w:val="nil"/>
            </w:tcBorders>
            <w:noWrap w:val="0"/>
            <w:vAlign w:val="center"/>
          </w:tcPr>
          <w:p w14:paraId="5B7BCA27">
            <w:pPr>
              <w:autoSpaceDE w:val="0"/>
              <w:autoSpaceDN w:val="0"/>
              <w:adjustRightInd w:val="0"/>
              <w:rPr>
                <w:rFonts w:hint="eastAsia" w:ascii="仿宋" w:hAnsi="仿宋" w:eastAsia="仿宋" w:cs="仿宋"/>
                <w:szCs w:val="21"/>
                <w:highlight w:val="none"/>
              </w:rPr>
            </w:pPr>
          </w:p>
        </w:tc>
        <w:tc>
          <w:tcPr>
            <w:tcW w:w="598" w:type="dxa"/>
            <w:tcBorders>
              <w:tl2br w:val="nil"/>
              <w:tr2bl w:val="nil"/>
            </w:tcBorders>
            <w:noWrap w:val="0"/>
            <w:vAlign w:val="center"/>
          </w:tcPr>
          <w:p w14:paraId="23F7360D">
            <w:pPr>
              <w:autoSpaceDE w:val="0"/>
              <w:autoSpaceDN w:val="0"/>
              <w:adjustRightInd w:val="0"/>
              <w:rPr>
                <w:rFonts w:hint="eastAsia" w:ascii="仿宋" w:hAnsi="仿宋" w:eastAsia="仿宋" w:cs="仿宋"/>
                <w:szCs w:val="21"/>
                <w:highlight w:val="none"/>
              </w:rPr>
            </w:pPr>
          </w:p>
        </w:tc>
      </w:tr>
    </w:tbl>
    <w:p w14:paraId="08072F81">
      <w:pPr>
        <w:rPr>
          <w:rFonts w:hint="default"/>
          <w:highlight w:val="none"/>
          <w:lang w:val="en-US" w:eastAsia="zh-CN"/>
        </w:rPr>
      </w:pPr>
    </w:p>
    <w:p w14:paraId="399F2D5D">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bCs/>
          <w:color w:val="auto"/>
          <w:sz w:val="24"/>
          <w:highlight w:val="none"/>
          <w:lang w:val="zh-CN"/>
        </w:rPr>
      </w:pPr>
      <w:r>
        <w:rPr>
          <w:rFonts w:hint="eastAsia" w:ascii="仿宋" w:hAnsi="仿宋" w:eastAsia="仿宋" w:cs="仿宋"/>
          <w:bCs/>
          <w:color w:val="auto"/>
          <w:highlight w:val="none"/>
          <w:lang w:val="en-US" w:eastAsia="zh-CN"/>
        </w:rPr>
        <w:t>响应文件</w:t>
      </w:r>
      <w:r>
        <w:rPr>
          <w:rFonts w:hint="eastAsia" w:ascii="仿宋" w:hAnsi="仿宋" w:eastAsia="仿宋" w:cs="仿宋"/>
          <w:bCs/>
          <w:color w:val="auto"/>
          <w:highlight w:val="none"/>
        </w:rPr>
        <w:t>中明确的人员在项目开展过程中不得擅自更换，如需更换应提前10个工作日以书面形式通知采购人，经采购人同意后方可更换。更换后的人员资质及经验不得低于更换前。</w:t>
      </w:r>
    </w:p>
    <w:p w14:paraId="14016C55">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3、法律顾问团队设项目负责人1名,负责本项目日常对接联系。为确保服务团队质量，该项目负责人</w:t>
      </w:r>
      <w:r>
        <w:rPr>
          <w:rFonts w:hint="eastAsia" w:ascii="仿宋" w:hAnsi="仿宋" w:eastAsia="仿宋" w:cs="仿宋"/>
          <w:bCs/>
          <w:color w:val="auto"/>
          <w:highlight w:val="none"/>
          <w:lang w:val="en-US" w:eastAsia="zh-CN"/>
        </w:rPr>
        <w:t>律师执业年限</w:t>
      </w:r>
      <w:r>
        <w:rPr>
          <w:rFonts w:hint="eastAsia" w:ascii="仿宋" w:hAnsi="仿宋" w:eastAsia="仿宋" w:cs="仿宋"/>
          <w:bCs/>
          <w:color w:val="auto"/>
          <w:sz w:val="24"/>
          <w:highlight w:val="none"/>
          <w:lang w:val="en-US" w:eastAsia="zh-CN"/>
        </w:rPr>
        <w:t>应</w:t>
      </w:r>
      <w:r>
        <w:rPr>
          <w:rFonts w:hint="eastAsia" w:ascii="仿宋" w:hAnsi="仿宋" w:eastAsia="仿宋" w:cs="仿宋"/>
          <w:bCs/>
          <w:color w:val="auto"/>
          <w:sz w:val="24"/>
          <w:highlight w:val="none"/>
          <w:lang w:val="zh-CN" w:eastAsia="zh-CN"/>
        </w:rPr>
        <w:t>不低于</w:t>
      </w:r>
      <w:r>
        <w:rPr>
          <w:rFonts w:hint="eastAsia" w:ascii="仿宋" w:hAnsi="仿宋" w:eastAsia="仿宋" w:cs="仿宋"/>
          <w:bCs/>
          <w:color w:val="auto"/>
          <w:sz w:val="24"/>
          <w:highlight w:val="none"/>
          <w:lang w:val="en-US" w:eastAsia="zh-CN"/>
        </w:rPr>
        <w:t>8</w:t>
      </w:r>
      <w:r>
        <w:rPr>
          <w:rFonts w:hint="eastAsia" w:ascii="仿宋" w:hAnsi="仿宋" w:eastAsia="仿宋" w:cs="仿宋"/>
          <w:bCs/>
          <w:color w:val="auto"/>
          <w:sz w:val="24"/>
          <w:highlight w:val="none"/>
          <w:lang w:val="zh-CN" w:eastAsia="zh-CN"/>
        </w:rPr>
        <w:t>年，且应具有</w:t>
      </w:r>
      <w:r>
        <w:rPr>
          <w:rFonts w:hint="eastAsia" w:ascii="仿宋" w:hAnsi="仿宋" w:eastAsia="仿宋" w:cs="仿宋"/>
          <w:bCs/>
          <w:color w:val="auto"/>
          <w:sz w:val="24"/>
          <w:highlight w:val="none"/>
        </w:rPr>
        <w:t>各级党委、</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rPr>
        <w:t>政府机关、</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rPr>
        <w:t>事业单位</w:t>
      </w:r>
      <w:r>
        <w:rPr>
          <w:rFonts w:hint="eastAsia" w:ascii="仿宋" w:hAnsi="仿宋" w:eastAsia="仿宋" w:cs="仿宋"/>
          <w:bCs/>
          <w:color w:val="auto"/>
          <w:sz w:val="24"/>
          <w:highlight w:val="none"/>
          <w:lang w:eastAsia="zh-CN"/>
        </w:rPr>
        <w:t>或各级复议机关</w:t>
      </w:r>
      <w:r>
        <w:rPr>
          <w:rFonts w:hint="eastAsia" w:ascii="仿宋" w:hAnsi="仿宋" w:eastAsia="仿宋" w:cs="仿宋"/>
          <w:bCs/>
          <w:color w:val="auto"/>
          <w:sz w:val="24"/>
          <w:highlight w:val="none"/>
          <w:lang w:val="zh-CN" w:eastAsia="zh-CN"/>
        </w:rPr>
        <w:t>法律顾问服务经验或类似管理经验，</w:t>
      </w:r>
      <w:r>
        <w:rPr>
          <w:rFonts w:hint="eastAsia" w:ascii="仿宋" w:hAnsi="仿宋" w:eastAsia="仿宋" w:cs="仿宋"/>
          <w:bCs/>
          <w:color w:val="auto"/>
          <w:sz w:val="24"/>
          <w:highlight w:val="none"/>
          <w:lang w:val="en-US" w:eastAsia="zh-CN"/>
        </w:rPr>
        <w:t>应能提供简历及相关合同证明（合同无法证明项目负责人工作经历的，经补充有委托方或业主单位盖章的说明或证明材料）。</w:t>
      </w:r>
    </w:p>
    <w:p w14:paraId="48AFA394">
      <w:pPr>
        <w:pStyle w:val="24"/>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bCs/>
          <w:color w:val="auto"/>
          <w:highlight w:val="none"/>
          <w:lang w:val="en-US" w:eastAsia="zh-CN"/>
        </w:rPr>
      </w:pPr>
      <w:r>
        <w:rPr>
          <w:rFonts w:hint="eastAsia" w:ascii="仿宋" w:hAnsi="仿宋" w:eastAsia="仿宋" w:cs="仿宋"/>
          <w:bCs/>
          <w:color w:val="auto"/>
          <w:highlight w:val="none"/>
          <w:lang w:val="en-US" w:eastAsia="zh-CN"/>
        </w:rPr>
        <w:t>4、除项目负责人外，顾问团队还应选派经验丰富的</w:t>
      </w:r>
      <w:r>
        <w:rPr>
          <w:rFonts w:hint="eastAsia" w:ascii="仿宋" w:hAnsi="仿宋" w:eastAsia="仿宋" w:cs="仿宋"/>
          <w:bCs/>
          <w:color w:val="auto"/>
          <w:highlight w:val="none"/>
          <w:u w:val="none"/>
          <w:lang w:val="en-US" w:eastAsia="zh-CN"/>
        </w:rPr>
        <w:t>执业律师</w:t>
      </w:r>
      <w:r>
        <w:rPr>
          <w:rFonts w:hint="eastAsia" w:ascii="仿宋" w:hAnsi="仿宋" w:eastAsia="仿宋" w:cs="仿宋"/>
          <w:bCs/>
          <w:color w:val="auto"/>
          <w:highlight w:val="none"/>
          <w:lang w:val="en-US" w:eastAsia="zh-CN"/>
        </w:rPr>
        <w:t>作为团队成员，年龄结构合理、经验丰富、可应对各层次行政类法律事务。除项目负责人外，投入本项目执业律师不少于4人，每名律师执业年限不低于3年。</w:t>
      </w:r>
    </w:p>
    <w:p w14:paraId="3BBFB34F">
      <w:pPr>
        <w:pStyle w:val="24"/>
        <w:pageBreakBefore w:val="0"/>
        <w:widowControl w:val="0"/>
        <w:kinsoku/>
        <w:wordWrap/>
        <w:overflowPunct/>
        <w:topLinePunct w:val="0"/>
        <w:bidi w:val="0"/>
        <w:adjustRightInd w:val="0"/>
        <w:snapToGrid w:val="0"/>
        <w:spacing w:line="360" w:lineRule="auto"/>
        <w:ind w:left="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highlight w:val="none"/>
          <w:lang w:val="en-US" w:eastAsia="zh-CN"/>
        </w:rPr>
        <w:t>5、</w:t>
      </w:r>
      <w:r>
        <w:rPr>
          <w:rFonts w:hint="eastAsia" w:ascii="仿宋" w:hAnsi="仿宋" w:eastAsia="仿宋" w:cs="仿宋"/>
          <w:color w:val="auto"/>
          <w:sz w:val="24"/>
          <w:highlight w:val="none"/>
          <w:lang w:val="en-US" w:eastAsia="zh-CN"/>
        </w:rPr>
        <w:t>法律顾问</w:t>
      </w:r>
      <w:r>
        <w:rPr>
          <w:rFonts w:hint="eastAsia" w:ascii="仿宋" w:hAnsi="仿宋" w:eastAsia="仿宋" w:cs="仿宋"/>
          <w:color w:val="auto"/>
          <w:sz w:val="24"/>
          <w:highlight w:val="none"/>
        </w:rPr>
        <w:t>团队</w:t>
      </w:r>
      <w:r>
        <w:rPr>
          <w:rFonts w:hint="eastAsia" w:ascii="仿宋" w:hAnsi="仿宋" w:eastAsia="仿宋" w:cs="仿宋"/>
          <w:bCs/>
          <w:color w:val="auto"/>
          <w:highlight w:val="none"/>
          <w:lang w:val="en-US" w:eastAsia="zh-CN"/>
        </w:rPr>
        <w:t>应提供人员</w:t>
      </w:r>
      <w:r>
        <w:rPr>
          <w:rFonts w:hint="eastAsia" w:ascii="仿宋" w:hAnsi="仿宋" w:eastAsia="仿宋" w:cs="仿宋"/>
          <w:bCs/>
          <w:color w:val="auto"/>
          <w:highlight w:val="none"/>
        </w:rPr>
        <w:t>名单，每个参加项目人员</w:t>
      </w:r>
      <w:r>
        <w:rPr>
          <w:rFonts w:hint="eastAsia" w:ascii="仿宋" w:hAnsi="仿宋" w:eastAsia="仿宋" w:cs="仿宋"/>
          <w:bCs/>
          <w:color w:val="auto"/>
          <w:highlight w:val="none"/>
          <w:lang w:val="en-US" w:eastAsia="zh-CN"/>
        </w:rPr>
        <w:t>提供</w:t>
      </w:r>
      <w:r>
        <w:rPr>
          <w:rFonts w:hint="eastAsia" w:ascii="仿宋" w:hAnsi="仿宋" w:eastAsia="仿宋" w:cs="仿宋"/>
          <w:bCs/>
          <w:color w:val="auto"/>
          <w:highlight w:val="none"/>
        </w:rPr>
        <w:t>履历表，主要内容包括学历、工作特长、经验与业绩、资质情况等，该人员参与的时间以及在项目中的责任</w:t>
      </w:r>
      <w:r>
        <w:rPr>
          <w:rFonts w:hint="eastAsia" w:ascii="仿宋" w:hAnsi="仿宋" w:eastAsia="仿宋" w:cs="仿宋"/>
          <w:bCs/>
          <w:color w:val="auto"/>
          <w:highlight w:val="none"/>
          <w:lang w:eastAsia="zh-CN"/>
        </w:rPr>
        <w:t>分工</w:t>
      </w:r>
      <w:r>
        <w:rPr>
          <w:rFonts w:hint="eastAsia" w:ascii="仿宋" w:hAnsi="仿宋" w:eastAsia="仿宋" w:cs="仿宋"/>
          <w:bCs/>
          <w:color w:val="auto"/>
          <w:highlight w:val="none"/>
        </w:rPr>
        <w:t>。</w:t>
      </w:r>
      <w:r>
        <w:rPr>
          <w:rFonts w:hint="eastAsia" w:ascii="仿宋" w:hAnsi="仿宋" w:eastAsia="仿宋" w:cs="仿宋"/>
          <w:bCs/>
          <w:color w:val="auto"/>
          <w:highlight w:val="none"/>
          <w:lang w:val="en-US" w:eastAsia="zh-CN"/>
        </w:rPr>
        <w:t>整个团队在</w:t>
      </w:r>
      <w:r>
        <w:rPr>
          <w:rFonts w:hint="eastAsia" w:ascii="仿宋" w:hAnsi="仿宋" w:eastAsia="仿宋" w:cs="仿宋"/>
          <w:bCs/>
          <w:color w:val="auto"/>
          <w:sz w:val="24"/>
          <w:highlight w:val="none"/>
          <w:lang w:val="en-US" w:eastAsia="zh-CN"/>
        </w:rPr>
        <w:t>行政复议、行政诉讼、国家赔</w:t>
      </w:r>
      <w:r>
        <w:rPr>
          <w:rFonts w:hint="eastAsia" w:ascii="仿宋" w:hAnsi="仿宋" w:eastAsia="仿宋" w:cs="仿宋"/>
          <w:bCs/>
          <w:color w:val="auto"/>
          <w:highlight w:val="none"/>
          <w:lang w:val="en-US" w:eastAsia="zh-CN"/>
        </w:rPr>
        <w:t>偿、拆迁安置、</w:t>
      </w:r>
      <w:r>
        <w:rPr>
          <w:rFonts w:hint="eastAsia" w:ascii="仿宋" w:hAnsi="仿宋" w:eastAsia="仿宋" w:cs="仿宋"/>
          <w:bCs/>
          <w:color w:val="auto"/>
          <w:sz w:val="24"/>
          <w:highlight w:val="none"/>
          <w:lang w:val="en-US" w:eastAsia="zh-CN"/>
        </w:rPr>
        <w:t>违章建筑拆除、</w:t>
      </w:r>
      <w:r>
        <w:rPr>
          <w:rFonts w:hint="eastAsia" w:ascii="仿宋" w:hAnsi="仿宋" w:eastAsia="仿宋" w:cs="仿宋"/>
          <w:bCs/>
          <w:color w:val="auto"/>
          <w:highlight w:val="none"/>
          <w:lang w:val="en-US" w:eastAsia="zh-CN"/>
        </w:rPr>
        <w:t>政府信息公开、工程建设等各方面（类型）具有经验和专业能力。</w:t>
      </w:r>
    </w:p>
    <w:p w14:paraId="373C9279">
      <w:pPr>
        <w:pStyle w:val="22"/>
        <w:pageBreakBefore w:val="0"/>
        <w:widowControl w:val="0"/>
        <w:kinsoku/>
        <w:wordWrap/>
        <w:overflowPunct/>
        <w:topLinePunct w:val="0"/>
        <w:bidi w:val="0"/>
        <w:adjustRightInd w:val="0"/>
        <w:snapToGrid w:val="0"/>
        <w:spacing w:line="360" w:lineRule="auto"/>
        <w:ind w:left="0" w:firstLine="482" w:firstLineChars="200"/>
        <w:textAlignment w:val="auto"/>
        <w:outlineLvl w:val="2"/>
        <w:rPr>
          <w:rFonts w:hint="eastAsia" w:ascii="仿宋" w:hAnsi="仿宋" w:eastAsia="仿宋" w:cs="仿宋"/>
          <w:b/>
          <w:bCs/>
          <w:color w:val="auto"/>
          <w:sz w:val="24"/>
          <w:highlight w:val="none"/>
          <w:shd w:val="clear" w:color="auto" w:fill="auto"/>
          <w:lang w:val="en-US" w:eastAsia="zh-CN"/>
        </w:rPr>
      </w:pPr>
      <w:r>
        <w:rPr>
          <w:rFonts w:hint="eastAsia" w:ascii="仿宋" w:hAnsi="仿宋" w:eastAsia="仿宋" w:cs="仿宋"/>
          <w:b/>
          <w:bCs/>
          <w:color w:val="auto"/>
          <w:sz w:val="24"/>
          <w:highlight w:val="none"/>
          <w:shd w:val="clear" w:color="auto" w:fill="auto"/>
          <w:lang w:val="en-US" w:eastAsia="zh-CN"/>
        </w:rPr>
        <w:t>（三）办公场地及硬件</w:t>
      </w:r>
    </w:p>
    <w:p w14:paraId="2176D0D1">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bCs/>
          <w:color w:val="auto"/>
          <w:sz w:val="24"/>
          <w:szCs w:val="22"/>
          <w:highlight w:val="none"/>
          <w:shd w:val="clear" w:color="auto" w:fill="auto"/>
          <w:lang w:val="en-US" w:eastAsia="zh-CN"/>
        </w:rPr>
      </w:pPr>
      <w:r>
        <w:rPr>
          <w:rFonts w:hint="eastAsia" w:ascii="仿宋" w:hAnsi="仿宋" w:eastAsia="仿宋" w:cs="仿宋"/>
          <w:color w:val="auto"/>
          <w:sz w:val="24"/>
          <w:highlight w:val="none"/>
          <w:lang w:val="en-US" w:eastAsia="zh-CN"/>
        </w:rPr>
        <w:t>1、</w:t>
      </w:r>
      <w:r>
        <w:rPr>
          <w:rFonts w:hint="eastAsia" w:ascii="仿宋" w:hAnsi="仿宋" w:eastAsia="仿宋" w:cs="仿宋"/>
          <w:bCs/>
          <w:color w:val="auto"/>
          <w:sz w:val="24"/>
          <w:szCs w:val="22"/>
          <w:highlight w:val="none"/>
          <w:shd w:val="clear" w:color="auto" w:fill="auto"/>
          <w:lang w:val="en-US" w:eastAsia="zh-CN"/>
        </w:rPr>
        <w:t>供应商具有业务开展所需的办公场地，具备完善的办公室、洽谈室、档案室等场地。</w:t>
      </w:r>
    </w:p>
    <w:p w14:paraId="42EC4016">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default" w:ascii="仿宋" w:hAnsi="仿宋" w:eastAsia="仿宋" w:cs="仿宋"/>
          <w:bCs/>
          <w:color w:val="auto"/>
          <w:sz w:val="24"/>
          <w:szCs w:val="22"/>
          <w:highlight w:val="none"/>
          <w:shd w:val="clear" w:color="auto" w:fill="auto"/>
          <w:lang w:val="en-US" w:eastAsia="zh-CN"/>
        </w:rPr>
      </w:pPr>
      <w:r>
        <w:rPr>
          <w:rFonts w:hint="eastAsia" w:ascii="仿宋" w:hAnsi="仿宋" w:eastAsia="仿宋" w:cs="仿宋"/>
          <w:bCs/>
          <w:color w:val="auto"/>
          <w:sz w:val="24"/>
          <w:szCs w:val="22"/>
          <w:highlight w:val="none"/>
          <w:shd w:val="clear" w:color="auto" w:fill="auto"/>
          <w:lang w:val="en-US" w:eastAsia="zh-CN"/>
        </w:rPr>
        <w:t>2、计算机、扫描仪、复印机、打印机、电话机等办公设施设备齐全。</w:t>
      </w:r>
    </w:p>
    <w:p w14:paraId="176A9039">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default" w:ascii="仿宋" w:hAnsi="仿宋" w:eastAsia="仿宋" w:cs="仿宋"/>
          <w:bCs/>
          <w:color w:val="auto"/>
          <w:sz w:val="24"/>
          <w:szCs w:val="22"/>
          <w:highlight w:val="none"/>
          <w:shd w:val="clear" w:color="auto" w:fill="auto"/>
          <w:lang w:val="en-US" w:eastAsia="zh-CN"/>
        </w:rPr>
      </w:pPr>
      <w:r>
        <w:rPr>
          <w:rFonts w:hint="eastAsia" w:ascii="仿宋" w:hAnsi="仿宋" w:eastAsia="仿宋" w:cs="仿宋"/>
          <w:bCs/>
          <w:color w:val="auto"/>
          <w:sz w:val="24"/>
          <w:szCs w:val="22"/>
          <w:highlight w:val="none"/>
          <w:shd w:val="clear" w:color="auto" w:fill="auto"/>
          <w:lang w:val="en-US" w:eastAsia="zh-CN"/>
        </w:rPr>
        <w:t>3、交通便利，及时提供服务具备可行性。</w:t>
      </w:r>
    </w:p>
    <w:p w14:paraId="6E63BB45">
      <w:pPr>
        <w:pStyle w:val="22"/>
        <w:pageBreakBefore w:val="0"/>
        <w:widowControl w:val="0"/>
        <w:kinsoku/>
        <w:wordWrap/>
        <w:overflowPunct/>
        <w:topLinePunct w:val="0"/>
        <w:bidi w:val="0"/>
        <w:adjustRightInd w:val="0"/>
        <w:snapToGrid w:val="0"/>
        <w:spacing w:line="360" w:lineRule="auto"/>
        <w:ind w:left="0" w:firstLine="482" w:firstLineChars="200"/>
        <w:textAlignment w:val="auto"/>
        <w:outlineLvl w:val="2"/>
        <w:rPr>
          <w:rFonts w:hint="eastAsia" w:ascii="仿宋" w:hAnsi="仿宋" w:eastAsia="仿宋" w:cs="仿宋"/>
          <w:b/>
          <w:bCs/>
          <w:color w:val="auto"/>
          <w:sz w:val="24"/>
          <w:highlight w:val="none"/>
          <w:shd w:val="clear" w:color="auto" w:fill="auto"/>
        </w:rPr>
      </w:pPr>
      <w:bookmarkStart w:id="68" w:name="_Toc21981"/>
      <w:r>
        <w:rPr>
          <w:rFonts w:hint="eastAsia" w:ascii="仿宋" w:hAnsi="仿宋" w:eastAsia="仿宋" w:cs="仿宋"/>
          <w:b/>
          <w:bCs/>
          <w:color w:val="auto"/>
          <w:sz w:val="24"/>
          <w:highlight w:val="none"/>
          <w:shd w:val="clear" w:color="auto" w:fill="auto"/>
          <w:lang w:eastAsia="zh-CN"/>
        </w:rPr>
        <w:t>（</w:t>
      </w:r>
      <w:r>
        <w:rPr>
          <w:rFonts w:hint="eastAsia" w:ascii="仿宋" w:hAnsi="仿宋" w:eastAsia="仿宋" w:cs="仿宋"/>
          <w:b/>
          <w:bCs/>
          <w:color w:val="auto"/>
          <w:sz w:val="24"/>
          <w:highlight w:val="none"/>
          <w:shd w:val="clear" w:color="auto" w:fill="auto"/>
          <w:lang w:val="en-US" w:eastAsia="zh-CN"/>
        </w:rPr>
        <w:t>四</w:t>
      </w:r>
      <w:r>
        <w:rPr>
          <w:rFonts w:hint="eastAsia" w:ascii="仿宋" w:hAnsi="仿宋" w:eastAsia="仿宋" w:cs="仿宋"/>
          <w:b/>
          <w:bCs/>
          <w:color w:val="auto"/>
          <w:sz w:val="24"/>
          <w:highlight w:val="none"/>
          <w:shd w:val="clear" w:color="auto" w:fill="auto"/>
          <w:lang w:eastAsia="zh-CN"/>
        </w:rPr>
        <w:t>）</w:t>
      </w:r>
      <w:r>
        <w:rPr>
          <w:rFonts w:hint="eastAsia" w:ascii="仿宋" w:hAnsi="仿宋" w:eastAsia="仿宋" w:cs="仿宋"/>
          <w:b/>
          <w:bCs/>
          <w:color w:val="auto"/>
          <w:sz w:val="24"/>
          <w:highlight w:val="none"/>
          <w:shd w:val="clear" w:color="auto" w:fill="auto"/>
        </w:rPr>
        <w:t>对方案的要求</w:t>
      </w:r>
      <w:bookmarkEnd w:id="68"/>
    </w:p>
    <w:p w14:paraId="64543B90">
      <w:pPr>
        <w:pStyle w:val="24"/>
        <w:pageBreakBefore w:val="0"/>
        <w:widowControl w:val="0"/>
        <w:kinsoku/>
        <w:wordWrap/>
        <w:overflowPunct/>
        <w:topLinePunct w:val="0"/>
        <w:bidi w:val="0"/>
        <w:adjustRightInd w:val="0"/>
        <w:snapToGrid w:val="0"/>
        <w:spacing w:line="360" w:lineRule="auto"/>
        <w:ind w:left="0"/>
        <w:textAlignment w:val="auto"/>
        <w:rPr>
          <w:rFonts w:hint="eastAsia" w:ascii="仿宋" w:hAnsi="仿宋" w:eastAsia="仿宋" w:cs="仿宋"/>
          <w:color w:val="auto"/>
          <w:kern w:val="0"/>
          <w:highlight w:val="none"/>
          <w:shd w:val="clear" w:color="auto" w:fill="auto"/>
        </w:rPr>
      </w:pPr>
      <w:r>
        <w:rPr>
          <w:rFonts w:hint="eastAsia" w:ascii="仿宋" w:hAnsi="仿宋" w:eastAsia="仿宋" w:cs="仿宋"/>
          <w:color w:val="auto"/>
          <w:kern w:val="0"/>
          <w:highlight w:val="none"/>
          <w:shd w:val="clear" w:color="auto" w:fill="auto"/>
        </w:rPr>
        <w:t>为了使项目顺利开展，</w:t>
      </w:r>
      <w:r>
        <w:rPr>
          <w:rFonts w:hint="eastAsia" w:ascii="仿宋" w:hAnsi="仿宋" w:eastAsia="仿宋" w:cs="仿宋"/>
          <w:color w:val="auto"/>
          <w:kern w:val="0"/>
          <w:highlight w:val="none"/>
          <w:shd w:val="clear" w:color="auto" w:fill="auto"/>
          <w:lang w:val="en-US" w:eastAsia="zh-CN"/>
        </w:rPr>
        <w:t>磋商响应</w:t>
      </w:r>
      <w:r>
        <w:rPr>
          <w:rFonts w:hint="eastAsia" w:ascii="仿宋" w:hAnsi="仿宋" w:eastAsia="仿宋" w:cs="仿宋"/>
          <w:color w:val="auto"/>
          <w:kern w:val="0"/>
          <w:highlight w:val="none"/>
          <w:shd w:val="clear" w:color="auto" w:fill="auto"/>
        </w:rPr>
        <w:t>方案应至少考虑如下内容：</w:t>
      </w:r>
    </w:p>
    <w:p w14:paraId="3B10F558">
      <w:pPr>
        <w:pStyle w:val="24"/>
        <w:pageBreakBefore w:val="0"/>
        <w:widowControl w:val="0"/>
        <w:kinsoku/>
        <w:wordWrap/>
        <w:overflowPunct/>
        <w:topLinePunct w:val="0"/>
        <w:bidi w:val="0"/>
        <w:adjustRightInd w:val="0"/>
        <w:snapToGrid w:val="0"/>
        <w:spacing w:line="360" w:lineRule="auto"/>
        <w:ind w:left="0"/>
        <w:textAlignment w:val="auto"/>
        <w:rPr>
          <w:rFonts w:hint="eastAsia" w:ascii="仿宋" w:hAnsi="仿宋" w:eastAsia="仿宋" w:cs="仿宋"/>
          <w:bCs/>
          <w:color w:val="auto"/>
          <w:highlight w:val="none"/>
          <w:shd w:val="clear" w:color="auto" w:fill="auto"/>
        </w:rPr>
      </w:pPr>
      <w:r>
        <w:rPr>
          <w:rFonts w:hint="eastAsia" w:ascii="仿宋" w:hAnsi="仿宋" w:eastAsia="仿宋" w:cs="仿宋"/>
          <w:color w:val="auto"/>
          <w:kern w:val="0"/>
          <w:highlight w:val="none"/>
          <w:shd w:val="clear" w:color="auto" w:fill="auto"/>
          <w:lang w:val="en-US" w:eastAsia="zh-CN"/>
        </w:rPr>
        <w:t>（1）供应商应建立完善的</w:t>
      </w:r>
      <w:r>
        <w:rPr>
          <w:rFonts w:hint="eastAsia" w:ascii="仿宋" w:hAnsi="仿宋" w:eastAsia="仿宋" w:cs="仿宋"/>
          <w:color w:val="auto"/>
          <w:kern w:val="0"/>
          <w:highlight w:val="none"/>
          <w:shd w:val="clear" w:color="auto" w:fill="auto"/>
        </w:rPr>
        <w:t>内部管理制度</w:t>
      </w:r>
      <w:r>
        <w:rPr>
          <w:rFonts w:hint="eastAsia" w:ascii="仿宋" w:hAnsi="仿宋" w:eastAsia="仿宋" w:cs="仿宋"/>
          <w:color w:val="auto"/>
          <w:kern w:val="0"/>
          <w:highlight w:val="none"/>
          <w:shd w:val="clear" w:color="auto" w:fill="auto"/>
          <w:lang w:eastAsia="zh-CN"/>
        </w:rPr>
        <w:t>，</w:t>
      </w:r>
      <w:r>
        <w:rPr>
          <w:rFonts w:hint="eastAsia" w:ascii="仿宋" w:hAnsi="仿宋" w:eastAsia="仿宋" w:cs="仿宋"/>
          <w:color w:val="auto"/>
          <w:kern w:val="0"/>
          <w:highlight w:val="none"/>
          <w:shd w:val="clear" w:color="auto" w:fill="auto"/>
          <w:lang w:val="en-US" w:eastAsia="zh-CN"/>
        </w:rPr>
        <w:t>包括</w:t>
      </w:r>
      <w:r>
        <w:rPr>
          <w:rFonts w:hint="eastAsia" w:ascii="仿宋" w:hAnsi="仿宋" w:eastAsia="仿宋" w:cs="仿宋"/>
          <w:color w:val="auto"/>
          <w:kern w:val="0"/>
          <w:highlight w:val="none"/>
          <w:shd w:val="clear" w:color="auto" w:fill="auto"/>
        </w:rPr>
        <w:t>人员管理（考核制度）；分配机制和财务制度；案件讨论制度；服务质量和风险防控制度；律师</w:t>
      </w:r>
      <w:r>
        <w:rPr>
          <w:rFonts w:hint="eastAsia" w:ascii="仿宋" w:hAnsi="仿宋" w:eastAsia="仿宋" w:cs="仿宋"/>
          <w:color w:val="auto"/>
          <w:kern w:val="0"/>
          <w:highlight w:val="none"/>
          <w:shd w:val="clear" w:color="auto" w:fill="auto"/>
          <w:lang w:val="en-US" w:eastAsia="zh-CN"/>
        </w:rPr>
        <w:t>分派</w:t>
      </w:r>
      <w:r>
        <w:rPr>
          <w:rFonts w:hint="eastAsia" w:ascii="仿宋" w:hAnsi="仿宋" w:eastAsia="仿宋" w:cs="仿宋"/>
          <w:color w:val="auto"/>
          <w:kern w:val="0"/>
          <w:highlight w:val="none"/>
          <w:shd w:val="clear" w:color="auto" w:fill="auto"/>
        </w:rPr>
        <w:t>制度；律所利益冲突排除制度；律所决策</w:t>
      </w:r>
      <w:r>
        <w:rPr>
          <w:rFonts w:hint="eastAsia" w:ascii="仿宋" w:hAnsi="仿宋" w:eastAsia="仿宋" w:cs="仿宋"/>
          <w:color w:val="auto"/>
          <w:kern w:val="0"/>
          <w:highlight w:val="none"/>
          <w:shd w:val="clear" w:color="auto" w:fill="auto"/>
          <w:lang w:eastAsia="zh-CN"/>
        </w:rPr>
        <w:t>和文书审批</w:t>
      </w:r>
      <w:r>
        <w:rPr>
          <w:rFonts w:hint="eastAsia" w:ascii="仿宋" w:hAnsi="仿宋" w:eastAsia="仿宋" w:cs="仿宋"/>
          <w:color w:val="auto"/>
          <w:kern w:val="0"/>
          <w:highlight w:val="none"/>
          <w:shd w:val="clear" w:color="auto" w:fill="auto"/>
        </w:rPr>
        <w:t>制度；档案管理制度；投诉处理机制</w:t>
      </w:r>
      <w:r>
        <w:rPr>
          <w:rFonts w:hint="eastAsia" w:ascii="仿宋" w:hAnsi="仿宋" w:eastAsia="仿宋" w:cs="仿宋"/>
          <w:bCs/>
          <w:color w:val="auto"/>
          <w:highlight w:val="none"/>
          <w:shd w:val="clear" w:color="auto" w:fill="auto"/>
        </w:rPr>
        <w:t>等。</w:t>
      </w:r>
    </w:p>
    <w:p w14:paraId="7B7A7E6A">
      <w:pPr>
        <w:pStyle w:val="24"/>
        <w:pageBreakBefore w:val="0"/>
        <w:widowControl w:val="0"/>
        <w:kinsoku/>
        <w:wordWrap/>
        <w:overflowPunct/>
        <w:topLinePunct w:val="0"/>
        <w:bidi w:val="0"/>
        <w:adjustRightInd w:val="0"/>
        <w:snapToGrid w:val="0"/>
        <w:spacing w:line="360" w:lineRule="auto"/>
        <w:ind w:left="0"/>
        <w:textAlignment w:val="auto"/>
        <w:rPr>
          <w:rFonts w:hint="eastAsia" w:ascii="仿宋" w:hAnsi="仿宋" w:eastAsia="仿宋" w:cs="仿宋"/>
          <w:bCs/>
          <w:color w:val="auto"/>
          <w:highlight w:val="none"/>
          <w:shd w:val="clear" w:color="auto" w:fill="auto"/>
          <w:lang w:eastAsia="zh-CN"/>
        </w:rPr>
      </w:pPr>
      <w:r>
        <w:rPr>
          <w:rFonts w:hint="eastAsia" w:ascii="仿宋" w:hAnsi="仿宋" w:eastAsia="仿宋" w:cs="仿宋"/>
          <w:bCs/>
          <w:color w:val="auto"/>
          <w:highlight w:val="none"/>
          <w:shd w:val="clear" w:color="auto" w:fill="auto"/>
          <w:lang w:eastAsia="zh-CN"/>
        </w:rPr>
        <w:t>（</w:t>
      </w:r>
      <w:r>
        <w:rPr>
          <w:rFonts w:hint="eastAsia" w:ascii="仿宋" w:hAnsi="仿宋" w:eastAsia="仿宋" w:cs="仿宋"/>
          <w:bCs/>
          <w:color w:val="auto"/>
          <w:highlight w:val="none"/>
          <w:shd w:val="clear" w:color="auto" w:fill="auto"/>
          <w:lang w:val="en-US" w:eastAsia="zh-CN"/>
        </w:rPr>
        <w:t>2</w:t>
      </w:r>
      <w:r>
        <w:rPr>
          <w:rFonts w:hint="eastAsia" w:ascii="仿宋" w:hAnsi="仿宋" w:eastAsia="仿宋" w:cs="仿宋"/>
          <w:bCs/>
          <w:color w:val="auto"/>
          <w:highlight w:val="none"/>
          <w:shd w:val="clear" w:color="auto" w:fill="auto"/>
          <w:lang w:eastAsia="zh-CN"/>
        </w:rPr>
        <w:t>）实际参加团队人员与响应文件一致的承诺函</w:t>
      </w:r>
    </w:p>
    <w:p w14:paraId="1E9DA833">
      <w:pPr>
        <w:pStyle w:val="24"/>
        <w:pageBreakBefore w:val="0"/>
        <w:widowControl w:val="0"/>
        <w:kinsoku/>
        <w:wordWrap/>
        <w:overflowPunct/>
        <w:topLinePunct w:val="0"/>
        <w:bidi w:val="0"/>
        <w:adjustRightInd w:val="0"/>
        <w:snapToGrid w:val="0"/>
        <w:spacing w:line="360" w:lineRule="auto"/>
        <w:ind w:left="0"/>
        <w:textAlignment w:val="auto"/>
        <w:rPr>
          <w:rFonts w:hint="eastAsia" w:ascii="仿宋" w:hAnsi="仿宋" w:eastAsia="仿宋" w:cs="仿宋"/>
          <w:bCs/>
          <w:color w:val="auto"/>
          <w:highlight w:val="none"/>
          <w:shd w:val="clear" w:color="auto" w:fill="auto"/>
          <w:lang w:val="en-US" w:eastAsia="zh-CN"/>
        </w:rPr>
      </w:pPr>
      <w:r>
        <w:rPr>
          <w:rFonts w:hint="eastAsia" w:ascii="仿宋" w:hAnsi="仿宋" w:eastAsia="仿宋" w:cs="仿宋"/>
          <w:bCs/>
          <w:color w:val="auto"/>
          <w:highlight w:val="none"/>
          <w:shd w:val="clear" w:color="auto" w:fill="auto"/>
        </w:rPr>
        <w:t>（</w:t>
      </w:r>
      <w:r>
        <w:rPr>
          <w:rFonts w:hint="eastAsia" w:ascii="仿宋" w:hAnsi="仿宋" w:eastAsia="仿宋" w:cs="仿宋"/>
          <w:bCs/>
          <w:color w:val="auto"/>
          <w:highlight w:val="none"/>
          <w:shd w:val="clear" w:color="auto" w:fill="auto"/>
          <w:lang w:val="en-US" w:eastAsia="zh-CN"/>
        </w:rPr>
        <w:t>3</w:t>
      </w:r>
      <w:r>
        <w:rPr>
          <w:rFonts w:hint="eastAsia" w:ascii="仿宋" w:hAnsi="仿宋" w:eastAsia="仿宋" w:cs="仿宋"/>
          <w:bCs/>
          <w:color w:val="auto"/>
          <w:highlight w:val="none"/>
          <w:shd w:val="clear" w:color="auto" w:fill="auto"/>
        </w:rPr>
        <w:t>）</w:t>
      </w:r>
      <w:r>
        <w:rPr>
          <w:rFonts w:hint="eastAsia" w:ascii="仿宋" w:hAnsi="仿宋" w:eastAsia="仿宋" w:cs="仿宋"/>
          <w:bCs/>
          <w:color w:val="auto"/>
          <w:highlight w:val="none"/>
          <w:shd w:val="clear" w:color="auto" w:fill="auto"/>
          <w:lang w:val="en-US" w:eastAsia="zh-CN"/>
        </w:rPr>
        <w:t>对参与标项服务内容、服务对象性质、涉及法律问题的分析及应对措施。</w:t>
      </w:r>
    </w:p>
    <w:p w14:paraId="7C2FF492">
      <w:pPr>
        <w:pStyle w:val="24"/>
        <w:pageBreakBefore w:val="0"/>
        <w:widowControl w:val="0"/>
        <w:kinsoku/>
        <w:wordWrap/>
        <w:overflowPunct/>
        <w:topLinePunct w:val="0"/>
        <w:bidi w:val="0"/>
        <w:adjustRightInd w:val="0"/>
        <w:snapToGrid w:val="0"/>
        <w:spacing w:line="360" w:lineRule="auto"/>
        <w:ind w:left="0"/>
        <w:textAlignment w:val="auto"/>
        <w:rPr>
          <w:rFonts w:hint="eastAsia" w:ascii="仿宋" w:hAnsi="仿宋" w:eastAsia="仿宋" w:cs="仿宋"/>
          <w:bCs/>
          <w:color w:val="auto"/>
          <w:highlight w:val="none"/>
          <w:shd w:val="clear" w:color="auto" w:fill="auto"/>
          <w:lang w:val="en-US" w:eastAsia="zh-CN"/>
        </w:rPr>
      </w:pPr>
      <w:r>
        <w:rPr>
          <w:rFonts w:hint="eastAsia" w:ascii="仿宋" w:hAnsi="仿宋" w:eastAsia="仿宋" w:cs="仿宋"/>
          <w:bCs/>
          <w:color w:val="auto"/>
          <w:highlight w:val="none"/>
          <w:shd w:val="clear" w:color="auto" w:fill="auto"/>
          <w:lang w:val="en-US" w:eastAsia="zh-CN"/>
        </w:rPr>
        <w:t>（4）针对各项工作职责的相关工作方案，包括但不限于对采购方的各类咨询以及三类案件的处理流程、审批方案、完成时限等。</w:t>
      </w:r>
    </w:p>
    <w:p w14:paraId="3B5B659A">
      <w:pPr>
        <w:pStyle w:val="24"/>
        <w:pageBreakBefore w:val="0"/>
        <w:widowControl w:val="0"/>
        <w:kinsoku/>
        <w:wordWrap/>
        <w:overflowPunct/>
        <w:topLinePunct w:val="0"/>
        <w:bidi w:val="0"/>
        <w:adjustRightInd w:val="0"/>
        <w:snapToGrid w:val="0"/>
        <w:spacing w:line="360" w:lineRule="auto"/>
        <w:ind w:left="0"/>
        <w:textAlignment w:val="auto"/>
        <w:rPr>
          <w:rFonts w:hint="eastAsia" w:ascii="仿宋" w:hAnsi="仿宋" w:eastAsia="仿宋" w:cs="仿宋"/>
          <w:bCs/>
          <w:color w:val="auto"/>
          <w:highlight w:val="none"/>
          <w:shd w:val="clear" w:color="auto" w:fill="auto"/>
        </w:rPr>
      </w:pPr>
      <w:r>
        <w:rPr>
          <w:rFonts w:hint="eastAsia" w:ascii="仿宋" w:hAnsi="仿宋" w:eastAsia="仿宋" w:cs="仿宋"/>
          <w:bCs/>
          <w:color w:val="auto"/>
          <w:highlight w:val="none"/>
          <w:shd w:val="clear" w:color="auto" w:fill="auto"/>
          <w:lang w:eastAsia="zh-CN"/>
        </w:rPr>
        <w:t>（</w:t>
      </w:r>
      <w:r>
        <w:rPr>
          <w:rFonts w:hint="eastAsia" w:ascii="仿宋" w:hAnsi="仿宋" w:eastAsia="仿宋" w:cs="仿宋"/>
          <w:bCs/>
          <w:color w:val="auto"/>
          <w:highlight w:val="none"/>
          <w:shd w:val="clear" w:color="auto" w:fill="auto"/>
          <w:lang w:val="en-US" w:eastAsia="zh-CN"/>
        </w:rPr>
        <w:t>5</w:t>
      </w:r>
      <w:r>
        <w:rPr>
          <w:rFonts w:hint="eastAsia" w:ascii="仿宋" w:hAnsi="仿宋" w:eastAsia="仿宋" w:cs="仿宋"/>
          <w:bCs/>
          <w:color w:val="auto"/>
          <w:highlight w:val="none"/>
          <w:shd w:val="clear" w:color="auto" w:fill="auto"/>
          <w:lang w:eastAsia="zh-CN"/>
        </w:rPr>
        <w:t>）</w:t>
      </w:r>
      <w:r>
        <w:rPr>
          <w:rFonts w:hint="eastAsia" w:ascii="仿宋" w:hAnsi="仿宋" w:eastAsia="仿宋" w:cs="仿宋"/>
          <w:bCs/>
          <w:color w:val="auto"/>
          <w:highlight w:val="none"/>
          <w:shd w:val="clear" w:color="auto" w:fill="auto"/>
        </w:rPr>
        <w:t>本项目工作实施组织方案。</w:t>
      </w:r>
    </w:p>
    <w:p w14:paraId="15C8A63B">
      <w:pPr>
        <w:pStyle w:val="24"/>
        <w:pageBreakBefore w:val="0"/>
        <w:widowControl w:val="0"/>
        <w:kinsoku/>
        <w:wordWrap/>
        <w:overflowPunct/>
        <w:topLinePunct w:val="0"/>
        <w:bidi w:val="0"/>
        <w:adjustRightInd w:val="0"/>
        <w:snapToGrid w:val="0"/>
        <w:spacing w:line="360" w:lineRule="auto"/>
        <w:ind w:left="0"/>
        <w:textAlignment w:val="auto"/>
        <w:rPr>
          <w:rFonts w:hint="eastAsia" w:ascii="仿宋" w:hAnsi="仿宋" w:eastAsia="仿宋" w:cs="仿宋"/>
          <w:bCs/>
          <w:color w:val="auto"/>
          <w:highlight w:val="none"/>
          <w:shd w:val="clear" w:color="auto" w:fill="auto"/>
        </w:rPr>
      </w:pPr>
      <w:r>
        <w:rPr>
          <w:rFonts w:hint="eastAsia" w:ascii="仿宋" w:hAnsi="仿宋" w:eastAsia="仿宋" w:cs="仿宋"/>
          <w:bCs/>
          <w:color w:val="auto"/>
          <w:highlight w:val="none"/>
          <w:shd w:val="clear" w:color="auto" w:fill="auto"/>
        </w:rPr>
        <w:t>（</w:t>
      </w:r>
      <w:r>
        <w:rPr>
          <w:rFonts w:hint="eastAsia" w:ascii="仿宋" w:hAnsi="仿宋" w:eastAsia="仿宋" w:cs="仿宋"/>
          <w:bCs/>
          <w:color w:val="auto"/>
          <w:highlight w:val="none"/>
          <w:shd w:val="clear" w:color="auto" w:fill="auto"/>
          <w:lang w:val="en-US" w:eastAsia="zh-CN"/>
        </w:rPr>
        <w:t>6</w:t>
      </w:r>
      <w:r>
        <w:rPr>
          <w:rFonts w:hint="eastAsia" w:ascii="仿宋" w:hAnsi="仿宋" w:eastAsia="仿宋" w:cs="仿宋"/>
          <w:bCs/>
          <w:color w:val="auto"/>
          <w:highlight w:val="none"/>
          <w:shd w:val="clear" w:color="auto" w:fill="auto"/>
        </w:rPr>
        <w:t>）针对本项目的</w:t>
      </w:r>
      <w:r>
        <w:rPr>
          <w:rFonts w:hint="eastAsia" w:ascii="仿宋" w:hAnsi="仿宋" w:eastAsia="仿宋" w:cs="仿宋"/>
          <w:color w:val="auto"/>
          <w:highlight w:val="none"/>
          <w:shd w:val="clear" w:color="auto" w:fill="auto"/>
        </w:rPr>
        <w:t>服务质量提升</w:t>
      </w:r>
      <w:r>
        <w:rPr>
          <w:rFonts w:hint="eastAsia" w:ascii="仿宋" w:hAnsi="仿宋" w:eastAsia="仿宋" w:cs="仿宋"/>
          <w:color w:val="auto"/>
          <w:highlight w:val="none"/>
          <w:shd w:val="clear" w:color="auto" w:fill="auto"/>
          <w:lang w:val="en-US" w:eastAsia="zh-CN"/>
        </w:rPr>
        <w:t>方案</w:t>
      </w:r>
      <w:r>
        <w:rPr>
          <w:rFonts w:hint="eastAsia" w:ascii="仿宋" w:hAnsi="仿宋" w:eastAsia="仿宋" w:cs="仿宋"/>
          <w:bCs/>
          <w:color w:val="auto"/>
          <w:highlight w:val="none"/>
          <w:shd w:val="clear" w:color="auto" w:fill="auto"/>
        </w:rPr>
        <w:t>。</w:t>
      </w:r>
    </w:p>
    <w:p w14:paraId="07DDB7C9">
      <w:pPr>
        <w:pStyle w:val="24"/>
        <w:pageBreakBefore w:val="0"/>
        <w:widowControl w:val="0"/>
        <w:kinsoku/>
        <w:wordWrap/>
        <w:overflowPunct/>
        <w:topLinePunct w:val="0"/>
        <w:bidi w:val="0"/>
        <w:adjustRightInd w:val="0"/>
        <w:snapToGrid w:val="0"/>
        <w:spacing w:line="360" w:lineRule="auto"/>
        <w:ind w:left="0"/>
        <w:textAlignment w:val="auto"/>
        <w:rPr>
          <w:rFonts w:hint="eastAsia" w:ascii="仿宋" w:hAnsi="仿宋" w:eastAsia="仿宋" w:cs="仿宋"/>
          <w:bCs/>
          <w:color w:val="auto"/>
          <w:highlight w:val="none"/>
          <w:shd w:val="clear" w:color="auto" w:fill="auto"/>
          <w:lang w:val="en-US" w:eastAsia="zh-CN"/>
        </w:rPr>
      </w:pPr>
      <w:r>
        <w:rPr>
          <w:rFonts w:hint="eastAsia" w:ascii="仿宋" w:hAnsi="仿宋" w:eastAsia="仿宋" w:cs="仿宋"/>
          <w:bCs/>
          <w:color w:val="auto"/>
          <w:highlight w:val="none"/>
          <w:shd w:val="clear" w:color="auto" w:fill="auto"/>
          <w:lang w:val="en-US" w:eastAsia="zh-CN"/>
        </w:rPr>
        <w:t>（7）供应商办公硬件情况。</w:t>
      </w:r>
    </w:p>
    <w:p w14:paraId="68C6066D">
      <w:pPr>
        <w:pStyle w:val="24"/>
        <w:pageBreakBefore w:val="0"/>
        <w:widowControl w:val="0"/>
        <w:kinsoku/>
        <w:wordWrap/>
        <w:overflowPunct/>
        <w:topLinePunct w:val="0"/>
        <w:bidi w:val="0"/>
        <w:adjustRightInd w:val="0"/>
        <w:snapToGrid w:val="0"/>
        <w:spacing w:line="360" w:lineRule="auto"/>
        <w:ind w:left="0"/>
        <w:textAlignment w:val="auto"/>
        <w:rPr>
          <w:rFonts w:hint="eastAsia" w:ascii="仿宋" w:hAnsi="仿宋" w:eastAsia="仿宋" w:cs="仿宋"/>
          <w:bCs/>
          <w:color w:val="auto"/>
          <w:highlight w:val="none"/>
          <w:shd w:val="clear" w:color="auto" w:fill="auto"/>
          <w:lang w:val="en-US" w:eastAsia="zh-CN"/>
        </w:rPr>
      </w:pPr>
      <w:r>
        <w:rPr>
          <w:rFonts w:hint="eastAsia" w:ascii="仿宋" w:hAnsi="仿宋" w:eastAsia="仿宋" w:cs="仿宋"/>
          <w:bCs/>
          <w:color w:val="auto"/>
          <w:highlight w:val="none"/>
          <w:shd w:val="clear" w:color="auto" w:fill="auto"/>
          <w:lang w:val="en-US" w:eastAsia="zh-CN"/>
        </w:rPr>
        <w:t>（8）其他供应商提供的有利于项目履约的内容，包括但不限于每周坐班安排、法律知识和业务培训计划或方案等。</w:t>
      </w:r>
    </w:p>
    <w:p w14:paraId="1A93F7EC">
      <w:pPr>
        <w:pStyle w:val="24"/>
        <w:pageBreakBefore w:val="0"/>
        <w:widowControl w:val="0"/>
        <w:kinsoku/>
        <w:wordWrap/>
        <w:overflowPunct/>
        <w:topLinePunct w:val="0"/>
        <w:bidi w:val="0"/>
        <w:adjustRightInd w:val="0"/>
        <w:snapToGrid w:val="0"/>
        <w:spacing w:line="360" w:lineRule="auto"/>
        <w:ind w:left="0"/>
        <w:textAlignment w:val="auto"/>
        <w:rPr>
          <w:rFonts w:hint="eastAsia"/>
          <w:highlight w:val="none"/>
          <w:lang w:val="en-US" w:eastAsia="zh-CN"/>
        </w:rPr>
      </w:pPr>
    </w:p>
    <w:p w14:paraId="6568FCE1">
      <w:pPr>
        <w:pStyle w:val="3"/>
        <w:keepNext/>
        <w:keepLines/>
        <w:pageBreakBefore w:val="0"/>
        <w:widowControl w:val="0"/>
        <w:numPr>
          <w:ilvl w:val="0"/>
          <w:numId w:val="0"/>
        </w:numPr>
        <w:kinsoku/>
        <w:wordWrap/>
        <w:overflowPunct/>
        <w:topLinePunct w:val="0"/>
        <w:autoSpaceDE/>
        <w:autoSpaceDN/>
        <w:bidi w:val="0"/>
        <w:adjustRightInd w:val="0"/>
        <w:snapToGrid w:val="0"/>
        <w:spacing w:line="360" w:lineRule="auto"/>
        <w:ind w:left="0" w:leftChars="0"/>
        <w:textAlignment w:val="auto"/>
        <w:rPr>
          <w:rFonts w:hint="eastAsia" w:ascii="仿宋" w:hAnsi="仿宋" w:eastAsia="仿宋" w:cs="仿宋"/>
          <w:color w:val="auto"/>
          <w:sz w:val="24"/>
          <w:szCs w:val="24"/>
          <w:highlight w:val="none"/>
          <w:shd w:val="clear" w:color="auto" w:fill="auto"/>
          <w:lang w:val="en-US" w:eastAsia="zh-CN"/>
        </w:rPr>
      </w:pPr>
      <w:bookmarkStart w:id="69" w:name="_Toc16533"/>
      <w:bookmarkStart w:id="70" w:name="_Toc26923"/>
      <w:bookmarkStart w:id="71" w:name="_Toc6028"/>
      <w:r>
        <w:rPr>
          <w:rFonts w:hint="eastAsia" w:ascii="仿宋" w:hAnsi="仿宋" w:eastAsia="仿宋" w:cs="仿宋"/>
          <w:color w:val="auto"/>
          <w:sz w:val="24"/>
          <w:szCs w:val="24"/>
          <w:highlight w:val="none"/>
          <w:shd w:val="clear" w:color="auto" w:fill="auto"/>
          <w:lang w:val="en-US" w:eastAsia="zh-CN"/>
        </w:rPr>
        <w:t>六、其他</w:t>
      </w:r>
      <w:bookmarkEnd w:id="69"/>
      <w:bookmarkEnd w:id="70"/>
      <w:bookmarkEnd w:id="71"/>
    </w:p>
    <w:bookmarkEnd w:id="57"/>
    <w:p w14:paraId="3BDE066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outlineLvl w:val="9"/>
        <w:rPr>
          <w:rFonts w:hint="eastAsia" w:ascii="仿宋" w:hAnsi="仿宋" w:eastAsia="仿宋" w:cs="仿宋"/>
          <w:color w:val="auto"/>
          <w:sz w:val="24"/>
          <w:highlight w:val="none"/>
          <w:shd w:val="clear" w:color="auto" w:fill="auto"/>
        </w:rPr>
      </w:pPr>
      <w:r>
        <w:rPr>
          <w:rFonts w:hint="eastAsia" w:ascii="仿宋" w:hAnsi="仿宋" w:eastAsia="仿宋" w:cs="仿宋"/>
          <w:color w:val="auto"/>
          <w:sz w:val="24"/>
          <w:highlight w:val="none"/>
          <w:shd w:val="clear" w:color="auto" w:fill="auto"/>
          <w:lang w:val="en-US" w:eastAsia="zh-CN"/>
        </w:rPr>
        <w:t>1</w:t>
      </w:r>
      <w:r>
        <w:rPr>
          <w:rFonts w:hint="eastAsia" w:ascii="仿宋" w:hAnsi="仿宋" w:eastAsia="仿宋" w:cs="仿宋"/>
          <w:color w:val="auto"/>
          <w:sz w:val="24"/>
          <w:highlight w:val="none"/>
          <w:shd w:val="clear" w:color="auto" w:fill="auto"/>
        </w:rPr>
        <w:t>、</w:t>
      </w:r>
      <w:r>
        <w:rPr>
          <w:rFonts w:hint="eastAsia" w:ascii="仿宋" w:hAnsi="仿宋" w:eastAsia="仿宋" w:cs="仿宋"/>
          <w:color w:val="auto"/>
          <w:sz w:val="24"/>
          <w:highlight w:val="none"/>
          <w:shd w:val="clear" w:color="auto" w:fill="auto"/>
          <w:lang w:val="en-US" w:eastAsia="zh-CN"/>
        </w:rPr>
        <w:t>成交供应商</w:t>
      </w:r>
      <w:r>
        <w:rPr>
          <w:rFonts w:hint="eastAsia" w:ascii="仿宋" w:hAnsi="仿宋" w:eastAsia="仿宋" w:cs="仿宋"/>
          <w:color w:val="auto"/>
          <w:sz w:val="24"/>
          <w:highlight w:val="none"/>
          <w:shd w:val="clear" w:color="auto" w:fill="auto"/>
        </w:rPr>
        <w:t>保证其</w:t>
      </w:r>
      <w:r>
        <w:rPr>
          <w:rFonts w:hint="eastAsia" w:ascii="仿宋" w:hAnsi="仿宋" w:eastAsia="仿宋" w:cs="仿宋"/>
          <w:color w:val="auto"/>
          <w:sz w:val="24"/>
          <w:highlight w:val="none"/>
          <w:shd w:val="clear" w:color="auto" w:fill="auto"/>
          <w:lang w:val="en-US" w:eastAsia="zh-CN"/>
        </w:rPr>
        <w:t>提供</w:t>
      </w:r>
      <w:r>
        <w:rPr>
          <w:rFonts w:hint="eastAsia" w:ascii="仿宋" w:hAnsi="仿宋" w:eastAsia="仿宋" w:cs="仿宋"/>
          <w:color w:val="auto"/>
          <w:sz w:val="24"/>
          <w:highlight w:val="none"/>
          <w:shd w:val="clear" w:color="auto" w:fill="auto"/>
        </w:rPr>
        <w:t>的所有服务，不会侵犯任何第三方的知识产权和其它权益。如因此发生任何针对</w:t>
      </w:r>
      <w:r>
        <w:rPr>
          <w:rFonts w:hint="eastAsia" w:ascii="仿宋" w:hAnsi="仿宋" w:eastAsia="仿宋" w:cs="仿宋"/>
          <w:color w:val="auto"/>
          <w:sz w:val="24"/>
          <w:highlight w:val="none"/>
          <w:shd w:val="clear" w:color="auto" w:fill="auto"/>
          <w:lang w:val="en-US" w:eastAsia="zh-CN"/>
        </w:rPr>
        <w:t>采购人</w:t>
      </w:r>
      <w:r>
        <w:rPr>
          <w:rFonts w:hint="eastAsia" w:ascii="仿宋" w:hAnsi="仿宋" w:eastAsia="仿宋" w:cs="仿宋"/>
          <w:color w:val="auto"/>
          <w:sz w:val="24"/>
          <w:highlight w:val="none"/>
          <w:shd w:val="clear" w:color="auto" w:fill="auto"/>
        </w:rPr>
        <w:t>的争议、索赔、诉讼等，产生的一切法律责任与费用均由</w:t>
      </w:r>
      <w:r>
        <w:rPr>
          <w:rFonts w:hint="eastAsia" w:ascii="仿宋" w:hAnsi="仿宋" w:eastAsia="仿宋" w:cs="仿宋"/>
          <w:color w:val="auto"/>
          <w:sz w:val="24"/>
          <w:highlight w:val="none"/>
          <w:shd w:val="clear" w:color="auto" w:fill="auto"/>
          <w:lang w:val="en-US" w:eastAsia="zh-CN"/>
        </w:rPr>
        <w:t>成交供应商</w:t>
      </w:r>
      <w:r>
        <w:rPr>
          <w:rFonts w:hint="eastAsia" w:ascii="仿宋" w:hAnsi="仿宋" w:eastAsia="仿宋" w:cs="仿宋"/>
          <w:color w:val="auto"/>
          <w:sz w:val="24"/>
          <w:highlight w:val="none"/>
          <w:shd w:val="clear" w:color="auto" w:fill="auto"/>
        </w:rPr>
        <w:t>承担。</w:t>
      </w:r>
    </w:p>
    <w:p w14:paraId="1C6E7440">
      <w:pPr>
        <w:pStyle w:val="23"/>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outlineLvl w:val="9"/>
        <w:rPr>
          <w:rFonts w:hint="eastAsia" w:ascii="仿宋" w:hAnsi="仿宋" w:eastAsia="仿宋" w:cs="仿宋"/>
          <w:color w:val="auto"/>
          <w:sz w:val="24"/>
          <w:highlight w:val="none"/>
          <w:shd w:val="clear" w:color="auto" w:fill="auto"/>
          <w:lang w:val="en-US" w:eastAsia="zh-CN"/>
        </w:rPr>
      </w:pPr>
      <w:r>
        <w:rPr>
          <w:rFonts w:hint="eastAsia" w:ascii="仿宋" w:hAnsi="仿宋" w:eastAsia="仿宋" w:cs="仿宋"/>
          <w:color w:val="auto"/>
          <w:sz w:val="24"/>
          <w:highlight w:val="none"/>
          <w:shd w:val="clear" w:color="auto" w:fill="auto"/>
          <w:lang w:val="en-US" w:eastAsia="zh-CN"/>
        </w:rPr>
        <w:t>2、成交供应商自行负责其工作人员的食宿、交通、相关保险等费用。</w:t>
      </w:r>
    </w:p>
    <w:p w14:paraId="61F5622B">
      <w:pPr>
        <w:pStyle w:val="23"/>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outlineLvl w:val="9"/>
        <w:rPr>
          <w:rFonts w:hint="eastAsia" w:ascii="仿宋" w:hAnsi="仿宋" w:eastAsia="仿宋" w:cs="仿宋"/>
          <w:color w:val="auto"/>
          <w:sz w:val="24"/>
          <w:highlight w:val="none"/>
          <w:shd w:val="clear" w:color="auto" w:fill="auto"/>
          <w:lang w:val="en-US" w:eastAsia="zh-CN"/>
        </w:rPr>
      </w:pPr>
      <w:r>
        <w:rPr>
          <w:rFonts w:hint="eastAsia" w:ascii="仿宋" w:hAnsi="仿宋" w:eastAsia="仿宋" w:cs="仿宋"/>
          <w:color w:val="auto"/>
          <w:sz w:val="24"/>
          <w:highlight w:val="none"/>
          <w:shd w:val="clear" w:color="auto" w:fill="auto"/>
          <w:lang w:val="en-US" w:eastAsia="zh-CN"/>
        </w:rPr>
        <w:t>3、因项目参与、涉及人员众多，成交供应商应做好与采购人、其他单位的配合、协调工作。</w:t>
      </w:r>
    </w:p>
    <w:p w14:paraId="78567B12">
      <w:pPr>
        <w:rPr>
          <w:rFonts w:hint="default"/>
          <w:highlight w:val="none"/>
          <w:lang w:val="en-US" w:eastAsia="zh-CN"/>
        </w:rPr>
      </w:pPr>
    </w:p>
    <w:p w14:paraId="5F866757">
      <w:pPr>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snapToGrid w:val="0"/>
          <w:color w:val="auto"/>
          <w:kern w:val="0"/>
          <w:sz w:val="24"/>
          <w:highlight w:val="none"/>
          <w:shd w:val="clear" w:color="auto" w:fill="auto"/>
          <w:lang w:val="zh-CN"/>
        </w:rPr>
        <w:t>未尽事宜可进一步参阅合同条款、</w:t>
      </w:r>
      <w:r>
        <w:rPr>
          <w:rFonts w:hint="eastAsia" w:ascii="仿宋" w:hAnsi="仿宋" w:eastAsia="仿宋" w:cs="仿宋"/>
          <w:snapToGrid w:val="0"/>
          <w:color w:val="auto"/>
          <w:kern w:val="0"/>
          <w:sz w:val="24"/>
          <w:highlight w:val="none"/>
          <w:shd w:val="clear" w:color="auto" w:fill="auto"/>
          <w:lang w:val="en-US" w:eastAsia="zh-CN"/>
        </w:rPr>
        <w:t>采购</w:t>
      </w:r>
      <w:r>
        <w:rPr>
          <w:rFonts w:hint="eastAsia" w:ascii="仿宋" w:hAnsi="仿宋" w:eastAsia="仿宋" w:cs="仿宋"/>
          <w:snapToGrid w:val="0"/>
          <w:color w:val="auto"/>
          <w:kern w:val="0"/>
          <w:sz w:val="24"/>
          <w:highlight w:val="none"/>
          <w:shd w:val="clear" w:color="auto" w:fill="auto"/>
        </w:rPr>
        <w:t>文件其他内容</w:t>
      </w:r>
      <w:r>
        <w:rPr>
          <w:rFonts w:hint="eastAsia" w:ascii="仿宋" w:hAnsi="仿宋" w:eastAsia="仿宋" w:cs="仿宋"/>
          <w:snapToGrid w:val="0"/>
          <w:color w:val="auto"/>
          <w:kern w:val="0"/>
          <w:sz w:val="24"/>
          <w:highlight w:val="none"/>
          <w:shd w:val="clear" w:color="auto" w:fill="auto"/>
          <w:lang w:val="zh-CN"/>
        </w:rPr>
        <w:t>。</w:t>
      </w:r>
    </w:p>
    <w:p w14:paraId="3D5DF899">
      <w:pPr>
        <w:rPr>
          <w:rFonts w:ascii="仿宋" w:hAnsi="仿宋" w:eastAsia="仿宋" w:cs="仿宋"/>
          <w:color w:val="auto"/>
          <w:sz w:val="24"/>
          <w:highlight w:val="none"/>
        </w:rPr>
      </w:pPr>
      <w:r>
        <w:rPr>
          <w:rFonts w:ascii="仿宋" w:hAnsi="仿宋" w:eastAsia="仿宋" w:cs="仿宋"/>
          <w:color w:val="auto"/>
          <w:sz w:val="24"/>
          <w:highlight w:val="none"/>
        </w:rPr>
        <w:br w:type="page"/>
      </w:r>
    </w:p>
    <w:p w14:paraId="12575B40">
      <w:pPr>
        <w:pStyle w:val="23"/>
        <w:rPr>
          <w:highlight w:val="none"/>
        </w:rPr>
      </w:pPr>
    </w:p>
    <w:p w14:paraId="138EF1EC">
      <w:pPr>
        <w:keepNext w:val="0"/>
        <w:keepLines w:val="0"/>
        <w:pageBreakBefore w:val="0"/>
        <w:widowControl w:val="0"/>
        <w:kinsoku/>
        <w:wordWrap/>
        <w:overflowPunct/>
        <w:topLinePunct w:val="0"/>
        <w:autoSpaceDE/>
        <w:autoSpaceDN/>
        <w:bidi w:val="0"/>
        <w:adjustRightInd w:val="0"/>
        <w:snapToGrid/>
        <w:jc w:val="center"/>
        <w:textAlignment w:val="auto"/>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第五部分  </w:t>
      </w:r>
      <w:bookmarkEnd w:id="50"/>
      <w:bookmarkEnd w:id="51"/>
      <w:bookmarkStart w:id="72" w:name="第四部分"/>
      <w:r>
        <w:rPr>
          <w:rFonts w:hint="eastAsia" w:ascii="仿宋" w:hAnsi="仿宋" w:eastAsia="仿宋" w:cs="仿宋"/>
          <w:b/>
          <w:color w:val="auto"/>
          <w:sz w:val="36"/>
          <w:szCs w:val="36"/>
          <w:highlight w:val="none"/>
        </w:rPr>
        <w:t>评审方法及评审标准</w:t>
      </w:r>
    </w:p>
    <w:p w14:paraId="5FA59952">
      <w:pPr>
        <w:snapToGrid w:val="0"/>
        <w:spacing w:before="120" w:beforeLines="50" w:after="120" w:afterLines="50" w:line="360" w:lineRule="auto"/>
        <w:jc w:val="center"/>
        <w:outlineLvl w:val="1"/>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t>评标办法前附表</w:t>
      </w:r>
    </w:p>
    <w:p w14:paraId="4AF0A770">
      <w:pPr>
        <w:pStyle w:val="23"/>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textAlignment w:val="auto"/>
        <w:outlineLvl w:val="2"/>
        <w:rPr>
          <w:rFonts w:hint="eastAsia" w:ascii="仿宋" w:hAnsi="仿宋" w:eastAsia="仿宋" w:cs="仿宋"/>
          <w:b/>
          <w:bCs/>
          <w:color w:val="auto"/>
          <w:sz w:val="24"/>
          <w:highlight w:val="none"/>
          <w:shd w:val="clear" w:color="auto" w:fill="auto"/>
          <w:lang w:val="en-US" w:eastAsia="zh-CN"/>
        </w:rPr>
      </w:pPr>
      <w:r>
        <w:rPr>
          <w:rFonts w:hint="eastAsia" w:ascii="仿宋" w:hAnsi="仿宋" w:eastAsia="仿宋" w:cs="仿宋"/>
          <w:b/>
          <w:bCs/>
          <w:color w:val="auto"/>
          <w:sz w:val="24"/>
          <w:highlight w:val="none"/>
          <w:shd w:val="clear" w:color="auto" w:fill="auto"/>
          <w:lang w:val="en-US" w:eastAsia="zh-CN"/>
        </w:rPr>
        <w:t>标项一商务资信技术部分评分细则</w:t>
      </w:r>
    </w:p>
    <w:p w14:paraId="301CAA39">
      <w:pPr>
        <w:rPr>
          <w:rFonts w:hint="eastAsia" w:ascii="仿宋" w:hAnsi="仿宋" w:eastAsia="仿宋" w:cs="仿宋"/>
          <w:b w:val="0"/>
          <w:bCs w:val="0"/>
          <w:color w:val="auto"/>
          <w:sz w:val="24"/>
          <w:highlight w:val="none"/>
          <w:shd w:val="clear" w:color="auto" w:fill="auto"/>
          <w:lang w:val="en-US" w:eastAsia="zh-CN"/>
        </w:rPr>
      </w:pPr>
    </w:p>
    <w:tbl>
      <w:tblPr>
        <w:tblStyle w:val="60"/>
        <w:tblW w:w="99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5797"/>
        <w:gridCol w:w="1080"/>
        <w:gridCol w:w="920"/>
        <w:gridCol w:w="1485"/>
      </w:tblGrid>
      <w:tr w14:paraId="2724D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654" w:type="dxa"/>
            <w:noWrap w:val="0"/>
            <w:vAlign w:val="center"/>
          </w:tcPr>
          <w:p w14:paraId="501EA7B7">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5797" w:type="dxa"/>
            <w:noWrap w:val="0"/>
            <w:vAlign w:val="center"/>
          </w:tcPr>
          <w:p w14:paraId="1407F31F">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评分因素</w:t>
            </w:r>
          </w:p>
        </w:tc>
        <w:tc>
          <w:tcPr>
            <w:tcW w:w="1080" w:type="dxa"/>
            <w:noWrap w:val="0"/>
            <w:vAlign w:val="center"/>
          </w:tcPr>
          <w:p w14:paraId="4F8AA869">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权重</w:t>
            </w:r>
          </w:p>
        </w:tc>
        <w:tc>
          <w:tcPr>
            <w:tcW w:w="920" w:type="dxa"/>
            <w:noWrap w:val="0"/>
            <w:vAlign w:val="center"/>
          </w:tcPr>
          <w:p w14:paraId="20B62429">
            <w:pPr>
              <w:snapToGrid w:val="0"/>
              <w:jc w:val="center"/>
              <w:rPr>
                <w:rFonts w:hint="eastAsia" w:ascii="仿宋" w:hAnsi="仿宋" w:eastAsia="仿宋" w:cs="仿宋"/>
                <w:color w:val="auto"/>
                <w:sz w:val="24"/>
                <w:highlight w:val="none"/>
              </w:rPr>
            </w:pPr>
            <w:r>
              <w:rPr>
                <w:rFonts w:hint="eastAsia" w:ascii="仿宋" w:hAnsi="仿宋" w:eastAsia="仿宋" w:cs="仿宋"/>
                <w:b/>
                <w:bCs/>
                <w:i w:val="0"/>
                <w:color w:val="000000"/>
                <w:kern w:val="0"/>
                <w:sz w:val="24"/>
                <w:szCs w:val="24"/>
                <w:highlight w:val="none"/>
                <w:u w:val="none"/>
                <w:lang w:val="en-US" w:eastAsia="zh-CN" w:bidi="ar"/>
              </w:rPr>
              <w:t>主观分/客观分属性</w:t>
            </w:r>
          </w:p>
        </w:tc>
        <w:tc>
          <w:tcPr>
            <w:tcW w:w="1485" w:type="dxa"/>
            <w:noWrap w:val="0"/>
            <w:vAlign w:val="center"/>
          </w:tcPr>
          <w:p w14:paraId="577596A4">
            <w:pPr>
              <w:snapToGrid w:val="0"/>
              <w:jc w:val="center"/>
              <w:rPr>
                <w:rFonts w:ascii="仿宋" w:hAnsi="仿宋" w:eastAsia="仿宋" w:cs="仿宋"/>
                <w:color w:val="auto"/>
                <w:sz w:val="24"/>
                <w:highlight w:val="none"/>
              </w:rPr>
            </w:pPr>
            <w:r>
              <w:rPr>
                <w:rFonts w:hint="eastAsia" w:ascii="仿宋" w:hAnsi="仿宋" w:eastAsia="仿宋" w:cs="仿宋_GB2312"/>
                <w:bCs/>
                <w:color w:val="auto"/>
                <w:sz w:val="24"/>
                <w:highlight w:val="none"/>
                <w:lang w:eastAsia="zh-CN"/>
              </w:rPr>
              <w:t>响应文件</w:t>
            </w:r>
            <w:r>
              <w:rPr>
                <w:rFonts w:hint="eastAsia" w:ascii="仿宋" w:hAnsi="仿宋" w:eastAsia="仿宋" w:cs="仿宋_GB2312"/>
                <w:bCs/>
                <w:color w:val="auto"/>
                <w:sz w:val="24"/>
                <w:highlight w:val="none"/>
              </w:rPr>
              <w:t>中评标标准相应的商务技术资料目录</w:t>
            </w:r>
            <w:r>
              <w:rPr>
                <w:rFonts w:ascii="仿宋" w:hAnsi="仿宋" w:eastAsia="仿宋" w:cs="Arial"/>
                <w:color w:val="auto"/>
                <w:sz w:val="24"/>
                <w:highlight w:val="none"/>
                <w:shd w:val="clear" w:color="auto" w:fill="FFFFFF"/>
              </w:rPr>
              <w:t>*</w:t>
            </w:r>
          </w:p>
        </w:tc>
      </w:tr>
      <w:tr w14:paraId="26FF0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059E68C6">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5797" w:type="dxa"/>
            <w:noWrap w:val="0"/>
            <w:vAlign w:val="center"/>
          </w:tcPr>
          <w:p w14:paraId="3958B1ED">
            <w:pPr>
              <w:snapToGrid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供应商</w:t>
            </w:r>
            <w:r>
              <w:rPr>
                <w:rFonts w:hint="eastAsia" w:ascii="仿宋" w:hAnsi="仿宋" w:eastAsia="仿宋" w:cs="仿宋"/>
                <w:bCs/>
                <w:color w:val="auto"/>
                <w:sz w:val="24"/>
                <w:highlight w:val="none"/>
                <w:lang w:val="en-US" w:eastAsia="zh-CN"/>
              </w:rPr>
              <w:t>自</w:t>
            </w:r>
            <w:r>
              <w:rPr>
                <w:rFonts w:hint="eastAsia" w:ascii="仿宋" w:hAnsi="仿宋" w:eastAsia="仿宋" w:cs="仿宋"/>
                <w:bCs/>
                <w:color w:val="auto"/>
                <w:sz w:val="24"/>
                <w:highlight w:val="none"/>
              </w:rPr>
              <w:t>202</w:t>
            </w: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rPr>
              <w:t>年</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月1日以来承担过各级党委、</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rPr>
              <w:t>政府机关、</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rPr>
              <w:t>事业单位</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lang w:eastAsia="zh-CN"/>
              </w:rPr>
              <w:t>各级复议机关</w:t>
            </w:r>
            <w:r>
              <w:rPr>
                <w:rFonts w:hint="eastAsia" w:ascii="仿宋" w:hAnsi="仿宋" w:eastAsia="仿宋" w:cs="仿宋"/>
                <w:bCs/>
                <w:color w:val="auto"/>
                <w:sz w:val="24"/>
                <w:highlight w:val="none"/>
              </w:rPr>
              <w:t>的</w:t>
            </w:r>
            <w:r>
              <w:rPr>
                <w:rFonts w:hint="eastAsia" w:ascii="仿宋" w:hAnsi="仿宋" w:eastAsia="仿宋" w:cs="仿宋"/>
                <w:bCs/>
                <w:color w:val="auto"/>
                <w:sz w:val="24"/>
                <w:highlight w:val="none"/>
                <w:lang w:val="en-US" w:eastAsia="zh-CN"/>
              </w:rPr>
              <w:t>年度</w:t>
            </w:r>
            <w:r>
              <w:rPr>
                <w:rFonts w:hint="eastAsia" w:ascii="仿宋" w:hAnsi="仿宋" w:eastAsia="仿宋" w:cs="仿宋"/>
                <w:bCs/>
                <w:color w:val="auto"/>
                <w:sz w:val="24"/>
                <w:highlight w:val="none"/>
              </w:rPr>
              <w:t>法律顾问项目的，每具有一个合同得</w:t>
            </w:r>
            <w:r>
              <w:rPr>
                <w:rFonts w:hint="eastAsia" w:ascii="仿宋" w:hAnsi="仿宋" w:eastAsia="仿宋" w:cs="仿宋"/>
                <w:bCs/>
                <w:color w:val="auto"/>
                <w:sz w:val="24"/>
                <w:highlight w:val="none"/>
                <w:lang w:val="en-US" w:eastAsia="zh-CN"/>
              </w:rPr>
              <w:t>0.25</w:t>
            </w:r>
            <w:r>
              <w:rPr>
                <w:rFonts w:hint="eastAsia" w:ascii="仿宋" w:hAnsi="仿宋" w:eastAsia="仿宋" w:cs="仿宋"/>
                <w:bCs/>
                <w:color w:val="auto"/>
                <w:sz w:val="24"/>
                <w:highlight w:val="none"/>
              </w:rPr>
              <w:t>分，最高得</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分。</w:t>
            </w:r>
          </w:p>
          <w:p w14:paraId="193C0561">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说明：</w:t>
            </w:r>
            <w:r>
              <w:rPr>
                <w:rFonts w:hint="eastAsia" w:ascii="仿宋" w:hAnsi="仿宋" w:eastAsia="仿宋" w:cs="仿宋"/>
                <w:bCs/>
                <w:color w:val="auto"/>
                <w:sz w:val="24"/>
                <w:highlight w:val="none"/>
                <w:lang w:val="en-US" w:eastAsia="zh-CN"/>
              </w:rPr>
              <w:t>提供</w:t>
            </w:r>
            <w:r>
              <w:rPr>
                <w:rFonts w:hint="eastAsia" w:ascii="仿宋" w:hAnsi="仿宋" w:eastAsia="仿宋" w:cs="仿宋"/>
                <w:bCs/>
                <w:color w:val="auto"/>
                <w:sz w:val="24"/>
                <w:highlight w:val="none"/>
              </w:rPr>
              <w:t>合同复印件或扫描件，以合同签署时间为准</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同一个甲方单位不重复计分。</w:t>
            </w:r>
          </w:p>
        </w:tc>
        <w:tc>
          <w:tcPr>
            <w:tcW w:w="1080" w:type="dxa"/>
            <w:noWrap w:val="0"/>
            <w:vAlign w:val="center"/>
          </w:tcPr>
          <w:p w14:paraId="1744F337">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w:t>
            </w:r>
          </w:p>
        </w:tc>
        <w:tc>
          <w:tcPr>
            <w:tcW w:w="920" w:type="dxa"/>
            <w:noWrap w:val="0"/>
            <w:vAlign w:val="center"/>
          </w:tcPr>
          <w:p w14:paraId="08B73955">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23BEE32E">
            <w:pPr>
              <w:snapToGrid w:val="0"/>
              <w:jc w:val="center"/>
              <w:rPr>
                <w:rFonts w:ascii="仿宋" w:hAnsi="仿宋" w:eastAsia="仿宋" w:cs="仿宋"/>
                <w:color w:val="auto"/>
                <w:sz w:val="24"/>
                <w:highlight w:val="none"/>
              </w:rPr>
            </w:pPr>
          </w:p>
        </w:tc>
      </w:tr>
      <w:tr w14:paraId="72D83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4EF65A6F">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5797" w:type="dxa"/>
            <w:noWrap w:val="0"/>
            <w:vAlign w:val="center"/>
          </w:tcPr>
          <w:p w14:paraId="19D1CD30">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管理制度</w:t>
            </w:r>
          </w:p>
        </w:tc>
        <w:tc>
          <w:tcPr>
            <w:tcW w:w="1080" w:type="dxa"/>
            <w:noWrap w:val="0"/>
            <w:vAlign w:val="center"/>
          </w:tcPr>
          <w:p w14:paraId="7EC41756">
            <w:pPr>
              <w:snapToGrid w:val="0"/>
              <w:jc w:val="center"/>
              <w:rPr>
                <w:rFonts w:hint="eastAsia" w:eastAsia="宋体"/>
                <w:highlight w:val="none"/>
                <w:lang w:val="en-US" w:eastAsia="zh-CN"/>
              </w:rPr>
            </w:pPr>
            <w:r>
              <w:rPr>
                <w:rFonts w:hint="eastAsia"/>
                <w:highlight w:val="none"/>
                <w:lang w:val="en-US" w:eastAsia="zh-CN"/>
              </w:rPr>
              <w:t>/</w:t>
            </w:r>
          </w:p>
        </w:tc>
        <w:tc>
          <w:tcPr>
            <w:tcW w:w="920" w:type="dxa"/>
            <w:noWrap w:val="0"/>
            <w:vAlign w:val="center"/>
          </w:tcPr>
          <w:p w14:paraId="5FEE8BE7">
            <w:pPr>
              <w:snapToGrid w:val="0"/>
              <w:jc w:val="center"/>
              <w:rPr>
                <w:rFonts w:hint="eastAsia" w:ascii="仿宋" w:hAnsi="仿宋" w:eastAsia="仿宋" w:cs="仿宋"/>
                <w:color w:val="auto"/>
                <w:sz w:val="24"/>
                <w:highlight w:val="none"/>
                <w:lang w:val="en-US" w:eastAsia="zh-CN"/>
              </w:rPr>
            </w:pPr>
          </w:p>
        </w:tc>
        <w:tc>
          <w:tcPr>
            <w:tcW w:w="1485" w:type="dxa"/>
            <w:noWrap w:val="0"/>
            <w:vAlign w:val="center"/>
          </w:tcPr>
          <w:p w14:paraId="44B7CBB6">
            <w:pPr>
              <w:snapToGrid w:val="0"/>
              <w:jc w:val="center"/>
              <w:rPr>
                <w:rFonts w:ascii="仿宋" w:hAnsi="仿宋" w:eastAsia="仿宋" w:cs="仿宋"/>
                <w:color w:val="auto"/>
                <w:sz w:val="24"/>
                <w:highlight w:val="none"/>
              </w:rPr>
            </w:pPr>
          </w:p>
        </w:tc>
      </w:tr>
      <w:tr w14:paraId="4B2DE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1637BC54">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w:t>
            </w:r>
          </w:p>
        </w:tc>
        <w:tc>
          <w:tcPr>
            <w:tcW w:w="5797" w:type="dxa"/>
            <w:noWrap w:val="0"/>
            <w:vAlign w:val="center"/>
          </w:tcPr>
          <w:p w14:paraId="4AB0AA73">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人员管理（考核制度）情况，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01721328">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6B203862">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27DF64A2">
            <w:pPr>
              <w:snapToGrid w:val="0"/>
              <w:jc w:val="center"/>
              <w:rPr>
                <w:rFonts w:ascii="仿宋" w:hAnsi="仿宋" w:eastAsia="仿宋" w:cs="仿宋"/>
                <w:color w:val="auto"/>
                <w:sz w:val="24"/>
                <w:highlight w:val="none"/>
              </w:rPr>
            </w:pPr>
          </w:p>
        </w:tc>
      </w:tr>
      <w:tr w14:paraId="29A71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774F0D60">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p>
        </w:tc>
        <w:tc>
          <w:tcPr>
            <w:tcW w:w="5797" w:type="dxa"/>
            <w:noWrap w:val="0"/>
            <w:vAlign w:val="center"/>
          </w:tcPr>
          <w:p w14:paraId="117721F2">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分配机制和财务制度情况，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178E1806">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28FDE55B">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44590FC4">
            <w:pPr>
              <w:snapToGrid w:val="0"/>
              <w:jc w:val="center"/>
              <w:rPr>
                <w:rFonts w:ascii="仿宋" w:hAnsi="仿宋" w:eastAsia="仿宋" w:cs="仿宋"/>
                <w:color w:val="auto"/>
                <w:sz w:val="24"/>
                <w:highlight w:val="none"/>
              </w:rPr>
            </w:pPr>
          </w:p>
        </w:tc>
      </w:tr>
      <w:tr w14:paraId="4117E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7FE61AED">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w:t>
            </w:r>
          </w:p>
        </w:tc>
        <w:tc>
          <w:tcPr>
            <w:tcW w:w="5797" w:type="dxa"/>
            <w:noWrap w:val="0"/>
            <w:vAlign w:val="center"/>
          </w:tcPr>
          <w:p w14:paraId="3058E36B">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案件讨论制度情况，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35147B2E">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385D1A1F">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54E1B300">
            <w:pPr>
              <w:snapToGrid w:val="0"/>
              <w:jc w:val="center"/>
              <w:rPr>
                <w:rFonts w:ascii="仿宋" w:hAnsi="仿宋" w:eastAsia="仿宋" w:cs="仿宋"/>
                <w:color w:val="auto"/>
                <w:sz w:val="24"/>
                <w:highlight w:val="none"/>
              </w:rPr>
            </w:pPr>
          </w:p>
        </w:tc>
      </w:tr>
      <w:tr w14:paraId="7F63A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4A6AFDC1">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p>
        </w:tc>
        <w:tc>
          <w:tcPr>
            <w:tcW w:w="5797" w:type="dxa"/>
            <w:noWrap w:val="0"/>
            <w:vAlign w:val="center"/>
          </w:tcPr>
          <w:p w14:paraId="10701908">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服务质量和风险防控制度情况，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576ECD1A">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304A2DD3">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130B6F23">
            <w:pPr>
              <w:snapToGrid w:val="0"/>
              <w:jc w:val="center"/>
              <w:rPr>
                <w:rFonts w:ascii="仿宋" w:hAnsi="仿宋" w:eastAsia="仿宋" w:cs="仿宋"/>
                <w:color w:val="auto"/>
                <w:sz w:val="24"/>
                <w:highlight w:val="none"/>
              </w:rPr>
            </w:pPr>
          </w:p>
        </w:tc>
      </w:tr>
      <w:tr w14:paraId="2D0BC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3C5E0137">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w:t>
            </w:r>
          </w:p>
        </w:tc>
        <w:tc>
          <w:tcPr>
            <w:tcW w:w="5797" w:type="dxa"/>
            <w:noWrap w:val="0"/>
            <w:vAlign w:val="center"/>
          </w:tcPr>
          <w:p w14:paraId="697918FB">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律师分派制度情况，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29429EFE">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5BF912CE">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0B25E512">
            <w:pPr>
              <w:snapToGrid w:val="0"/>
              <w:jc w:val="center"/>
              <w:rPr>
                <w:rFonts w:ascii="仿宋" w:hAnsi="仿宋" w:eastAsia="仿宋" w:cs="仿宋"/>
                <w:color w:val="auto"/>
                <w:sz w:val="24"/>
                <w:highlight w:val="none"/>
              </w:rPr>
            </w:pPr>
          </w:p>
        </w:tc>
      </w:tr>
      <w:tr w14:paraId="31AEA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3DE9FDAA">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2.6</w:t>
            </w:r>
          </w:p>
        </w:tc>
        <w:tc>
          <w:tcPr>
            <w:tcW w:w="5797" w:type="dxa"/>
            <w:noWrap w:val="0"/>
            <w:vAlign w:val="center"/>
          </w:tcPr>
          <w:p w14:paraId="5A887B3A">
            <w:pPr>
              <w:snapToGrid w:val="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律所利益冲突排除制度情况，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0F6648A4">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67DFA0E1">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718C26FF">
            <w:pPr>
              <w:snapToGrid w:val="0"/>
              <w:jc w:val="center"/>
              <w:rPr>
                <w:rFonts w:ascii="仿宋" w:hAnsi="仿宋" w:eastAsia="仿宋" w:cs="仿宋"/>
                <w:color w:val="auto"/>
                <w:sz w:val="24"/>
                <w:highlight w:val="none"/>
              </w:rPr>
            </w:pPr>
          </w:p>
        </w:tc>
      </w:tr>
      <w:tr w14:paraId="48FEA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3FF7A8CA">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2.7</w:t>
            </w:r>
          </w:p>
        </w:tc>
        <w:tc>
          <w:tcPr>
            <w:tcW w:w="5797" w:type="dxa"/>
            <w:noWrap w:val="0"/>
            <w:vAlign w:val="center"/>
          </w:tcPr>
          <w:p w14:paraId="1FA9832C">
            <w:pPr>
              <w:snapToGrid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律所决策和文书审批制度情况，根据制度的可落实性、与项目的匹配性进行评分。制度落实性好，项目匹配度好的得2分；制度落实性一般，项目匹配度一般的得1分；制度难以落实、与项目不匹配，或未规定正式材料由供应商主任或副主任签字审核的不得分。</w:t>
            </w:r>
          </w:p>
        </w:tc>
        <w:tc>
          <w:tcPr>
            <w:tcW w:w="1080" w:type="dxa"/>
            <w:noWrap w:val="0"/>
            <w:vAlign w:val="center"/>
          </w:tcPr>
          <w:p w14:paraId="5EA8E352">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07B7C30B">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09388D26">
            <w:pPr>
              <w:snapToGrid w:val="0"/>
              <w:jc w:val="center"/>
              <w:rPr>
                <w:rFonts w:ascii="仿宋" w:hAnsi="仿宋" w:eastAsia="仿宋" w:cs="仿宋"/>
                <w:color w:val="auto"/>
                <w:sz w:val="24"/>
                <w:highlight w:val="none"/>
              </w:rPr>
            </w:pPr>
          </w:p>
        </w:tc>
      </w:tr>
      <w:tr w14:paraId="2A5C9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081529C9">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2.8</w:t>
            </w:r>
          </w:p>
        </w:tc>
        <w:tc>
          <w:tcPr>
            <w:tcW w:w="5797" w:type="dxa"/>
            <w:noWrap w:val="0"/>
            <w:vAlign w:val="center"/>
          </w:tcPr>
          <w:p w14:paraId="5806E9F5">
            <w:pPr>
              <w:snapToGrid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档案管理制度情况，有相关制度得1分，不满足不得分。</w:t>
            </w:r>
          </w:p>
        </w:tc>
        <w:tc>
          <w:tcPr>
            <w:tcW w:w="1080" w:type="dxa"/>
            <w:noWrap w:val="0"/>
            <w:vAlign w:val="center"/>
          </w:tcPr>
          <w:p w14:paraId="3D657A75">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920" w:type="dxa"/>
            <w:noWrap w:val="0"/>
            <w:vAlign w:val="center"/>
          </w:tcPr>
          <w:p w14:paraId="26A19F2F">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1E306713">
            <w:pPr>
              <w:snapToGrid w:val="0"/>
              <w:jc w:val="center"/>
              <w:rPr>
                <w:rFonts w:ascii="仿宋" w:hAnsi="仿宋" w:eastAsia="仿宋" w:cs="仿宋"/>
                <w:color w:val="auto"/>
                <w:sz w:val="24"/>
                <w:highlight w:val="none"/>
              </w:rPr>
            </w:pPr>
          </w:p>
        </w:tc>
      </w:tr>
      <w:tr w14:paraId="29D21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5A907BBE">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2.9</w:t>
            </w:r>
          </w:p>
        </w:tc>
        <w:tc>
          <w:tcPr>
            <w:tcW w:w="5797" w:type="dxa"/>
            <w:noWrap w:val="0"/>
            <w:vAlign w:val="center"/>
          </w:tcPr>
          <w:p w14:paraId="470E8E71">
            <w:pPr>
              <w:snapToGrid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投诉处理机制情况，有相关制度得1分，不满足不得分。</w:t>
            </w:r>
          </w:p>
        </w:tc>
        <w:tc>
          <w:tcPr>
            <w:tcW w:w="1080" w:type="dxa"/>
            <w:noWrap w:val="0"/>
            <w:vAlign w:val="center"/>
          </w:tcPr>
          <w:p w14:paraId="49423C0B">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920" w:type="dxa"/>
            <w:noWrap w:val="0"/>
            <w:vAlign w:val="center"/>
          </w:tcPr>
          <w:p w14:paraId="03648B1B">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234EE8ED">
            <w:pPr>
              <w:snapToGrid w:val="0"/>
              <w:jc w:val="center"/>
              <w:rPr>
                <w:rFonts w:ascii="仿宋" w:hAnsi="仿宋" w:eastAsia="仿宋" w:cs="仿宋"/>
                <w:color w:val="auto"/>
                <w:sz w:val="24"/>
                <w:highlight w:val="none"/>
              </w:rPr>
            </w:pPr>
          </w:p>
        </w:tc>
      </w:tr>
      <w:tr w14:paraId="19548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654" w:type="dxa"/>
            <w:noWrap w:val="0"/>
            <w:vAlign w:val="center"/>
          </w:tcPr>
          <w:p w14:paraId="0CC8CF12">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5797" w:type="dxa"/>
            <w:noWrap w:val="0"/>
            <w:vAlign w:val="center"/>
          </w:tcPr>
          <w:p w14:paraId="3937E08D">
            <w:pPr>
              <w:snapToGrid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服务要求的响应情况</w:t>
            </w:r>
          </w:p>
        </w:tc>
        <w:tc>
          <w:tcPr>
            <w:tcW w:w="1080" w:type="dxa"/>
            <w:noWrap w:val="0"/>
            <w:vAlign w:val="center"/>
          </w:tcPr>
          <w:p w14:paraId="764BCB92">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920" w:type="dxa"/>
            <w:noWrap w:val="0"/>
            <w:vAlign w:val="center"/>
          </w:tcPr>
          <w:p w14:paraId="42D27E52">
            <w:pPr>
              <w:snapToGrid w:val="0"/>
              <w:jc w:val="center"/>
              <w:rPr>
                <w:rFonts w:hint="eastAsia" w:ascii="仿宋" w:hAnsi="仿宋" w:eastAsia="仿宋" w:cs="仿宋"/>
                <w:bCs/>
                <w:color w:val="auto"/>
                <w:sz w:val="24"/>
                <w:highlight w:val="none"/>
                <w:lang w:val="en-US" w:eastAsia="zh-CN"/>
              </w:rPr>
            </w:pPr>
          </w:p>
        </w:tc>
        <w:tc>
          <w:tcPr>
            <w:tcW w:w="1485" w:type="dxa"/>
            <w:noWrap w:val="0"/>
            <w:vAlign w:val="center"/>
          </w:tcPr>
          <w:p w14:paraId="7699CD7E">
            <w:pPr>
              <w:snapToGrid w:val="0"/>
              <w:jc w:val="center"/>
              <w:rPr>
                <w:rFonts w:ascii="仿宋" w:hAnsi="仿宋" w:eastAsia="仿宋" w:cs="仿宋"/>
                <w:bCs/>
                <w:color w:val="auto"/>
                <w:sz w:val="24"/>
                <w:highlight w:val="none"/>
              </w:rPr>
            </w:pPr>
          </w:p>
        </w:tc>
      </w:tr>
      <w:tr w14:paraId="5406D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654" w:type="dxa"/>
            <w:noWrap w:val="0"/>
            <w:vAlign w:val="center"/>
          </w:tcPr>
          <w:p w14:paraId="14D4ED3C">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w:t>
            </w:r>
          </w:p>
        </w:tc>
        <w:tc>
          <w:tcPr>
            <w:tcW w:w="5797" w:type="dxa"/>
            <w:noWrap w:val="0"/>
            <w:vAlign w:val="center"/>
          </w:tcPr>
          <w:p w14:paraId="77468416">
            <w:pPr>
              <w:snapToGrid w:val="0"/>
              <w:rPr>
                <w:rFonts w:hint="default" w:ascii="仿宋" w:hAnsi="仿宋" w:eastAsia="仿宋" w:cs="宋体"/>
                <w:color w:val="auto"/>
                <w:sz w:val="24"/>
                <w:highlight w:val="none"/>
                <w:lang w:val="en-US"/>
              </w:rPr>
            </w:pPr>
            <w:r>
              <w:rPr>
                <w:rFonts w:hint="eastAsia" w:ascii="仿宋" w:hAnsi="仿宋" w:eastAsia="仿宋" w:cs="宋体"/>
                <w:color w:val="auto"/>
                <w:sz w:val="24"/>
                <w:highlight w:val="none"/>
              </w:rPr>
              <w:t>对参与标项服务内容、服务对象性质、涉及法律问题的分析及应对措施，根据针对性，</w:t>
            </w:r>
            <w:r>
              <w:rPr>
                <w:rFonts w:hint="eastAsia" w:ascii="仿宋" w:hAnsi="仿宋" w:eastAsia="仿宋" w:cs="仿宋"/>
                <w:color w:val="auto"/>
                <w:sz w:val="24"/>
                <w:highlight w:val="none"/>
                <w:lang w:val="en-US" w:eastAsia="zh-CN"/>
              </w:rPr>
              <w:t>可行性、项目匹配性进行评价。方案</w:t>
            </w:r>
            <w:r>
              <w:rPr>
                <w:rFonts w:hint="eastAsia" w:ascii="仿宋" w:hAnsi="仿宋" w:eastAsia="仿宋" w:cs="宋体"/>
                <w:color w:val="auto"/>
                <w:sz w:val="24"/>
                <w:highlight w:val="none"/>
              </w:rPr>
              <w:t>针对性，</w:t>
            </w:r>
            <w:r>
              <w:rPr>
                <w:rFonts w:hint="eastAsia" w:ascii="仿宋" w:hAnsi="仿宋" w:eastAsia="仿宋" w:cs="仿宋"/>
                <w:color w:val="auto"/>
                <w:sz w:val="24"/>
                <w:highlight w:val="none"/>
                <w:lang w:val="en-US" w:eastAsia="zh-CN"/>
              </w:rPr>
              <w:t>可行性、项目匹配性好得5分；</w:t>
            </w:r>
            <w:r>
              <w:rPr>
                <w:rFonts w:hint="eastAsia" w:ascii="仿宋" w:hAnsi="仿宋" w:eastAsia="仿宋" w:cs="宋体"/>
                <w:color w:val="auto"/>
                <w:sz w:val="24"/>
                <w:highlight w:val="none"/>
                <w:lang w:val="en-US" w:eastAsia="zh-CN"/>
              </w:rPr>
              <w:t>方案</w:t>
            </w:r>
            <w:r>
              <w:rPr>
                <w:rFonts w:hint="eastAsia" w:ascii="仿宋" w:hAnsi="仿宋" w:eastAsia="仿宋" w:cs="宋体"/>
                <w:color w:val="auto"/>
                <w:sz w:val="24"/>
                <w:highlight w:val="none"/>
              </w:rPr>
              <w:t>针对性，</w:t>
            </w:r>
            <w:r>
              <w:rPr>
                <w:rFonts w:hint="eastAsia" w:ascii="仿宋" w:hAnsi="仿宋" w:eastAsia="仿宋" w:cs="宋体"/>
                <w:color w:val="auto"/>
                <w:sz w:val="24"/>
                <w:highlight w:val="none"/>
                <w:lang w:val="en-US" w:eastAsia="zh-CN"/>
              </w:rPr>
              <w:t>可行性、项目匹配性较好得4分；方案</w:t>
            </w:r>
            <w:r>
              <w:rPr>
                <w:rFonts w:hint="eastAsia" w:ascii="仿宋" w:hAnsi="仿宋" w:eastAsia="仿宋" w:cs="宋体"/>
                <w:color w:val="auto"/>
                <w:sz w:val="24"/>
                <w:highlight w:val="none"/>
              </w:rPr>
              <w:t>针对性，</w:t>
            </w:r>
            <w:r>
              <w:rPr>
                <w:rFonts w:hint="eastAsia" w:ascii="仿宋" w:hAnsi="仿宋" w:eastAsia="仿宋" w:cs="宋体"/>
                <w:color w:val="auto"/>
                <w:sz w:val="24"/>
                <w:highlight w:val="none"/>
                <w:lang w:val="en-US" w:eastAsia="zh-CN"/>
              </w:rPr>
              <w:t>可行性、项目匹配性一般得3分；存在不足得2分；有较大欠缺得1分；其余不得分。</w:t>
            </w:r>
          </w:p>
        </w:tc>
        <w:tc>
          <w:tcPr>
            <w:tcW w:w="1080" w:type="dxa"/>
            <w:noWrap w:val="0"/>
            <w:vAlign w:val="center"/>
          </w:tcPr>
          <w:p w14:paraId="4E0E91CF">
            <w:pPr>
              <w:snapToGrid w:val="0"/>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2AB6D9CB">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68990C77">
            <w:pPr>
              <w:snapToGrid w:val="0"/>
              <w:jc w:val="center"/>
              <w:rPr>
                <w:rFonts w:ascii="仿宋" w:hAnsi="仿宋" w:eastAsia="仿宋" w:cs="仿宋"/>
                <w:bCs/>
                <w:color w:val="auto"/>
                <w:sz w:val="24"/>
                <w:highlight w:val="none"/>
              </w:rPr>
            </w:pPr>
          </w:p>
        </w:tc>
      </w:tr>
      <w:tr w14:paraId="14CBB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654" w:type="dxa"/>
            <w:noWrap w:val="0"/>
            <w:vAlign w:val="center"/>
          </w:tcPr>
          <w:p w14:paraId="2E3C5D83">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w:t>
            </w:r>
          </w:p>
        </w:tc>
        <w:tc>
          <w:tcPr>
            <w:tcW w:w="5797" w:type="dxa"/>
            <w:noWrap w:val="0"/>
            <w:vAlign w:val="center"/>
          </w:tcPr>
          <w:p w14:paraId="686F5B32">
            <w:pPr>
              <w:snapToGrid w:val="0"/>
              <w:rPr>
                <w:rFonts w:hint="eastAsia" w:ascii="仿宋" w:hAnsi="仿宋" w:eastAsia="仿宋" w:cs="宋体"/>
                <w:color w:val="auto"/>
                <w:sz w:val="24"/>
                <w:highlight w:val="none"/>
                <w:lang w:eastAsia="zh-CN"/>
              </w:rPr>
            </w:pPr>
            <w:r>
              <w:rPr>
                <w:rFonts w:hint="eastAsia" w:ascii="仿宋" w:hAnsi="仿宋" w:eastAsia="仿宋" w:cs="宋体"/>
                <w:color w:val="auto"/>
                <w:sz w:val="24"/>
                <w:highlight w:val="none"/>
              </w:rPr>
              <w:t>根据采购需求“</w:t>
            </w:r>
            <w:r>
              <w:rPr>
                <w:rFonts w:hint="eastAsia" w:ascii="仿宋" w:hAnsi="仿宋" w:eastAsia="仿宋" w:cs="宋体"/>
                <w:color w:val="auto"/>
                <w:sz w:val="24"/>
                <w:highlight w:val="none"/>
                <w:lang w:val="en-US" w:eastAsia="zh-CN"/>
              </w:rPr>
              <w:t>标项一</w:t>
            </w:r>
            <w:r>
              <w:rPr>
                <w:rFonts w:hint="eastAsia" w:ascii="仿宋" w:hAnsi="仿宋" w:eastAsia="仿宋" w:cs="宋体"/>
                <w:color w:val="auto"/>
                <w:sz w:val="24"/>
                <w:highlight w:val="none"/>
              </w:rPr>
              <w:t>服务要求”中的“</w:t>
            </w:r>
            <w:r>
              <w:rPr>
                <w:rFonts w:hint="eastAsia" w:ascii="仿宋" w:hAnsi="仿宋" w:eastAsia="仿宋" w:cs="宋体"/>
                <w:color w:val="auto"/>
                <w:sz w:val="24"/>
                <w:highlight w:val="none"/>
                <w:lang w:eastAsia="zh-CN"/>
              </w:rPr>
              <w:t>（</w:t>
            </w:r>
            <w:r>
              <w:rPr>
                <w:rFonts w:hint="eastAsia" w:ascii="仿宋" w:hAnsi="仿宋" w:eastAsia="仿宋" w:cs="宋体"/>
                <w:color w:val="auto"/>
                <w:sz w:val="24"/>
                <w:highlight w:val="none"/>
                <w:lang w:val="en-US" w:eastAsia="zh-CN"/>
              </w:rPr>
              <w:t>一</w:t>
            </w:r>
            <w:r>
              <w:rPr>
                <w:rFonts w:hint="eastAsia" w:ascii="仿宋" w:hAnsi="仿宋" w:eastAsia="仿宋" w:cs="宋体"/>
                <w:color w:val="auto"/>
                <w:sz w:val="24"/>
                <w:highlight w:val="none"/>
                <w:lang w:eastAsia="zh-CN"/>
              </w:rPr>
              <w:t>）</w:t>
            </w:r>
            <w:r>
              <w:rPr>
                <w:rFonts w:hint="eastAsia" w:ascii="仿宋" w:hAnsi="仿宋" w:eastAsia="仿宋" w:cs="宋体"/>
                <w:color w:val="auto"/>
                <w:sz w:val="24"/>
                <w:highlight w:val="none"/>
              </w:rPr>
              <w:t>工作职责”要求，提供服务技术方案，根据方案的完整性、可行性进行评价</w:t>
            </w:r>
            <w:r>
              <w:rPr>
                <w:rFonts w:hint="eastAsia" w:ascii="仿宋" w:hAnsi="仿宋" w:eastAsia="仿宋" w:cs="宋体"/>
                <w:color w:val="auto"/>
                <w:sz w:val="24"/>
                <w:highlight w:val="none"/>
                <w:lang w:eastAsia="zh-CN"/>
              </w:rPr>
              <w:t>。</w:t>
            </w:r>
          </w:p>
        </w:tc>
        <w:tc>
          <w:tcPr>
            <w:tcW w:w="1080" w:type="dxa"/>
            <w:noWrap w:val="0"/>
            <w:vAlign w:val="center"/>
          </w:tcPr>
          <w:p w14:paraId="225F8198">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920" w:type="dxa"/>
            <w:noWrap w:val="0"/>
            <w:vAlign w:val="center"/>
          </w:tcPr>
          <w:p w14:paraId="7A78D4D4">
            <w:pPr>
              <w:snapToGrid w:val="0"/>
              <w:jc w:val="center"/>
              <w:rPr>
                <w:rFonts w:hint="eastAsia" w:ascii="仿宋" w:hAnsi="仿宋" w:eastAsia="仿宋" w:cs="仿宋"/>
                <w:bCs/>
                <w:color w:val="auto"/>
                <w:sz w:val="24"/>
                <w:highlight w:val="none"/>
                <w:lang w:val="en-US" w:eastAsia="zh-CN"/>
              </w:rPr>
            </w:pPr>
          </w:p>
        </w:tc>
        <w:tc>
          <w:tcPr>
            <w:tcW w:w="1485" w:type="dxa"/>
            <w:noWrap w:val="0"/>
            <w:vAlign w:val="center"/>
          </w:tcPr>
          <w:p w14:paraId="6126E060">
            <w:pPr>
              <w:snapToGrid w:val="0"/>
              <w:jc w:val="center"/>
              <w:rPr>
                <w:rFonts w:ascii="仿宋" w:hAnsi="仿宋" w:eastAsia="仿宋" w:cs="仿宋"/>
                <w:color w:val="auto"/>
                <w:sz w:val="24"/>
                <w:highlight w:val="none"/>
              </w:rPr>
            </w:pPr>
          </w:p>
        </w:tc>
      </w:tr>
      <w:tr w14:paraId="1620B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654" w:type="dxa"/>
            <w:noWrap w:val="0"/>
            <w:vAlign w:val="center"/>
          </w:tcPr>
          <w:p w14:paraId="726678FF">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3.2.1</w:t>
            </w:r>
          </w:p>
        </w:tc>
        <w:tc>
          <w:tcPr>
            <w:tcW w:w="5797" w:type="dxa"/>
            <w:noWrap w:val="0"/>
            <w:vAlign w:val="center"/>
          </w:tcPr>
          <w:p w14:paraId="65834170">
            <w:pPr>
              <w:snapToGrid w:val="0"/>
              <w:rPr>
                <w:rFonts w:hint="eastAsia" w:ascii="仿宋" w:hAnsi="仿宋" w:eastAsia="仿宋" w:cs="宋体"/>
                <w:color w:val="auto"/>
                <w:sz w:val="24"/>
                <w:highlight w:val="none"/>
              </w:rPr>
            </w:pPr>
            <w:r>
              <w:rPr>
                <w:rFonts w:hint="eastAsia" w:ascii="仿宋" w:hAnsi="仿宋" w:eastAsia="仿宋" w:cs="宋体"/>
                <w:color w:val="auto"/>
                <w:sz w:val="24"/>
                <w:highlight w:val="none"/>
                <w:lang w:val="en-US" w:eastAsia="zh-CN"/>
              </w:rPr>
              <w:t>供应商对</w:t>
            </w:r>
            <w:r>
              <w:rPr>
                <w:rFonts w:hint="eastAsia" w:ascii="仿宋" w:hAnsi="仿宋" w:eastAsia="仿宋" w:cs="仿宋"/>
                <w:color w:val="auto"/>
                <w:sz w:val="24"/>
                <w:highlight w:val="none"/>
                <w:lang w:val="en-US" w:eastAsia="zh-CN"/>
              </w:rPr>
              <w:t>区政府（区司法局）作为被申请人的行政复议案件及后续引发的行政诉讼案件提供专业法律意见并出具相关文书，或应区政府（区司法局）要求，对相关工作进行法律论证</w:t>
            </w:r>
            <w:r>
              <w:rPr>
                <w:rFonts w:hint="eastAsia" w:ascii="仿宋" w:hAnsi="仿宋" w:eastAsia="仿宋" w:cs="宋体"/>
                <w:color w:val="auto"/>
                <w:sz w:val="24"/>
                <w:highlight w:val="none"/>
                <w:lang w:val="en-US" w:eastAsia="zh-CN"/>
              </w:rPr>
              <w:t>的相关服务方案，根据针对性，可行性、项目匹配性进行评价。方案针对</w:t>
            </w:r>
            <w:r>
              <w:rPr>
                <w:rFonts w:hint="eastAsia" w:ascii="仿宋" w:hAnsi="仿宋" w:eastAsia="仿宋" w:cs="宋体"/>
                <w:color w:val="auto"/>
                <w:sz w:val="24"/>
                <w:highlight w:val="none"/>
              </w:rPr>
              <w:t>性，</w:t>
            </w:r>
            <w:r>
              <w:rPr>
                <w:rFonts w:hint="eastAsia" w:ascii="仿宋" w:hAnsi="仿宋" w:eastAsia="仿宋" w:cs="宋体"/>
                <w:color w:val="auto"/>
                <w:sz w:val="24"/>
                <w:highlight w:val="none"/>
                <w:lang w:val="en-US" w:eastAsia="zh-CN"/>
              </w:rPr>
              <w:t>可行性、项目匹配性好得5分；方案针对性，可行性、项目匹配性好较好得4分；方案针对性，可行性、项目匹配性好一般得3分；存在不足得2分；有较大欠缺得1分；其余不得分。</w:t>
            </w:r>
          </w:p>
        </w:tc>
        <w:tc>
          <w:tcPr>
            <w:tcW w:w="1080" w:type="dxa"/>
            <w:noWrap w:val="0"/>
            <w:vAlign w:val="center"/>
          </w:tcPr>
          <w:p w14:paraId="2158ED11">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7D17ABDF">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7E73C6F7">
            <w:pPr>
              <w:snapToGrid w:val="0"/>
              <w:jc w:val="center"/>
              <w:rPr>
                <w:rFonts w:ascii="仿宋" w:hAnsi="仿宋" w:eastAsia="仿宋" w:cs="仿宋"/>
                <w:color w:val="auto"/>
                <w:sz w:val="24"/>
                <w:highlight w:val="none"/>
              </w:rPr>
            </w:pPr>
          </w:p>
        </w:tc>
      </w:tr>
      <w:tr w14:paraId="5CE32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69F3E246">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3.2.2</w:t>
            </w:r>
          </w:p>
        </w:tc>
        <w:tc>
          <w:tcPr>
            <w:tcW w:w="5797" w:type="dxa"/>
            <w:noWrap w:val="0"/>
            <w:vAlign w:val="center"/>
          </w:tcPr>
          <w:p w14:paraId="47760F01">
            <w:pPr>
              <w:snapToGrid w:val="0"/>
              <w:rPr>
                <w:rFonts w:hint="eastAsia" w:ascii="仿宋" w:hAnsi="仿宋" w:eastAsia="仿宋" w:cs="宋体"/>
                <w:color w:val="auto"/>
                <w:sz w:val="24"/>
                <w:highlight w:val="none"/>
              </w:rPr>
            </w:pPr>
            <w:r>
              <w:rPr>
                <w:rFonts w:hint="eastAsia" w:ascii="仿宋" w:hAnsi="仿宋" w:eastAsia="仿宋" w:cs="宋体"/>
                <w:color w:val="auto"/>
                <w:sz w:val="24"/>
                <w:highlight w:val="none"/>
                <w:lang w:val="en-US" w:eastAsia="zh-CN"/>
              </w:rPr>
              <w:t>供应商受区司法局或区政府委托代理区政府作为复议被申请人的行政复议案件或尚未形成复议的行政争议，提供专业法律意见并出具相关文书的相关服务方案</w:t>
            </w:r>
          </w:p>
        </w:tc>
        <w:tc>
          <w:tcPr>
            <w:tcW w:w="1080" w:type="dxa"/>
            <w:noWrap w:val="0"/>
            <w:vAlign w:val="center"/>
          </w:tcPr>
          <w:p w14:paraId="413C807D">
            <w:pPr>
              <w:snapToGrid w:val="0"/>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920" w:type="dxa"/>
            <w:noWrap w:val="0"/>
            <w:vAlign w:val="center"/>
          </w:tcPr>
          <w:p w14:paraId="46A8D3E3">
            <w:pPr>
              <w:snapToGrid w:val="0"/>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1485" w:type="dxa"/>
            <w:noWrap w:val="0"/>
            <w:vAlign w:val="center"/>
          </w:tcPr>
          <w:p w14:paraId="75BE12B6">
            <w:pPr>
              <w:snapToGrid w:val="0"/>
              <w:jc w:val="center"/>
              <w:rPr>
                <w:rFonts w:ascii="仿宋" w:hAnsi="仿宋" w:eastAsia="仿宋" w:cs="仿宋"/>
                <w:color w:val="auto"/>
                <w:sz w:val="24"/>
                <w:highlight w:val="none"/>
              </w:rPr>
            </w:pPr>
          </w:p>
        </w:tc>
      </w:tr>
      <w:tr w14:paraId="37B06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57C5B1A0">
            <w:pPr>
              <w:snapToGrid w:val="0"/>
              <w:jc w:val="center"/>
              <w:rPr>
                <w:rFonts w:ascii="仿宋" w:hAnsi="仿宋" w:eastAsia="仿宋" w:cs="仿宋"/>
                <w:color w:val="auto"/>
                <w:sz w:val="24"/>
                <w:highlight w:val="none"/>
              </w:rPr>
            </w:pPr>
          </w:p>
        </w:tc>
        <w:tc>
          <w:tcPr>
            <w:tcW w:w="5797" w:type="dxa"/>
            <w:noWrap w:val="0"/>
            <w:vAlign w:val="center"/>
          </w:tcPr>
          <w:p w14:paraId="31196FD6">
            <w:pPr>
              <w:snapToGrid w:val="0"/>
              <w:rPr>
                <w:rFonts w:hint="default"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（1）法律程序相关方案，根据针对性，可行性、项目匹配性进行评价。方案</w:t>
            </w:r>
            <w:r>
              <w:rPr>
                <w:rFonts w:hint="eastAsia" w:ascii="仿宋" w:hAnsi="仿宋" w:eastAsia="仿宋" w:cs="宋体"/>
                <w:color w:val="auto"/>
                <w:sz w:val="24"/>
                <w:highlight w:val="none"/>
              </w:rPr>
              <w:t>针对性，</w:t>
            </w:r>
            <w:r>
              <w:rPr>
                <w:rFonts w:hint="eastAsia" w:ascii="仿宋" w:hAnsi="仿宋" w:eastAsia="仿宋" w:cs="宋体"/>
                <w:color w:val="auto"/>
                <w:sz w:val="24"/>
                <w:highlight w:val="none"/>
                <w:lang w:val="en-US" w:eastAsia="zh-CN"/>
              </w:rPr>
              <w:t>可行性、项目匹配性好得5分；方案针对性，可行性、项目匹配性较好得4分；方案针对性，可行性、项目匹配性一般得3分；存在不足得2分；有较大欠缺得1分；其余不得分。</w:t>
            </w:r>
          </w:p>
        </w:tc>
        <w:tc>
          <w:tcPr>
            <w:tcW w:w="1080" w:type="dxa"/>
            <w:noWrap w:val="0"/>
            <w:vAlign w:val="center"/>
          </w:tcPr>
          <w:p w14:paraId="6D32D37A">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602738E9">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286072CF">
            <w:pPr>
              <w:snapToGrid w:val="0"/>
              <w:jc w:val="center"/>
              <w:rPr>
                <w:rFonts w:ascii="仿宋" w:hAnsi="仿宋" w:eastAsia="仿宋" w:cs="仿宋"/>
                <w:color w:val="auto"/>
                <w:sz w:val="24"/>
                <w:highlight w:val="none"/>
              </w:rPr>
            </w:pPr>
          </w:p>
        </w:tc>
      </w:tr>
      <w:tr w14:paraId="71B9D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1658E3E0">
            <w:pPr>
              <w:snapToGrid w:val="0"/>
              <w:jc w:val="center"/>
              <w:rPr>
                <w:rFonts w:ascii="仿宋" w:hAnsi="仿宋" w:eastAsia="仿宋" w:cs="仿宋"/>
                <w:color w:val="auto"/>
                <w:sz w:val="24"/>
                <w:highlight w:val="none"/>
              </w:rPr>
            </w:pPr>
          </w:p>
        </w:tc>
        <w:tc>
          <w:tcPr>
            <w:tcW w:w="5797" w:type="dxa"/>
            <w:noWrap w:val="0"/>
            <w:vAlign w:val="center"/>
          </w:tcPr>
          <w:p w14:paraId="765C3EDD">
            <w:pPr>
              <w:snapToGrid w:val="0"/>
              <w:rPr>
                <w:rFonts w:hint="default"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（2）协调化解方案及相应措施，根据针对性，可行性、项目匹配性进行评价。方案</w:t>
            </w:r>
            <w:r>
              <w:rPr>
                <w:rFonts w:hint="eastAsia" w:ascii="仿宋" w:hAnsi="仿宋" w:eastAsia="仿宋" w:cs="宋体"/>
                <w:color w:val="auto"/>
                <w:sz w:val="24"/>
                <w:highlight w:val="none"/>
              </w:rPr>
              <w:t>针对性，</w:t>
            </w:r>
            <w:r>
              <w:rPr>
                <w:rFonts w:hint="eastAsia" w:ascii="仿宋" w:hAnsi="仿宋" w:eastAsia="仿宋" w:cs="宋体"/>
                <w:color w:val="auto"/>
                <w:sz w:val="24"/>
                <w:highlight w:val="none"/>
                <w:lang w:val="en-US" w:eastAsia="zh-CN"/>
              </w:rPr>
              <w:t>可行性、项目匹配性好得5分；方案针对性，可行性、项目匹配性较好得4分；方案针对性，可行性、项目匹配性一般得3分；存在不足得2分；有较大欠缺得1分；其余不得分。</w:t>
            </w:r>
          </w:p>
        </w:tc>
        <w:tc>
          <w:tcPr>
            <w:tcW w:w="1080" w:type="dxa"/>
            <w:noWrap w:val="0"/>
            <w:vAlign w:val="center"/>
          </w:tcPr>
          <w:p w14:paraId="2B9BFA32">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6AC90F6A">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1FE0FD8B">
            <w:pPr>
              <w:snapToGrid w:val="0"/>
              <w:jc w:val="center"/>
              <w:rPr>
                <w:rFonts w:ascii="仿宋" w:hAnsi="仿宋" w:eastAsia="仿宋" w:cs="仿宋"/>
                <w:color w:val="auto"/>
                <w:sz w:val="24"/>
                <w:highlight w:val="none"/>
              </w:rPr>
            </w:pPr>
          </w:p>
        </w:tc>
      </w:tr>
      <w:tr w14:paraId="3BAC6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451EC57A">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3.2.3</w:t>
            </w:r>
          </w:p>
        </w:tc>
        <w:tc>
          <w:tcPr>
            <w:tcW w:w="5797" w:type="dxa"/>
            <w:noWrap w:val="0"/>
            <w:vAlign w:val="center"/>
          </w:tcPr>
          <w:p w14:paraId="36736945">
            <w:pPr>
              <w:snapToGrid w:val="0"/>
              <w:rPr>
                <w:rFonts w:hint="eastAsia" w:ascii="仿宋" w:hAnsi="仿宋" w:eastAsia="仿宋" w:cs="宋体"/>
                <w:color w:val="auto"/>
                <w:sz w:val="24"/>
                <w:highlight w:val="none"/>
              </w:rPr>
            </w:pPr>
            <w:r>
              <w:rPr>
                <w:rFonts w:hint="eastAsia" w:ascii="仿宋" w:hAnsi="仿宋" w:eastAsia="仿宋" w:cs="宋体"/>
                <w:color w:val="auto"/>
                <w:sz w:val="24"/>
                <w:highlight w:val="none"/>
                <w:lang w:val="en-US" w:eastAsia="zh-CN"/>
              </w:rPr>
              <w:t>协助区政府（区司法局）进行与本标项内容相关的法治宣传培训，向区政府（区司法局）提供有关法律信息和法律咨询，对区政府（区司法局）行政管理中的法律问题提出意见和建议的相关服务方案，根据针对性，可行性、项目匹配性进行评价。方案针对性，可行性、项目匹配性好得5分；方案针对性，可行性、项目匹配性较好得4分；方案针对性，可行性、项目匹配性一般得3分；存在不足得2分；有较大欠缺得1分；其余不得分。</w:t>
            </w:r>
          </w:p>
        </w:tc>
        <w:tc>
          <w:tcPr>
            <w:tcW w:w="1080" w:type="dxa"/>
            <w:noWrap w:val="0"/>
            <w:vAlign w:val="center"/>
          </w:tcPr>
          <w:p w14:paraId="689B9359">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3F8BC181">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52BAE9E4">
            <w:pPr>
              <w:snapToGrid w:val="0"/>
              <w:jc w:val="center"/>
              <w:rPr>
                <w:rFonts w:ascii="仿宋" w:hAnsi="仿宋" w:eastAsia="仿宋" w:cs="仿宋"/>
                <w:color w:val="auto"/>
                <w:sz w:val="24"/>
                <w:highlight w:val="none"/>
              </w:rPr>
            </w:pPr>
          </w:p>
        </w:tc>
      </w:tr>
      <w:tr w14:paraId="21F24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60440BC1">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3.2.4</w:t>
            </w:r>
          </w:p>
        </w:tc>
        <w:tc>
          <w:tcPr>
            <w:tcW w:w="5797" w:type="dxa"/>
            <w:noWrap w:val="0"/>
            <w:vAlign w:val="center"/>
          </w:tcPr>
          <w:p w14:paraId="5F43A70C">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承诺办理区政府（区司法局）委托的与本标项内容相关的其他法律事务。提供承诺得3分，其余不得分。</w:t>
            </w:r>
          </w:p>
        </w:tc>
        <w:tc>
          <w:tcPr>
            <w:tcW w:w="1080" w:type="dxa"/>
            <w:noWrap w:val="0"/>
            <w:vAlign w:val="center"/>
          </w:tcPr>
          <w:p w14:paraId="692A5786">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920" w:type="dxa"/>
            <w:noWrap w:val="0"/>
            <w:vAlign w:val="center"/>
          </w:tcPr>
          <w:p w14:paraId="234E66CB">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7FC868A3">
            <w:pPr>
              <w:snapToGrid w:val="0"/>
              <w:jc w:val="center"/>
              <w:rPr>
                <w:rFonts w:ascii="仿宋" w:hAnsi="仿宋" w:eastAsia="仿宋" w:cs="仿宋"/>
                <w:color w:val="auto"/>
                <w:sz w:val="24"/>
                <w:highlight w:val="none"/>
              </w:rPr>
            </w:pPr>
          </w:p>
        </w:tc>
      </w:tr>
      <w:tr w14:paraId="6D55B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378C7682">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w:t>
            </w:r>
          </w:p>
        </w:tc>
        <w:tc>
          <w:tcPr>
            <w:tcW w:w="5797" w:type="dxa"/>
            <w:noWrap w:val="0"/>
            <w:vAlign w:val="center"/>
          </w:tcPr>
          <w:p w14:paraId="5623AFBA">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根据采购需求“标项一服务要求”中的“（二）法律咨询”要求，对相应响应时间进行承诺或说明。满足要求得4分，其余不得分。</w:t>
            </w:r>
          </w:p>
        </w:tc>
        <w:tc>
          <w:tcPr>
            <w:tcW w:w="1080" w:type="dxa"/>
            <w:noWrap w:val="0"/>
            <w:vAlign w:val="center"/>
          </w:tcPr>
          <w:p w14:paraId="52BEB6EC">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920" w:type="dxa"/>
            <w:noWrap w:val="0"/>
            <w:vAlign w:val="center"/>
          </w:tcPr>
          <w:p w14:paraId="453693C4">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2B00D259">
            <w:pPr>
              <w:snapToGrid w:val="0"/>
              <w:jc w:val="center"/>
              <w:rPr>
                <w:rFonts w:ascii="仿宋" w:hAnsi="仿宋" w:eastAsia="仿宋" w:cs="仿宋"/>
                <w:color w:val="auto"/>
                <w:sz w:val="24"/>
                <w:highlight w:val="none"/>
              </w:rPr>
            </w:pPr>
          </w:p>
        </w:tc>
      </w:tr>
      <w:tr w14:paraId="54741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07954578">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w:t>
            </w:r>
          </w:p>
        </w:tc>
        <w:tc>
          <w:tcPr>
            <w:tcW w:w="5797" w:type="dxa"/>
            <w:noWrap w:val="0"/>
            <w:vAlign w:val="center"/>
          </w:tcPr>
          <w:p w14:paraId="00387389">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根据采购需求“标项一服务要求”中的“（四）其他”要求，对相应内容进行承诺或说明。满足要求得4分，其余不得分。</w:t>
            </w:r>
          </w:p>
        </w:tc>
        <w:tc>
          <w:tcPr>
            <w:tcW w:w="1080" w:type="dxa"/>
            <w:noWrap w:val="0"/>
            <w:vAlign w:val="center"/>
          </w:tcPr>
          <w:p w14:paraId="06001277">
            <w:pPr>
              <w:snapToGrid w:val="0"/>
              <w:jc w:val="center"/>
              <w:rPr>
                <w:rFonts w:hint="default" w:ascii="仿宋" w:hAnsi="仿宋" w:eastAsia="仿宋" w:cs="仿宋"/>
                <w:bCs/>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4</w:t>
            </w:r>
          </w:p>
        </w:tc>
        <w:tc>
          <w:tcPr>
            <w:tcW w:w="920" w:type="dxa"/>
            <w:noWrap w:val="0"/>
            <w:vAlign w:val="center"/>
          </w:tcPr>
          <w:p w14:paraId="56CE69A4">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60BC5456">
            <w:pPr>
              <w:snapToGrid w:val="0"/>
              <w:jc w:val="center"/>
              <w:rPr>
                <w:rFonts w:ascii="仿宋" w:hAnsi="仿宋" w:eastAsia="仿宋" w:cs="仿宋"/>
                <w:color w:val="auto"/>
                <w:sz w:val="24"/>
                <w:highlight w:val="none"/>
              </w:rPr>
            </w:pPr>
          </w:p>
        </w:tc>
      </w:tr>
      <w:tr w14:paraId="44259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654" w:type="dxa"/>
            <w:noWrap w:val="0"/>
            <w:vAlign w:val="center"/>
          </w:tcPr>
          <w:p w14:paraId="78E7886B">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5797" w:type="dxa"/>
            <w:noWrap w:val="0"/>
            <w:vAlign w:val="center"/>
          </w:tcPr>
          <w:p w14:paraId="7DF8A180">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人员情况。投入本项目人员</w:t>
            </w:r>
            <w:r>
              <w:rPr>
                <w:rFonts w:hint="eastAsia" w:ascii="仿宋" w:hAnsi="仿宋" w:eastAsia="仿宋" w:cs="仿宋"/>
                <w:color w:val="auto"/>
                <w:sz w:val="24"/>
                <w:highlight w:val="none"/>
                <w:lang w:val="zh-CN" w:eastAsia="zh-CN"/>
              </w:rPr>
              <w:t>须提供社保机构出具</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val="zh-CN" w:eastAsia="zh-CN"/>
              </w:rPr>
              <w:t>为其缴纳的</w:t>
            </w:r>
            <w:r>
              <w:rPr>
                <w:rFonts w:hint="eastAsia" w:ascii="仿宋" w:hAnsi="仿宋" w:eastAsia="仿宋" w:cs="仿宋"/>
                <w:color w:val="auto"/>
                <w:sz w:val="24"/>
                <w:highlight w:val="none"/>
                <w:lang w:val="en-US" w:eastAsia="zh-CN"/>
              </w:rPr>
              <w:t>至磋商响应截止时间3个月任意时间的</w:t>
            </w:r>
            <w:r>
              <w:rPr>
                <w:rFonts w:hint="eastAsia" w:ascii="仿宋" w:hAnsi="仿宋" w:eastAsia="仿宋" w:cs="仿宋"/>
                <w:color w:val="auto"/>
                <w:sz w:val="24"/>
                <w:highlight w:val="none"/>
                <w:lang w:val="zh-CN" w:eastAsia="zh-CN"/>
              </w:rPr>
              <w:t>社保证明，</w:t>
            </w:r>
            <w:r>
              <w:rPr>
                <w:rFonts w:hint="eastAsia" w:ascii="仿宋" w:hAnsi="仿宋" w:eastAsia="仿宋" w:cs="仿宋"/>
                <w:b/>
                <w:bCs/>
                <w:color w:val="auto"/>
                <w:sz w:val="24"/>
                <w:highlight w:val="none"/>
                <w:lang w:val="zh-CN" w:eastAsia="zh-CN"/>
              </w:rPr>
              <w:t>否则</w:t>
            </w:r>
            <w:r>
              <w:rPr>
                <w:rFonts w:hint="eastAsia" w:ascii="仿宋" w:hAnsi="仿宋" w:eastAsia="仿宋" w:cs="仿宋"/>
                <w:b/>
                <w:bCs/>
                <w:color w:val="auto"/>
                <w:sz w:val="24"/>
                <w:highlight w:val="none"/>
                <w:lang w:val="en-US" w:eastAsia="zh-CN"/>
              </w:rPr>
              <w:t>人员不予认可</w:t>
            </w:r>
            <w:r>
              <w:rPr>
                <w:rFonts w:hint="eastAsia" w:ascii="仿宋" w:hAnsi="仿宋" w:eastAsia="仿宋" w:cs="仿宋"/>
                <w:color w:val="auto"/>
                <w:sz w:val="24"/>
                <w:highlight w:val="none"/>
                <w:lang w:val="zh-CN" w:eastAsia="zh-CN"/>
              </w:rPr>
              <w:t>。</w:t>
            </w:r>
            <w:r>
              <w:rPr>
                <w:rFonts w:hint="eastAsia" w:ascii="仿宋" w:hAnsi="仿宋" w:eastAsia="仿宋" w:cs="仿宋"/>
                <w:bCs/>
                <w:color w:val="auto"/>
                <w:sz w:val="24"/>
                <w:highlight w:val="none"/>
                <w:lang w:val="en-US" w:eastAsia="zh-CN"/>
              </w:rPr>
              <w:t>法律顾问团队清单（清单格式见采购文件第七部分）还应包括人员姓名、</w:t>
            </w:r>
            <w:r>
              <w:rPr>
                <w:rFonts w:hint="eastAsia" w:ascii="仿宋" w:hAnsi="仿宋" w:eastAsia="仿宋" w:cs="仿宋"/>
                <w:bCs/>
                <w:color w:val="auto"/>
                <w:sz w:val="24"/>
                <w:highlight w:val="none"/>
                <w:lang w:val="zh-CN" w:eastAsia="zh-CN"/>
              </w:rPr>
              <w:t>本项目拟任岗位、</w:t>
            </w:r>
            <w:r>
              <w:rPr>
                <w:rFonts w:hint="eastAsia" w:ascii="仿宋" w:hAnsi="仿宋" w:eastAsia="仿宋" w:cs="仿宋"/>
                <w:bCs/>
                <w:color w:val="auto"/>
                <w:sz w:val="24"/>
                <w:highlight w:val="none"/>
                <w:lang w:val="en-US" w:eastAsia="zh-CN"/>
              </w:rPr>
              <w:t>年龄、性别、从业年限、身份证号码、联系电话，并提供本人签名，</w:t>
            </w:r>
            <w:r>
              <w:rPr>
                <w:rFonts w:hint="eastAsia" w:ascii="仿宋" w:hAnsi="仿宋" w:eastAsia="仿宋" w:cs="仿宋"/>
                <w:b/>
                <w:bCs w:val="0"/>
                <w:color w:val="auto"/>
                <w:sz w:val="24"/>
                <w:highlight w:val="none"/>
                <w:lang w:val="en-US" w:eastAsia="zh-CN"/>
              </w:rPr>
              <w:t>否则人员不予认可</w:t>
            </w:r>
            <w:r>
              <w:rPr>
                <w:rFonts w:hint="eastAsia" w:ascii="仿宋" w:hAnsi="仿宋" w:eastAsia="仿宋" w:cs="仿宋"/>
                <w:bCs/>
                <w:color w:val="auto"/>
                <w:sz w:val="24"/>
                <w:highlight w:val="none"/>
                <w:lang w:val="en-US" w:eastAsia="zh-CN"/>
              </w:rPr>
              <w:t>。</w:t>
            </w:r>
          </w:p>
        </w:tc>
        <w:tc>
          <w:tcPr>
            <w:tcW w:w="1080" w:type="dxa"/>
            <w:noWrap w:val="0"/>
            <w:vAlign w:val="center"/>
          </w:tcPr>
          <w:p w14:paraId="121076BA">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c>
          <w:tcPr>
            <w:tcW w:w="920" w:type="dxa"/>
            <w:noWrap w:val="0"/>
            <w:vAlign w:val="center"/>
          </w:tcPr>
          <w:p w14:paraId="18623BC8">
            <w:pPr>
              <w:snapToGrid w:val="0"/>
              <w:jc w:val="center"/>
              <w:rPr>
                <w:rFonts w:hint="eastAsia" w:ascii="仿宋" w:hAnsi="仿宋" w:eastAsia="仿宋" w:cs="仿宋"/>
                <w:color w:val="auto"/>
                <w:sz w:val="24"/>
                <w:highlight w:val="none"/>
                <w:lang w:val="en-US" w:eastAsia="zh-CN"/>
              </w:rPr>
            </w:pPr>
          </w:p>
        </w:tc>
        <w:tc>
          <w:tcPr>
            <w:tcW w:w="1485" w:type="dxa"/>
            <w:noWrap w:val="0"/>
            <w:vAlign w:val="center"/>
          </w:tcPr>
          <w:p w14:paraId="3B0A3B61">
            <w:pPr>
              <w:snapToGrid w:val="0"/>
              <w:jc w:val="center"/>
              <w:rPr>
                <w:rFonts w:ascii="仿宋" w:hAnsi="仿宋" w:eastAsia="仿宋" w:cs="仿宋"/>
                <w:color w:val="auto"/>
                <w:sz w:val="24"/>
                <w:highlight w:val="none"/>
              </w:rPr>
            </w:pPr>
          </w:p>
        </w:tc>
      </w:tr>
      <w:tr w14:paraId="2B066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76F7B4FA">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w:t>
            </w:r>
          </w:p>
        </w:tc>
        <w:tc>
          <w:tcPr>
            <w:tcW w:w="5797" w:type="dxa"/>
            <w:noWrap w:val="0"/>
            <w:vAlign w:val="center"/>
          </w:tcPr>
          <w:p w14:paraId="73750736">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项目负责人：</w:t>
            </w:r>
          </w:p>
          <w:p w14:paraId="04C31B8F">
            <w:pPr>
              <w:snapToGrid w:val="0"/>
              <w:rPr>
                <w:rFonts w:hint="default" w:ascii="仿宋" w:hAnsi="仿宋" w:eastAsia="仿宋" w:cs="仿宋"/>
                <w:color w:val="auto"/>
                <w:sz w:val="24"/>
                <w:highlight w:val="none"/>
                <w:lang w:val="en-US" w:eastAsia="zh-CN"/>
              </w:rPr>
            </w:pPr>
            <w:r>
              <w:rPr>
                <w:rFonts w:hint="eastAsia" w:ascii="宋体" w:hAnsi="宋体" w:eastAsia="宋体" w:cs="宋体"/>
                <w:color w:val="auto"/>
                <w:sz w:val="24"/>
                <w:highlight w:val="none"/>
                <w:lang w:val="en-US" w:eastAsia="zh-CN"/>
              </w:rPr>
              <w:t>①</w:t>
            </w:r>
            <w:r>
              <w:rPr>
                <w:rFonts w:hint="eastAsia" w:ascii="仿宋" w:hAnsi="仿宋" w:eastAsia="仿宋" w:cs="仿宋"/>
                <w:color w:val="auto"/>
                <w:sz w:val="24"/>
                <w:highlight w:val="none"/>
                <w:lang w:val="en-US" w:eastAsia="zh-CN"/>
              </w:rPr>
              <w:t>执业年限不低于8年（含）得2分，其余不得分；</w:t>
            </w:r>
          </w:p>
          <w:p w14:paraId="23D7A584">
            <w:pPr>
              <w:snapToGrid w:val="0"/>
              <w:rPr>
                <w:rFonts w:hint="eastAsia" w:ascii="仿宋" w:hAnsi="仿宋" w:eastAsia="仿宋" w:cs="仿宋"/>
                <w:color w:val="auto"/>
                <w:sz w:val="24"/>
                <w:highlight w:val="none"/>
                <w:lang w:val="en-US" w:eastAsia="zh-CN"/>
              </w:rPr>
            </w:pPr>
            <w:r>
              <w:rPr>
                <w:rFonts w:hint="eastAsia" w:ascii="宋体" w:hAnsi="宋体" w:eastAsia="宋体" w:cs="宋体"/>
                <w:color w:val="auto"/>
                <w:sz w:val="24"/>
                <w:highlight w:val="none"/>
                <w:lang w:val="en-US" w:eastAsia="zh-CN"/>
              </w:rPr>
              <w:t>②</w:t>
            </w:r>
            <w:r>
              <w:rPr>
                <w:rFonts w:hint="eastAsia" w:ascii="仿宋" w:hAnsi="仿宋" w:eastAsia="仿宋" w:cs="仿宋"/>
                <w:color w:val="auto"/>
                <w:sz w:val="24"/>
                <w:highlight w:val="none"/>
                <w:lang w:val="en-US" w:eastAsia="zh-CN"/>
              </w:rPr>
              <w:t>自 2022年1月1日起，</w:t>
            </w:r>
            <w:r>
              <w:rPr>
                <w:rFonts w:hint="eastAsia" w:ascii="仿宋" w:hAnsi="仿宋" w:eastAsia="仿宋" w:cs="仿宋"/>
                <w:color w:val="auto"/>
                <w:sz w:val="24"/>
                <w:highlight w:val="none"/>
                <w:lang w:val="zh-CN" w:eastAsia="zh-CN"/>
              </w:rPr>
              <w:t>具有</w:t>
            </w:r>
            <w:r>
              <w:rPr>
                <w:rFonts w:hint="eastAsia" w:ascii="仿宋" w:hAnsi="仿宋" w:eastAsia="仿宋" w:cs="仿宋"/>
                <w:color w:val="auto"/>
                <w:sz w:val="24"/>
                <w:highlight w:val="none"/>
                <w:lang w:val="en-US" w:eastAsia="zh-CN"/>
              </w:rPr>
              <w:t>各级党委、或政府机关、或事业单位，或各级复议机关的年度法律顾问</w:t>
            </w:r>
            <w:r>
              <w:rPr>
                <w:rFonts w:hint="eastAsia" w:ascii="仿宋" w:hAnsi="仿宋" w:eastAsia="仿宋" w:cs="仿宋"/>
                <w:color w:val="auto"/>
                <w:sz w:val="24"/>
                <w:highlight w:val="none"/>
                <w:lang w:val="zh-CN" w:eastAsia="zh-CN"/>
              </w:rPr>
              <w:t>服务经验或类似实务经验</w:t>
            </w:r>
            <w:r>
              <w:rPr>
                <w:rFonts w:hint="eastAsia" w:ascii="仿宋" w:hAnsi="仿宋" w:eastAsia="仿宋" w:cs="仿宋"/>
                <w:color w:val="auto"/>
                <w:sz w:val="24"/>
                <w:highlight w:val="none"/>
                <w:lang w:val="en-US" w:eastAsia="zh-CN"/>
              </w:rPr>
              <w:t>,一个单位得1分，最高得5分。</w:t>
            </w:r>
          </w:p>
          <w:p w14:paraId="7D51FDAC">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响应文件中提供：</w:t>
            </w:r>
            <w:r>
              <w:rPr>
                <w:rFonts w:hint="eastAsia" w:ascii="宋体" w:hAnsi="宋体" w:eastAsia="宋体" w:cs="宋体"/>
                <w:color w:val="auto"/>
                <w:sz w:val="24"/>
                <w:highlight w:val="none"/>
                <w:lang w:val="en-US" w:eastAsia="zh-CN"/>
              </w:rPr>
              <w:t>①</w:t>
            </w:r>
            <w:r>
              <w:rPr>
                <w:rFonts w:hint="eastAsia" w:ascii="仿宋" w:hAnsi="仿宋" w:eastAsia="仿宋" w:cs="仿宋"/>
                <w:color w:val="auto"/>
                <w:sz w:val="24"/>
                <w:highlight w:val="none"/>
                <w:lang w:val="en-US" w:eastAsia="zh-CN"/>
              </w:rPr>
              <w:t>提供项目负责人有效执业资格证书；</w:t>
            </w:r>
            <w:r>
              <w:rPr>
                <w:rFonts w:hint="eastAsia" w:ascii="宋体" w:hAnsi="宋体" w:eastAsia="宋体" w:cs="宋体"/>
                <w:color w:val="auto"/>
                <w:sz w:val="24"/>
                <w:highlight w:val="none"/>
                <w:lang w:val="en-US" w:eastAsia="zh-CN"/>
              </w:rPr>
              <w:t>②</w:t>
            </w:r>
            <w:r>
              <w:rPr>
                <w:rFonts w:hint="eastAsia" w:ascii="仿宋" w:hAnsi="仿宋" w:eastAsia="仿宋" w:cs="仿宋"/>
                <w:color w:val="auto"/>
                <w:sz w:val="24"/>
                <w:highlight w:val="none"/>
                <w:lang w:val="en-US" w:eastAsia="zh-CN"/>
              </w:rPr>
              <w:t xml:space="preserve">提供相关合同证明（合同无法证明项目负责人工作经历的，经补充有委托方或业主单位盖章的说明或证明材料；同一个甲方单位不重复计分。） </w:t>
            </w:r>
          </w:p>
        </w:tc>
        <w:tc>
          <w:tcPr>
            <w:tcW w:w="1080" w:type="dxa"/>
            <w:noWrap w:val="0"/>
            <w:vAlign w:val="center"/>
          </w:tcPr>
          <w:p w14:paraId="5D064CAA">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920" w:type="dxa"/>
            <w:noWrap w:val="0"/>
            <w:vAlign w:val="center"/>
          </w:tcPr>
          <w:p w14:paraId="4E00F181">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1FCECBE9">
            <w:pPr>
              <w:snapToGrid w:val="0"/>
              <w:jc w:val="center"/>
              <w:rPr>
                <w:rFonts w:ascii="仿宋" w:hAnsi="仿宋" w:eastAsia="仿宋" w:cs="仿宋"/>
                <w:color w:val="auto"/>
                <w:sz w:val="24"/>
                <w:highlight w:val="none"/>
              </w:rPr>
            </w:pPr>
          </w:p>
        </w:tc>
      </w:tr>
      <w:tr w14:paraId="38587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0ECC48AF">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w:t>
            </w:r>
          </w:p>
        </w:tc>
        <w:tc>
          <w:tcPr>
            <w:tcW w:w="5797" w:type="dxa"/>
            <w:noWrap w:val="0"/>
            <w:vAlign w:val="center"/>
          </w:tcPr>
          <w:p w14:paraId="1ED627B3">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除项目负责人外，拟投入本项目人员不少于4人，律师执业年限不低于3年（含），每1 人得 1.5分，本项最高得 6分。</w:t>
            </w:r>
          </w:p>
          <w:p w14:paraId="6008F8C5">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说明：响应文件中提供以上人员有效执业资格证书、社保缴纳证明的复印件，磋商小组根据证明材料复印件进行评分。</w:t>
            </w:r>
          </w:p>
        </w:tc>
        <w:tc>
          <w:tcPr>
            <w:tcW w:w="1080" w:type="dxa"/>
            <w:noWrap w:val="0"/>
            <w:vAlign w:val="center"/>
          </w:tcPr>
          <w:p w14:paraId="612725B2">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920" w:type="dxa"/>
            <w:noWrap w:val="0"/>
            <w:vAlign w:val="center"/>
          </w:tcPr>
          <w:p w14:paraId="1E258501">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25AB5869">
            <w:pPr>
              <w:snapToGrid w:val="0"/>
              <w:jc w:val="center"/>
              <w:rPr>
                <w:rFonts w:ascii="仿宋" w:hAnsi="仿宋" w:eastAsia="仿宋" w:cs="仿宋"/>
                <w:color w:val="auto"/>
                <w:sz w:val="24"/>
                <w:highlight w:val="none"/>
              </w:rPr>
            </w:pPr>
          </w:p>
        </w:tc>
      </w:tr>
      <w:tr w14:paraId="0B9FC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73F3CEDF">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w:t>
            </w:r>
          </w:p>
        </w:tc>
        <w:tc>
          <w:tcPr>
            <w:tcW w:w="5797" w:type="dxa"/>
            <w:noWrap w:val="0"/>
            <w:vAlign w:val="center"/>
          </w:tcPr>
          <w:p w14:paraId="04506AF0">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专业覆盖范围，根据律师事务所及团队人员情况、参与项目情况（具体案件的合同或者判决书，或者甲方第三方证明等作为证明材料），根据尽可能覆盖各法律服务范围进行评价。具备复议机关法律顾问方面内容的得2分，具备被行政复议以及行政应诉法律顾问方面内容的得2分，具备国家赔偿方面内容的得1分，具备拆迁安置方面内容的得1分、具备违章建筑拆除方面内容的得1分，具备政府信息公开方面内容的得1分，具备工程建设方面内容的得1分。（证明材料中具备相应内容的即可得分）</w:t>
            </w:r>
          </w:p>
        </w:tc>
        <w:tc>
          <w:tcPr>
            <w:tcW w:w="1080" w:type="dxa"/>
            <w:noWrap w:val="0"/>
            <w:vAlign w:val="center"/>
          </w:tcPr>
          <w:p w14:paraId="2769BA32">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w:t>
            </w:r>
          </w:p>
        </w:tc>
        <w:tc>
          <w:tcPr>
            <w:tcW w:w="920" w:type="dxa"/>
            <w:noWrap w:val="0"/>
            <w:vAlign w:val="center"/>
          </w:tcPr>
          <w:p w14:paraId="0F0ECAE1">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26A44CC6">
            <w:pPr>
              <w:snapToGrid w:val="0"/>
              <w:jc w:val="center"/>
              <w:rPr>
                <w:rFonts w:ascii="仿宋" w:hAnsi="仿宋" w:eastAsia="仿宋" w:cs="仿宋"/>
                <w:color w:val="auto"/>
                <w:sz w:val="24"/>
                <w:highlight w:val="none"/>
              </w:rPr>
            </w:pPr>
          </w:p>
        </w:tc>
      </w:tr>
      <w:tr w14:paraId="04FB0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0F9AE5E7">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5797" w:type="dxa"/>
            <w:noWrap w:val="0"/>
            <w:vAlign w:val="center"/>
          </w:tcPr>
          <w:p w14:paraId="4093D6BA">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办公硬件响应情况，办公场地及场所布置、办公设施设备齐全满足采购要求的得3分，其余不得分。提供相关说明。</w:t>
            </w:r>
          </w:p>
        </w:tc>
        <w:tc>
          <w:tcPr>
            <w:tcW w:w="1080" w:type="dxa"/>
            <w:noWrap w:val="0"/>
            <w:vAlign w:val="center"/>
          </w:tcPr>
          <w:p w14:paraId="36226F0F">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920" w:type="dxa"/>
            <w:noWrap w:val="0"/>
            <w:vAlign w:val="center"/>
          </w:tcPr>
          <w:p w14:paraId="17EC75C9">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1E714184">
            <w:pPr>
              <w:snapToGrid w:val="0"/>
              <w:jc w:val="center"/>
              <w:rPr>
                <w:rFonts w:ascii="仿宋" w:hAnsi="仿宋" w:eastAsia="仿宋" w:cs="仿宋"/>
                <w:color w:val="auto"/>
                <w:sz w:val="24"/>
                <w:highlight w:val="none"/>
              </w:rPr>
            </w:pPr>
          </w:p>
        </w:tc>
      </w:tr>
      <w:tr w14:paraId="41A7D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654" w:type="dxa"/>
            <w:noWrap w:val="0"/>
            <w:vAlign w:val="center"/>
          </w:tcPr>
          <w:p w14:paraId="33F31FFC">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5797" w:type="dxa"/>
            <w:noWrap w:val="0"/>
            <w:vAlign w:val="center"/>
          </w:tcPr>
          <w:p w14:paraId="30A70064">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满足采购文件中有关保密措施相关要求的得2分，其余不得分。</w:t>
            </w:r>
          </w:p>
        </w:tc>
        <w:tc>
          <w:tcPr>
            <w:tcW w:w="1080" w:type="dxa"/>
            <w:noWrap w:val="0"/>
            <w:vAlign w:val="center"/>
          </w:tcPr>
          <w:p w14:paraId="79D6D4CC">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4DEBFB39">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07D1550D">
            <w:pPr>
              <w:snapToGrid w:val="0"/>
              <w:jc w:val="center"/>
              <w:rPr>
                <w:rFonts w:ascii="仿宋" w:hAnsi="仿宋" w:eastAsia="仿宋" w:cs="仿宋"/>
                <w:color w:val="auto"/>
                <w:sz w:val="24"/>
                <w:highlight w:val="none"/>
              </w:rPr>
            </w:pPr>
          </w:p>
        </w:tc>
      </w:tr>
      <w:tr w14:paraId="53E7E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654" w:type="dxa"/>
            <w:noWrap w:val="0"/>
            <w:vAlign w:val="center"/>
          </w:tcPr>
          <w:p w14:paraId="700F9766">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5797" w:type="dxa"/>
            <w:noWrap w:val="0"/>
            <w:vAlign w:val="center"/>
          </w:tcPr>
          <w:p w14:paraId="1251B641">
            <w:pPr>
              <w:snapToGrid w:val="0"/>
              <w:rPr>
                <w:rFonts w:hint="eastAsia" w:ascii="仿宋" w:hAnsi="仿宋" w:eastAsia="仿宋" w:cs="仿宋"/>
                <w:color w:val="auto"/>
                <w:sz w:val="24"/>
                <w:highlight w:val="none"/>
                <w:lang w:val="en-US" w:eastAsia="zh-CN"/>
              </w:rPr>
            </w:pPr>
            <w:r>
              <w:rPr>
                <w:rFonts w:hint="eastAsia" w:ascii="仿宋" w:hAnsi="仿宋" w:eastAsia="仿宋" w:cs="宋体"/>
                <w:color w:val="auto"/>
                <w:sz w:val="24"/>
                <w:highlight w:val="none"/>
                <w:lang w:val="en-US" w:eastAsia="zh-CN"/>
              </w:rPr>
              <w:t>与服务单位的配合情况，针对供应商主动做好与服务单位配合服务的具体措施的合理性、可行性进行评分。合理性、可行性好得5分；合理性、可行性较好得4分；合理性、可行性一般得3分；存在不足得2分；有较大欠缺得1分；其余不得分。</w:t>
            </w:r>
          </w:p>
        </w:tc>
        <w:tc>
          <w:tcPr>
            <w:tcW w:w="1080" w:type="dxa"/>
            <w:noWrap w:val="0"/>
            <w:vAlign w:val="center"/>
          </w:tcPr>
          <w:p w14:paraId="7C5BFA24">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920" w:type="dxa"/>
            <w:noWrap w:val="0"/>
            <w:vAlign w:val="center"/>
          </w:tcPr>
          <w:p w14:paraId="5420BCA2">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56924653">
            <w:pPr>
              <w:snapToGrid w:val="0"/>
              <w:jc w:val="center"/>
              <w:rPr>
                <w:rFonts w:ascii="仿宋" w:hAnsi="仿宋" w:eastAsia="仿宋" w:cs="仿宋"/>
                <w:color w:val="auto"/>
                <w:sz w:val="24"/>
                <w:highlight w:val="none"/>
              </w:rPr>
            </w:pPr>
          </w:p>
        </w:tc>
      </w:tr>
      <w:tr w14:paraId="0FBDD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3CA55B98">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w:t>
            </w:r>
          </w:p>
        </w:tc>
        <w:tc>
          <w:tcPr>
            <w:tcW w:w="5797" w:type="dxa"/>
            <w:noWrap w:val="0"/>
            <w:vAlign w:val="center"/>
          </w:tcPr>
          <w:p w14:paraId="431EDFDD">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对采购需求“商务要求”响应情况。全部满足得5分，有负偏离不得分。</w:t>
            </w:r>
          </w:p>
        </w:tc>
        <w:tc>
          <w:tcPr>
            <w:tcW w:w="1080" w:type="dxa"/>
            <w:noWrap w:val="0"/>
            <w:vAlign w:val="center"/>
          </w:tcPr>
          <w:p w14:paraId="23346F27">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920" w:type="dxa"/>
            <w:noWrap w:val="0"/>
            <w:vAlign w:val="center"/>
          </w:tcPr>
          <w:p w14:paraId="2A093390">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432FE047">
            <w:pPr>
              <w:snapToGrid w:val="0"/>
              <w:jc w:val="center"/>
              <w:rPr>
                <w:rFonts w:ascii="仿宋" w:hAnsi="仿宋" w:eastAsia="仿宋" w:cs="仿宋"/>
                <w:color w:val="auto"/>
                <w:sz w:val="24"/>
                <w:highlight w:val="none"/>
              </w:rPr>
            </w:pPr>
          </w:p>
        </w:tc>
      </w:tr>
    </w:tbl>
    <w:p w14:paraId="47F4B932">
      <w:pPr>
        <w:snapToGrid w:val="0"/>
        <w:spacing w:line="360" w:lineRule="auto"/>
        <w:rPr>
          <w:rFonts w:hint="eastAsia" w:ascii="仿宋" w:hAnsi="仿宋" w:eastAsia="仿宋" w:cs="仿宋_GB2312"/>
          <w:color w:val="auto"/>
          <w:sz w:val="24"/>
          <w:highlight w:val="none"/>
        </w:rPr>
      </w:pPr>
    </w:p>
    <w:p w14:paraId="5C8A1F51">
      <w:pP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br w:type="page"/>
      </w:r>
    </w:p>
    <w:p w14:paraId="0B174FE9">
      <w:pPr>
        <w:pStyle w:val="23"/>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textAlignment w:val="auto"/>
        <w:outlineLvl w:val="2"/>
        <w:rPr>
          <w:rFonts w:hint="eastAsia" w:ascii="仿宋" w:hAnsi="仿宋" w:eastAsia="仿宋" w:cs="仿宋"/>
          <w:b/>
          <w:bCs/>
          <w:color w:val="auto"/>
          <w:sz w:val="24"/>
          <w:highlight w:val="none"/>
          <w:shd w:val="clear" w:color="auto" w:fill="auto"/>
          <w:lang w:val="en-US" w:eastAsia="zh-CN"/>
        </w:rPr>
      </w:pPr>
      <w:r>
        <w:rPr>
          <w:rFonts w:hint="eastAsia" w:ascii="仿宋" w:hAnsi="仿宋" w:eastAsia="仿宋" w:cs="仿宋"/>
          <w:b/>
          <w:bCs/>
          <w:color w:val="auto"/>
          <w:sz w:val="24"/>
          <w:highlight w:val="none"/>
          <w:shd w:val="clear" w:color="auto" w:fill="auto"/>
          <w:lang w:val="en-US" w:eastAsia="zh-CN"/>
        </w:rPr>
        <w:t>标项二商务资信技术部分评分细则</w:t>
      </w:r>
    </w:p>
    <w:p w14:paraId="754355C9">
      <w:pPr>
        <w:rPr>
          <w:rFonts w:hint="eastAsia" w:ascii="仿宋" w:hAnsi="仿宋" w:eastAsia="仿宋" w:cs="仿宋"/>
          <w:b w:val="0"/>
          <w:bCs w:val="0"/>
          <w:color w:val="auto"/>
          <w:sz w:val="24"/>
          <w:highlight w:val="none"/>
          <w:shd w:val="clear" w:color="auto" w:fill="auto"/>
          <w:lang w:val="en-US" w:eastAsia="zh-CN"/>
        </w:rPr>
      </w:pPr>
    </w:p>
    <w:tbl>
      <w:tblPr>
        <w:tblStyle w:val="60"/>
        <w:tblW w:w="99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5797"/>
        <w:gridCol w:w="1080"/>
        <w:gridCol w:w="920"/>
        <w:gridCol w:w="1485"/>
      </w:tblGrid>
      <w:tr w14:paraId="6FA0D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654" w:type="dxa"/>
            <w:noWrap w:val="0"/>
            <w:vAlign w:val="center"/>
          </w:tcPr>
          <w:p w14:paraId="459C2CE2">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5797" w:type="dxa"/>
            <w:noWrap w:val="0"/>
            <w:vAlign w:val="center"/>
          </w:tcPr>
          <w:p w14:paraId="0CA89476">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评分因素</w:t>
            </w:r>
          </w:p>
        </w:tc>
        <w:tc>
          <w:tcPr>
            <w:tcW w:w="1080" w:type="dxa"/>
            <w:noWrap w:val="0"/>
            <w:vAlign w:val="center"/>
          </w:tcPr>
          <w:p w14:paraId="6D958757">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权重</w:t>
            </w:r>
          </w:p>
        </w:tc>
        <w:tc>
          <w:tcPr>
            <w:tcW w:w="920" w:type="dxa"/>
            <w:noWrap w:val="0"/>
            <w:vAlign w:val="center"/>
          </w:tcPr>
          <w:p w14:paraId="441ABF0C">
            <w:pPr>
              <w:snapToGrid w:val="0"/>
              <w:jc w:val="center"/>
              <w:rPr>
                <w:rFonts w:hint="eastAsia" w:ascii="仿宋" w:hAnsi="仿宋" w:eastAsia="仿宋" w:cs="仿宋"/>
                <w:color w:val="auto"/>
                <w:sz w:val="24"/>
                <w:highlight w:val="none"/>
              </w:rPr>
            </w:pPr>
            <w:r>
              <w:rPr>
                <w:rFonts w:hint="eastAsia" w:ascii="仿宋" w:hAnsi="仿宋" w:eastAsia="仿宋" w:cs="仿宋"/>
                <w:b/>
                <w:bCs/>
                <w:i w:val="0"/>
                <w:color w:val="000000"/>
                <w:kern w:val="0"/>
                <w:sz w:val="24"/>
                <w:szCs w:val="24"/>
                <w:highlight w:val="none"/>
                <w:u w:val="none"/>
                <w:lang w:val="en-US" w:eastAsia="zh-CN" w:bidi="ar"/>
              </w:rPr>
              <w:t>主观分/客观分属性</w:t>
            </w:r>
          </w:p>
        </w:tc>
        <w:tc>
          <w:tcPr>
            <w:tcW w:w="1485" w:type="dxa"/>
            <w:noWrap w:val="0"/>
            <w:vAlign w:val="center"/>
          </w:tcPr>
          <w:p w14:paraId="2F04D230">
            <w:pPr>
              <w:snapToGrid w:val="0"/>
              <w:jc w:val="center"/>
              <w:rPr>
                <w:rFonts w:ascii="仿宋" w:hAnsi="仿宋" w:eastAsia="仿宋" w:cs="仿宋"/>
                <w:color w:val="auto"/>
                <w:sz w:val="24"/>
                <w:highlight w:val="none"/>
              </w:rPr>
            </w:pPr>
            <w:r>
              <w:rPr>
                <w:rFonts w:hint="eastAsia" w:ascii="仿宋" w:hAnsi="仿宋" w:eastAsia="仿宋" w:cs="仿宋_GB2312"/>
                <w:bCs/>
                <w:color w:val="auto"/>
                <w:sz w:val="24"/>
                <w:highlight w:val="none"/>
                <w:lang w:eastAsia="zh-CN"/>
              </w:rPr>
              <w:t>响应文件</w:t>
            </w:r>
            <w:r>
              <w:rPr>
                <w:rFonts w:hint="eastAsia" w:ascii="仿宋" w:hAnsi="仿宋" w:eastAsia="仿宋" w:cs="仿宋_GB2312"/>
                <w:bCs/>
                <w:color w:val="auto"/>
                <w:sz w:val="24"/>
                <w:highlight w:val="none"/>
              </w:rPr>
              <w:t>中评标标准相应的商务技术资料目录</w:t>
            </w:r>
            <w:r>
              <w:rPr>
                <w:rFonts w:ascii="仿宋" w:hAnsi="仿宋" w:eastAsia="仿宋" w:cs="Arial"/>
                <w:color w:val="auto"/>
                <w:sz w:val="24"/>
                <w:highlight w:val="none"/>
                <w:shd w:val="clear" w:color="auto" w:fill="FFFFFF"/>
              </w:rPr>
              <w:t>*</w:t>
            </w:r>
          </w:p>
        </w:tc>
      </w:tr>
      <w:tr w14:paraId="00D00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191F33BD">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5797" w:type="dxa"/>
            <w:noWrap w:val="0"/>
            <w:vAlign w:val="center"/>
          </w:tcPr>
          <w:p w14:paraId="56006EF1">
            <w:pPr>
              <w:snapToGrid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供应商</w:t>
            </w:r>
            <w:r>
              <w:rPr>
                <w:rFonts w:hint="eastAsia" w:ascii="仿宋" w:hAnsi="仿宋" w:eastAsia="仿宋" w:cs="仿宋"/>
                <w:bCs/>
                <w:color w:val="auto"/>
                <w:sz w:val="24"/>
                <w:highlight w:val="none"/>
                <w:lang w:val="en-US" w:eastAsia="zh-CN"/>
              </w:rPr>
              <w:t>自</w:t>
            </w:r>
            <w:r>
              <w:rPr>
                <w:rFonts w:hint="eastAsia" w:ascii="仿宋" w:hAnsi="仿宋" w:eastAsia="仿宋" w:cs="仿宋"/>
                <w:bCs/>
                <w:color w:val="auto"/>
                <w:sz w:val="24"/>
                <w:highlight w:val="none"/>
              </w:rPr>
              <w:t>202</w:t>
            </w: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rPr>
              <w:t>年</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月1日以来承担过各级党委、</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rPr>
              <w:t>政府机关、</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rPr>
              <w:t>事业单位</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lang w:eastAsia="zh-CN"/>
              </w:rPr>
              <w:t>各级复议机关</w:t>
            </w:r>
            <w:r>
              <w:rPr>
                <w:rFonts w:hint="eastAsia" w:ascii="仿宋" w:hAnsi="仿宋" w:eastAsia="仿宋" w:cs="仿宋"/>
                <w:bCs/>
                <w:color w:val="auto"/>
                <w:sz w:val="24"/>
                <w:highlight w:val="none"/>
              </w:rPr>
              <w:t>的</w:t>
            </w:r>
            <w:r>
              <w:rPr>
                <w:rFonts w:hint="eastAsia" w:ascii="仿宋" w:hAnsi="仿宋" w:eastAsia="仿宋" w:cs="仿宋"/>
                <w:bCs/>
                <w:color w:val="auto"/>
                <w:sz w:val="24"/>
                <w:highlight w:val="none"/>
                <w:lang w:val="en-US" w:eastAsia="zh-CN"/>
              </w:rPr>
              <w:t>年度</w:t>
            </w:r>
            <w:r>
              <w:rPr>
                <w:rFonts w:hint="eastAsia" w:ascii="仿宋" w:hAnsi="仿宋" w:eastAsia="仿宋" w:cs="仿宋"/>
                <w:bCs/>
                <w:color w:val="auto"/>
                <w:sz w:val="24"/>
                <w:highlight w:val="none"/>
              </w:rPr>
              <w:t>法律顾问项目的，每具有一个合同得</w:t>
            </w:r>
            <w:r>
              <w:rPr>
                <w:rFonts w:hint="eastAsia" w:ascii="仿宋" w:hAnsi="仿宋" w:eastAsia="仿宋" w:cs="仿宋"/>
                <w:bCs/>
                <w:color w:val="auto"/>
                <w:sz w:val="24"/>
                <w:highlight w:val="none"/>
                <w:lang w:val="en-US" w:eastAsia="zh-CN"/>
              </w:rPr>
              <w:t>0.25</w:t>
            </w:r>
            <w:r>
              <w:rPr>
                <w:rFonts w:hint="eastAsia" w:ascii="仿宋" w:hAnsi="仿宋" w:eastAsia="仿宋" w:cs="仿宋"/>
                <w:bCs/>
                <w:color w:val="auto"/>
                <w:sz w:val="24"/>
                <w:highlight w:val="none"/>
              </w:rPr>
              <w:t>分，最高得</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分。</w:t>
            </w:r>
          </w:p>
          <w:p w14:paraId="29720B17">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说明：</w:t>
            </w:r>
            <w:r>
              <w:rPr>
                <w:rFonts w:hint="eastAsia" w:ascii="仿宋" w:hAnsi="仿宋" w:eastAsia="仿宋" w:cs="仿宋"/>
                <w:bCs/>
                <w:color w:val="auto"/>
                <w:sz w:val="24"/>
                <w:highlight w:val="none"/>
                <w:lang w:val="en-US" w:eastAsia="zh-CN"/>
              </w:rPr>
              <w:t>提供</w:t>
            </w:r>
            <w:r>
              <w:rPr>
                <w:rFonts w:hint="eastAsia" w:ascii="仿宋" w:hAnsi="仿宋" w:eastAsia="仿宋" w:cs="仿宋"/>
                <w:bCs/>
                <w:color w:val="auto"/>
                <w:sz w:val="24"/>
                <w:highlight w:val="none"/>
              </w:rPr>
              <w:t>合同复印件或扫描件，以合同签署时间为准</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同一个甲方单位不重复计分。</w:t>
            </w:r>
          </w:p>
        </w:tc>
        <w:tc>
          <w:tcPr>
            <w:tcW w:w="1080" w:type="dxa"/>
            <w:noWrap w:val="0"/>
            <w:vAlign w:val="center"/>
          </w:tcPr>
          <w:p w14:paraId="488222B9">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w:t>
            </w:r>
          </w:p>
        </w:tc>
        <w:tc>
          <w:tcPr>
            <w:tcW w:w="920" w:type="dxa"/>
            <w:noWrap w:val="0"/>
            <w:vAlign w:val="center"/>
          </w:tcPr>
          <w:p w14:paraId="1D564C58">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751833FD">
            <w:pPr>
              <w:snapToGrid w:val="0"/>
              <w:jc w:val="center"/>
              <w:rPr>
                <w:rFonts w:ascii="仿宋" w:hAnsi="仿宋" w:eastAsia="仿宋" w:cs="仿宋"/>
                <w:color w:val="auto"/>
                <w:sz w:val="24"/>
                <w:highlight w:val="none"/>
              </w:rPr>
            </w:pPr>
          </w:p>
        </w:tc>
      </w:tr>
      <w:tr w14:paraId="27CC7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3E9D8E2E">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5797" w:type="dxa"/>
            <w:noWrap w:val="0"/>
            <w:vAlign w:val="center"/>
          </w:tcPr>
          <w:p w14:paraId="4A1601B0">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管理制度</w:t>
            </w:r>
          </w:p>
        </w:tc>
        <w:tc>
          <w:tcPr>
            <w:tcW w:w="1080" w:type="dxa"/>
            <w:noWrap w:val="0"/>
            <w:vAlign w:val="center"/>
          </w:tcPr>
          <w:p w14:paraId="2C575A24">
            <w:pPr>
              <w:snapToGrid w:val="0"/>
              <w:jc w:val="center"/>
              <w:rPr>
                <w:rFonts w:hint="eastAsia" w:eastAsia="宋体"/>
                <w:highlight w:val="none"/>
                <w:lang w:val="en-US" w:eastAsia="zh-CN"/>
              </w:rPr>
            </w:pPr>
            <w:r>
              <w:rPr>
                <w:rFonts w:hint="eastAsia"/>
                <w:highlight w:val="none"/>
                <w:lang w:val="en-US" w:eastAsia="zh-CN"/>
              </w:rPr>
              <w:t>/</w:t>
            </w:r>
          </w:p>
        </w:tc>
        <w:tc>
          <w:tcPr>
            <w:tcW w:w="920" w:type="dxa"/>
            <w:noWrap w:val="0"/>
            <w:vAlign w:val="center"/>
          </w:tcPr>
          <w:p w14:paraId="318DCD83">
            <w:pPr>
              <w:snapToGrid w:val="0"/>
              <w:jc w:val="center"/>
              <w:rPr>
                <w:rFonts w:hint="eastAsia" w:ascii="仿宋" w:hAnsi="仿宋" w:eastAsia="仿宋" w:cs="仿宋"/>
                <w:color w:val="auto"/>
                <w:sz w:val="24"/>
                <w:highlight w:val="none"/>
                <w:lang w:val="en-US" w:eastAsia="zh-CN"/>
              </w:rPr>
            </w:pPr>
          </w:p>
        </w:tc>
        <w:tc>
          <w:tcPr>
            <w:tcW w:w="1485" w:type="dxa"/>
            <w:noWrap w:val="0"/>
            <w:vAlign w:val="center"/>
          </w:tcPr>
          <w:p w14:paraId="741ED4E2">
            <w:pPr>
              <w:snapToGrid w:val="0"/>
              <w:jc w:val="center"/>
              <w:rPr>
                <w:rFonts w:ascii="仿宋" w:hAnsi="仿宋" w:eastAsia="仿宋" w:cs="仿宋"/>
                <w:color w:val="auto"/>
                <w:sz w:val="24"/>
                <w:highlight w:val="none"/>
              </w:rPr>
            </w:pPr>
          </w:p>
        </w:tc>
      </w:tr>
      <w:tr w14:paraId="23208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520CEDE4">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w:t>
            </w:r>
          </w:p>
        </w:tc>
        <w:tc>
          <w:tcPr>
            <w:tcW w:w="5797" w:type="dxa"/>
            <w:noWrap w:val="0"/>
            <w:vAlign w:val="center"/>
          </w:tcPr>
          <w:p w14:paraId="54C5F530">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人员管理（考核制度）情况，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740C4A98">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3ED713E4">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46B6F455">
            <w:pPr>
              <w:snapToGrid w:val="0"/>
              <w:jc w:val="center"/>
              <w:rPr>
                <w:rFonts w:ascii="仿宋" w:hAnsi="仿宋" w:eastAsia="仿宋" w:cs="仿宋"/>
                <w:color w:val="auto"/>
                <w:sz w:val="24"/>
                <w:highlight w:val="none"/>
              </w:rPr>
            </w:pPr>
          </w:p>
        </w:tc>
      </w:tr>
      <w:tr w14:paraId="07E6C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6DD29931">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p>
        </w:tc>
        <w:tc>
          <w:tcPr>
            <w:tcW w:w="5797" w:type="dxa"/>
            <w:noWrap w:val="0"/>
            <w:vAlign w:val="center"/>
          </w:tcPr>
          <w:p w14:paraId="46412216">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分配机制和财务制度情况，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4EB45073">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6B46CFF7">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12E66E35">
            <w:pPr>
              <w:snapToGrid w:val="0"/>
              <w:jc w:val="center"/>
              <w:rPr>
                <w:rFonts w:ascii="仿宋" w:hAnsi="仿宋" w:eastAsia="仿宋" w:cs="仿宋"/>
                <w:color w:val="auto"/>
                <w:sz w:val="24"/>
                <w:highlight w:val="none"/>
              </w:rPr>
            </w:pPr>
          </w:p>
        </w:tc>
      </w:tr>
      <w:tr w14:paraId="3E95C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0155B9D0">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w:t>
            </w:r>
          </w:p>
        </w:tc>
        <w:tc>
          <w:tcPr>
            <w:tcW w:w="5797" w:type="dxa"/>
            <w:noWrap w:val="0"/>
            <w:vAlign w:val="center"/>
          </w:tcPr>
          <w:p w14:paraId="2F66AB76">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案件讨论制度情况，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1171FEF8">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2613036B">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3CB2E4D3">
            <w:pPr>
              <w:snapToGrid w:val="0"/>
              <w:jc w:val="center"/>
              <w:rPr>
                <w:rFonts w:ascii="仿宋" w:hAnsi="仿宋" w:eastAsia="仿宋" w:cs="仿宋"/>
                <w:color w:val="auto"/>
                <w:sz w:val="24"/>
                <w:highlight w:val="none"/>
              </w:rPr>
            </w:pPr>
          </w:p>
        </w:tc>
      </w:tr>
      <w:tr w14:paraId="4B100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2AFA3903">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p>
        </w:tc>
        <w:tc>
          <w:tcPr>
            <w:tcW w:w="5797" w:type="dxa"/>
            <w:noWrap w:val="0"/>
            <w:vAlign w:val="center"/>
          </w:tcPr>
          <w:p w14:paraId="666CABCA">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服务质量和风险防控制度情况，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17E52133">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2FF5A774">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7DB38C53">
            <w:pPr>
              <w:snapToGrid w:val="0"/>
              <w:jc w:val="center"/>
              <w:rPr>
                <w:rFonts w:ascii="仿宋" w:hAnsi="仿宋" w:eastAsia="仿宋" w:cs="仿宋"/>
                <w:color w:val="auto"/>
                <w:sz w:val="24"/>
                <w:highlight w:val="none"/>
              </w:rPr>
            </w:pPr>
          </w:p>
        </w:tc>
      </w:tr>
      <w:tr w14:paraId="58484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5276DE8F">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w:t>
            </w:r>
          </w:p>
        </w:tc>
        <w:tc>
          <w:tcPr>
            <w:tcW w:w="5797" w:type="dxa"/>
            <w:noWrap w:val="0"/>
            <w:vAlign w:val="center"/>
          </w:tcPr>
          <w:p w14:paraId="7EAC2106">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律师分派制度情况，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42B3B0EC">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71116615">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7F2B5FC3">
            <w:pPr>
              <w:snapToGrid w:val="0"/>
              <w:jc w:val="center"/>
              <w:rPr>
                <w:rFonts w:ascii="仿宋" w:hAnsi="仿宋" w:eastAsia="仿宋" w:cs="仿宋"/>
                <w:color w:val="auto"/>
                <w:sz w:val="24"/>
                <w:highlight w:val="none"/>
              </w:rPr>
            </w:pPr>
          </w:p>
        </w:tc>
      </w:tr>
      <w:tr w14:paraId="35941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2DCF8DCE">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2.6</w:t>
            </w:r>
          </w:p>
        </w:tc>
        <w:tc>
          <w:tcPr>
            <w:tcW w:w="5797" w:type="dxa"/>
            <w:noWrap w:val="0"/>
            <w:vAlign w:val="center"/>
          </w:tcPr>
          <w:p w14:paraId="3161CF9F">
            <w:pPr>
              <w:snapToGrid w:val="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律所利益冲突排除制度情况，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25BEC36B">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2DB638EB">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74C8E920">
            <w:pPr>
              <w:snapToGrid w:val="0"/>
              <w:jc w:val="center"/>
              <w:rPr>
                <w:rFonts w:ascii="仿宋" w:hAnsi="仿宋" w:eastAsia="仿宋" w:cs="仿宋"/>
                <w:color w:val="auto"/>
                <w:sz w:val="24"/>
                <w:highlight w:val="none"/>
              </w:rPr>
            </w:pPr>
          </w:p>
        </w:tc>
      </w:tr>
      <w:tr w14:paraId="0DAC4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5E4CEBF3">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2.7</w:t>
            </w:r>
          </w:p>
        </w:tc>
        <w:tc>
          <w:tcPr>
            <w:tcW w:w="5797" w:type="dxa"/>
            <w:noWrap w:val="0"/>
            <w:vAlign w:val="center"/>
          </w:tcPr>
          <w:p w14:paraId="61F849D7">
            <w:pPr>
              <w:snapToGrid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律所决策和文书审批制度情况，根据制度的可落实性、与项目的匹配性进行评分。制度落实性好，项目匹配度好的得2分；制度落实性一般，项目匹配度一般的得1分；制度难以落实、与项目不匹配，或未规定正式材料由供应商主任或副主任签字审核的不得分。</w:t>
            </w:r>
          </w:p>
        </w:tc>
        <w:tc>
          <w:tcPr>
            <w:tcW w:w="1080" w:type="dxa"/>
            <w:noWrap w:val="0"/>
            <w:vAlign w:val="center"/>
          </w:tcPr>
          <w:p w14:paraId="04636595">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0ACB3182">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3CC6FBEE">
            <w:pPr>
              <w:snapToGrid w:val="0"/>
              <w:jc w:val="center"/>
              <w:rPr>
                <w:rFonts w:ascii="仿宋" w:hAnsi="仿宋" w:eastAsia="仿宋" w:cs="仿宋"/>
                <w:color w:val="auto"/>
                <w:sz w:val="24"/>
                <w:highlight w:val="none"/>
              </w:rPr>
            </w:pPr>
          </w:p>
        </w:tc>
      </w:tr>
      <w:tr w14:paraId="432E7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174BFD77">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2.8</w:t>
            </w:r>
          </w:p>
        </w:tc>
        <w:tc>
          <w:tcPr>
            <w:tcW w:w="5797" w:type="dxa"/>
            <w:noWrap w:val="0"/>
            <w:vAlign w:val="center"/>
          </w:tcPr>
          <w:p w14:paraId="7B576633">
            <w:pPr>
              <w:snapToGrid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档案管理制度情况，有相关制度得1分，不满足不得分。</w:t>
            </w:r>
          </w:p>
        </w:tc>
        <w:tc>
          <w:tcPr>
            <w:tcW w:w="1080" w:type="dxa"/>
            <w:noWrap w:val="0"/>
            <w:vAlign w:val="center"/>
          </w:tcPr>
          <w:p w14:paraId="46A20C89">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920" w:type="dxa"/>
            <w:noWrap w:val="0"/>
            <w:vAlign w:val="center"/>
          </w:tcPr>
          <w:p w14:paraId="346021CE">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0B35848C">
            <w:pPr>
              <w:snapToGrid w:val="0"/>
              <w:jc w:val="center"/>
              <w:rPr>
                <w:rFonts w:ascii="仿宋" w:hAnsi="仿宋" w:eastAsia="仿宋" w:cs="仿宋"/>
                <w:color w:val="auto"/>
                <w:sz w:val="24"/>
                <w:highlight w:val="none"/>
              </w:rPr>
            </w:pPr>
          </w:p>
        </w:tc>
      </w:tr>
      <w:tr w14:paraId="3ECD3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70FF19AC">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2.9</w:t>
            </w:r>
          </w:p>
        </w:tc>
        <w:tc>
          <w:tcPr>
            <w:tcW w:w="5797" w:type="dxa"/>
            <w:noWrap w:val="0"/>
            <w:vAlign w:val="center"/>
          </w:tcPr>
          <w:p w14:paraId="55D17C22">
            <w:pPr>
              <w:snapToGrid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投诉处理机制情况，有相关制度得1分，不满足不得分。</w:t>
            </w:r>
          </w:p>
        </w:tc>
        <w:tc>
          <w:tcPr>
            <w:tcW w:w="1080" w:type="dxa"/>
            <w:noWrap w:val="0"/>
            <w:vAlign w:val="center"/>
          </w:tcPr>
          <w:p w14:paraId="0BCB1D0C">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920" w:type="dxa"/>
            <w:noWrap w:val="0"/>
            <w:vAlign w:val="center"/>
          </w:tcPr>
          <w:p w14:paraId="6D9A5D95">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4C83E23F">
            <w:pPr>
              <w:snapToGrid w:val="0"/>
              <w:jc w:val="center"/>
              <w:rPr>
                <w:rFonts w:ascii="仿宋" w:hAnsi="仿宋" w:eastAsia="仿宋" w:cs="仿宋"/>
                <w:color w:val="auto"/>
                <w:sz w:val="24"/>
                <w:highlight w:val="none"/>
              </w:rPr>
            </w:pPr>
          </w:p>
        </w:tc>
      </w:tr>
      <w:tr w14:paraId="4D677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654" w:type="dxa"/>
            <w:noWrap w:val="0"/>
            <w:vAlign w:val="center"/>
          </w:tcPr>
          <w:p w14:paraId="15C72DDC">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5797" w:type="dxa"/>
            <w:noWrap w:val="0"/>
            <w:vAlign w:val="center"/>
          </w:tcPr>
          <w:p w14:paraId="6EF20F36">
            <w:pPr>
              <w:snapToGrid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服务要求的响应情况</w:t>
            </w:r>
          </w:p>
        </w:tc>
        <w:tc>
          <w:tcPr>
            <w:tcW w:w="1080" w:type="dxa"/>
            <w:noWrap w:val="0"/>
            <w:vAlign w:val="center"/>
          </w:tcPr>
          <w:p w14:paraId="2D425458">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920" w:type="dxa"/>
            <w:noWrap w:val="0"/>
            <w:vAlign w:val="center"/>
          </w:tcPr>
          <w:p w14:paraId="468729F2">
            <w:pPr>
              <w:snapToGrid w:val="0"/>
              <w:jc w:val="center"/>
              <w:rPr>
                <w:rFonts w:hint="eastAsia" w:ascii="仿宋" w:hAnsi="仿宋" w:eastAsia="仿宋" w:cs="仿宋"/>
                <w:bCs/>
                <w:color w:val="auto"/>
                <w:sz w:val="24"/>
                <w:highlight w:val="none"/>
                <w:lang w:val="en-US" w:eastAsia="zh-CN"/>
              </w:rPr>
            </w:pPr>
          </w:p>
        </w:tc>
        <w:tc>
          <w:tcPr>
            <w:tcW w:w="1485" w:type="dxa"/>
            <w:noWrap w:val="0"/>
            <w:vAlign w:val="center"/>
          </w:tcPr>
          <w:p w14:paraId="7FBB9844">
            <w:pPr>
              <w:snapToGrid w:val="0"/>
              <w:jc w:val="center"/>
              <w:rPr>
                <w:rFonts w:ascii="仿宋" w:hAnsi="仿宋" w:eastAsia="仿宋" w:cs="仿宋"/>
                <w:bCs/>
                <w:color w:val="auto"/>
                <w:sz w:val="24"/>
                <w:highlight w:val="none"/>
              </w:rPr>
            </w:pPr>
          </w:p>
        </w:tc>
      </w:tr>
      <w:tr w14:paraId="0A2A9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654" w:type="dxa"/>
            <w:noWrap w:val="0"/>
            <w:vAlign w:val="center"/>
          </w:tcPr>
          <w:p w14:paraId="43A863FA">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w:t>
            </w:r>
          </w:p>
        </w:tc>
        <w:tc>
          <w:tcPr>
            <w:tcW w:w="5797" w:type="dxa"/>
            <w:noWrap w:val="0"/>
            <w:vAlign w:val="center"/>
          </w:tcPr>
          <w:p w14:paraId="1713D2E2">
            <w:pPr>
              <w:snapToGrid w:val="0"/>
              <w:rPr>
                <w:rFonts w:hint="default" w:ascii="仿宋" w:hAnsi="仿宋" w:eastAsia="仿宋" w:cs="宋体"/>
                <w:color w:val="auto"/>
                <w:sz w:val="24"/>
                <w:highlight w:val="none"/>
                <w:lang w:val="en-US"/>
              </w:rPr>
            </w:pPr>
            <w:r>
              <w:rPr>
                <w:rFonts w:hint="eastAsia" w:ascii="仿宋" w:hAnsi="仿宋" w:eastAsia="仿宋" w:cs="宋体"/>
                <w:color w:val="auto"/>
                <w:sz w:val="24"/>
                <w:highlight w:val="none"/>
              </w:rPr>
              <w:t>对参与标项服务内容、服务对象性质、涉及法律问题的分析及应对措施，根据针对性，</w:t>
            </w:r>
            <w:r>
              <w:rPr>
                <w:rFonts w:hint="eastAsia" w:ascii="仿宋" w:hAnsi="仿宋" w:eastAsia="仿宋" w:cs="仿宋"/>
                <w:color w:val="auto"/>
                <w:sz w:val="24"/>
                <w:highlight w:val="none"/>
                <w:lang w:val="en-US" w:eastAsia="zh-CN"/>
              </w:rPr>
              <w:t>可行性、项目匹配性进行评价。方案</w:t>
            </w:r>
            <w:r>
              <w:rPr>
                <w:rFonts w:hint="eastAsia" w:ascii="仿宋" w:hAnsi="仿宋" w:eastAsia="仿宋" w:cs="宋体"/>
                <w:color w:val="auto"/>
                <w:sz w:val="24"/>
                <w:highlight w:val="none"/>
              </w:rPr>
              <w:t>针对性，</w:t>
            </w:r>
            <w:r>
              <w:rPr>
                <w:rFonts w:hint="eastAsia" w:ascii="仿宋" w:hAnsi="仿宋" w:eastAsia="仿宋" w:cs="仿宋"/>
                <w:color w:val="auto"/>
                <w:sz w:val="24"/>
                <w:highlight w:val="none"/>
                <w:lang w:val="en-US" w:eastAsia="zh-CN"/>
              </w:rPr>
              <w:t>可行性、项目匹配性好得5分；</w:t>
            </w:r>
            <w:r>
              <w:rPr>
                <w:rFonts w:hint="eastAsia" w:ascii="仿宋" w:hAnsi="仿宋" w:eastAsia="仿宋" w:cs="宋体"/>
                <w:color w:val="auto"/>
                <w:sz w:val="24"/>
                <w:highlight w:val="none"/>
                <w:lang w:val="en-US" w:eastAsia="zh-CN"/>
              </w:rPr>
              <w:t>方案</w:t>
            </w:r>
            <w:r>
              <w:rPr>
                <w:rFonts w:hint="eastAsia" w:ascii="仿宋" w:hAnsi="仿宋" w:eastAsia="仿宋" w:cs="宋体"/>
                <w:color w:val="auto"/>
                <w:sz w:val="24"/>
                <w:highlight w:val="none"/>
              </w:rPr>
              <w:t>针对性，</w:t>
            </w:r>
            <w:r>
              <w:rPr>
                <w:rFonts w:hint="eastAsia" w:ascii="仿宋" w:hAnsi="仿宋" w:eastAsia="仿宋" w:cs="宋体"/>
                <w:color w:val="auto"/>
                <w:sz w:val="24"/>
                <w:highlight w:val="none"/>
                <w:lang w:val="en-US" w:eastAsia="zh-CN"/>
              </w:rPr>
              <w:t>可行性、项目匹配性较好得4分；方案</w:t>
            </w:r>
            <w:r>
              <w:rPr>
                <w:rFonts w:hint="eastAsia" w:ascii="仿宋" w:hAnsi="仿宋" w:eastAsia="仿宋" w:cs="宋体"/>
                <w:color w:val="auto"/>
                <w:sz w:val="24"/>
                <w:highlight w:val="none"/>
              </w:rPr>
              <w:t>针对性，</w:t>
            </w:r>
            <w:r>
              <w:rPr>
                <w:rFonts w:hint="eastAsia" w:ascii="仿宋" w:hAnsi="仿宋" w:eastAsia="仿宋" w:cs="宋体"/>
                <w:color w:val="auto"/>
                <w:sz w:val="24"/>
                <w:highlight w:val="none"/>
                <w:lang w:val="en-US" w:eastAsia="zh-CN"/>
              </w:rPr>
              <w:t>可行性、项目匹配性一般得3分；存在不足得2分；有较大欠缺得1分；其余不得分。</w:t>
            </w:r>
          </w:p>
        </w:tc>
        <w:tc>
          <w:tcPr>
            <w:tcW w:w="1080" w:type="dxa"/>
            <w:noWrap w:val="0"/>
            <w:vAlign w:val="center"/>
          </w:tcPr>
          <w:p w14:paraId="4345BC7F">
            <w:pPr>
              <w:snapToGrid w:val="0"/>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53E014E2">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4D8CA3F6">
            <w:pPr>
              <w:snapToGrid w:val="0"/>
              <w:jc w:val="center"/>
              <w:rPr>
                <w:rFonts w:ascii="仿宋" w:hAnsi="仿宋" w:eastAsia="仿宋" w:cs="仿宋"/>
                <w:bCs/>
                <w:color w:val="auto"/>
                <w:sz w:val="24"/>
                <w:highlight w:val="none"/>
              </w:rPr>
            </w:pPr>
          </w:p>
        </w:tc>
      </w:tr>
      <w:tr w14:paraId="14803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654" w:type="dxa"/>
            <w:noWrap w:val="0"/>
            <w:vAlign w:val="center"/>
          </w:tcPr>
          <w:p w14:paraId="287D8412">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w:t>
            </w:r>
          </w:p>
        </w:tc>
        <w:tc>
          <w:tcPr>
            <w:tcW w:w="5797" w:type="dxa"/>
            <w:noWrap w:val="0"/>
            <w:vAlign w:val="center"/>
          </w:tcPr>
          <w:p w14:paraId="67662129">
            <w:pPr>
              <w:snapToGrid w:val="0"/>
              <w:rPr>
                <w:rFonts w:hint="eastAsia" w:ascii="仿宋" w:hAnsi="仿宋" w:eastAsia="仿宋" w:cs="宋体"/>
                <w:color w:val="auto"/>
                <w:sz w:val="24"/>
                <w:highlight w:val="none"/>
                <w:lang w:eastAsia="zh-CN"/>
              </w:rPr>
            </w:pPr>
            <w:r>
              <w:rPr>
                <w:rFonts w:hint="eastAsia" w:ascii="仿宋" w:hAnsi="仿宋" w:eastAsia="仿宋" w:cs="宋体"/>
                <w:color w:val="auto"/>
                <w:sz w:val="24"/>
                <w:highlight w:val="none"/>
              </w:rPr>
              <w:t>根据采购需求“</w:t>
            </w:r>
            <w:r>
              <w:rPr>
                <w:rFonts w:hint="eastAsia" w:ascii="仿宋" w:hAnsi="仿宋" w:eastAsia="仿宋" w:cs="宋体"/>
                <w:color w:val="auto"/>
                <w:sz w:val="24"/>
                <w:highlight w:val="none"/>
                <w:lang w:val="en-US" w:eastAsia="zh-CN"/>
              </w:rPr>
              <w:t>标项二</w:t>
            </w:r>
            <w:r>
              <w:rPr>
                <w:rFonts w:hint="eastAsia" w:ascii="仿宋" w:hAnsi="仿宋" w:eastAsia="仿宋" w:cs="宋体"/>
                <w:color w:val="auto"/>
                <w:sz w:val="24"/>
                <w:highlight w:val="none"/>
              </w:rPr>
              <w:t>服务要求”中的“</w:t>
            </w:r>
            <w:r>
              <w:rPr>
                <w:rFonts w:hint="eastAsia" w:ascii="仿宋" w:hAnsi="仿宋" w:eastAsia="仿宋" w:cs="宋体"/>
                <w:color w:val="auto"/>
                <w:sz w:val="24"/>
                <w:highlight w:val="none"/>
                <w:lang w:eastAsia="zh-CN"/>
              </w:rPr>
              <w:t>（</w:t>
            </w:r>
            <w:r>
              <w:rPr>
                <w:rFonts w:hint="eastAsia" w:ascii="仿宋" w:hAnsi="仿宋" w:eastAsia="仿宋" w:cs="宋体"/>
                <w:color w:val="auto"/>
                <w:sz w:val="24"/>
                <w:highlight w:val="none"/>
                <w:lang w:val="en-US" w:eastAsia="zh-CN"/>
              </w:rPr>
              <w:t>一</w:t>
            </w:r>
            <w:r>
              <w:rPr>
                <w:rFonts w:hint="eastAsia" w:ascii="仿宋" w:hAnsi="仿宋" w:eastAsia="仿宋" w:cs="宋体"/>
                <w:color w:val="auto"/>
                <w:sz w:val="24"/>
                <w:highlight w:val="none"/>
                <w:lang w:eastAsia="zh-CN"/>
              </w:rPr>
              <w:t>）</w:t>
            </w:r>
            <w:r>
              <w:rPr>
                <w:rFonts w:hint="eastAsia" w:ascii="仿宋" w:hAnsi="仿宋" w:eastAsia="仿宋" w:cs="宋体"/>
                <w:color w:val="auto"/>
                <w:sz w:val="24"/>
                <w:highlight w:val="none"/>
              </w:rPr>
              <w:t>工作职责”要求，提供服务技术方案，根据方案的完整性、可行性进行评价</w:t>
            </w:r>
            <w:r>
              <w:rPr>
                <w:rFonts w:hint="eastAsia" w:ascii="仿宋" w:hAnsi="仿宋" w:eastAsia="仿宋" w:cs="宋体"/>
                <w:color w:val="auto"/>
                <w:sz w:val="24"/>
                <w:highlight w:val="none"/>
                <w:lang w:eastAsia="zh-CN"/>
              </w:rPr>
              <w:t>。</w:t>
            </w:r>
          </w:p>
        </w:tc>
        <w:tc>
          <w:tcPr>
            <w:tcW w:w="1080" w:type="dxa"/>
            <w:noWrap w:val="0"/>
            <w:vAlign w:val="center"/>
          </w:tcPr>
          <w:p w14:paraId="0A14DCCF">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920" w:type="dxa"/>
            <w:noWrap w:val="0"/>
            <w:vAlign w:val="center"/>
          </w:tcPr>
          <w:p w14:paraId="00849E1F">
            <w:pPr>
              <w:snapToGrid w:val="0"/>
              <w:jc w:val="center"/>
              <w:rPr>
                <w:rFonts w:hint="eastAsia" w:ascii="仿宋" w:hAnsi="仿宋" w:eastAsia="仿宋" w:cs="仿宋"/>
                <w:bCs/>
                <w:color w:val="auto"/>
                <w:sz w:val="24"/>
                <w:highlight w:val="none"/>
                <w:lang w:val="en-US" w:eastAsia="zh-CN"/>
              </w:rPr>
            </w:pPr>
          </w:p>
        </w:tc>
        <w:tc>
          <w:tcPr>
            <w:tcW w:w="1485" w:type="dxa"/>
            <w:noWrap w:val="0"/>
            <w:vAlign w:val="center"/>
          </w:tcPr>
          <w:p w14:paraId="3BDAE1B8">
            <w:pPr>
              <w:snapToGrid w:val="0"/>
              <w:jc w:val="center"/>
              <w:rPr>
                <w:rFonts w:ascii="仿宋" w:hAnsi="仿宋" w:eastAsia="仿宋" w:cs="仿宋"/>
                <w:color w:val="auto"/>
                <w:sz w:val="24"/>
                <w:highlight w:val="none"/>
              </w:rPr>
            </w:pPr>
          </w:p>
        </w:tc>
      </w:tr>
      <w:tr w14:paraId="4839B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654" w:type="dxa"/>
            <w:noWrap w:val="0"/>
            <w:vAlign w:val="center"/>
          </w:tcPr>
          <w:p w14:paraId="5459C7D3">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3.2.1</w:t>
            </w:r>
          </w:p>
        </w:tc>
        <w:tc>
          <w:tcPr>
            <w:tcW w:w="5797" w:type="dxa"/>
            <w:noWrap w:val="0"/>
            <w:vAlign w:val="center"/>
          </w:tcPr>
          <w:p w14:paraId="2E05B6AC">
            <w:pPr>
              <w:snapToGrid w:val="0"/>
              <w:rPr>
                <w:rFonts w:hint="eastAsia" w:ascii="仿宋" w:hAnsi="仿宋" w:eastAsia="仿宋" w:cs="宋体"/>
                <w:color w:val="auto"/>
                <w:sz w:val="24"/>
                <w:highlight w:val="none"/>
              </w:rPr>
            </w:pPr>
            <w:r>
              <w:rPr>
                <w:rFonts w:hint="eastAsia" w:ascii="仿宋" w:hAnsi="仿宋" w:eastAsia="仿宋" w:cs="宋体"/>
                <w:color w:val="auto"/>
                <w:sz w:val="24"/>
                <w:highlight w:val="none"/>
                <w:lang w:val="en-US" w:eastAsia="zh-CN"/>
              </w:rPr>
              <w:t>供应商对区政府为单独被告的行政诉讼案件提供专业法律意见并出具相关文书，或应区政府（区司法局）要求，对相关工作进行法律论证的相关服务方案，根据针对性，可行性、项目匹配性进行评价。方案针对</w:t>
            </w:r>
            <w:r>
              <w:rPr>
                <w:rFonts w:hint="eastAsia" w:ascii="仿宋" w:hAnsi="仿宋" w:eastAsia="仿宋" w:cs="宋体"/>
                <w:color w:val="auto"/>
                <w:sz w:val="24"/>
                <w:highlight w:val="none"/>
              </w:rPr>
              <w:t>性，</w:t>
            </w:r>
            <w:r>
              <w:rPr>
                <w:rFonts w:hint="eastAsia" w:ascii="仿宋" w:hAnsi="仿宋" w:eastAsia="仿宋" w:cs="宋体"/>
                <w:color w:val="auto"/>
                <w:sz w:val="24"/>
                <w:highlight w:val="none"/>
                <w:lang w:val="en-US" w:eastAsia="zh-CN"/>
              </w:rPr>
              <w:t>可行性、项目匹配性好得5分；方案针对性，可行性、项目匹配性好较好得4分；方案针对性，可行性、项目匹配性好一般得3分；存在不足得2分；有较大欠缺得1分；其余不得分。</w:t>
            </w:r>
          </w:p>
        </w:tc>
        <w:tc>
          <w:tcPr>
            <w:tcW w:w="1080" w:type="dxa"/>
            <w:noWrap w:val="0"/>
            <w:vAlign w:val="center"/>
          </w:tcPr>
          <w:p w14:paraId="12AA6F14">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3D21AF43">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2CAD821E">
            <w:pPr>
              <w:snapToGrid w:val="0"/>
              <w:jc w:val="center"/>
              <w:rPr>
                <w:rFonts w:ascii="仿宋" w:hAnsi="仿宋" w:eastAsia="仿宋" w:cs="仿宋"/>
                <w:color w:val="auto"/>
                <w:sz w:val="24"/>
                <w:highlight w:val="none"/>
              </w:rPr>
            </w:pPr>
          </w:p>
        </w:tc>
      </w:tr>
      <w:tr w14:paraId="10E55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5B7163B7">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3.2.2</w:t>
            </w:r>
          </w:p>
        </w:tc>
        <w:tc>
          <w:tcPr>
            <w:tcW w:w="5797" w:type="dxa"/>
            <w:noWrap w:val="0"/>
            <w:vAlign w:val="center"/>
          </w:tcPr>
          <w:p w14:paraId="75851C87">
            <w:pPr>
              <w:snapToGrid w:val="0"/>
              <w:rPr>
                <w:rFonts w:hint="eastAsia" w:ascii="仿宋" w:hAnsi="仿宋" w:eastAsia="仿宋" w:cs="宋体"/>
                <w:color w:val="auto"/>
                <w:sz w:val="24"/>
                <w:highlight w:val="none"/>
              </w:rPr>
            </w:pPr>
            <w:r>
              <w:rPr>
                <w:rFonts w:hint="eastAsia" w:ascii="仿宋" w:hAnsi="仿宋" w:eastAsia="仿宋" w:cs="宋体"/>
                <w:color w:val="auto"/>
                <w:sz w:val="24"/>
                <w:highlight w:val="none"/>
                <w:lang w:val="en-US" w:eastAsia="zh-CN"/>
              </w:rPr>
              <w:t>供应商受区政府（区司法局）委托，代理区政府为单独被告的行政诉讼案件，提供专业法律意见并出具相关文书的相关服务方案</w:t>
            </w:r>
          </w:p>
        </w:tc>
        <w:tc>
          <w:tcPr>
            <w:tcW w:w="1080" w:type="dxa"/>
            <w:noWrap w:val="0"/>
            <w:vAlign w:val="center"/>
          </w:tcPr>
          <w:p w14:paraId="1BCDDA73">
            <w:pPr>
              <w:snapToGrid w:val="0"/>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920" w:type="dxa"/>
            <w:noWrap w:val="0"/>
            <w:vAlign w:val="center"/>
          </w:tcPr>
          <w:p w14:paraId="261CA48F">
            <w:pPr>
              <w:snapToGrid w:val="0"/>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1485" w:type="dxa"/>
            <w:noWrap w:val="0"/>
            <w:vAlign w:val="center"/>
          </w:tcPr>
          <w:p w14:paraId="42057F7D">
            <w:pPr>
              <w:snapToGrid w:val="0"/>
              <w:jc w:val="center"/>
              <w:rPr>
                <w:rFonts w:ascii="仿宋" w:hAnsi="仿宋" w:eastAsia="仿宋" w:cs="仿宋"/>
                <w:color w:val="auto"/>
                <w:sz w:val="24"/>
                <w:highlight w:val="none"/>
              </w:rPr>
            </w:pPr>
          </w:p>
        </w:tc>
      </w:tr>
      <w:tr w14:paraId="7CEBD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46C2E06E">
            <w:pPr>
              <w:snapToGrid w:val="0"/>
              <w:jc w:val="center"/>
              <w:rPr>
                <w:rFonts w:ascii="仿宋" w:hAnsi="仿宋" w:eastAsia="仿宋" w:cs="仿宋"/>
                <w:color w:val="auto"/>
                <w:sz w:val="24"/>
                <w:highlight w:val="none"/>
              </w:rPr>
            </w:pPr>
          </w:p>
        </w:tc>
        <w:tc>
          <w:tcPr>
            <w:tcW w:w="5797" w:type="dxa"/>
            <w:noWrap w:val="0"/>
            <w:vAlign w:val="center"/>
          </w:tcPr>
          <w:p w14:paraId="3774C40E">
            <w:pPr>
              <w:snapToGrid w:val="0"/>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（1）法律程序相关方案，根据针对性，可行性、项目匹配性进行评价。方案</w:t>
            </w:r>
            <w:r>
              <w:rPr>
                <w:rFonts w:hint="eastAsia" w:ascii="仿宋" w:hAnsi="仿宋" w:eastAsia="仿宋" w:cs="宋体"/>
                <w:color w:val="auto"/>
                <w:sz w:val="24"/>
                <w:highlight w:val="none"/>
              </w:rPr>
              <w:t>针对性，</w:t>
            </w:r>
            <w:r>
              <w:rPr>
                <w:rFonts w:hint="eastAsia" w:ascii="仿宋" w:hAnsi="仿宋" w:eastAsia="仿宋" w:cs="宋体"/>
                <w:color w:val="auto"/>
                <w:sz w:val="24"/>
                <w:highlight w:val="none"/>
                <w:lang w:val="en-US" w:eastAsia="zh-CN"/>
              </w:rPr>
              <w:t>可行性、项目匹配性好得5分；方案针对性，可行性、项目匹配性较好得4分；方案针对性，可行性、项目匹配性一般得3分；存在不足得2分；有较大欠缺得1分；其余不得分。</w:t>
            </w:r>
          </w:p>
        </w:tc>
        <w:tc>
          <w:tcPr>
            <w:tcW w:w="1080" w:type="dxa"/>
            <w:noWrap w:val="0"/>
            <w:vAlign w:val="center"/>
          </w:tcPr>
          <w:p w14:paraId="6727FF64">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3C54A7AC">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3E2149F1">
            <w:pPr>
              <w:snapToGrid w:val="0"/>
              <w:jc w:val="center"/>
              <w:rPr>
                <w:rFonts w:ascii="仿宋" w:hAnsi="仿宋" w:eastAsia="仿宋" w:cs="仿宋"/>
                <w:color w:val="auto"/>
                <w:sz w:val="24"/>
                <w:highlight w:val="none"/>
              </w:rPr>
            </w:pPr>
          </w:p>
        </w:tc>
      </w:tr>
      <w:tr w14:paraId="1FA4A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63CE4050">
            <w:pPr>
              <w:snapToGrid w:val="0"/>
              <w:jc w:val="center"/>
              <w:rPr>
                <w:rFonts w:ascii="仿宋" w:hAnsi="仿宋" w:eastAsia="仿宋" w:cs="仿宋"/>
                <w:color w:val="auto"/>
                <w:sz w:val="24"/>
                <w:highlight w:val="none"/>
              </w:rPr>
            </w:pPr>
          </w:p>
        </w:tc>
        <w:tc>
          <w:tcPr>
            <w:tcW w:w="5797" w:type="dxa"/>
            <w:noWrap w:val="0"/>
            <w:vAlign w:val="center"/>
          </w:tcPr>
          <w:p w14:paraId="1DB091C0">
            <w:pPr>
              <w:snapToGrid w:val="0"/>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（2）协调化解方案及相应措施，根据针对性，可行性、项目匹配性进行评价。方案</w:t>
            </w:r>
            <w:r>
              <w:rPr>
                <w:rFonts w:hint="eastAsia" w:ascii="仿宋" w:hAnsi="仿宋" w:eastAsia="仿宋" w:cs="宋体"/>
                <w:color w:val="auto"/>
                <w:sz w:val="24"/>
                <w:highlight w:val="none"/>
              </w:rPr>
              <w:t>针对性，</w:t>
            </w:r>
            <w:r>
              <w:rPr>
                <w:rFonts w:hint="eastAsia" w:ascii="仿宋" w:hAnsi="仿宋" w:eastAsia="仿宋" w:cs="宋体"/>
                <w:color w:val="auto"/>
                <w:sz w:val="24"/>
                <w:highlight w:val="none"/>
                <w:lang w:val="en-US" w:eastAsia="zh-CN"/>
              </w:rPr>
              <w:t>可行性、项目匹配性好得5分；方案针对性，可行性、项目匹配性较好得4分；方案针对性，可行性、项目匹配性一般得3分；存在不足得2分；有较大欠缺得1分；其余不得分。</w:t>
            </w:r>
          </w:p>
        </w:tc>
        <w:tc>
          <w:tcPr>
            <w:tcW w:w="1080" w:type="dxa"/>
            <w:noWrap w:val="0"/>
            <w:vAlign w:val="center"/>
          </w:tcPr>
          <w:p w14:paraId="50ACFD4E">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0C1B9EC3">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42321BED">
            <w:pPr>
              <w:snapToGrid w:val="0"/>
              <w:jc w:val="center"/>
              <w:rPr>
                <w:rFonts w:ascii="仿宋" w:hAnsi="仿宋" w:eastAsia="仿宋" w:cs="仿宋"/>
                <w:color w:val="auto"/>
                <w:sz w:val="24"/>
                <w:highlight w:val="none"/>
              </w:rPr>
            </w:pPr>
          </w:p>
        </w:tc>
      </w:tr>
      <w:tr w14:paraId="4238E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00F7E290">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3.2.3</w:t>
            </w:r>
          </w:p>
        </w:tc>
        <w:tc>
          <w:tcPr>
            <w:tcW w:w="5797" w:type="dxa"/>
            <w:noWrap w:val="0"/>
            <w:vAlign w:val="center"/>
          </w:tcPr>
          <w:p w14:paraId="64876D1B">
            <w:pPr>
              <w:snapToGrid w:val="0"/>
              <w:rPr>
                <w:rFonts w:hint="eastAsia" w:ascii="仿宋" w:hAnsi="仿宋" w:eastAsia="仿宋" w:cs="宋体"/>
                <w:color w:val="auto"/>
                <w:sz w:val="24"/>
                <w:highlight w:val="none"/>
              </w:rPr>
            </w:pPr>
            <w:r>
              <w:rPr>
                <w:rFonts w:hint="eastAsia" w:ascii="仿宋" w:hAnsi="仿宋" w:eastAsia="仿宋" w:cs="宋体"/>
                <w:color w:val="auto"/>
                <w:sz w:val="24"/>
                <w:highlight w:val="none"/>
                <w:lang w:val="en-US" w:eastAsia="zh-CN"/>
              </w:rPr>
              <w:t>协助区政府（区司法局）进行与本标项内容相关的法治宣传培训，向区政府（区司法局）提供有关法律信息和法律咨询，对区政府（区司法局）行政管理中的法律问题提出意见和建议的相关服务方案，根据针对性，可行性、项目匹配性进行评价。方案针对性，可行性、项目匹配性好得5分；方案针对性，可行性、项目匹配性较好得4分；方案针对性，可行性、项目匹配性一般得3分；存在不足得2分；有较大欠缺得1分；其余不得分。</w:t>
            </w:r>
          </w:p>
        </w:tc>
        <w:tc>
          <w:tcPr>
            <w:tcW w:w="1080" w:type="dxa"/>
            <w:noWrap w:val="0"/>
            <w:vAlign w:val="center"/>
          </w:tcPr>
          <w:p w14:paraId="307E36FE">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54EF2912">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4ABEE93E">
            <w:pPr>
              <w:snapToGrid w:val="0"/>
              <w:jc w:val="center"/>
              <w:rPr>
                <w:rFonts w:ascii="仿宋" w:hAnsi="仿宋" w:eastAsia="仿宋" w:cs="仿宋"/>
                <w:color w:val="auto"/>
                <w:sz w:val="24"/>
                <w:highlight w:val="none"/>
              </w:rPr>
            </w:pPr>
          </w:p>
        </w:tc>
      </w:tr>
      <w:tr w14:paraId="2F315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065592DB">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3.2.4</w:t>
            </w:r>
          </w:p>
        </w:tc>
        <w:tc>
          <w:tcPr>
            <w:tcW w:w="5797" w:type="dxa"/>
            <w:noWrap w:val="0"/>
            <w:vAlign w:val="center"/>
          </w:tcPr>
          <w:p w14:paraId="07C131A9">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承诺办理区政府（区司法局）委托的与本标项内容相关的其他法律事务。提供承诺得3分，其余不得分。</w:t>
            </w:r>
          </w:p>
        </w:tc>
        <w:tc>
          <w:tcPr>
            <w:tcW w:w="1080" w:type="dxa"/>
            <w:noWrap w:val="0"/>
            <w:vAlign w:val="center"/>
          </w:tcPr>
          <w:p w14:paraId="3CEA0425">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920" w:type="dxa"/>
            <w:noWrap w:val="0"/>
            <w:vAlign w:val="center"/>
          </w:tcPr>
          <w:p w14:paraId="7B4D5264">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38905009">
            <w:pPr>
              <w:snapToGrid w:val="0"/>
              <w:jc w:val="center"/>
              <w:rPr>
                <w:rFonts w:ascii="仿宋" w:hAnsi="仿宋" w:eastAsia="仿宋" w:cs="仿宋"/>
                <w:color w:val="auto"/>
                <w:sz w:val="24"/>
                <w:highlight w:val="none"/>
              </w:rPr>
            </w:pPr>
          </w:p>
        </w:tc>
      </w:tr>
      <w:tr w14:paraId="2B9CA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4DB49A49">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w:t>
            </w:r>
          </w:p>
        </w:tc>
        <w:tc>
          <w:tcPr>
            <w:tcW w:w="5797" w:type="dxa"/>
            <w:noWrap w:val="0"/>
            <w:vAlign w:val="center"/>
          </w:tcPr>
          <w:p w14:paraId="1492EBA1">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根据采购需求“标项二服务要求”中的“（二）法律咨询”要求，对相应响应时间进行承诺或说明。满足要求得4分，其余不得分。</w:t>
            </w:r>
          </w:p>
        </w:tc>
        <w:tc>
          <w:tcPr>
            <w:tcW w:w="1080" w:type="dxa"/>
            <w:noWrap w:val="0"/>
            <w:vAlign w:val="center"/>
          </w:tcPr>
          <w:p w14:paraId="0A03481A">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920" w:type="dxa"/>
            <w:noWrap w:val="0"/>
            <w:vAlign w:val="center"/>
          </w:tcPr>
          <w:p w14:paraId="4D97E21C">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375562DC">
            <w:pPr>
              <w:snapToGrid w:val="0"/>
              <w:jc w:val="center"/>
              <w:rPr>
                <w:rFonts w:ascii="仿宋" w:hAnsi="仿宋" w:eastAsia="仿宋" w:cs="仿宋"/>
                <w:color w:val="auto"/>
                <w:sz w:val="24"/>
                <w:highlight w:val="none"/>
              </w:rPr>
            </w:pPr>
          </w:p>
        </w:tc>
      </w:tr>
      <w:tr w14:paraId="34D7E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38B759BB">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w:t>
            </w:r>
          </w:p>
        </w:tc>
        <w:tc>
          <w:tcPr>
            <w:tcW w:w="5797" w:type="dxa"/>
            <w:noWrap w:val="0"/>
            <w:vAlign w:val="center"/>
          </w:tcPr>
          <w:p w14:paraId="10F5CA71">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根据采购需求“标项二服务要求”中的“（四）其他”要求，对相应内容进行承诺或说明。满足要求得4分，其余不得分。</w:t>
            </w:r>
          </w:p>
        </w:tc>
        <w:tc>
          <w:tcPr>
            <w:tcW w:w="1080" w:type="dxa"/>
            <w:noWrap w:val="0"/>
            <w:vAlign w:val="center"/>
          </w:tcPr>
          <w:p w14:paraId="59E62436">
            <w:pPr>
              <w:snapToGrid w:val="0"/>
              <w:jc w:val="center"/>
              <w:rPr>
                <w:rFonts w:hint="default" w:ascii="仿宋" w:hAnsi="仿宋" w:eastAsia="仿宋" w:cs="仿宋"/>
                <w:bCs/>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4</w:t>
            </w:r>
          </w:p>
        </w:tc>
        <w:tc>
          <w:tcPr>
            <w:tcW w:w="920" w:type="dxa"/>
            <w:noWrap w:val="0"/>
            <w:vAlign w:val="center"/>
          </w:tcPr>
          <w:p w14:paraId="02E85395">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6BC880E4">
            <w:pPr>
              <w:snapToGrid w:val="0"/>
              <w:jc w:val="center"/>
              <w:rPr>
                <w:rFonts w:ascii="仿宋" w:hAnsi="仿宋" w:eastAsia="仿宋" w:cs="仿宋"/>
                <w:color w:val="auto"/>
                <w:sz w:val="24"/>
                <w:highlight w:val="none"/>
              </w:rPr>
            </w:pPr>
          </w:p>
        </w:tc>
      </w:tr>
      <w:tr w14:paraId="14680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654" w:type="dxa"/>
            <w:noWrap w:val="0"/>
            <w:vAlign w:val="center"/>
          </w:tcPr>
          <w:p w14:paraId="5F11D5F0">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5797" w:type="dxa"/>
            <w:noWrap w:val="0"/>
            <w:vAlign w:val="center"/>
          </w:tcPr>
          <w:p w14:paraId="0D2EF2B4">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人员情况。投入本项目人员</w:t>
            </w:r>
            <w:r>
              <w:rPr>
                <w:rFonts w:hint="eastAsia" w:ascii="仿宋" w:hAnsi="仿宋" w:eastAsia="仿宋" w:cs="仿宋"/>
                <w:color w:val="auto"/>
                <w:sz w:val="24"/>
                <w:highlight w:val="none"/>
                <w:lang w:val="zh-CN" w:eastAsia="zh-CN"/>
              </w:rPr>
              <w:t>须提供社保机构出具</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val="zh-CN" w:eastAsia="zh-CN"/>
              </w:rPr>
              <w:t>为其缴纳的</w:t>
            </w:r>
            <w:r>
              <w:rPr>
                <w:rFonts w:hint="eastAsia" w:ascii="仿宋" w:hAnsi="仿宋" w:eastAsia="仿宋" w:cs="仿宋"/>
                <w:color w:val="auto"/>
                <w:sz w:val="24"/>
                <w:highlight w:val="none"/>
                <w:lang w:val="en-US" w:eastAsia="zh-CN"/>
              </w:rPr>
              <w:t>至磋商响应截止时间3个月任意时间的</w:t>
            </w:r>
            <w:r>
              <w:rPr>
                <w:rFonts w:hint="eastAsia" w:ascii="仿宋" w:hAnsi="仿宋" w:eastAsia="仿宋" w:cs="仿宋"/>
                <w:color w:val="auto"/>
                <w:sz w:val="24"/>
                <w:highlight w:val="none"/>
                <w:lang w:val="zh-CN" w:eastAsia="zh-CN"/>
              </w:rPr>
              <w:t>社保证明，</w:t>
            </w:r>
            <w:r>
              <w:rPr>
                <w:rFonts w:hint="eastAsia" w:ascii="仿宋" w:hAnsi="仿宋" w:eastAsia="仿宋" w:cs="仿宋"/>
                <w:b/>
                <w:bCs/>
                <w:color w:val="auto"/>
                <w:sz w:val="24"/>
                <w:highlight w:val="none"/>
                <w:lang w:val="zh-CN" w:eastAsia="zh-CN"/>
              </w:rPr>
              <w:t>否则</w:t>
            </w:r>
            <w:r>
              <w:rPr>
                <w:rFonts w:hint="eastAsia" w:ascii="仿宋" w:hAnsi="仿宋" w:eastAsia="仿宋" w:cs="仿宋"/>
                <w:b/>
                <w:bCs/>
                <w:color w:val="auto"/>
                <w:sz w:val="24"/>
                <w:highlight w:val="none"/>
                <w:lang w:val="en-US" w:eastAsia="zh-CN"/>
              </w:rPr>
              <w:t>人员不予认可</w:t>
            </w:r>
            <w:r>
              <w:rPr>
                <w:rFonts w:hint="eastAsia" w:ascii="仿宋" w:hAnsi="仿宋" w:eastAsia="仿宋" w:cs="仿宋"/>
                <w:color w:val="auto"/>
                <w:sz w:val="24"/>
                <w:highlight w:val="none"/>
                <w:lang w:val="zh-CN" w:eastAsia="zh-CN"/>
              </w:rPr>
              <w:t>。</w:t>
            </w:r>
            <w:r>
              <w:rPr>
                <w:rFonts w:hint="eastAsia" w:ascii="仿宋" w:hAnsi="仿宋" w:eastAsia="仿宋" w:cs="仿宋"/>
                <w:bCs/>
                <w:color w:val="auto"/>
                <w:sz w:val="24"/>
                <w:highlight w:val="none"/>
                <w:lang w:val="en-US" w:eastAsia="zh-CN"/>
              </w:rPr>
              <w:t>法律顾问团队清单（清单格式见采购文件第七部分）还应包括人员姓名、</w:t>
            </w:r>
            <w:r>
              <w:rPr>
                <w:rFonts w:hint="eastAsia" w:ascii="仿宋" w:hAnsi="仿宋" w:eastAsia="仿宋" w:cs="仿宋"/>
                <w:bCs/>
                <w:color w:val="auto"/>
                <w:sz w:val="24"/>
                <w:highlight w:val="none"/>
                <w:lang w:val="zh-CN" w:eastAsia="zh-CN"/>
              </w:rPr>
              <w:t>本项目拟任岗位、</w:t>
            </w:r>
            <w:r>
              <w:rPr>
                <w:rFonts w:hint="eastAsia" w:ascii="仿宋" w:hAnsi="仿宋" w:eastAsia="仿宋" w:cs="仿宋"/>
                <w:bCs/>
                <w:color w:val="auto"/>
                <w:sz w:val="24"/>
                <w:highlight w:val="none"/>
                <w:lang w:val="en-US" w:eastAsia="zh-CN"/>
              </w:rPr>
              <w:t>年龄、性别、从业年限、身份证号码、联系电话，并提供本人签名，</w:t>
            </w:r>
            <w:r>
              <w:rPr>
                <w:rFonts w:hint="eastAsia" w:ascii="仿宋" w:hAnsi="仿宋" w:eastAsia="仿宋" w:cs="仿宋"/>
                <w:b/>
                <w:bCs w:val="0"/>
                <w:color w:val="auto"/>
                <w:sz w:val="24"/>
                <w:highlight w:val="none"/>
                <w:lang w:val="en-US" w:eastAsia="zh-CN"/>
              </w:rPr>
              <w:t>否则人员不予认可</w:t>
            </w:r>
            <w:r>
              <w:rPr>
                <w:rFonts w:hint="eastAsia" w:ascii="仿宋" w:hAnsi="仿宋" w:eastAsia="仿宋" w:cs="仿宋"/>
                <w:bCs/>
                <w:color w:val="auto"/>
                <w:sz w:val="24"/>
                <w:highlight w:val="none"/>
                <w:lang w:val="en-US" w:eastAsia="zh-CN"/>
              </w:rPr>
              <w:t>。</w:t>
            </w:r>
          </w:p>
        </w:tc>
        <w:tc>
          <w:tcPr>
            <w:tcW w:w="1080" w:type="dxa"/>
            <w:noWrap w:val="0"/>
            <w:vAlign w:val="center"/>
          </w:tcPr>
          <w:p w14:paraId="4E9C722F">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c>
          <w:tcPr>
            <w:tcW w:w="920" w:type="dxa"/>
            <w:noWrap w:val="0"/>
            <w:vAlign w:val="center"/>
          </w:tcPr>
          <w:p w14:paraId="074791AA">
            <w:pPr>
              <w:snapToGrid w:val="0"/>
              <w:jc w:val="center"/>
              <w:rPr>
                <w:rFonts w:hint="eastAsia" w:ascii="仿宋" w:hAnsi="仿宋" w:eastAsia="仿宋" w:cs="仿宋"/>
                <w:color w:val="auto"/>
                <w:sz w:val="24"/>
                <w:highlight w:val="none"/>
                <w:lang w:val="en-US" w:eastAsia="zh-CN"/>
              </w:rPr>
            </w:pPr>
          </w:p>
        </w:tc>
        <w:tc>
          <w:tcPr>
            <w:tcW w:w="1485" w:type="dxa"/>
            <w:noWrap w:val="0"/>
            <w:vAlign w:val="center"/>
          </w:tcPr>
          <w:p w14:paraId="75B4B244">
            <w:pPr>
              <w:snapToGrid w:val="0"/>
              <w:jc w:val="center"/>
              <w:rPr>
                <w:rFonts w:ascii="仿宋" w:hAnsi="仿宋" w:eastAsia="仿宋" w:cs="仿宋"/>
                <w:color w:val="auto"/>
                <w:sz w:val="24"/>
                <w:highlight w:val="none"/>
              </w:rPr>
            </w:pPr>
          </w:p>
        </w:tc>
      </w:tr>
      <w:tr w14:paraId="2882E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021F0ABD">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w:t>
            </w:r>
          </w:p>
        </w:tc>
        <w:tc>
          <w:tcPr>
            <w:tcW w:w="5797" w:type="dxa"/>
            <w:noWrap w:val="0"/>
            <w:vAlign w:val="center"/>
          </w:tcPr>
          <w:p w14:paraId="7327A7A7">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项目负责人：</w:t>
            </w:r>
          </w:p>
          <w:p w14:paraId="103A111E">
            <w:pPr>
              <w:snapToGrid w:val="0"/>
              <w:rPr>
                <w:rFonts w:hint="default" w:ascii="仿宋" w:hAnsi="仿宋" w:eastAsia="仿宋" w:cs="仿宋"/>
                <w:color w:val="auto"/>
                <w:sz w:val="24"/>
                <w:highlight w:val="none"/>
                <w:lang w:val="en-US" w:eastAsia="zh-CN"/>
              </w:rPr>
            </w:pPr>
            <w:r>
              <w:rPr>
                <w:rFonts w:hint="eastAsia" w:ascii="宋体" w:hAnsi="宋体" w:eastAsia="宋体" w:cs="宋体"/>
                <w:color w:val="auto"/>
                <w:sz w:val="24"/>
                <w:highlight w:val="none"/>
                <w:lang w:val="en-US" w:eastAsia="zh-CN"/>
              </w:rPr>
              <w:t>①</w:t>
            </w:r>
            <w:r>
              <w:rPr>
                <w:rFonts w:hint="eastAsia" w:ascii="仿宋" w:hAnsi="仿宋" w:eastAsia="仿宋" w:cs="仿宋"/>
                <w:color w:val="auto"/>
                <w:sz w:val="24"/>
                <w:highlight w:val="none"/>
                <w:lang w:val="en-US" w:eastAsia="zh-CN"/>
              </w:rPr>
              <w:t>执业年限不低于8年（含）得2分，其余不得分；</w:t>
            </w:r>
          </w:p>
          <w:p w14:paraId="1E9674F5">
            <w:pPr>
              <w:snapToGrid w:val="0"/>
              <w:rPr>
                <w:rFonts w:hint="eastAsia" w:ascii="仿宋" w:hAnsi="仿宋" w:eastAsia="仿宋" w:cs="仿宋"/>
                <w:color w:val="auto"/>
                <w:sz w:val="24"/>
                <w:highlight w:val="none"/>
                <w:lang w:val="en-US" w:eastAsia="zh-CN"/>
              </w:rPr>
            </w:pPr>
            <w:r>
              <w:rPr>
                <w:rFonts w:hint="eastAsia" w:ascii="宋体" w:hAnsi="宋体" w:eastAsia="宋体" w:cs="宋体"/>
                <w:color w:val="auto"/>
                <w:sz w:val="24"/>
                <w:highlight w:val="none"/>
                <w:lang w:val="en-US" w:eastAsia="zh-CN"/>
              </w:rPr>
              <w:t>②</w:t>
            </w:r>
            <w:r>
              <w:rPr>
                <w:rFonts w:hint="eastAsia" w:ascii="仿宋" w:hAnsi="仿宋" w:eastAsia="仿宋" w:cs="仿宋"/>
                <w:color w:val="auto"/>
                <w:sz w:val="24"/>
                <w:highlight w:val="none"/>
                <w:lang w:val="en-US" w:eastAsia="zh-CN"/>
              </w:rPr>
              <w:t>自 2022年1月1日起，</w:t>
            </w:r>
            <w:r>
              <w:rPr>
                <w:rFonts w:hint="eastAsia" w:ascii="仿宋" w:hAnsi="仿宋" w:eastAsia="仿宋" w:cs="仿宋"/>
                <w:color w:val="auto"/>
                <w:sz w:val="24"/>
                <w:highlight w:val="none"/>
                <w:lang w:val="zh-CN" w:eastAsia="zh-CN"/>
              </w:rPr>
              <w:t>具有</w:t>
            </w:r>
            <w:r>
              <w:rPr>
                <w:rFonts w:hint="eastAsia" w:ascii="仿宋" w:hAnsi="仿宋" w:eastAsia="仿宋" w:cs="仿宋"/>
                <w:color w:val="auto"/>
                <w:sz w:val="24"/>
                <w:highlight w:val="none"/>
                <w:lang w:val="en-US" w:eastAsia="zh-CN"/>
              </w:rPr>
              <w:t>各级党委、或政府机关、或事业单位，或各级复议机关的年度法律顾问</w:t>
            </w:r>
            <w:r>
              <w:rPr>
                <w:rFonts w:hint="eastAsia" w:ascii="仿宋" w:hAnsi="仿宋" w:eastAsia="仿宋" w:cs="仿宋"/>
                <w:color w:val="auto"/>
                <w:sz w:val="24"/>
                <w:highlight w:val="none"/>
                <w:lang w:val="zh-CN" w:eastAsia="zh-CN"/>
              </w:rPr>
              <w:t>服务经验或类似实务经验</w:t>
            </w:r>
            <w:r>
              <w:rPr>
                <w:rFonts w:hint="eastAsia" w:ascii="仿宋" w:hAnsi="仿宋" w:eastAsia="仿宋" w:cs="仿宋"/>
                <w:color w:val="auto"/>
                <w:sz w:val="24"/>
                <w:highlight w:val="none"/>
                <w:lang w:val="en-US" w:eastAsia="zh-CN"/>
              </w:rPr>
              <w:t>,一个单位得1分，最高得5分。</w:t>
            </w:r>
          </w:p>
          <w:p w14:paraId="0A7F0E0A">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响应文件中提供：</w:t>
            </w:r>
            <w:r>
              <w:rPr>
                <w:rFonts w:hint="eastAsia" w:ascii="宋体" w:hAnsi="宋体" w:eastAsia="宋体" w:cs="宋体"/>
                <w:color w:val="auto"/>
                <w:sz w:val="24"/>
                <w:highlight w:val="none"/>
                <w:lang w:val="en-US" w:eastAsia="zh-CN"/>
              </w:rPr>
              <w:t>①</w:t>
            </w:r>
            <w:r>
              <w:rPr>
                <w:rFonts w:hint="eastAsia" w:ascii="仿宋" w:hAnsi="仿宋" w:eastAsia="仿宋" w:cs="仿宋"/>
                <w:color w:val="auto"/>
                <w:sz w:val="24"/>
                <w:highlight w:val="none"/>
                <w:lang w:val="en-US" w:eastAsia="zh-CN"/>
              </w:rPr>
              <w:t>提供项目负责人有效执业资格证书；</w:t>
            </w:r>
            <w:r>
              <w:rPr>
                <w:rFonts w:hint="eastAsia" w:ascii="宋体" w:hAnsi="宋体" w:eastAsia="宋体" w:cs="宋体"/>
                <w:color w:val="auto"/>
                <w:sz w:val="24"/>
                <w:highlight w:val="none"/>
                <w:lang w:val="en-US" w:eastAsia="zh-CN"/>
              </w:rPr>
              <w:t>②</w:t>
            </w:r>
            <w:r>
              <w:rPr>
                <w:rFonts w:hint="eastAsia" w:ascii="仿宋" w:hAnsi="仿宋" w:eastAsia="仿宋" w:cs="仿宋"/>
                <w:color w:val="auto"/>
                <w:sz w:val="24"/>
                <w:highlight w:val="none"/>
                <w:lang w:val="en-US" w:eastAsia="zh-CN"/>
              </w:rPr>
              <w:t xml:space="preserve">提供相关合同证明（合同无法证明项目负责人工作经历的，经补充有委托方或业主单位盖章的说明或证明材料；同一个甲方单位不重复计分。） </w:t>
            </w:r>
          </w:p>
        </w:tc>
        <w:tc>
          <w:tcPr>
            <w:tcW w:w="1080" w:type="dxa"/>
            <w:noWrap w:val="0"/>
            <w:vAlign w:val="center"/>
          </w:tcPr>
          <w:p w14:paraId="1FF68257">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920" w:type="dxa"/>
            <w:noWrap w:val="0"/>
            <w:vAlign w:val="center"/>
          </w:tcPr>
          <w:p w14:paraId="42B55BB1">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073EBEF0">
            <w:pPr>
              <w:snapToGrid w:val="0"/>
              <w:jc w:val="center"/>
              <w:rPr>
                <w:rFonts w:ascii="仿宋" w:hAnsi="仿宋" w:eastAsia="仿宋" w:cs="仿宋"/>
                <w:color w:val="auto"/>
                <w:sz w:val="24"/>
                <w:highlight w:val="none"/>
              </w:rPr>
            </w:pPr>
          </w:p>
        </w:tc>
      </w:tr>
      <w:tr w14:paraId="47BF5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3048616E">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w:t>
            </w:r>
          </w:p>
        </w:tc>
        <w:tc>
          <w:tcPr>
            <w:tcW w:w="5797" w:type="dxa"/>
            <w:noWrap w:val="0"/>
            <w:vAlign w:val="center"/>
          </w:tcPr>
          <w:p w14:paraId="0A03E350">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除项目负责人外，拟投入本项目人员不少于4人，律师执业年限不低于3年（含），每1 人得 1.5分，本项最高得 6分。</w:t>
            </w:r>
          </w:p>
          <w:p w14:paraId="7DD1CD08">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说明：响应文件中提供以上人员有效执业资格证书、社保缴纳证明的复印件，磋商小组根据证明材料复印件进行评分。</w:t>
            </w:r>
          </w:p>
        </w:tc>
        <w:tc>
          <w:tcPr>
            <w:tcW w:w="1080" w:type="dxa"/>
            <w:noWrap w:val="0"/>
            <w:vAlign w:val="center"/>
          </w:tcPr>
          <w:p w14:paraId="2048B50E">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920" w:type="dxa"/>
            <w:noWrap w:val="0"/>
            <w:vAlign w:val="center"/>
          </w:tcPr>
          <w:p w14:paraId="27F99549">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0A697354">
            <w:pPr>
              <w:snapToGrid w:val="0"/>
              <w:jc w:val="center"/>
              <w:rPr>
                <w:rFonts w:ascii="仿宋" w:hAnsi="仿宋" w:eastAsia="仿宋" w:cs="仿宋"/>
                <w:color w:val="auto"/>
                <w:sz w:val="24"/>
                <w:highlight w:val="none"/>
              </w:rPr>
            </w:pPr>
          </w:p>
        </w:tc>
      </w:tr>
      <w:tr w14:paraId="0AACC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7C5DD61A">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w:t>
            </w:r>
          </w:p>
        </w:tc>
        <w:tc>
          <w:tcPr>
            <w:tcW w:w="5797" w:type="dxa"/>
            <w:noWrap w:val="0"/>
            <w:vAlign w:val="center"/>
          </w:tcPr>
          <w:p w14:paraId="3419FC5D">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专业覆盖范围，根据律师事务所及团队人员情况、参与项目情况（具体案件的合同或者判决书，或者甲方第三方证明等作为证明材料），根据尽可能覆盖各法律服务范围进行评价。具备复议机关法律顾问方面内容的得2分，具备被行政复议以及行政应诉法律顾问方面内容的得2分，具备国家赔偿方面内容的得1分，具备拆迁安置方面内容的得1分、具备违章建筑拆除方面内容的得1分，具备政府信息公开方面内容的得1分，具备工程建设方面内容的得1分。（证明材料中具备相应内容的即可得分）</w:t>
            </w:r>
          </w:p>
        </w:tc>
        <w:tc>
          <w:tcPr>
            <w:tcW w:w="1080" w:type="dxa"/>
            <w:noWrap w:val="0"/>
            <w:vAlign w:val="center"/>
          </w:tcPr>
          <w:p w14:paraId="55EC7464">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w:t>
            </w:r>
          </w:p>
        </w:tc>
        <w:tc>
          <w:tcPr>
            <w:tcW w:w="920" w:type="dxa"/>
            <w:noWrap w:val="0"/>
            <w:vAlign w:val="center"/>
          </w:tcPr>
          <w:p w14:paraId="226CA92C">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4B8DA343">
            <w:pPr>
              <w:snapToGrid w:val="0"/>
              <w:jc w:val="center"/>
              <w:rPr>
                <w:rFonts w:ascii="仿宋" w:hAnsi="仿宋" w:eastAsia="仿宋" w:cs="仿宋"/>
                <w:color w:val="auto"/>
                <w:sz w:val="24"/>
                <w:highlight w:val="none"/>
              </w:rPr>
            </w:pPr>
          </w:p>
        </w:tc>
      </w:tr>
      <w:tr w14:paraId="748FE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2EAE52E7">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5797" w:type="dxa"/>
            <w:noWrap w:val="0"/>
            <w:vAlign w:val="center"/>
          </w:tcPr>
          <w:p w14:paraId="31A97781">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办公硬件响应情况，办公场地及场所布置、办公设施设备齐全满足采购要求的得3分，其余不得分。提供相关说明。</w:t>
            </w:r>
          </w:p>
        </w:tc>
        <w:tc>
          <w:tcPr>
            <w:tcW w:w="1080" w:type="dxa"/>
            <w:noWrap w:val="0"/>
            <w:vAlign w:val="center"/>
          </w:tcPr>
          <w:p w14:paraId="2A54B8E3">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920" w:type="dxa"/>
            <w:noWrap w:val="0"/>
            <w:vAlign w:val="center"/>
          </w:tcPr>
          <w:p w14:paraId="2B6E1436">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208075C3">
            <w:pPr>
              <w:snapToGrid w:val="0"/>
              <w:jc w:val="center"/>
              <w:rPr>
                <w:rFonts w:ascii="仿宋" w:hAnsi="仿宋" w:eastAsia="仿宋" w:cs="仿宋"/>
                <w:color w:val="auto"/>
                <w:sz w:val="24"/>
                <w:highlight w:val="none"/>
              </w:rPr>
            </w:pPr>
          </w:p>
        </w:tc>
      </w:tr>
      <w:tr w14:paraId="158CA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654" w:type="dxa"/>
            <w:noWrap w:val="0"/>
            <w:vAlign w:val="center"/>
          </w:tcPr>
          <w:p w14:paraId="3EB77458">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5797" w:type="dxa"/>
            <w:noWrap w:val="0"/>
            <w:vAlign w:val="center"/>
          </w:tcPr>
          <w:p w14:paraId="75280ACA">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满足采购文件中有关保密措施相关要求的得2分，其余不得分。</w:t>
            </w:r>
          </w:p>
        </w:tc>
        <w:tc>
          <w:tcPr>
            <w:tcW w:w="1080" w:type="dxa"/>
            <w:noWrap w:val="0"/>
            <w:vAlign w:val="center"/>
          </w:tcPr>
          <w:p w14:paraId="2B85FDF8">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06A763D2">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67AD3E15">
            <w:pPr>
              <w:snapToGrid w:val="0"/>
              <w:jc w:val="center"/>
              <w:rPr>
                <w:rFonts w:ascii="仿宋" w:hAnsi="仿宋" w:eastAsia="仿宋" w:cs="仿宋"/>
                <w:color w:val="auto"/>
                <w:sz w:val="24"/>
                <w:highlight w:val="none"/>
              </w:rPr>
            </w:pPr>
          </w:p>
        </w:tc>
      </w:tr>
      <w:tr w14:paraId="35A16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654" w:type="dxa"/>
            <w:noWrap w:val="0"/>
            <w:vAlign w:val="center"/>
          </w:tcPr>
          <w:p w14:paraId="7A390CE6">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5797" w:type="dxa"/>
            <w:noWrap w:val="0"/>
            <w:vAlign w:val="center"/>
          </w:tcPr>
          <w:p w14:paraId="6DA3EE5F">
            <w:pPr>
              <w:snapToGrid w:val="0"/>
              <w:rPr>
                <w:rFonts w:hint="eastAsia" w:ascii="仿宋" w:hAnsi="仿宋" w:eastAsia="仿宋" w:cs="仿宋"/>
                <w:color w:val="auto"/>
                <w:sz w:val="24"/>
                <w:highlight w:val="none"/>
                <w:lang w:val="en-US" w:eastAsia="zh-CN"/>
              </w:rPr>
            </w:pPr>
            <w:r>
              <w:rPr>
                <w:rFonts w:hint="eastAsia" w:ascii="仿宋" w:hAnsi="仿宋" w:eastAsia="仿宋" w:cs="宋体"/>
                <w:color w:val="auto"/>
                <w:sz w:val="24"/>
                <w:highlight w:val="none"/>
                <w:lang w:val="en-US" w:eastAsia="zh-CN"/>
              </w:rPr>
              <w:t>与服务单位的配合情况，针对供应商主动做好与服务单位配合服务的具体措施的合理性、可行性进行评分。合理性、可行性好得5分；合理性、可行性较好得4分；合理性、可行性一般得3分；存在不足得2分；有较大欠缺得1分；其余不得分。</w:t>
            </w:r>
          </w:p>
        </w:tc>
        <w:tc>
          <w:tcPr>
            <w:tcW w:w="1080" w:type="dxa"/>
            <w:noWrap w:val="0"/>
            <w:vAlign w:val="center"/>
          </w:tcPr>
          <w:p w14:paraId="52BF5297">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920" w:type="dxa"/>
            <w:noWrap w:val="0"/>
            <w:vAlign w:val="center"/>
          </w:tcPr>
          <w:p w14:paraId="79D37A70">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16DFB04B">
            <w:pPr>
              <w:snapToGrid w:val="0"/>
              <w:jc w:val="center"/>
              <w:rPr>
                <w:rFonts w:ascii="仿宋" w:hAnsi="仿宋" w:eastAsia="仿宋" w:cs="仿宋"/>
                <w:color w:val="auto"/>
                <w:sz w:val="24"/>
                <w:highlight w:val="none"/>
              </w:rPr>
            </w:pPr>
          </w:p>
        </w:tc>
      </w:tr>
      <w:tr w14:paraId="2501B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3953838C">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w:t>
            </w:r>
          </w:p>
        </w:tc>
        <w:tc>
          <w:tcPr>
            <w:tcW w:w="5797" w:type="dxa"/>
            <w:noWrap w:val="0"/>
            <w:vAlign w:val="center"/>
          </w:tcPr>
          <w:p w14:paraId="60077358">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对采购需求“商务要求”响应情况。全部满足得5分，有负偏离不得分。</w:t>
            </w:r>
          </w:p>
        </w:tc>
        <w:tc>
          <w:tcPr>
            <w:tcW w:w="1080" w:type="dxa"/>
            <w:noWrap w:val="0"/>
            <w:vAlign w:val="center"/>
          </w:tcPr>
          <w:p w14:paraId="190D0D6B">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920" w:type="dxa"/>
            <w:noWrap w:val="0"/>
            <w:vAlign w:val="center"/>
          </w:tcPr>
          <w:p w14:paraId="62AAD3AD">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62DEB238">
            <w:pPr>
              <w:snapToGrid w:val="0"/>
              <w:jc w:val="center"/>
              <w:rPr>
                <w:rFonts w:ascii="仿宋" w:hAnsi="仿宋" w:eastAsia="仿宋" w:cs="仿宋"/>
                <w:color w:val="auto"/>
                <w:sz w:val="24"/>
                <w:highlight w:val="none"/>
              </w:rPr>
            </w:pPr>
          </w:p>
        </w:tc>
      </w:tr>
    </w:tbl>
    <w:p w14:paraId="7512C200">
      <w:pPr>
        <w:rPr>
          <w:rFonts w:hint="eastAsia"/>
          <w:highlight w:val="none"/>
        </w:rPr>
      </w:pPr>
    </w:p>
    <w:p w14:paraId="127721FB">
      <w:pPr>
        <w:rPr>
          <w:rFonts w:hint="eastAsia"/>
          <w:highlight w:val="none"/>
        </w:rPr>
      </w:pPr>
      <w:r>
        <w:rPr>
          <w:rFonts w:hint="eastAsia"/>
          <w:highlight w:val="none"/>
        </w:rPr>
        <w:br w:type="page"/>
      </w:r>
    </w:p>
    <w:p w14:paraId="515AEF42">
      <w:pPr>
        <w:pStyle w:val="23"/>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textAlignment w:val="auto"/>
        <w:outlineLvl w:val="2"/>
        <w:rPr>
          <w:rFonts w:hint="eastAsia" w:ascii="仿宋" w:hAnsi="仿宋" w:eastAsia="仿宋" w:cs="仿宋"/>
          <w:b/>
          <w:bCs/>
          <w:color w:val="auto"/>
          <w:sz w:val="24"/>
          <w:highlight w:val="none"/>
          <w:shd w:val="clear" w:color="auto" w:fill="auto"/>
          <w:lang w:val="en-US" w:eastAsia="zh-CN"/>
        </w:rPr>
      </w:pPr>
      <w:r>
        <w:rPr>
          <w:rFonts w:hint="eastAsia" w:ascii="仿宋" w:hAnsi="仿宋" w:eastAsia="仿宋" w:cs="仿宋"/>
          <w:b/>
          <w:bCs/>
          <w:color w:val="auto"/>
          <w:sz w:val="24"/>
          <w:highlight w:val="none"/>
          <w:shd w:val="clear" w:color="auto" w:fill="auto"/>
          <w:lang w:val="en-US" w:eastAsia="zh-CN"/>
        </w:rPr>
        <w:t>标项三商务资信技术部分评分细则</w:t>
      </w:r>
    </w:p>
    <w:p w14:paraId="194D81BE">
      <w:pPr>
        <w:rPr>
          <w:rFonts w:hint="eastAsia" w:ascii="仿宋" w:hAnsi="仿宋" w:eastAsia="仿宋" w:cs="仿宋"/>
          <w:b w:val="0"/>
          <w:bCs w:val="0"/>
          <w:color w:val="auto"/>
          <w:sz w:val="24"/>
          <w:highlight w:val="none"/>
          <w:shd w:val="clear" w:color="auto" w:fill="auto"/>
          <w:lang w:val="en-US" w:eastAsia="zh-CN"/>
        </w:rPr>
      </w:pPr>
    </w:p>
    <w:tbl>
      <w:tblPr>
        <w:tblStyle w:val="60"/>
        <w:tblW w:w="99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5797"/>
        <w:gridCol w:w="1080"/>
        <w:gridCol w:w="920"/>
        <w:gridCol w:w="1485"/>
      </w:tblGrid>
      <w:tr w14:paraId="075E9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654" w:type="dxa"/>
            <w:noWrap w:val="0"/>
            <w:vAlign w:val="center"/>
          </w:tcPr>
          <w:p w14:paraId="7F76EED4">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5797" w:type="dxa"/>
            <w:noWrap w:val="0"/>
            <w:vAlign w:val="center"/>
          </w:tcPr>
          <w:p w14:paraId="342441BF">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评分因素</w:t>
            </w:r>
          </w:p>
        </w:tc>
        <w:tc>
          <w:tcPr>
            <w:tcW w:w="1080" w:type="dxa"/>
            <w:noWrap w:val="0"/>
            <w:vAlign w:val="center"/>
          </w:tcPr>
          <w:p w14:paraId="32DBB2E9">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权重</w:t>
            </w:r>
          </w:p>
        </w:tc>
        <w:tc>
          <w:tcPr>
            <w:tcW w:w="920" w:type="dxa"/>
            <w:noWrap w:val="0"/>
            <w:vAlign w:val="center"/>
          </w:tcPr>
          <w:p w14:paraId="6540F586">
            <w:pPr>
              <w:snapToGrid w:val="0"/>
              <w:jc w:val="center"/>
              <w:rPr>
                <w:rFonts w:hint="eastAsia" w:ascii="仿宋" w:hAnsi="仿宋" w:eastAsia="仿宋" w:cs="仿宋"/>
                <w:color w:val="auto"/>
                <w:sz w:val="24"/>
                <w:highlight w:val="none"/>
              </w:rPr>
            </w:pPr>
            <w:r>
              <w:rPr>
                <w:rFonts w:hint="eastAsia" w:ascii="仿宋" w:hAnsi="仿宋" w:eastAsia="仿宋" w:cs="仿宋"/>
                <w:b/>
                <w:bCs/>
                <w:i w:val="0"/>
                <w:color w:val="000000"/>
                <w:kern w:val="0"/>
                <w:sz w:val="24"/>
                <w:szCs w:val="24"/>
                <w:highlight w:val="none"/>
                <w:u w:val="none"/>
                <w:lang w:val="en-US" w:eastAsia="zh-CN" w:bidi="ar"/>
              </w:rPr>
              <w:t>主观分/客观分属性</w:t>
            </w:r>
          </w:p>
        </w:tc>
        <w:tc>
          <w:tcPr>
            <w:tcW w:w="1485" w:type="dxa"/>
            <w:noWrap w:val="0"/>
            <w:vAlign w:val="center"/>
          </w:tcPr>
          <w:p w14:paraId="7FB19EBD">
            <w:pPr>
              <w:snapToGrid w:val="0"/>
              <w:jc w:val="center"/>
              <w:rPr>
                <w:rFonts w:ascii="仿宋" w:hAnsi="仿宋" w:eastAsia="仿宋" w:cs="仿宋"/>
                <w:color w:val="auto"/>
                <w:sz w:val="24"/>
                <w:highlight w:val="none"/>
              </w:rPr>
            </w:pPr>
            <w:r>
              <w:rPr>
                <w:rFonts w:hint="eastAsia" w:ascii="仿宋" w:hAnsi="仿宋" w:eastAsia="仿宋" w:cs="仿宋_GB2312"/>
                <w:bCs/>
                <w:color w:val="auto"/>
                <w:sz w:val="24"/>
                <w:highlight w:val="none"/>
                <w:lang w:eastAsia="zh-CN"/>
              </w:rPr>
              <w:t>响应文件</w:t>
            </w:r>
            <w:r>
              <w:rPr>
                <w:rFonts w:hint="eastAsia" w:ascii="仿宋" w:hAnsi="仿宋" w:eastAsia="仿宋" w:cs="仿宋_GB2312"/>
                <w:bCs/>
                <w:color w:val="auto"/>
                <w:sz w:val="24"/>
                <w:highlight w:val="none"/>
              </w:rPr>
              <w:t>中评标标准相应的商务技术资料目录</w:t>
            </w:r>
            <w:r>
              <w:rPr>
                <w:rFonts w:ascii="仿宋" w:hAnsi="仿宋" w:eastAsia="仿宋" w:cs="Arial"/>
                <w:color w:val="auto"/>
                <w:sz w:val="24"/>
                <w:highlight w:val="none"/>
                <w:shd w:val="clear" w:color="auto" w:fill="FFFFFF"/>
              </w:rPr>
              <w:t>*</w:t>
            </w:r>
          </w:p>
        </w:tc>
      </w:tr>
      <w:tr w14:paraId="0252F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390725FD">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5797" w:type="dxa"/>
            <w:noWrap w:val="0"/>
            <w:vAlign w:val="center"/>
          </w:tcPr>
          <w:p w14:paraId="37FB5D77">
            <w:pPr>
              <w:snapToGrid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供应商</w:t>
            </w:r>
            <w:r>
              <w:rPr>
                <w:rFonts w:hint="eastAsia" w:ascii="仿宋" w:hAnsi="仿宋" w:eastAsia="仿宋" w:cs="仿宋"/>
                <w:bCs/>
                <w:color w:val="auto"/>
                <w:sz w:val="24"/>
                <w:highlight w:val="none"/>
                <w:lang w:val="en-US" w:eastAsia="zh-CN"/>
              </w:rPr>
              <w:t>自</w:t>
            </w:r>
            <w:r>
              <w:rPr>
                <w:rFonts w:hint="eastAsia" w:ascii="仿宋" w:hAnsi="仿宋" w:eastAsia="仿宋" w:cs="仿宋"/>
                <w:bCs/>
                <w:color w:val="auto"/>
                <w:sz w:val="24"/>
                <w:highlight w:val="none"/>
              </w:rPr>
              <w:t>202</w:t>
            </w: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rPr>
              <w:t>年</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月1日以来承担过各级党委、</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rPr>
              <w:t>政府机关、</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rPr>
              <w:t>事业单位</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或</w:t>
            </w:r>
            <w:r>
              <w:rPr>
                <w:rFonts w:hint="eastAsia" w:ascii="仿宋" w:hAnsi="仿宋" w:eastAsia="仿宋" w:cs="仿宋"/>
                <w:bCs/>
                <w:color w:val="auto"/>
                <w:sz w:val="24"/>
                <w:highlight w:val="none"/>
                <w:lang w:eastAsia="zh-CN"/>
              </w:rPr>
              <w:t>各级复议机关</w:t>
            </w:r>
            <w:r>
              <w:rPr>
                <w:rFonts w:hint="eastAsia" w:ascii="仿宋" w:hAnsi="仿宋" w:eastAsia="仿宋" w:cs="仿宋"/>
                <w:bCs/>
                <w:color w:val="auto"/>
                <w:sz w:val="24"/>
                <w:highlight w:val="none"/>
              </w:rPr>
              <w:t>的</w:t>
            </w:r>
            <w:r>
              <w:rPr>
                <w:rFonts w:hint="eastAsia" w:ascii="仿宋" w:hAnsi="仿宋" w:eastAsia="仿宋" w:cs="仿宋"/>
                <w:bCs/>
                <w:color w:val="auto"/>
                <w:sz w:val="24"/>
                <w:highlight w:val="none"/>
                <w:lang w:val="en-US" w:eastAsia="zh-CN"/>
              </w:rPr>
              <w:t>年度</w:t>
            </w:r>
            <w:r>
              <w:rPr>
                <w:rFonts w:hint="eastAsia" w:ascii="仿宋" w:hAnsi="仿宋" w:eastAsia="仿宋" w:cs="仿宋"/>
                <w:bCs/>
                <w:color w:val="auto"/>
                <w:sz w:val="24"/>
                <w:highlight w:val="none"/>
              </w:rPr>
              <w:t>法律顾问项目的，每具有一个合同得</w:t>
            </w:r>
            <w:r>
              <w:rPr>
                <w:rFonts w:hint="eastAsia" w:ascii="仿宋" w:hAnsi="仿宋" w:eastAsia="仿宋" w:cs="仿宋"/>
                <w:bCs/>
                <w:color w:val="auto"/>
                <w:sz w:val="24"/>
                <w:highlight w:val="none"/>
                <w:lang w:val="en-US" w:eastAsia="zh-CN"/>
              </w:rPr>
              <w:t>0.25</w:t>
            </w:r>
            <w:r>
              <w:rPr>
                <w:rFonts w:hint="eastAsia" w:ascii="仿宋" w:hAnsi="仿宋" w:eastAsia="仿宋" w:cs="仿宋"/>
                <w:bCs/>
                <w:color w:val="auto"/>
                <w:sz w:val="24"/>
                <w:highlight w:val="none"/>
              </w:rPr>
              <w:t>分，最高得</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rPr>
              <w:t>分。</w:t>
            </w:r>
          </w:p>
          <w:p w14:paraId="40D7C5EE">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rPr>
              <w:t>说明：</w:t>
            </w:r>
            <w:r>
              <w:rPr>
                <w:rFonts w:hint="eastAsia" w:ascii="仿宋" w:hAnsi="仿宋" w:eastAsia="仿宋" w:cs="仿宋"/>
                <w:bCs/>
                <w:color w:val="auto"/>
                <w:sz w:val="24"/>
                <w:highlight w:val="none"/>
                <w:lang w:val="en-US" w:eastAsia="zh-CN"/>
              </w:rPr>
              <w:t>提供</w:t>
            </w:r>
            <w:r>
              <w:rPr>
                <w:rFonts w:hint="eastAsia" w:ascii="仿宋" w:hAnsi="仿宋" w:eastAsia="仿宋" w:cs="仿宋"/>
                <w:bCs/>
                <w:color w:val="auto"/>
                <w:sz w:val="24"/>
                <w:highlight w:val="none"/>
              </w:rPr>
              <w:t>合同复印件或扫描件，以合同签署时间为准</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同一个甲方单位不重复计分。</w:t>
            </w:r>
          </w:p>
        </w:tc>
        <w:tc>
          <w:tcPr>
            <w:tcW w:w="1080" w:type="dxa"/>
            <w:noWrap w:val="0"/>
            <w:vAlign w:val="center"/>
          </w:tcPr>
          <w:p w14:paraId="6224F02F">
            <w:pPr>
              <w:snapToGrid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w:t>
            </w:r>
          </w:p>
        </w:tc>
        <w:tc>
          <w:tcPr>
            <w:tcW w:w="920" w:type="dxa"/>
            <w:noWrap w:val="0"/>
            <w:vAlign w:val="center"/>
          </w:tcPr>
          <w:p w14:paraId="6FBD8412">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293F2B3E">
            <w:pPr>
              <w:snapToGrid w:val="0"/>
              <w:jc w:val="center"/>
              <w:rPr>
                <w:rFonts w:ascii="仿宋" w:hAnsi="仿宋" w:eastAsia="仿宋" w:cs="仿宋"/>
                <w:color w:val="auto"/>
                <w:sz w:val="24"/>
                <w:highlight w:val="none"/>
              </w:rPr>
            </w:pPr>
          </w:p>
        </w:tc>
      </w:tr>
      <w:tr w14:paraId="3911B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59102C1B">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5797" w:type="dxa"/>
            <w:noWrap w:val="0"/>
            <w:vAlign w:val="center"/>
          </w:tcPr>
          <w:p w14:paraId="026B65C8">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管理制度</w:t>
            </w:r>
          </w:p>
        </w:tc>
        <w:tc>
          <w:tcPr>
            <w:tcW w:w="1080" w:type="dxa"/>
            <w:noWrap w:val="0"/>
            <w:vAlign w:val="center"/>
          </w:tcPr>
          <w:p w14:paraId="6F106F84">
            <w:pPr>
              <w:snapToGrid w:val="0"/>
              <w:jc w:val="center"/>
              <w:rPr>
                <w:rFonts w:hint="eastAsia" w:eastAsia="宋体"/>
                <w:highlight w:val="none"/>
                <w:lang w:val="en-US" w:eastAsia="zh-CN"/>
              </w:rPr>
            </w:pPr>
            <w:r>
              <w:rPr>
                <w:rFonts w:hint="eastAsia"/>
                <w:highlight w:val="none"/>
                <w:lang w:val="en-US" w:eastAsia="zh-CN"/>
              </w:rPr>
              <w:t>/</w:t>
            </w:r>
          </w:p>
        </w:tc>
        <w:tc>
          <w:tcPr>
            <w:tcW w:w="920" w:type="dxa"/>
            <w:noWrap w:val="0"/>
            <w:vAlign w:val="center"/>
          </w:tcPr>
          <w:p w14:paraId="119378F4">
            <w:pPr>
              <w:snapToGrid w:val="0"/>
              <w:jc w:val="center"/>
              <w:rPr>
                <w:rFonts w:hint="eastAsia" w:ascii="仿宋" w:hAnsi="仿宋" w:eastAsia="仿宋" w:cs="仿宋"/>
                <w:color w:val="auto"/>
                <w:sz w:val="24"/>
                <w:highlight w:val="none"/>
                <w:lang w:val="en-US" w:eastAsia="zh-CN"/>
              </w:rPr>
            </w:pPr>
          </w:p>
        </w:tc>
        <w:tc>
          <w:tcPr>
            <w:tcW w:w="1485" w:type="dxa"/>
            <w:noWrap w:val="0"/>
            <w:vAlign w:val="center"/>
          </w:tcPr>
          <w:p w14:paraId="56D0C7E2">
            <w:pPr>
              <w:snapToGrid w:val="0"/>
              <w:jc w:val="center"/>
              <w:rPr>
                <w:rFonts w:ascii="仿宋" w:hAnsi="仿宋" w:eastAsia="仿宋" w:cs="仿宋"/>
                <w:color w:val="auto"/>
                <w:sz w:val="24"/>
                <w:highlight w:val="none"/>
              </w:rPr>
            </w:pPr>
          </w:p>
        </w:tc>
      </w:tr>
      <w:tr w14:paraId="1895E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18C48701">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w:t>
            </w:r>
          </w:p>
        </w:tc>
        <w:tc>
          <w:tcPr>
            <w:tcW w:w="5797" w:type="dxa"/>
            <w:noWrap w:val="0"/>
            <w:vAlign w:val="center"/>
          </w:tcPr>
          <w:p w14:paraId="4AAA6972">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人员管理（考核制度）情况，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427090A8">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1180E837">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5D50CB0F">
            <w:pPr>
              <w:snapToGrid w:val="0"/>
              <w:jc w:val="center"/>
              <w:rPr>
                <w:rFonts w:ascii="仿宋" w:hAnsi="仿宋" w:eastAsia="仿宋" w:cs="仿宋"/>
                <w:color w:val="auto"/>
                <w:sz w:val="24"/>
                <w:highlight w:val="none"/>
              </w:rPr>
            </w:pPr>
          </w:p>
        </w:tc>
      </w:tr>
      <w:tr w14:paraId="2DC8B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44330283">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p>
        </w:tc>
        <w:tc>
          <w:tcPr>
            <w:tcW w:w="5797" w:type="dxa"/>
            <w:noWrap w:val="0"/>
            <w:vAlign w:val="center"/>
          </w:tcPr>
          <w:p w14:paraId="3D158C74">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分配机制和财务制度情况，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6F6FF405">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48AB1978">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0C244A8D">
            <w:pPr>
              <w:snapToGrid w:val="0"/>
              <w:jc w:val="center"/>
              <w:rPr>
                <w:rFonts w:ascii="仿宋" w:hAnsi="仿宋" w:eastAsia="仿宋" w:cs="仿宋"/>
                <w:color w:val="auto"/>
                <w:sz w:val="24"/>
                <w:highlight w:val="none"/>
              </w:rPr>
            </w:pPr>
          </w:p>
        </w:tc>
      </w:tr>
      <w:tr w14:paraId="39CF7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5064097B">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w:t>
            </w:r>
          </w:p>
        </w:tc>
        <w:tc>
          <w:tcPr>
            <w:tcW w:w="5797" w:type="dxa"/>
            <w:noWrap w:val="0"/>
            <w:vAlign w:val="center"/>
          </w:tcPr>
          <w:p w14:paraId="69DBDAAD">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案件讨论制度情况，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2E8CDE8B">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49897F37">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3CA3869B">
            <w:pPr>
              <w:snapToGrid w:val="0"/>
              <w:jc w:val="center"/>
              <w:rPr>
                <w:rFonts w:ascii="仿宋" w:hAnsi="仿宋" w:eastAsia="仿宋" w:cs="仿宋"/>
                <w:color w:val="auto"/>
                <w:sz w:val="24"/>
                <w:highlight w:val="none"/>
              </w:rPr>
            </w:pPr>
          </w:p>
        </w:tc>
      </w:tr>
      <w:tr w14:paraId="5B056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449AE10F">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p>
        </w:tc>
        <w:tc>
          <w:tcPr>
            <w:tcW w:w="5797" w:type="dxa"/>
            <w:noWrap w:val="0"/>
            <w:vAlign w:val="center"/>
          </w:tcPr>
          <w:p w14:paraId="5C380CEC">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服务质量和风险防控制度情况，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2A9BE27A">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5F48046F">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5831EC4F">
            <w:pPr>
              <w:snapToGrid w:val="0"/>
              <w:jc w:val="center"/>
              <w:rPr>
                <w:rFonts w:ascii="仿宋" w:hAnsi="仿宋" w:eastAsia="仿宋" w:cs="仿宋"/>
                <w:color w:val="auto"/>
                <w:sz w:val="24"/>
                <w:highlight w:val="none"/>
              </w:rPr>
            </w:pPr>
          </w:p>
        </w:tc>
      </w:tr>
      <w:tr w14:paraId="44EFD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3A0ACADF">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w:t>
            </w:r>
          </w:p>
        </w:tc>
        <w:tc>
          <w:tcPr>
            <w:tcW w:w="5797" w:type="dxa"/>
            <w:noWrap w:val="0"/>
            <w:vAlign w:val="center"/>
          </w:tcPr>
          <w:p w14:paraId="291E82DA">
            <w:pPr>
              <w:snapToGrid w:val="0"/>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律师分派制度情况，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782AB10E">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0D5D84E1">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3712F7DE">
            <w:pPr>
              <w:snapToGrid w:val="0"/>
              <w:jc w:val="center"/>
              <w:rPr>
                <w:rFonts w:ascii="仿宋" w:hAnsi="仿宋" w:eastAsia="仿宋" w:cs="仿宋"/>
                <w:color w:val="auto"/>
                <w:sz w:val="24"/>
                <w:highlight w:val="none"/>
              </w:rPr>
            </w:pPr>
          </w:p>
        </w:tc>
      </w:tr>
      <w:tr w14:paraId="20D0F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2521A782">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2.6</w:t>
            </w:r>
          </w:p>
        </w:tc>
        <w:tc>
          <w:tcPr>
            <w:tcW w:w="5797" w:type="dxa"/>
            <w:noWrap w:val="0"/>
            <w:vAlign w:val="center"/>
          </w:tcPr>
          <w:p w14:paraId="46B447BE">
            <w:pPr>
              <w:snapToGrid w:val="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律所利益冲突排除制度情况，</w:t>
            </w:r>
            <w:r>
              <w:rPr>
                <w:rFonts w:hint="eastAsia" w:ascii="仿宋" w:hAnsi="仿宋" w:eastAsia="仿宋" w:cs="仿宋"/>
                <w:color w:val="auto"/>
                <w:sz w:val="24"/>
                <w:highlight w:val="none"/>
                <w:lang w:val="en-US" w:eastAsia="zh-CN"/>
              </w:rPr>
              <w:t>根据</w:t>
            </w:r>
            <w:r>
              <w:rPr>
                <w:rFonts w:hint="eastAsia" w:ascii="仿宋" w:hAnsi="仿宋" w:eastAsia="仿宋" w:cs="仿宋"/>
                <w:color w:val="auto"/>
                <w:sz w:val="24"/>
                <w:szCs w:val="24"/>
                <w:highlight w:val="none"/>
                <w:lang w:val="en-US" w:eastAsia="zh-CN"/>
              </w:rPr>
              <w:t>制度的可落实性、与项目的匹配性进行评分。制度落实性好，项目匹配度好的得2分；制度落实性一般，项目匹配度一般的得1分；制度难以落实、与项目不匹配的不得分。</w:t>
            </w:r>
          </w:p>
        </w:tc>
        <w:tc>
          <w:tcPr>
            <w:tcW w:w="1080" w:type="dxa"/>
            <w:noWrap w:val="0"/>
            <w:vAlign w:val="center"/>
          </w:tcPr>
          <w:p w14:paraId="6DDEEC26">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56B07AAC">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6056A46C">
            <w:pPr>
              <w:snapToGrid w:val="0"/>
              <w:jc w:val="center"/>
              <w:rPr>
                <w:rFonts w:ascii="仿宋" w:hAnsi="仿宋" w:eastAsia="仿宋" w:cs="仿宋"/>
                <w:color w:val="auto"/>
                <w:sz w:val="24"/>
                <w:highlight w:val="none"/>
              </w:rPr>
            </w:pPr>
          </w:p>
        </w:tc>
      </w:tr>
      <w:tr w14:paraId="7CFB6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1B7F224E">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2.7</w:t>
            </w:r>
          </w:p>
        </w:tc>
        <w:tc>
          <w:tcPr>
            <w:tcW w:w="5797" w:type="dxa"/>
            <w:noWrap w:val="0"/>
            <w:vAlign w:val="center"/>
          </w:tcPr>
          <w:p w14:paraId="6C1D7D62">
            <w:pPr>
              <w:snapToGrid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律所决策和文书审批制度情况，根据制度的可落实性、与项目的匹配性进行评分。制度落实性好，项目匹配度好的得2分；制度落实性一般，项目匹配度一般的得1分；制度难以落实、与项目不匹配，或未规定正式材料由供应商主任或副主任签字审核的不得分。</w:t>
            </w:r>
          </w:p>
        </w:tc>
        <w:tc>
          <w:tcPr>
            <w:tcW w:w="1080" w:type="dxa"/>
            <w:noWrap w:val="0"/>
            <w:vAlign w:val="center"/>
          </w:tcPr>
          <w:p w14:paraId="3AF8F585">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5A67C2A0">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1264C2CE">
            <w:pPr>
              <w:snapToGrid w:val="0"/>
              <w:jc w:val="center"/>
              <w:rPr>
                <w:rFonts w:ascii="仿宋" w:hAnsi="仿宋" w:eastAsia="仿宋" w:cs="仿宋"/>
                <w:color w:val="auto"/>
                <w:sz w:val="24"/>
                <w:highlight w:val="none"/>
              </w:rPr>
            </w:pPr>
          </w:p>
        </w:tc>
      </w:tr>
      <w:tr w14:paraId="78304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5A9693E4">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2.8</w:t>
            </w:r>
          </w:p>
        </w:tc>
        <w:tc>
          <w:tcPr>
            <w:tcW w:w="5797" w:type="dxa"/>
            <w:noWrap w:val="0"/>
            <w:vAlign w:val="center"/>
          </w:tcPr>
          <w:p w14:paraId="115C3F8B">
            <w:pPr>
              <w:snapToGrid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档案管理制度情况，有相关制度得1分，不满足不得分。</w:t>
            </w:r>
          </w:p>
        </w:tc>
        <w:tc>
          <w:tcPr>
            <w:tcW w:w="1080" w:type="dxa"/>
            <w:noWrap w:val="0"/>
            <w:vAlign w:val="center"/>
          </w:tcPr>
          <w:p w14:paraId="565C8249">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920" w:type="dxa"/>
            <w:noWrap w:val="0"/>
            <w:vAlign w:val="center"/>
          </w:tcPr>
          <w:p w14:paraId="3341849C">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490615CD">
            <w:pPr>
              <w:snapToGrid w:val="0"/>
              <w:jc w:val="center"/>
              <w:rPr>
                <w:rFonts w:ascii="仿宋" w:hAnsi="仿宋" w:eastAsia="仿宋" w:cs="仿宋"/>
                <w:color w:val="auto"/>
                <w:sz w:val="24"/>
                <w:highlight w:val="none"/>
              </w:rPr>
            </w:pPr>
          </w:p>
        </w:tc>
      </w:tr>
      <w:tr w14:paraId="7558A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54" w:type="dxa"/>
            <w:noWrap w:val="0"/>
            <w:vAlign w:val="center"/>
          </w:tcPr>
          <w:p w14:paraId="04DE8F01">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2.9</w:t>
            </w:r>
          </w:p>
        </w:tc>
        <w:tc>
          <w:tcPr>
            <w:tcW w:w="5797" w:type="dxa"/>
            <w:noWrap w:val="0"/>
            <w:vAlign w:val="center"/>
          </w:tcPr>
          <w:p w14:paraId="22629697">
            <w:pPr>
              <w:snapToGrid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投诉处理机制情况，有相关制度得1分，不满足不得分。</w:t>
            </w:r>
          </w:p>
        </w:tc>
        <w:tc>
          <w:tcPr>
            <w:tcW w:w="1080" w:type="dxa"/>
            <w:noWrap w:val="0"/>
            <w:vAlign w:val="center"/>
          </w:tcPr>
          <w:p w14:paraId="2B51CB64">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920" w:type="dxa"/>
            <w:noWrap w:val="0"/>
            <w:vAlign w:val="center"/>
          </w:tcPr>
          <w:p w14:paraId="5D8D5A36">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35EB1D4C">
            <w:pPr>
              <w:snapToGrid w:val="0"/>
              <w:jc w:val="center"/>
              <w:rPr>
                <w:rFonts w:ascii="仿宋" w:hAnsi="仿宋" w:eastAsia="仿宋" w:cs="仿宋"/>
                <w:color w:val="auto"/>
                <w:sz w:val="24"/>
                <w:highlight w:val="none"/>
              </w:rPr>
            </w:pPr>
          </w:p>
        </w:tc>
      </w:tr>
      <w:tr w14:paraId="12968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654" w:type="dxa"/>
            <w:noWrap w:val="0"/>
            <w:vAlign w:val="center"/>
          </w:tcPr>
          <w:p w14:paraId="06465479">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5797" w:type="dxa"/>
            <w:noWrap w:val="0"/>
            <w:vAlign w:val="center"/>
          </w:tcPr>
          <w:p w14:paraId="4FC4B8BA">
            <w:pPr>
              <w:snapToGrid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服务要求的响应情况</w:t>
            </w:r>
          </w:p>
        </w:tc>
        <w:tc>
          <w:tcPr>
            <w:tcW w:w="1080" w:type="dxa"/>
            <w:noWrap w:val="0"/>
            <w:vAlign w:val="center"/>
          </w:tcPr>
          <w:p w14:paraId="00E09816">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920" w:type="dxa"/>
            <w:noWrap w:val="0"/>
            <w:vAlign w:val="center"/>
          </w:tcPr>
          <w:p w14:paraId="575A3A4A">
            <w:pPr>
              <w:snapToGrid w:val="0"/>
              <w:jc w:val="center"/>
              <w:rPr>
                <w:rFonts w:hint="eastAsia" w:ascii="仿宋" w:hAnsi="仿宋" w:eastAsia="仿宋" w:cs="仿宋"/>
                <w:bCs/>
                <w:color w:val="auto"/>
                <w:sz w:val="24"/>
                <w:highlight w:val="none"/>
                <w:lang w:val="en-US" w:eastAsia="zh-CN"/>
              </w:rPr>
            </w:pPr>
          </w:p>
        </w:tc>
        <w:tc>
          <w:tcPr>
            <w:tcW w:w="1485" w:type="dxa"/>
            <w:noWrap w:val="0"/>
            <w:vAlign w:val="center"/>
          </w:tcPr>
          <w:p w14:paraId="4F90D9F5">
            <w:pPr>
              <w:snapToGrid w:val="0"/>
              <w:jc w:val="center"/>
              <w:rPr>
                <w:rFonts w:ascii="仿宋" w:hAnsi="仿宋" w:eastAsia="仿宋" w:cs="仿宋"/>
                <w:bCs/>
                <w:color w:val="auto"/>
                <w:sz w:val="24"/>
                <w:highlight w:val="none"/>
              </w:rPr>
            </w:pPr>
          </w:p>
        </w:tc>
      </w:tr>
      <w:tr w14:paraId="4F272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654" w:type="dxa"/>
            <w:noWrap w:val="0"/>
            <w:vAlign w:val="center"/>
          </w:tcPr>
          <w:p w14:paraId="08F2AF6E">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w:t>
            </w:r>
          </w:p>
        </w:tc>
        <w:tc>
          <w:tcPr>
            <w:tcW w:w="5797" w:type="dxa"/>
            <w:noWrap w:val="0"/>
            <w:vAlign w:val="center"/>
          </w:tcPr>
          <w:p w14:paraId="505CADEA">
            <w:pPr>
              <w:snapToGrid w:val="0"/>
              <w:rPr>
                <w:rFonts w:hint="default" w:ascii="仿宋" w:hAnsi="仿宋" w:eastAsia="仿宋" w:cs="宋体"/>
                <w:color w:val="auto"/>
                <w:sz w:val="24"/>
                <w:highlight w:val="none"/>
                <w:lang w:val="en-US"/>
              </w:rPr>
            </w:pPr>
            <w:r>
              <w:rPr>
                <w:rFonts w:hint="eastAsia" w:ascii="仿宋" w:hAnsi="仿宋" w:eastAsia="仿宋" w:cs="宋体"/>
                <w:color w:val="auto"/>
                <w:sz w:val="24"/>
                <w:highlight w:val="none"/>
              </w:rPr>
              <w:t>对参与标项服务内容、服务对象性质、涉及法律问题的分析及应对措施，根据针对性，</w:t>
            </w:r>
            <w:r>
              <w:rPr>
                <w:rFonts w:hint="eastAsia" w:ascii="仿宋" w:hAnsi="仿宋" w:eastAsia="仿宋" w:cs="仿宋"/>
                <w:color w:val="auto"/>
                <w:sz w:val="24"/>
                <w:highlight w:val="none"/>
                <w:lang w:val="en-US" w:eastAsia="zh-CN"/>
              </w:rPr>
              <w:t>可行性、项目匹配性进行评价。方案</w:t>
            </w:r>
            <w:r>
              <w:rPr>
                <w:rFonts w:hint="eastAsia" w:ascii="仿宋" w:hAnsi="仿宋" w:eastAsia="仿宋" w:cs="宋体"/>
                <w:color w:val="auto"/>
                <w:sz w:val="24"/>
                <w:highlight w:val="none"/>
              </w:rPr>
              <w:t>针对性，</w:t>
            </w:r>
            <w:r>
              <w:rPr>
                <w:rFonts w:hint="eastAsia" w:ascii="仿宋" w:hAnsi="仿宋" w:eastAsia="仿宋" w:cs="仿宋"/>
                <w:color w:val="auto"/>
                <w:sz w:val="24"/>
                <w:highlight w:val="none"/>
                <w:lang w:val="en-US" w:eastAsia="zh-CN"/>
              </w:rPr>
              <w:t>可行性、项目匹配性好得5分；</w:t>
            </w:r>
            <w:r>
              <w:rPr>
                <w:rFonts w:hint="eastAsia" w:ascii="仿宋" w:hAnsi="仿宋" w:eastAsia="仿宋" w:cs="宋体"/>
                <w:color w:val="auto"/>
                <w:sz w:val="24"/>
                <w:highlight w:val="none"/>
                <w:lang w:val="en-US" w:eastAsia="zh-CN"/>
              </w:rPr>
              <w:t>方案</w:t>
            </w:r>
            <w:r>
              <w:rPr>
                <w:rFonts w:hint="eastAsia" w:ascii="仿宋" w:hAnsi="仿宋" w:eastAsia="仿宋" w:cs="宋体"/>
                <w:color w:val="auto"/>
                <w:sz w:val="24"/>
                <w:highlight w:val="none"/>
              </w:rPr>
              <w:t>针对性，</w:t>
            </w:r>
            <w:r>
              <w:rPr>
                <w:rFonts w:hint="eastAsia" w:ascii="仿宋" w:hAnsi="仿宋" w:eastAsia="仿宋" w:cs="宋体"/>
                <w:color w:val="auto"/>
                <w:sz w:val="24"/>
                <w:highlight w:val="none"/>
                <w:lang w:val="en-US" w:eastAsia="zh-CN"/>
              </w:rPr>
              <w:t>可行性、项目匹配性较好得4分；方案</w:t>
            </w:r>
            <w:r>
              <w:rPr>
                <w:rFonts w:hint="eastAsia" w:ascii="仿宋" w:hAnsi="仿宋" w:eastAsia="仿宋" w:cs="宋体"/>
                <w:color w:val="auto"/>
                <w:sz w:val="24"/>
                <w:highlight w:val="none"/>
              </w:rPr>
              <w:t>针对性，</w:t>
            </w:r>
            <w:r>
              <w:rPr>
                <w:rFonts w:hint="eastAsia" w:ascii="仿宋" w:hAnsi="仿宋" w:eastAsia="仿宋" w:cs="宋体"/>
                <w:color w:val="auto"/>
                <w:sz w:val="24"/>
                <w:highlight w:val="none"/>
                <w:lang w:val="en-US" w:eastAsia="zh-CN"/>
              </w:rPr>
              <w:t>可行性、项目匹配性一般得3分；存在不足得2分；有较大欠缺得1分；其余不得分。</w:t>
            </w:r>
          </w:p>
        </w:tc>
        <w:tc>
          <w:tcPr>
            <w:tcW w:w="1080" w:type="dxa"/>
            <w:noWrap w:val="0"/>
            <w:vAlign w:val="center"/>
          </w:tcPr>
          <w:p w14:paraId="7281FC8F">
            <w:pPr>
              <w:snapToGrid w:val="0"/>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70B01BF3">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74381CE6">
            <w:pPr>
              <w:snapToGrid w:val="0"/>
              <w:jc w:val="center"/>
              <w:rPr>
                <w:rFonts w:ascii="仿宋" w:hAnsi="仿宋" w:eastAsia="仿宋" w:cs="仿宋"/>
                <w:bCs/>
                <w:color w:val="auto"/>
                <w:sz w:val="24"/>
                <w:highlight w:val="none"/>
              </w:rPr>
            </w:pPr>
          </w:p>
        </w:tc>
      </w:tr>
      <w:tr w14:paraId="31346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654" w:type="dxa"/>
            <w:noWrap w:val="0"/>
            <w:vAlign w:val="center"/>
          </w:tcPr>
          <w:p w14:paraId="4B6CA4D2">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w:t>
            </w:r>
          </w:p>
        </w:tc>
        <w:tc>
          <w:tcPr>
            <w:tcW w:w="5797" w:type="dxa"/>
            <w:noWrap w:val="0"/>
            <w:vAlign w:val="center"/>
          </w:tcPr>
          <w:p w14:paraId="2A824046">
            <w:pPr>
              <w:snapToGrid w:val="0"/>
              <w:rPr>
                <w:rFonts w:hint="eastAsia" w:ascii="仿宋" w:hAnsi="仿宋" w:eastAsia="仿宋" w:cs="宋体"/>
                <w:color w:val="auto"/>
                <w:sz w:val="24"/>
                <w:highlight w:val="none"/>
                <w:lang w:eastAsia="zh-CN"/>
              </w:rPr>
            </w:pPr>
            <w:r>
              <w:rPr>
                <w:rFonts w:hint="eastAsia" w:ascii="仿宋" w:hAnsi="仿宋" w:eastAsia="仿宋" w:cs="宋体"/>
                <w:color w:val="auto"/>
                <w:sz w:val="24"/>
                <w:highlight w:val="none"/>
              </w:rPr>
              <w:t>根据采购需求“</w:t>
            </w:r>
            <w:r>
              <w:rPr>
                <w:rFonts w:hint="eastAsia" w:ascii="仿宋" w:hAnsi="仿宋" w:eastAsia="仿宋" w:cs="宋体"/>
                <w:color w:val="auto"/>
                <w:sz w:val="24"/>
                <w:highlight w:val="none"/>
                <w:lang w:val="en-US" w:eastAsia="zh-CN"/>
              </w:rPr>
              <w:t>标项三</w:t>
            </w:r>
            <w:r>
              <w:rPr>
                <w:rFonts w:hint="eastAsia" w:ascii="仿宋" w:hAnsi="仿宋" w:eastAsia="仿宋" w:cs="宋体"/>
                <w:color w:val="auto"/>
                <w:sz w:val="24"/>
                <w:highlight w:val="none"/>
              </w:rPr>
              <w:t>服务要求”中的“</w:t>
            </w:r>
            <w:r>
              <w:rPr>
                <w:rFonts w:hint="eastAsia" w:ascii="仿宋" w:hAnsi="仿宋" w:eastAsia="仿宋" w:cs="宋体"/>
                <w:color w:val="auto"/>
                <w:sz w:val="24"/>
                <w:highlight w:val="none"/>
                <w:lang w:eastAsia="zh-CN"/>
              </w:rPr>
              <w:t>（</w:t>
            </w:r>
            <w:r>
              <w:rPr>
                <w:rFonts w:hint="eastAsia" w:ascii="仿宋" w:hAnsi="仿宋" w:eastAsia="仿宋" w:cs="宋体"/>
                <w:color w:val="auto"/>
                <w:sz w:val="24"/>
                <w:highlight w:val="none"/>
                <w:lang w:val="en-US" w:eastAsia="zh-CN"/>
              </w:rPr>
              <w:t>一</w:t>
            </w:r>
            <w:r>
              <w:rPr>
                <w:rFonts w:hint="eastAsia" w:ascii="仿宋" w:hAnsi="仿宋" w:eastAsia="仿宋" w:cs="宋体"/>
                <w:color w:val="auto"/>
                <w:sz w:val="24"/>
                <w:highlight w:val="none"/>
                <w:lang w:eastAsia="zh-CN"/>
              </w:rPr>
              <w:t>）</w:t>
            </w:r>
            <w:r>
              <w:rPr>
                <w:rFonts w:hint="eastAsia" w:ascii="仿宋" w:hAnsi="仿宋" w:eastAsia="仿宋" w:cs="宋体"/>
                <w:color w:val="auto"/>
                <w:sz w:val="24"/>
                <w:highlight w:val="none"/>
              </w:rPr>
              <w:t>工作职责”要求，提供服务技术方案，根据方案的完整性、可行性进行评价</w:t>
            </w:r>
            <w:r>
              <w:rPr>
                <w:rFonts w:hint="eastAsia" w:ascii="仿宋" w:hAnsi="仿宋" w:eastAsia="仿宋" w:cs="宋体"/>
                <w:color w:val="auto"/>
                <w:sz w:val="24"/>
                <w:highlight w:val="none"/>
                <w:lang w:eastAsia="zh-CN"/>
              </w:rPr>
              <w:t>。</w:t>
            </w:r>
          </w:p>
        </w:tc>
        <w:tc>
          <w:tcPr>
            <w:tcW w:w="1080" w:type="dxa"/>
            <w:noWrap w:val="0"/>
            <w:vAlign w:val="center"/>
          </w:tcPr>
          <w:p w14:paraId="633652CA">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920" w:type="dxa"/>
            <w:noWrap w:val="0"/>
            <w:vAlign w:val="center"/>
          </w:tcPr>
          <w:p w14:paraId="6DFF22EF">
            <w:pPr>
              <w:snapToGrid w:val="0"/>
              <w:jc w:val="center"/>
              <w:rPr>
                <w:rFonts w:hint="eastAsia" w:ascii="仿宋" w:hAnsi="仿宋" w:eastAsia="仿宋" w:cs="仿宋"/>
                <w:bCs/>
                <w:color w:val="auto"/>
                <w:sz w:val="24"/>
                <w:highlight w:val="none"/>
                <w:lang w:val="en-US" w:eastAsia="zh-CN"/>
              </w:rPr>
            </w:pPr>
          </w:p>
        </w:tc>
        <w:tc>
          <w:tcPr>
            <w:tcW w:w="1485" w:type="dxa"/>
            <w:noWrap w:val="0"/>
            <w:vAlign w:val="center"/>
          </w:tcPr>
          <w:p w14:paraId="3C724189">
            <w:pPr>
              <w:snapToGrid w:val="0"/>
              <w:jc w:val="center"/>
              <w:rPr>
                <w:rFonts w:ascii="仿宋" w:hAnsi="仿宋" w:eastAsia="仿宋" w:cs="仿宋"/>
                <w:color w:val="auto"/>
                <w:sz w:val="24"/>
                <w:highlight w:val="none"/>
              </w:rPr>
            </w:pPr>
          </w:p>
        </w:tc>
      </w:tr>
      <w:tr w14:paraId="14895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654" w:type="dxa"/>
            <w:noWrap w:val="0"/>
            <w:vAlign w:val="center"/>
          </w:tcPr>
          <w:p w14:paraId="6AD1B380">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3.2.1</w:t>
            </w:r>
          </w:p>
        </w:tc>
        <w:tc>
          <w:tcPr>
            <w:tcW w:w="5797" w:type="dxa"/>
            <w:noWrap w:val="0"/>
            <w:vAlign w:val="center"/>
          </w:tcPr>
          <w:p w14:paraId="07BA40DA">
            <w:pPr>
              <w:snapToGrid w:val="0"/>
              <w:rPr>
                <w:rFonts w:hint="eastAsia" w:ascii="仿宋" w:hAnsi="仿宋" w:eastAsia="仿宋" w:cs="宋体"/>
                <w:color w:val="auto"/>
                <w:sz w:val="24"/>
                <w:highlight w:val="none"/>
              </w:rPr>
            </w:pPr>
            <w:r>
              <w:rPr>
                <w:rFonts w:hint="eastAsia" w:ascii="仿宋" w:hAnsi="仿宋" w:eastAsia="仿宋" w:cs="宋体"/>
                <w:color w:val="auto"/>
                <w:sz w:val="24"/>
                <w:highlight w:val="none"/>
                <w:lang w:val="en-US" w:eastAsia="zh-CN"/>
              </w:rPr>
              <w:t>供应商对区政府为复议机关而引发的复议后诉讼案件提供专业法律意见并出具相关文书，或应区政府（区司法局）要求，对相关工作进行法律论证的相关服务方案，根据针对性，可行性、项目匹配性进行评价。方案针对</w:t>
            </w:r>
            <w:r>
              <w:rPr>
                <w:rFonts w:hint="eastAsia" w:ascii="仿宋" w:hAnsi="仿宋" w:eastAsia="仿宋" w:cs="宋体"/>
                <w:color w:val="auto"/>
                <w:sz w:val="24"/>
                <w:highlight w:val="none"/>
              </w:rPr>
              <w:t>性，</w:t>
            </w:r>
            <w:r>
              <w:rPr>
                <w:rFonts w:hint="eastAsia" w:ascii="仿宋" w:hAnsi="仿宋" w:eastAsia="仿宋" w:cs="宋体"/>
                <w:color w:val="auto"/>
                <w:sz w:val="24"/>
                <w:highlight w:val="none"/>
                <w:lang w:val="en-US" w:eastAsia="zh-CN"/>
              </w:rPr>
              <w:t>可行性、项目匹配性好得5分；方案针对性，可行性、项目匹配性好较好得4分；方案针对性，可行性、项目匹配性好一般得3分；存在不足得2分；有较大欠缺得1分；其余不得分。</w:t>
            </w:r>
          </w:p>
        </w:tc>
        <w:tc>
          <w:tcPr>
            <w:tcW w:w="1080" w:type="dxa"/>
            <w:noWrap w:val="0"/>
            <w:vAlign w:val="center"/>
          </w:tcPr>
          <w:p w14:paraId="2860EF55">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220CC16A">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1CAF1412">
            <w:pPr>
              <w:snapToGrid w:val="0"/>
              <w:jc w:val="center"/>
              <w:rPr>
                <w:rFonts w:ascii="仿宋" w:hAnsi="仿宋" w:eastAsia="仿宋" w:cs="仿宋"/>
                <w:color w:val="auto"/>
                <w:sz w:val="24"/>
                <w:highlight w:val="none"/>
              </w:rPr>
            </w:pPr>
          </w:p>
        </w:tc>
      </w:tr>
      <w:tr w14:paraId="4D109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51813B17">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3.2.2</w:t>
            </w:r>
          </w:p>
        </w:tc>
        <w:tc>
          <w:tcPr>
            <w:tcW w:w="5797" w:type="dxa"/>
            <w:noWrap w:val="0"/>
            <w:vAlign w:val="center"/>
          </w:tcPr>
          <w:p w14:paraId="4FF167B3">
            <w:pPr>
              <w:snapToGrid w:val="0"/>
              <w:rPr>
                <w:rFonts w:hint="eastAsia" w:ascii="仿宋" w:hAnsi="仿宋" w:eastAsia="仿宋" w:cs="宋体"/>
                <w:color w:val="auto"/>
                <w:sz w:val="24"/>
                <w:highlight w:val="none"/>
              </w:rPr>
            </w:pPr>
            <w:r>
              <w:rPr>
                <w:rFonts w:hint="eastAsia" w:ascii="仿宋" w:hAnsi="仿宋" w:eastAsia="仿宋" w:cs="宋体"/>
                <w:color w:val="auto"/>
                <w:sz w:val="24"/>
                <w:highlight w:val="none"/>
                <w:lang w:val="en-US" w:eastAsia="zh-CN"/>
              </w:rPr>
              <w:t>供应商受区政府（区司法局）委托，代理区政府为复议机关而引发的复议后诉讼案件，提供专业法律意见并出具相关文书的相关服务方案</w:t>
            </w:r>
          </w:p>
        </w:tc>
        <w:tc>
          <w:tcPr>
            <w:tcW w:w="1080" w:type="dxa"/>
            <w:noWrap w:val="0"/>
            <w:vAlign w:val="center"/>
          </w:tcPr>
          <w:p w14:paraId="629292BE">
            <w:pPr>
              <w:snapToGrid w:val="0"/>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920" w:type="dxa"/>
            <w:noWrap w:val="0"/>
            <w:vAlign w:val="center"/>
          </w:tcPr>
          <w:p w14:paraId="5E8D9498">
            <w:pPr>
              <w:snapToGrid w:val="0"/>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w:t>
            </w:r>
          </w:p>
        </w:tc>
        <w:tc>
          <w:tcPr>
            <w:tcW w:w="1485" w:type="dxa"/>
            <w:noWrap w:val="0"/>
            <w:vAlign w:val="center"/>
          </w:tcPr>
          <w:p w14:paraId="55637569">
            <w:pPr>
              <w:snapToGrid w:val="0"/>
              <w:jc w:val="center"/>
              <w:rPr>
                <w:rFonts w:ascii="仿宋" w:hAnsi="仿宋" w:eastAsia="仿宋" w:cs="仿宋"/>
                <w:color w:val="auto"/>
                <w:sz w:val="24"/>
                <w:highlight w:val="none"/>
              </w:rPr>
            </w:pPr>
          </w:p>
        </w:tc>
      </w:tr>
      <w:tr w14:paraId="35CD7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2E0377F4">
            <w:pPr>
              <w:snapToGrid w:val="0"/>
              <w:jc w:val="center"/>
              <w:rPr>
                <w:rFonts w:ascii="仿宋" w:hAnsi="仿宋" w:eastAsia="仿宋" w:cs="仿宋"/>
                <w:color w:val="auto"/>
                <w:sz w:val="24"/>
                <w:highlight w:val="none"/>
              </w:rPr>
            </w:pPr>
          </w:p>
        </w:tc>
        <w:tc>
          <w:tcPr>
            <w:tcW w:w="5797" w:type="dxa"/>
            <w:noWrap w:val="0"/>
            <w:vAlign w:val="center"/>
          </w:tcPr>
          <w:p w14:paraId="786A4E07">
            <w:pPr>
              <w:snapToGrid w:val="0"/>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（1）法律程序相关方案，根据针对性，可行性、项目匹配性进行评价。方案</w:t>
            </w:r>
            <w:r>
              <w:rPr>
                <w:rFonts w:hint="eastAsia" w:ascii="仿宋" w:hAnsi="仿宋" w:eastAsia="仿宋" w:cs="宋体"/>
                <w:color w:val="auto"/>
                <w:sz w:val="24"/>
                <w:highlight w:val="none"/>
              </w:rPr>
              <w:t>针对性，</w:t>
            </w:r>
            <w:r>
              <w:rPr>
                <w:rFonts w:hint="eastAsia" w:ascii="仿宋" w:hAnsi="仿宋" w:eastAsia="仿宋" w:cs="宋体"/>
                <w:color w:val="auto"/>
                <w:sz w:val="24"/>
                <w:highlight w:val="none"/>
                <w:lang w:val="en-US" w:eastAsia="zh-CN"/>
              </w:rPr>
              <w:t>可行性、项目匹配性好得5分；方案针对性，可行性、项目匹配性较好得4分；方案针对性，可行性、项目匹配性一般得3分；存在不足得2分；有较大欠缺得1分；其余不得分。</w:t>
            </w:r>
          </w:p>
        </w:tc>
        <w:tc>
          <w:tcPr>
            <w:tcW w:w="1080" w:type="dxa"/>
            <w:noWrap w:val="0"/>
            <w:vAlign w:val="center"/>
          </w:tcPr>
          <w:p w14:paraId="59B8BF8B">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098E21DE">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2C5900F6">
            <w:pPr>
              <w:snapToGrid w:val="0"/>
              <w:jc w:val="center"/>
              <w:rPr>
                <w:rFonts w:ascii="仿宋" w:hAnsi="仿宋" w:eastAsia="仿宋" w:cs="仿宋"/>
                <w:color w:val="auto"/>
                <w:sz w:val="24"/>
                <w:highlight w:val="none"/>
              </w:rPr>
            </w:pPr>
          </w:p>
        </w:tc>
      </w:tr>
      <w:tr w14:paraId="3564B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1C451D1F">
            <w:pPr>
              <w:snapToGrid w:val="0"/>
              <w:jc w:val="center"/>
              <w:rPr>
                <w:rFonts w:ascii="仿宋" w:hAnsi="仿宋" w:eastAsia="仿宋" w:cs="仿宋"/>
                <w:color w:val="auto"/>
                <w:sz w:val="24"/>
                <w:highlight w:val="none"/>
              </w:rPr>
            </w:pPr>
          </w:p>
        </w:tc>
        <w:tc>
          <w:tcPr>
            <w:tcW w:w="5797" w:type="dxa"/>
            <w:noWrap w:val="0"/>
            <w:vAlign w:val="center"/>
          </w:tcPr>
          <w:p w14:paraId="1E5EA6CC">
            <w:pPr>
              <w:snapToGrid w:val="0"/>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（2）协调化解方案及相应措施，根据针对性，可行性、项目匹配性进行评价。方案</w:t>
            </w:r>
            <w:r>
              <w:rPr>
                <w:rFonts w:hint="eastAsia" w:ascii="仿宋" w:hAnsi="仿宋" w:eastAsia="仿宋" w:cs="宋体"/>
                <w:color w:val="auto"/>
                <w:sz w:val="24"/>
                <w:highlight w:val="none"/>
              </w:rPr>
              <w:t>针对性，</w:t>
            </w:r>
            <w:r>
              <w:rPr>
                <w:rFonts w:hint="eastAsia" w:ascii="仿宋" w:hAnsi="仿宋" w:eastAsia="仿宋" w:cs="宋体"/>
                <w:color w:val="auto"/>
                <w:sz w:val="24"/>
                <w:highlight w:val="none"/>
                <w:lang w:val="en-US" w:eastAsia="zh-CN"/>
              </w:rPr>
              <w:t>可行性、项目匹配性好得5分；方案针对性，可行性、项目匹配性较好得4分；方案针对性，可行性、项目匹配性一般得3分；存在不足得2分；有较大欠缺得1分；其余不得分。</w:t>
            </w:r>
          </w:p>
        </w:tc>
        <w:tc>
          <w:tcPr>
            <w:tcW w:w="1080" w:type="dxa"/>
            <w:noWrap w:val="0"/>
            <w:vAlign w:val="center"/>
          </w:tcPr>
          <w:p w14:paraId="1E922ABB">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585B909D">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7F9D8DBF">
            <w:pPr>
              <w:snapToGrid w:val="0"/>
              <w:jc w:val="center"/>
              <w:rPr>
                <w:rFonts w:ascii="仿宋" w:hAnsi="仿宋" w:eastAsia="仿宋" w:cs="仿宋"/>
                <w:color w:val="auto"/>
                <w:sz w:val="24"/>
                <w:highlight w:val="none"/>
              </w:rPr>
            </w:pPr>
          </w:p>
        </w:tc>
      </w:tr>
      <w:tr w14:paraId="73EBE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1906D013">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3.2.3</w:t>
            </w:r>
          </w:p>
        </w:tc>
        <w:tc>
          <w:tcPr>
            <w:tcW w:w="5797" w:type="dxa"/>
            <w:noWrap w:val="0"/>
            <w:vAlign w:val="center"/>
          </w:tcPr>
          <w:p w14:paraId="010131B4">
            <w:pPr>
              <w:snapToGrid w:val="0"/>
              <w:rPr>
                <w:rFonts w:hint="eastAsia" w:ascii="仿宋" w:hAnsi="仿宋" w:eastAsia="仿宋" w:cs="宋体"/>
                <w:color w:val="auto"/>
                <w:sz w:val="24"/>
                <w:highlight w:val="none"/>
              </w:rPr>
            </w:pPr>
            <w:r>
              <w:rPr>
                <w:rFonts w:hint="eastAsia" w:ascii="仿宋" w:hAnsi="仿宋" w:eastAsia="仿宋" w:cs="宋体"/>
                <w:color w:val="auto"/>
                <w:sz w:val="24"/>
                <w:highlight w:val="none"/>
                <w:lang w:val="en-US" w:eastAsia="zh-CN"/>
              </w:rPr>
              <w:t>协助区政府（区司法局）进行与本标项内容相关的法治宣传培训，向区政府（区司法局）提供有关法律信息和法律咨询，对区政府（区司法局）行政管理中的法律问题提出意见和建议的相关服务方案，根据针对性，可行性、项目匹配性进行评价。方案针对性，可行性、项目匹配性好得5分；方案针对性，可行性、项目匹配性较好得4分；方案针对性，可行性、项目匹配性一般得3分；存在不足得2分；有较大欠缺得1分；其余不得分。</w:t>
            </w:r>
          </w:p>
        </w:tc>
        <w:tc>
          <w:tcPr>
            <w:tcW w:w="1080" w:type="dxa"/>
            <w:noWrap w:val="0"/>
            <w:vAlign w:val="center"/>
          </w:tcPr>
          <w:p w14:paraId="509F3A86">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w:t>
            </w:r>
          </w:p>
        </w:tc>
        <w:tc>
          <w:tcPr>
            <w:tcW w:w="920" w:type="dxa"/>
            <w:noWrap w:val="0"/>
            <w:vAlign w:val="center"/>
          </w:tcPr>
          <w:p w14:paraId="36A6CEA4">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11EED520">
            <w:pPr>
              <w:snapToGrid w:val="0"/>
              <w:jc w:val="center"/>
              <w:rPr>
                <w:rFonts w:ascii="仿宋" w:hAnsi="仿宋" w:eastAsia="仿宋" w:cs="仿宋"/>
                <w:color w:val="auto"/>
                <w:sz w:val="24"/>
                <w:highlight w:val="none"/>
              </w:rPr>
            </w:pPr>
          </w:p>
        </w:tc>
      </w:tr>
      <w:tr w14:paraId="026F0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777E5617">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3.2.4</w:t>
            </w:r>
          </w:p>
        </w:tc>
        <w:tc>
          <w:tcPr>
            <w:tcW w:w="5797" w:type="dxa"/>
            <w:noWrap w:val="0"/>
            <w:vAlign w:val="center"/>
          </w:tcPr>
          <w:p w14:paraId="3B468851">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承诺办理区政府（区司法局）委托的与本标项内容相关的其他法律事务。提供承诺得3分，其余不得分。</w:t>
            </w:r>
          </w:p>
        </w:tc>
        <w:tc>
          <w:tcPr>
            <w:tcW w:w="1080" w:type="dxa"/>
            <w:noWrap w:val="0"/>
            <w:vAlign w:val="center"/>
          </w:tcPr>
          <w:p w14:paraId="20D7670F">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920" w:type="dxa"/>
            <w:noWrap w:val="0"/>
            <w:vAlign w:val="center"/>
          </w:tcPr>
          <w:p w14:paraId="1EDCF0FA">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585CCAFD">
            <w:pPr>
              <w:snapToGrid w:val="0"/>
              <w:jc w:val="center"/>
              <w:rPr>
                <w:rFonts w:ascii="仿宋" w:hAnsi="仿宋" w:eastAsia="仿宋" w:cs="仿宋"/>
                <w:color w:val="auto"/>
                <w:sz w:val="24"/>
                <w:highlight w:val="none"/>
              </w:rPr>
            </w:pPr>
          </w:p>
        </w:tc>
      </w:tr>
      <w:tr w14:paraId="60F04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5C1755FB">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w:t>
            </w:r>
          </w:p>
        </w:tc>
        <w:tc>
          <w:tcPr>
            <w:tcW w:w="5797" w:type="dxa"/>
            <w:noWrap w:val="0"/>
            <w:vAlign w:val="center"/>
          </w:tcPr>
          <w:p w14:paraId="78BFEFA2">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根据采购需求“标项三服务要求”中的“（二）法律咨询”要求，对相应响应时间进行承诺或说明。满足要求得4分，其余不得分。</w:t>
            </w:r>
          </w:p>
        </w:tc>
        <w:tc>
          <w:tcPr>
            <w:tcW w:w="1080" w:type="dxa"/>
            <w:noWrap w:val="0"/>
            <w:vAlign w:val="center"/>
          </w:tcPr>
          <w:p w14:paraId="2EFEF0EC">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920" w:type="dxa"/>
            <w:noWrap w:val="0"/>
            <w:vAlign w:val="center"/>
          </w:tcPr>
          <w:p w14:paraId="07EA65F8">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3E1944F6">
            <w:pPr>
              <w:snapToGrid w:val="0"/>
              <w:jc w:val="center"/>
              <w:rPr>
                <w:rFonts w:ascii="仿宋" w:hAnsi="仿宋" w:eastAsia="仿宋" w:cs="仿宋"/>
                <w:color w:val="auto"/>
                <w:sz w:val="24"/>
                <w:highlight w:val="none"/>
              </w:rPr>
            </w:pPr>
          </w:p>
        </w:tc>
      </w:tr>
      <w:tr w14:paraId="5F1AB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2E96BD3C">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w:t>
            </w:r>
          </w:p>
        </w:tc>
        <w:tc>
          <w:tcPr>
            <w:tcW w:w="5797" w:type="dxa"/>
            <w:noWrap w:val="0"/>
            <w:vAlign w:val="center"/>
          </w:tcPr>
          <w:p w14:paraId="086414B1">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根据采购需求“标项三服务要求”中的“（四）其他”要求，对相应内容进行承诺或说明。满足要求得4分，其余不得分。</w:t>
            </w:r>
          </w:p>
        </w:tc>
        <w:tc>
          <w:tcPr>
            <w:tcW w:w="1080" w:type="dxa"/>
            <w:noWrap w:val="0"/>
            <w:vAlign w:val="center"/>
          </w:tcPr>
          <w:p w14:paraId="33500072">
            <w:pPr>
              <w:snapToGrid w:val="0"/>
              <w:jc w:val="center"/>
              <w:rPr>
                <w:rFonts w:hint="default" w:ascii="仿宋" w:hAnsi="仿宋" w:eastAsia="仿宋" w:cs="仿宋"/>
                <w:bCs/>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4</w:t>
            </w:r>
          </w:p>
        </w:tc>
        <w:tc>
          <w:tcPr>
            <w:tcW w:w="920" w:type="dxa"/>
            <w:noWrap w:val="0"/>
            <w:vAlign w:val="center"/>
          </w:tcPr>
          <w:p w14:paraId="5AF944CA">
            <w:pPr>
              <w:snapToGrid w:val="0"/>
              <w:jc w:val="center"/>
              <w:rPr>
                <w:rFonts w:hint="eastAsia" w:ascii="仿宋" w:hAnsi="仿宋" w:eastAsia="仿宋" w:cs="仿宋"/>
                <w:bCs/>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7DA6FFE6">
            <w:pPr>
              <w:snapToGrid w:val="0"/>
              <w:jc w:val="center"/>
              <w:rPr>
                <w:rFonts w:ascii="仿宋" w:hAnsi="仿宋" w:eastAsia="仿宋" w:cs="仿宋"/>
                <w:color w:val="auto"/>
                <w:sz w:val="24"/>
                <w:highlight w:val="none"/>
              </w:rPr>
            </w:pPr>
          </w:p>
        </w:tc>
      </w:tr>
      <w:tr w14:paraId="15B39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654" w:type="dxa"/>
            <w:noWrap w:val="0"/>
            <w:vAlign w:val="center"/>
          </w:tcPr>
          <w:p w14:paraId="1647A0C2">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5797" w:type="dxa"/>
            <w:noWrap w:val="0"/>
            <w:vAlign w:val="center"/>
          </w:tcPr>
          <w:p w14:paraId="691CDAF0">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人员情况。投入本项目人员</w:t>
            </w:r>
            <w:r>
              <w:rPr>
                <w:rFonts w:hint="eastAsia" w:ascii="仿宋" w:hAnsi="仿宋" w:eastAsia="仿宋" w:cs="仿宋"/>
                <w:color w:val="auto"/>
                <w:sz w:val="24"/>
                <w:highlight w:val="none"/>
                <w:lang w:val="zh-CN" w:eastAsia="zh-CN"/>
              </w:rPr>
              <w:t>须提供社保机构出具</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val="zh-CN" w:eastAsia="zh-CN"/>
              </w:rPr>
              <w:t>为其缴纳的</w:t>
            </w:r>
            <w:r>
              <w:rPr>
                <w:rFonts w:hint="eastAsia" w:ascii="仿宋" w:hAnsi="仿宋" w:eastAsia="仿宋" w:cs="仿宋"/>
                <w:color w:val="auto"/>
                <w:sz w:val="24"/>
                <w:highlight w:val="none"/>
                <w:lang w:val="en-US" w:eastAsia="zh-CN"/>
              </w:rPr>
              <w:t>至磋商响应截止时间3个月任意时间的</w:t>
            </w:r>
            <w:r>
              <w:rPr>
                <w:rFonts w:hint="eastAsia" w:ascii="仿宋" w:hAnsi="仿宋" w:eastAsia="仿宋" w:cs="仿宋"/>
                <w:color w:val="auto"/>
                <w:sz w:val="24"/>
                <w:highlight w:val="none"/>
                <w:lang w:val="zh-CN" w:eastAsia="zh-CN"/>
              </w:rPr>
              <w:t>社保证明，</w:t>
            </w:r>
            <w:r>
              <w:rPr>
                <w:rFonts w:hint="eastAsia" w:ascii="仿宋" w:hAnsi="仿宋" w:eastAsia="仿宋" w:cs="仿宋"/>
                <w:b/>
                <w:bCs/>
                <w:color w:val="auto"/>
                <w:sz w:val="24"/>
                <w:highlight w:val="none"/>
                <w:lang w:val="zh-CN" w:eastAsia="zh-CN"/>
              </w:rPr>
              <w:t>否则</w:t>
            </w:r>
            <w:r>
              <w:rPr>
                <w:rFonts w:hint="eastAsia" w:ascii="仿宋" w:hAnsi="仿宋" w:eastAsia="仿宋" w:cs="仿宋"/>
                <w:b/>
                <w:bCs/>
                <w:color w:val="auto"/>
                <w:sz w:val="24"/>
                <w:highlight w:val="none"/>
                <w:lang w:val="en-US" w:eastAsia="zh-CN"/>
              </w:rPr>
              <w:t>人员不予认可</w:t>
            </w:r>
            <w:r>
              <w:rPr>
                <w:rFonts w:hint="eastAsia" w:ascii="仿宋" w:hAnsi="仿宋" w:eastAsia="仿宋" w:cs="仿宋"/>
                <w:color w:val="auto"/>
                <w:sz w:val="24"/>
                <w:highlight w:val="none"/>
                <w:lang w:val="zh-CN" w:eastAsia="zh-CN"/>
              </w:rPr>
              <w:t>。</w:t>
            </w:r>
            <w:r>
              <w:rPr>
                <w:rFonts w:hint="eastAsia" w:ascii="仿宋" w:hAnsi="仿宋" w:eastAsia="仿宋" w:cs="仿宋"/>
                <w:bCs/>
                <w:color w:val="auto"/>
                <w:sz w:val="24"/>
                <w:highlight w:val="none"/>
                <w:lang w:val="en-US" w:eastAsia="zh-CN"/>
              </w:rPr>
              <w:t>法律顾问团队清单（清单格式见采购文件第七部分）还应包括人员姓名、</w:t>
            </w:r>
            <w:r>
              <w:rPr>
                <w:rFonts w:hint="eastAsia" w:ascii="仿宋" w:hAnsi="仿宋" w:eastAsia="仿宋" w:cs="仿宋"/>
                <w:bCs/>
                <w:color w:val="auto"/>
                <w:sz w:val="24"/>
                <w:highlight w:val="none"/>
                <w:lang w:val="zh-CN" w:eastAsia="zh-CN"/>
              </w:rPr>
              <w:t>本项目拟任岗位、</w:t>
            </w:r>
            <w:r>
              <w:rPr>
                <w:rFonts w:hint="eastAsia" w:ascii="仿宋" w:hAnsi="仿宋" w:eastAsia="仿宋" w:cs="仿宋"/>
                <w:bCs/>
                <w:color w:val="auto"/>
                <w:sz w:val="24"/>
                <w:highlight w:val="none"/>
                <w:lang w:val="en-US" w:eastAsia="zh-CN"/>
              </w:rPr>
              <w:t>年龄、性别、从业年限、身份证号码、联系电话，并提供本人签名，</w:t>
            </w:r>
            <w:r>
              <w:rPr>
                <w:rFonts w:hint="eastAsia" w:ascii="仿宋" w:hAnsi="仿宋" w:eastAsia="仿宋" w:cs="仿宋"/>
                <w:b/>
                <w:bCs w:val="0"/>
                <w:color w:val="auto"/>
                <w:sz w:val="24"/>
                <w:highlight w:val="none"/>
                <w:lang w:val="en-US" w:eastAsia="zh-CN"/>
              </w:rPr>
              <w:t>否则人员不予认可</w:t>
            </w:r>
            <w:r>
              <w:rPr>
                <w:rFonts w:hint="eastAsia" w:ascii="仿宋" w:hAnsi="仿宋" w:eastAsia="仿宋" w:cs="仿宋"/>
                <w:bCs/>
                <w:color w:val="auto"/>
                <w:sz w:val="24"/>
                <w:highlight w:val="none"/>
                <w:lang w:val="en-US" w:eastAsia="zh-CN"/>
              </w:rPr>
              <w:t>。</w:t>
            </w:r>
          </w:p>
        </w:tc>
        <w:tc>
          <w:tcPr>
            <w:tcW w:w="1080" w:type="dxa"/>
            <w:noWrap w:val="0"/>
            <w:vAlign w:val="center"/>
          </w:tcPr>
          <w:p w14:paraId="205D53E7">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c>
          <w:tcPr>
            <w:tcW w:w="920" w:type="dxa"/>
            <w:noWrap w:val="0"/>
            <w:vAlign w:val="center"/>
          </w:tcPr>
          <w:p w14:paraId="5BE78426">
            <w:pPr>
              <w:snapToGrid w:val="0"/>
              <w:jc w:val="center"/>
              <w:rPr>
                <w:rFonts w:hint="eastAsia" w:ascii="仿宋" w:hAnsi="仿宋" w:eastAsia="仿宋" w:cs="仿宋"/>
                <w:color w:val="auto"/>
                <w:sz w:val="24"/>
                <w:highlight w:val="none"/>
                <w:lang w:val="en-US" w:eastAsia="zh-CN"/>
              </w:rPr>
            </w:pPr>
          </w:p>
        </w:tc>
        <w:tc>
          <w:tcPr>
            <w:tcW w:w="1485" w:type="dxa"/>
            <w:noWrap w:val="0"/>
            <w:vAlign w:val="center"/>
          </w:tcPr>
          <w:p w14:paraId="571CC47F">
            <w:pPr>
              <w:snapToGrid w:val="0"/>
              <w:jc w:val="center"/>
              <w:rPr>
                <w:rFonts w:ascii="仿宋" w:hAnsi="仿宋" w:eastAsia="仿宋" w:cs="仿宋"/>
                <w:color w:val="auto"/>
                <w:sz w:val="24"/>
                <w:highlight w:val="none"/>
              </w:rPr>
            </w:pPr>
          </w:p>
        </w:tc>
      </w:tr>
      <w:tr w14:paraId="160E6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6BCB8A7D">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w:t>
            </w:r>
          </w:p>
        </w:tc>
        <w:tc>
          <w:tcPr>
            <w:tcW w:w="5797" w:type="dxa"/>
            <w:noWrap w:val="0"/>
            <w:vAlign w:val="center"/>
          </w:tcPr>
          <w:p w14:paraId="33C1AEAC">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项目负责人：</w:t>
            </w:r>
          </w:p>
          <w:p w14:paraId="7578CB22">
            <w:pPr>
              <w:snapToGrid w:val="0"/>
              <w:rPr>
                <w:rFonts w:hint="default" w:ascii="仿宋" w:hAnsi="仿宋" w:eastAsia="仿宋" w:cs="仿宋"/>
                <w:color w:val="auto"/>
                <w:sz w:val="24"/>
                <w:highlight w:val="none"/>
                <w:lang w:val="en-US" w:eastAsia="zh-CN"/>
              </w:rPr>
            </w:pPr>
            <w:r>
              <w:rPr>
                <w:rFonts w:hint="eastAsia" w:ascii="宋体" w:hAnsi="宋体" w:eastAsia="宋体" w:cs="宋体"/>
                <w:color w:val="auto"/>
                <w:sz w:val="24"/>
                <w:highlight w:val="none"/>
                <w:lang w:val="en-US" w:eastAsia="zh-CN"/>
              </w:rPr>
              <w:t>①</w:t>
            </w:r>
            <w:r>
              <w:rPr>
                <w:rFonts w:hint="eastAsia" w:ascii="仿宋" w:hAnsi="仿宋" w:eastAsia="仿宋" w:cs="仿宋"/>
                <w:color w:val="auto"/>
                <w:sz w:val="24"/>
                <w:highlight w:val="none"/>
                <w:lang w:val="en-US" w:eastAsia="zh-CN"/>
              </w:rPr>
              <w:t>执业年限不低于8年（含）得2分，其余不得分；</w:t>
            </w:r>
          </w:p>
          <w:p w14:paraId="5EC6575E">
            <w:pPr>
              <w:snapToGrid w:val="0"/>
              <w:rPr>
                <w:rFonts w:hint="eastAsia" w:ascii="仿宋" w:hAnsi="仿宋" w:eastAsia="仿宋" w:cs="仿宋"/>
                <w:color w:val="auto"/>
                <w:sz w:val="24"/>
                <w:highlight w:val="none"/>
                <w:lang w:val="en-US" w:eastAsia="zh-CN"/>
              </w:rPr>
            </w:pPr>
            <w:r>
              <w:rPr>
                <w:rFonts w:hint="eastAsia" w:ascii="宋体" w:hAnsi="宋体" w:eastAsia="宋体" w:cs="宋体"/>
                <w:color w:val="auto"/>
                <w:sz w:val="24"/>
                <w:highlight w:val="none"/>
                <w:lang w:val="en-US" w:eastAsia="zh-CN"/>
              </w:rPr>
              <w:t>②</w:t>
            </w:r>
            <w:r>
              <w:rPr>
                <w:rFonts w:hint="eastAsia" w:ascii="仿宋" w:hAnsi="仿宋" w:eastAsia="仿宋" w:cs="仿宋"/>
                <w:color w:val="auto"/>
                <w:sz w:val="24"/>
                <w:highlight w:val="none"/>
                <w:lang w:val="en-US" w:eastAsia="zh-CN"/>
              </w:rPr>
              <w:t>自 2022年1月1日起，</w:t>
            </w:r>
            <w:r>
              <w:rPr>
                <w:rFonts w:hint="eastAsia" w:ascii="仿宋" w:hAnsi="仿宋" w:eastAsia="仿宋" w:cs="仿宋"/>
                <w:color w:val="auto"/>
                <w:sz w:val="24"/>
                <w:highlight w:val="none"/>
                <w:lang w:val="zh-CN" w:eastAsia="zh-CN"/>
              </w:rPr>
              <w:t>具有</w:t>
            </w:r>
            <w:r>
              <w:rPr>
                <w:rFonts w:hint="eastAsia" w:ascii="仿宋" w:hAnsi="仿宋" w:eastAsia="仿宋" w:cs="仿宋"/>
                <w:color w:val="auto"/>
                <w:sz w:val="24"/>
                <w:highlight w:val="none"/>
                <w:lang w:val="en-US" w:eastAsia="zh-CN"/>
              </w:rPr>
              <w:t>各级党委、或政府机关、或事业单位，或各级复议机关的年度法律顾问</w:t>
            </w:r>
            <w:r>
              <w:rPr>
                <w:rFonts w:hint="eastAsia" w:ascii="仿宋" w:hAnsi="仿宋" w:eastAsia="仿宋" w:cs="仿宋"/>
                <w:color w:val="auto"/>
                <w:sz w:val="24"/>
                <w:highlight w:val="none"/>
                <w:lang w:val="zh-CN" w:eastAsia="zh-CN"/>
              </w:rPr>
              <w:t>服务经验或类似实务经验</w:t>
            </w:r>
            <w:r>
              <w:rPr>
                <w:rFonts w:hint="eastAsia" w:ascii="仿宋" w:hAnsi="仿宋" w:eastAsia="仿宋" w:cs="仿宋"/>
                <w:color w:val="auto"/>
                <w:sz w:val="24"/>
                <w:highlight w:val="none"/>
                <w:lang w:val="en-US" w:eastAsia="zh-CN"/>
              </w:rPr>
              <w:t>,一个单位得1分，最高得5分。</w:t>
            </w:r>
          </w:p>
          <w:p w14:paraId="359C7F8D">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响应文件中提供：</w:t>
            </w:r>
            <w:r>
              <w:rPr>
                <w:rFonts w:hint="eastAsia" w:ascii="宋体" w:hAnsi="宋体" w:eastAsia="宋体" w:cs="宋体"/>
                <w:color w:val="auto"/>
                <w:sz w:val="24"/>
                <w:highlight w:val="none"/>
                <w:lang w:val="en-US" w:eastAsia="zh-CN"/>
              </w:rPr>
              <w:t>①</w:t>
            </w:r>
            <w:r>
              <w:rPr>
                <w:rFonts w:hint="eastAsia" w:ascii="仿宋" w:hAnsi="仿宋" w:eastAsia="仿宋" w:cs="仿宋"/>
                <w:color w:val="auto"/>
                <w:sz w:val="24"/>
                <w:highlight w:val="none"/>
                <w:lang w:val="en-US" w:eastAsia="zh-CN"/>
              </w:rPr>
              <w:t>提供项目负责人有效执业资格证书；</w:t>
            </w:r>
            <w:r>
              <w:rPr>
                <w:rFonts w:hint="eastAsia" w:ascii="宋体" w:hAnsi="宋体" w:eastAsia="宋体" w:cs="宋体"/>
                <w:color w:val="auto"/>
                <w:sz w:val="24"/>
                <w:highlight w:val="none"/>
                <w:lang w:val="en-US" w:eastAsia="zh-CN"/>
              </w:rPr>
              <w:t>②</w:t>
            </w:r>
            <w:r>
              <w:rPr>
                <w:rFonts w:hint="eastAsia" w:ascii="仿宋" w:hAnsi="仿宋" w:eastAsia="仿宋" w:cs="仿宋"/>
                <w:color w:val="auto"/>
                <w:sz w:val="24"/>
                <w:highlight w:val="none"/>
                <w:lang w:val="en-US" w:eastAsia="zh-CN"/>
              </w:rPr>
              <w:t xml:space="preserve">提供相关合同证明（合同无法证明项目负责人工作经历的，经补充有委托方或业主单位盖章的说明或证明材料；同一个甲方单位不重复计分。） </w:t>
            </w:r>
          </w:p>
        </w:tc>
        <w:tc>
          <w:tcPr>
            <w:tcW w:w="1080" w:type="dxa"/>
            <w:noWrap w:val="0"/>
            <w:vAlign w:val="center"/>
          </w:tcPr>
          <w:p w14:paraId="3A178BAE">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920" w:type="dxa"/>
            <w:noWrap w:val="0"/>
            <w:vAlign w:val="center"/>
          </w:tcPr>
          <w:p w14:paraId="5E77F506">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7D04118B">
            <w:pPr>
              <w:snapToGrid w:val="0"/>
              <w:jc w:val="center"/>
              <w:rPr>
                <w:rFonts w:ascii="仿宋" w:hAnsi="仿宋" w:eastAsia="仿宋" w:cs="仿宋"/>
                <w:color w:val="auto"/>
                <w:sz w:val="24"/>
                <w:highlight w:val="none"/>
              </w:rPr>
            </w:pPr>
          </w:p>
        </w:tc>
      </w:tr>
      <w:tr w14:paraId="058BA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49BF0D13">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w:t>
            </w:r>
          </w:p>
        </w:tc>
        <w:tc>
          <w:tcPr>
            <w:tcW w:w="5797" w:type="dxa"/>
            <w:noWrap w:val="0"/>
            <w:vAlign w:val="center"/>
          </w:tcPr>
          <w:p w14:paraId="3055D51A">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除项目负责人外，拟投入本项目人员不少于4人，律师执业年限不低于3年（含），每1 人得 1.5分，本项最高得 6分。</w:t>
            </w:r>
          </w:p>
          <w:p w14:paraId="24AEEDB9">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说明：响应文件中提供以上人员有效执业资格证书、社保缴纳证明的复印件，磋商小组根据证明材料复印件进行评分。</w:t>
            </w:r>
          </w:p>
        </w:tc>
        <w:tc>
          <w:tcPr>
            <w:tcW w:w="1080" w:type="dxa"/>
            <w:noWrap w:val="0"/>
            <w:vAlign w:val="center"/>
          </w:tcPr>
          <w:p w14:paraId="5A1F951D">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920" w:type="dxa"/>
            <w:noWrap w:val="0"/>
            <w:vAlign w:val="center"/>
          </w:tcPr>
          <w:p w14:paraId="1286CD80">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131780A0">
            <w:pPr>
              <w:snapToGrid w:val="0"/>
              <w:jc w:val="center"/>
              <w:rPr>
                <w:rFonts w:ascii="仿宋" w:hAnsi="仿宋" w:eastAsia="仿宋" w:cs="仿宋"/>
                <w:color w:val="auto"/>
                <w:sz w:val="24"/>
                <w:highlight w:val="none"/>
              </w:rPr>
            </w:pPr>
          </w:p>
        </w:tc>
      </w:tr>
      <w:tr w14:paraId="1A3A6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64B85A29">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w:t>
            </w:r>
          </w:p>
        </w:tc>
        <w:tc>
          <w:tcPr>
            <w:tcW w:w="5797" w:type="dxa"/>
            <w:noWrap w:val="0"/>
            <w:vAlign w:val="center"/>
          </w:tcPr>
          <w:p w14:paraId="166E07A0">
            <w:pPr>
              <w:snapToGrid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专业覆盖范围，根据律师事务所及团队人员情况、参与项目情况（具体案件的合同或者判决书，或者甲方第三方证明等作为证明材料），根据尽可能覆盖各法律服务范围进行评价。具备复议机关法律顾问方面内容的得2分，具备被行政复议以及行政应诉法律顾问方面内容的得2分，具备国家赔偿方面内容的得1分，具备拆迁安置方面内容的得1分、具备违章建筑拆除方面内容的得1分，具备政府信息公开方面内容的得1分，具备工程建设方面内容的得1分。（证明材料中具备相应内容的即可得分）</w:t>
            </w:r>
          </w:p>
        </w:tc>
        <w:tc>
          <w:tcPr>
            <w:tcW w:w="1080" w:type="dxa"/>
            <w:noWrap w:val="0"/>
            <w:vAlign w:val="center"/>
          </w:tcPr>
          <w:p w14:paraId="6E27AB4B">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w:t>
            </w:r>
          </w:p>
        </w:tc>
        <w:tc>
          <w:tcPr>
            <w:tcW w:w="920" w:type="dxa"/>
            <w:noWrap w:val="0"/>
            <w:vAlign w:val="center"/>
          </w:tcPr>
          <w:p w14:paraId="0F852112">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5E7A275A">
            <w:pPr>
              <w:snapToGrid w:val="0"/>
              <w:jc w:val="center"/>
              <w:rPr>
                <w:rFonts w:ascii="仿宋" w:hAnsi="仿宋" w:eastAsia="仿宋" w:cs="仿宋"/>
                <w:color w:val="auto"/>
                <w:sz w:val="24"/>
                <w:highlight w:val="none"/>
              </w:rPr>
            </w:pPr>
          </w:p>
        </w:tc>
      </w:tr>
      <w:tr w14:paraId="43552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4D5E722C">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5797" w:type="dxa"/>
            <w:noWrap w:val="0"/>
            <w:vAlign w:val="center"/>
          </w:tcPr>
          <w:p w14:paraId="364503D0">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办公硬件响应情况，办公场地及场所布置、办公设施设备齐全满足采购要求的得3分，其余不得分。提供相关说明。</w:t>
            </w:r>
          </w:p>
        </w:tc>
        <w:tc>
          <w:tcPr>
            <w:tcW w:w="1080" w:type="dxa"/>
            <w:noWrap w:val="0"/>
            <w:vAlign w:val="center"/>
          </w:tcPr>
          <w:p w14:paraId="78ADE5E9">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920" w:type="dxa"/>
            <w:noWrap w:val="0"/>
            <w:vAlign w:val="center"/>
          </w:tcPr>
          <w:p w14:paraId="753B47E2">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5BF9AADF">
            <w:pPr>
              <w:snapToGrid w:val="0"/>
              <w:jc w:val="center"/>
              <w:rPr>
                <w:rFonts w:ascii="仿宋" w:hAnsi="仿宋" w:eastAsia="仿宋" w:cs="仿宋"/>
                <w:color w:val="auto"/>
                <w:sz w:val="24"/>
                <w:highlight w:val="none"/>
              </w:rPr>
            </w:pPr>
          </w:p>
        </w:tc>
      </w:tr>
      <w:tr w14:paraId="687EA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654" w:type="dxa"/>
            <w:noWrap w:val="0"/>
            <w:vAlign w:val="center"/>
          </w:tcPr>
          <w:p w14:paraId="0EF83A4E">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5797" w:type="dxa"/>
            <w:noWrap w:val="0"/>
            <w:vAlign w:val="center"/>
          </w:tcPr>
          <w:p w14:paraId="5AC7B4D4">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满足采购文件中有关保密措施相关要求的得2分，其余不得分。</w:t>
            </w:r>
          </w:p>
        </w:tc>
        <w:tc>
          <w:tcPr>
            <w:tcW w:w="1080" w:type="dxa"/>
            <w:noWrap w:val="0"/>
            <w:vAlign w:val="center"/>
          </w:tcPr>
          <w:p w14:paraId="043F4E4A">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920" w:type="dxa"/>
            <w:noWrap w:val="0"/>
            <w:vAlign w:val="center"/>
          </w:tcPr>
          <w:p w14:paraId="61D6B559">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22792106">
            <w:pPr>
              <w:snapToGrid w:val="0"/>
              <w:jc w:val="center"/>
              <w:rPr>
                <w:rFonts w:ascii="仿宋" w:hAnsi="仿宋" w:eastAsia="仿宋" w:cs="仿宋"/>
                <w:color w:val="auto"/>
                <w:sz w:val="24"/>
                <w:highlight w:val="none"/>
              </w:rPr>
            </w:pPr>
          </w:p>
        </w:tc>
      </w:tr>
      <w:tr w14:paraId="70486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654" w:type="dxa"/>
            <w:noWrap w:val="0"/>
            <w:vAlign w:val="center"/>
          </w:tcPr>
          <w:p w14:paraId="22F084C4">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5797" w:type="dxa"/>
            <w:noWrap w:val="0"/>
            <w:vAlign w:val="center"/>
          </w:tcPr>
          <w:p w14:paraId="4F3161A4">
            <w:pPr>
              <w:snapToGrid w:val="0"/>
              <w:rPr>
                <w:rFonts w:hint="eastAsia" w:ascii="仿宋" w:hAnsi="仿宋" w:eastAsia="仿宋" w:cs="仿宋"/>
                <w:color w:val="auto"/>
                <w:sz w:val="24"/>
                <w:highlight w:val="none"/>
                <w:lang w:val="en-US" w:eastAsia="zh-CN"/>
              </w:rPr>
            </w:pPr>
            <w:r>
              <w:rPr>
                <w:rFonts w:hint="eastAsia" w:ascii="仿宋" w:hAnsi="仿宋" w:eastAsia="仿宋" w:cs="宋体"/>
                <w:color w:val="auto"/>
                <w:sz w:val="24"/>
                <w:highlight w:val="none"/>
                <w:lang w:val="en-US" w:eastAsia="zh-CN"/>
              </w:rPr>
              <w:t>与服务单位的配合情况，针对供应商主动做好与服务单位配合服务的具体措施的合理性、可行性进行评分。合理性、可行性好得5分；合理性、可行性较好得4分；合理性、可行性一般得3分；存在不足得2分；有较大欠缺得1分；其余不得分。</w:t>
            </w:r>
          </w:p>
        </w:tc>
        <w:tc>
          <w:tcPr>
            <w:tcW w:w="1080" w:type="dxa"/>
            <w:noWrap w:val="0"/>
            <w:vAlign w:val="center"/>
          </w:tcPr>
          <w:p w14:paraId="238513B8">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920" w:type="dxa"/>
            <w:noWrap w:val="0"/>
            <w:vAlign w:val="center"/>
          </w:tcPr>
          <w:p w14:paraId="4D758964">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485" w:type="dxa"/>
            <w:noWrap w:val="0"/>
            <w:vAlign w:val="center"/>
          </w:tcPr>
          <w:p w14:paraId="61C538BD">
            <w:pPr>
              <w:snapToGrid w:val="0"/>
              <w:jc w:val="center"/>
              <w:rPr>
                <w:rFonts w:ascii="仿宋" w:hAnsi="仿宋" w:eastAsia="仿宋" w:cs="仿宋"/>
                <w:color w:val="auto"/>
                <w:sz w:val="24"/>
                <w:highlight w:val="none"/>
              </w:rPr>
            </w:pPr>
          </w:p>
        </w:tc>
      </w:tr>
      <w:tr w14:paraId="6F0B2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654" w:type="dxa"/>
            <w:noWrap w:val="0"/>
            <w:vAlign w:val="center"/>
          </w:tcPr>
          <w:p w14:paraId="41115885">
            <w:pPr>
              <w:snapToGrid w:val="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w:t>
            </w:r>
          </w:p>
        </w:tc>
        <w:tc>
          <w:tcPr>
            <w:tcW w:w="5797" w:type="dxa"/>
            <w:noWrap w:val="0"/>
            <w:vAlign w:val="center"/>
          </w:tcPr>
          <w:p w14:paraId="53F4D292">
            <w:pPr>
              <w:snapToGrid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对采购需求“商务要求”响应情况。全部满足得5分，有负偏离不得分。</w:t>
            </w:r>
          </w:p>
        </w:tc>
        <w:tc>
          <w:tcPr>
            <w:tcW w:w="1080" w:type="dxa"/>
            <w:noWrap w:val="0"/>
            <w:vAlign w:val="center"/>
          </w:tcPr>
          <w:p w14:paraId="0544E56C">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920" w:type="dxa"/>
            <w:noWrap w:val="0"/>
            <w:vAlign w:val="center"/>
          </w:tcPr>
          <w:p w14:paraId="40CDE1C8">
            <w:pPr>
              <w:snapToGrid w:val="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485" w:type="dxa"/>
            <w:noWrap w:val="0"/>
            <w:vAlign w:val="center"/>
          </w:tcPr>
          <w:p w14:paraId="75E6FF86">
            <w:pPr>
              <w:snapToGrid w:val="0"/>
              <w:jc w:val="center"/>
              <w:rPr>
                <w:rFonts w:ascii="仿宋" w:hAnsi="仿宋" w:eastAsia="仿宋" w:cs="仿宋"/>
                <w:color w:val="auto"/>
                <w:sz w:val="24"/>
                <w:highlight w:val="none"/>
              </w:rPr>
            </w:pPr>
          </w:p>
        </w:tc>
      </w:tr>
    </w:tbl>
    <w:p w14:paraId="4D00298A">
      <w:pPr>
        <w:rPr>
          <w:rFonts w:hint="eastAsia"/>
          <w:highlight w:val="none"/>
        </w:rPr>
      </w:pPr>
    </w:p>
    <w:p w14:paraId="1B76938A">
      <w:pPr>
        <w:rPr>
          <w:rFonts w:hint="eastAsia"/>
          <w:highlight w:val="none"/>
        </w:rPr>
      </w:pPr>
    </w:p>
    <w:p w14:paraId="5C95DE3E">
      <w:pPr>
        <w:rPr>
          <w:rFonts w:hint="eastAsia"/>
          <w:highlight w:val="none"/>
        </w:rPr>
      </w:pPr>
    </w:p>
    <w:p w14:paraId="5A62E56F">
      <w:pPr>
        <w:rPr>
          <w:rFonts w:hint="eastAsia"/>
          <w:highlight w:val="none"/>
        </w:rPr>
      </w:pPr>
    </w:p>
    <w:p w14:paraId="62313C94">
      <w:pPr>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2"/>
        <w:rPr>
          <w:rFonts w:ascii="仿宋" w:hAnsi="仿宋" w:eastAsia="仿宋" w:cs="仿宋_GB2312"/>
          <w:b/>
          <w:bCs/>
          <w:color w:val="auto"/>
          <w:sz w:val="24"/>
          <w:highlight w:val="none"/>
        </w:rPr>
      </w:pPr>
      <w:r>
        <w:rPr>
          <w:rFonts w:hint="eastAsia" w:ascii="仿宋" w:hAnsi="仿宋" w:eastAsia="仿宋" w:cs="仿宋_GB2312"/>
          <w:b/>
          <w:bCs/>
          <w:color w:val="auto"/>
          <w:sz w:val="24"/>
          <w:highlight w:val="none"/>
        </w:rPr>
        <w:t>报价部分（权重为</w:t>
      </w:r>
      <w:r>
        <w:rPr>
          <w:rFonts w:hint="eastAsia" w:ascii="仿宋" w:hAnsi="仿宋" w:eastAsia="仿宋" w:cs="仿宋_GB2312"/>
          <w:b/>
          <w:bCs/>
          <w:color w:val="auto"/>
          <w:sz w:val="24"/>
          <w:highlight w:val="none"/>
          <w:lang w:val="en-US" w:eastAsia="zh-CN"/>
        </w:rPr>
        <w:t>10</w:t>
      </w:r>
      <w:r>
        <w:rPr>
          <w:rFonts w:hint="eastAsia" w:ascii="仿宋" w:hAnsi="仿宋" w:eastAsia="仿宋" w:cs="仿宋_GB2312"/>
          <w:b/>
          <w:bCs/>
          <w:color w:val="auto"/>
          <w:sz w:val="24"/>
          <w:highlight w:val="none"/>
        </w:rPr>
        <w:t>）</w:t>
      </w:r>
    </w:p>
    <w:p w14:paraId="4F5C8C6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有效</w:t>
      </w:r>
      <w:r>
        <w:rPr>
          <w:rFonts w:hint="eastAsia" w:ascii="仿宋" w:hAnsi="仿宋" w:eastAsia="仿宋" w:cs="仿宋"/>
          <w:color w:val="auto"/>
          <w:sz w:val="24"/>
          <w:highlight w:val="none"/>
          <w:lang w:val="en-US" w:eastAsia="zh-CN"/>
        </w:rPr>
        <w:t>最后</w:t>
      </w:r>
      <w:r>
        <w:rPr>
          <w:rFonts w:hint="eastAsia" w:ascii="仿宋" w:hAnsi="仿宋" w:eastAsia="仿宋" w:cs="仿宋"/>
          <w:color w:val="auto"/>
          <w:sz w:val="24"/>
          <w:highlight w:val="none"/>
        </w:rPr>
        <w:t>报价的最低价作为评标基准价，其报价为满分；按［报价得分=（评标基准价/</w:t>
      </w:r>
      <w:r>
        <w:rPr>
          <w:rFonts w:hint="eastAsia" w:ascii="仿宋" w:hAnsi="仿宋" w:eastAsia="仿宋" w:cs="仿宋"/>
          <w:color w:val="auto"/>
          <w:sz w:val="24"/>
          <w:highlight w:val="none"/>
          <w:lang w:val="en-US" w:eastAsia="zh-CN"/>
        </w:rPr>
        <w:t>最后</w:t>
      </w:r>
      <w:r>
        <w:rPr>
          <w:rFonts w:hint="eastAsia" w:ascii="仿宋" w:hAnsi="仿宋" w:eastAsia="仿宋" w:cs="仿宋"/>
          <w:color w:val="auto"/>
          <w:sz w:val="24"/>
          <w:highlight w:val="none"/>
        </w:rPr>
        <w:t>报价）*权重］的计算公式计算。</w:t>
      </w:r>
    </w:p>
    <w:p w14:paraId="41950A3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评标过程中，不得去掉报价中的最高报价和最低报价。</w:t>
      </w:r>
    </w:p>
    <w:p w14:paraId="197A324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因落实政府采购政策需要进行价格调整的，以调整后的价格计算评标基准价和</w:t>
      </w:r>
      <w:r>
        <w:rPr>
          <w:rFonts w:hint="eastAsia" w:ascii="仿宋" w:hAnsi="仿宋" w:eastAsia="仿宋" w:cs="仿宋"/>
          <w:color w:val="auto"/>
          <w:sz w:val="24"/>
          <w:highlight w:val="none"/>
          <w:lang w:val="en-US" w:eastAsia="zh-CN"/>
        </w:rPr>
        <w:t>最后</w:t>
      </w:r>
      <w:r>
        <w:rPr>
          <w:rFonts w:hint="eastAsia" w:ascii="仿宋" w:hAnsi="仿宋" w:eastAsia="仿宋" w:cs="仿宋"/>
          <w:color w:val="auto"/>
          <w:sz w:val="24"/>
          <w:highlight w:val="none"/>
        </w:rPr>
        <w:t>报价。</w:t>
      </w:r>
    </w:p>
    <w:p w14:paraId="42E78771">
      <w:pPr>
        <w:pStyle w:val="59"/>
        <w:rPr>
          <w:rFonts w:hint="eastAsia"/>
          <w:highlight w:val="none"/>
          <w:lang w:eastAsia="zh-CN"/>
        </w:rPr>
      </w:pPr>
    </w:p>
    <w:p w14:paraId="435FFE85">
      <w:pPr>
        <w:snapToGrid w:val="0"/>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本项目中，</w:t>
      </w:r>
      <w:r>
        <w:rPr>
          <w:rFonts w:hint="eastAsia" w:ascii="仿宋" w:hAnsi="仿宋" w:eastAsia="仿宋" w:cs="仿宋"/>
          <w:color w:val="auto"/>
          <w:sz w:val="24"/>
          <w:highlight w:val="none"/>
        </w:rPr>
        <w:t>对小型和微型企业的最后报价给予</w:t>
      </w: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0%</w:t>
      </w:r>
      <w:r>
        <w:rPr>
          <w:rFonts w:hint="eastAsia" w:ascii="仿宋" w:hAnsi="仿宋" w:eastAsia="仿宋" w:cs="仿宋"/>
          <w:color w:val="auto"/>
          <w:sz w:val="24"/>
          <w:highlight w:val="none"/>
        </w:rPr>
        <w:t>的扣除，用扣除后的价格参与评审。对于联合协议或者分包意向协议约定小微企业的合同份额占到合同总金额30%以上的，对联合体或者大中型企业的最后报价给予</w:t>
      </w:r>
      <w:r>
        <w:rPr>
          <w:rFonts w:hint="eastAsia" w:ascii="仿宋" w:hAnsi="仿宋" w:eastAsia="仿宋" w:cs="仿宋"/>
          <w:b/>
          <w:bCs/>
          <w:color w:val="auto"/>
          <w:sz w:val="24"/>
          <w:highlight w:val="none"/>
          <w:lang w:val="en-US" w:eastAsia="zh-CN"/>
        </w:rPr>
        <w:t>4</w:t>
      </w:r>
      <w:r>
        <w:rPr>
          <w:rFonts w:hint="eastAsia" w:ascii="仿宋" w:hAnsi="仿宋" w:eastAsia="仿宋" w:cs="仿宋"/>
          <w:b/>
          <w:bCs/>
          <w:color w:val="auto"/>
          <w:sz w:val="24"/>
          <w:highlight w:val="none"/>
        </w:rPr>
        <w:t>%</w:t>
      </w:r>
      <w:r>
        <w:rPr>
          <w:rFonts w:hint="eastAsia" w:ascii="仿宋" w:hAnsi="仿宋" w:eastAsia="仿宋" w:cs="仿宋"/>
          <w:color w:val="auto"/>
          <w:sz w:val="24"/>
          <w:highlight w:val="none"/>
        </w:rPr>
        <w:t>的扣除，用扣除后的价格参加评审</w:t>
      </w:r>
      <w:r>
        <w:rPr>
          <w:rFonts w:hint="eastAsia" w:ascii="仿宋" w:hAnsi="仿宋" w:eastAsia="仿宋" w:cs="仿宋"/>
          <w:color w:val="auto"/>
          <w:sz w:val="24"/>
          <w:highlight w:val="none"/>
          <w:lang w:eastAsia="zh-CN"/>
        </w:rPr>
        <w:t>）</w:t>
      </w:r>
    </w:p>
    <w:p w14:paraId="2AB04F71">
      <w:pPr>
        <w:snapToGrid w:val="0"/>
        <w:spacing w:line="360" w:lineRule="auto"/>
        <w:rPr>
          <w:rFonts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供应商编制响应文件（商务技术文件部分）时，建议按此目录（序号和内容）提供评标标准相应的商务技术资料。 </w:t>
      </w:r>
    </w:p>
    <w:p w14:paraId="0571673A">
      <w:pPr>
        <w:rPr>
          <w:rFonts w:ascii="仿宋" w:hAnsi="仿宋" w:eastAsia="仿宋" w:cs="仿宋"/>
          <w:b/>
          <w:color w:val="auto"/>
          <w:sz w:val="32"/>
          <w:highlight w:val="none"/>
        </w:rPr>
      </w:pPr>
      <w:r>
        <w:rPr>
          <w:rFonts w:hint="eastAsia" w:ascii="仿宋" w:hAnsi="仿宋" w:eastAsia="仿宋" w:cs="仿宋"/>
          <w:b/>
          <w:color w:val="auto"/>
          <w:sz w:val="32"/>
          <w:highlight w:val="none"/>
        </w:rPr>
        <w:br w:type="page"/>
      </w:r>
    </w:p>
    <w:p w14:paraId="78F7D939">
      <w:pPr>
        <w:keepNext w:val="0"/>
        <w:keepLines w:val="0"/>
        <w:pageBreakBefore w:val="0"/>
        <w:widowControl w:val="0"/>
        <w:numPr>
          <w:ilvl w:val="0"/>
          <w:numId w:val="25"/>
        </w:numPr>
        <w:kinsoku/>
        <w:wordWrap/>
        <w:overflowPunct/>
        <w:topLinePunct w:val="0"/>
        <w:autoSpaceDE/>
        <w:autoSpaceDN/>
        <w:bidi w:val="0"/>
        <w:adjustRightInd w:val="0"/>
        <w:snapToGrid w:val="0"/>
        <w:spacing w:before="0" w:beforeLines="50" w:after="0" w:afterLines="50" w:line="360" w:lineRule="auto"/>
        <w:ind w:left="0" w:leftChars="0" w:firstLine="0" w:firstLineChars="0"/>
        <w:jc w:val="left"/>
        <w:textAlignment w:val="auto"/>
        <w:outlineLvl w:val="1"/>
        <w:rPr>
          <w:rFonts w:hint="eastAsia" w:ascii="仿宋_GB2312" w:hAnsi="仿宋" w:eastAsia="仿宋_GB2312" w:cs="仿宋_GB2312"/>
          <w:b/>
          <w:color w:val="auto"/>
          <w:sz w:val="28"/>
          <w:szCs w:val="28"/>
          <w:highlight w:val="none"/>
        </w:rPr>
      </w:pPr>
      <w:r>
        <w:rPr>
          <w:rFonts w:hint="eastAsia" w:ascii="仿宋_GB2312" w:hAnsi="仿宋" w:eastAsia="仿宋_GB2312" w:cs="仿宋_GB2312"/>
          <w:b/>
          <w:color w:val="auto"/>
          <w:sz w:val="28"/>
          <w:szCs w:val="28"/>
          <w:highlight w:val="none"/>
        </w:rPr>
        <w:t>评审方法</w:t>
      </w:r>
    </w:p>
    <w:p w14:paraId="30D4A328">
      <w:pPr>
        <w:numPr>
          <w:ilvl w:val="0"/>
          <w:numId w:val="26"/>
        </w:numPr>
        <w:adjustRightInd/>
        <w:spacing w:line="360" w:lineRule="auto"/>
        <w:ind w:left="5" w:firstLine="415"/>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本项目采用综合评分法。</w:t>
      </w:r>
      <w:r>
        <w:rPr>
          <w:rFonts w:hint="eastAsia" w:ascii="仿宋" w:hAnsi="仿宋" w:eastAsia="仿宋" w:cs="仿宋"/>
          <w:color w:val="auto"/>
          <w:kern w:val="0"/>
          <w:sz w:val="24"/>
          <w:highlight w:val="none"/>
        </w:rPr>
        <w:t>综合评分法，是指响应文件满足磋商文件全部实质性要求，且按照评审因素的量化指标评审得分最高的供应商为成交候选人的评审方法。</w:t>
      </w:r>
    </w:p>
    <w:p w14:paraId="02FB39BC">
      <w:pPr>
        <w:pStyle w:val="396"/>
        <w:spacing w:before="0"/>
        <w:ind w:firstLine="480"/>
        <w:rPr>
          <w:color w:val="auto"/>
          <w:highlight w:val="none"/>
        </w:rPr>
      </w:pPr>
    </w:p>
    <w:p w14:paraId="62A31786">
      <w:pPr>
        <w:keepNext w:val="0"/>
        <w:keepLines w:val="0"/>
        <w:pageBreakBefore w:val="0"/>
        <w:widowControl w:val="0"/>
        <w:numPr>
          <w:ilvl w:val="0"/>
          <w:numId w:val="25"/>
        </w:numPr>
        <w:kinsoku/>
        <w:wordWrap/>
        <w:overflowPunct/>
        <w:topLinePunct w:val="0"/>
        <w:autoSpaceDE/>
        <w:autoSpaceDN/>
        <w:bidi w:val="0"/>
        <w:adjustRightInd w:val="0"/>
        <w:snapToGrid w:val="0"/>
        <w:spacing w:before="0" w:beforeLines="50" w:after="0" w:afterLines="50" w:line="360" w:lineRule="auto"/>
        <w:ind w:left="0" w:leftChars="0" w:firstLine="0" w:firstLineChars="0"/>
        <w:jc w:val="left"/>
        <w:textAlignment w:val="auto"/>
        <w:outlineLvl w:val="1"/>
        <w:rPr>
          <w:rFonts w:hint="eastAsia" w:ascii="仿宋_GB2312" w:hAnsi="仿宋" w:eastAsia="仿宋_GB2312" w:cs="仿宋_GB2312"/>
          <w:b/>
          <w:color w:val="auto"/>
          <w:sz w:val="28"/>
          <w:szCs w:val="28"/>
          <w:highlight w:val="none"/>
        </w:rPr>
      </w:pPr>
      <w:r>
        <w:rPr>
          <w:rFonts w:hint="eastAsia" w:ascii="仿宋_GB2312" w:hAnsi="仿宋" w:eastAsia="仿宋_GB2312" w:cs="仿宋_GB2312"/>
          <w:b/>
          <w:color w:val="auto"/>
          <w:sz w:val="28"/>
          <w:szCs w:val="28"/>
          <w:highlight w:val="none"/>
        </w:rPr>
        <w:t>评标标准</w:t>
      </w:r>
    </w:p>
    <w:p w14:paraId="757C7B53">
      <w:pPr>
        <w:numPr>
          <w:ilvl w:val="0"/>
          <w:numId w:val="0"/>
        </w:numPr>
        <w:adjustRightInd/>
        <w:spacing w:line="360" w:lineRule="auto"/>
        <w:ind w:left="420" w:leftChars="0"/>
        <w:rPr>
          <w:rFonts w:hint="eastAsia" w:ascii="仿宋_GB2312" w:hAnsi="仿宋" w:eastAsia="仿宋_GB2312" w:cs="Arial"/>
          <w:color w:val="auto"/>
          <w:kern w:val="0"/>
          <w:sz w:val="24"/>
          <w:highlight w:val="none"/>
        </w:rPr>
      </w:pPr>
      <w:r>
        <w:rPr>
          <w:rFonts w:hint="eastAsia" w:ascii="仿宋_GB2312" w:hAnsi="仿宋" w:eastAsia="仿宋_GB2312" w:cs="Arial"/>
          <w:b/>
          <w:bCs/>
          <w:color w:val="auto"/>
          <w:kern w:val="0"/>
          <w:sz w:val="24"/>
          <w:highlight w:val="none"/>
          <w:lang w:val="en-US" w:eastAsia="zh-CN"/>
        </w:rPr>
        <w:t>1.</w:t>
      </w:r>
      <w:r>
        <w:rPr>
          <w:rFonts w:hint="eastAsia" w:ascii="仿宋_GB2312" w:hAnsi="仿宋" w:eastAsia="仿宋_GB2312" w:cs="Arial"/>
          <w:b/>
          <w:bCs/>
          <w:color w:val="auto"/>
          <w:kern w:val="0"/>
          <w:sz w:val="24"/>
          <w:highlight w:val="none"/>
        </w:rPr>
        <w:t>评标标准：</w:t>
      </w:r>
      <w:r>
        <w:rPr>
          <w:rFonts w:hint="eastAsia" w:ascii="仿宋_GB2312" w:hAnsi="仿宋" w:eastAsia="仿宋_GB2312" w:cs="Arial"/>
          <w:color w:val="auto"/>
          <w:kern w:val="0"/>
          <w:sz w:val="24"/>
          <w:highlight w:val="none"/>
        </w:rPr>
        <w:t>见评标办法前附表。</w:t>
      </w:r>
    </w:p>
    <w:p w14:paraId="16E10117">
      <w:pPr>
        <w:keepNext w:val="0"/>
        <w:keepLines w:val="0"/>
        <w:pageBreakBefore w:val="0"/>
        <w:widowControl w:val="0"/>
        <w:numPr>
          <w:ilvl w:val="0"/>
          <w:numId w:val="25"/>
        </w:numPr>
        <w:kinsoku/>
        <w:wordWrap/>
        <w:overflowPunct/>
        <w:topLinePunct w:val="0"/>
        <w:autoSpaceDE/>
        <w:autoSpaceDN/>
        <w:bidi w:val="0"/>
        <w:adjustRightInd w:val="0"/>
        <w:snapToGrid w:val="0"/>
        <w:spacing w:before="0" w:beforeLines="50" w:after="0" w:afterLines="50" w:line="360" w:lineRule="auto"/>
        <w:ind w:left="0" w:leftChars="0" w:firstLine="0" w:firstLineChars="0"/>
        <w:jc w:val="left"/>
        <w:textAlignment w:val="auto"/>
        <w:outlineLvl w:val="1"/>
        <w:rPr>
          <w:rFonts w:hint="eastAsia" w:ascii="仿宋_GB2312" w:hAnsi="仿宋" w:eastAsia="仿宋_GB2312" w:cs="仿宋_GB2312"/>
          <w:b/>
          <w:color w:val="auto"/>
          <w:sz w:val="28"/>
          <w:szCs w:val="28"/>
          <w:highlight w:val="none"/>
        </w:rPr>
      </w:pPr>
      <w:r>
        <w:rPr>
          <w:rFonts w:hint="eastAsia" w:ascii="仿宋_GB2312" w:hAnsi="仿宋" w:eastAsia="仿宋_GB2312" w:cs="仿宋_GB2312"/>
          <w:b/>
          <w:color w:val="auto"/>
          <w:sz w:val="28"/>
          <w:szCs w:val="28"/>
          <w:highlight w:val="none"/>
        </w:rPr>
        <w:t>磋商小组的组成</w:t>
      </w:r>
    </w:p>
    <w:p w14:paraId="6405BF8B">
      <w:pPr>
        <w:pStyle w:val="396"/>
        <w:numPr>
          <w:ilvl w:val="0"/>
          <w:numId w:val="0"/>
        </w:numPr>
        <w:spacing w:before="0"/>
        <w:ind w:left="397" w:leftChars="0"/>
        <w:rPr>
          <w:rFonts w:ascii="仿宋_GB2312" w:hAnsi="仿宋" w:eastAsia="仿宋_GB2312" w:cs="Arial"/>
          <w:b/>
          <w:color w:val="auto"/>
          <w:kern w:val="0"/>
          <w:highlight w:val="none"/>
        </w:rPr>
      </w:pPr>
      <w:r>
        <w:rPr>
          <w:rFonts w:hint="eastAsia" w:ascii="仿宋_GB2312" w:hAnsi="仿宋" w:eastAsia="仿宋_GB2312" w:cs="Arial"/>
          <w:b/>
          <w:color w:val="auto"/>
          <w:kern w:val="0"/>
          <w:highlight w:val="none"/>
          <w:lang w:val="en-US" w:eastAsia="zh-CN"/>
        </w:rPr>
        <w:t>1.</w:t>
      </w:r>
      <w:r>
        <w:rPr>
          <w:rFonts w:hint="eastAsia" w:ascii="仿宋_GB2312" w:hAnsi="仿宋" w:eastAsia="仿宋_GB2312" w:cs="Arial"/>
          <w:b/>
          <w:color w:val="auto"/>
          <w:kern w:val="0"/>
          <w:highlight w:val="none"/>
        </w:rPr>
        <w:t>磋商小组的组成。</w:t>
      </w:r>
    </w:p>
    <w:p w14:paraId="0DCCE130">
      <w:pPr>
        <w:pStyle w:val="396"/>
        <w:spacing w:before="0"/>
        <w:ind w:firstLine="480"/>
        <w:rPr>
          <w:rFonts w:ascii="仿宋_GB2312" w:hAnsi="仿宋" w:eastAsia="仿宋_GB2312"/>
          <w:color w:val="auto"/>
          <w:highlight w:val="none"/>
        </w:rPr>
      </w:pPr>
      <w:r>
        <w:rPr>
          <w:rFonts w:hint="eastAsia" w:ascii="仿宋_GB2312" w:hAnsi="仿宋" w:eastAsia="仿宋_GB2312"/>
          <w:color w:val="auto"/>
          <w:highlight w:val="none"/>
        </w:rPr>
        <w:t>磋商小组由采购人代表和评审专家共3人以上单数组成，其中评审专家人数不得少于磋商小组成员总数的2/3。采购人代表不得以评审专家身份参加本部门或本单位采购项目的评审。</w:t>
      </w:r>
      <w:r>
        <w:rPr>
          <w:rFonts w:hint="eastAsia" w:ascii="仿宋_GB2312" w:hAnsi="仿宋" w:eastAsia="仿宋_GB2312"/>
          <w:color w:val="auto"/>
          <w:highlight w:val="none"/>
          <w:lang w:eastAsia="zh-CN"/>
        </w:rPr>
        <w:t>采购代理机构</w:t>
      </w:r>
      <w:r>
        <w:rPr>
          <w:rFonts w:hint="eastAsia" w:ascii="仿宋_GB2312" w:hAnsi="仿宋" w:eastAsia="仿宋_GB2312"/>
          <w:color w:val="auto"/>
          <w:highlight w:val="none"/>
        </w:rPr>
        <w:t>人员不得参加本机构代理的采购项目的评审。</w:t>
      </w:r>
    </w:p>
    <w:p w14:paraId="75157E18">
      <w:pPr>
        <w:pStyle w:val="396"/>
        <w:spacing w:before="0"/>
        <w:ind w:firstLine="480"/>
        <w:rPr>
          <w:rFonts w:ascii="仿宋_GB2312" w:hAnsi="仿宋" w:eastAsia="仿宋_GB2312"/>
          <w:color w:val="auto"/>
          <w:highlight w:val="none"/>
        </w:rPr>
      </w:pPr>
      <w:r>
        <w:rPr>
          <w:rFonts w:hint="eastAsia" w:ascii="仿宋_GB2312" w:hAnsi="仿宋" w:eastAsia="仿宋_GB2312"/>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51FFEE15">
      <w:pPr>
        <w:pStyle w:val="396"/>
        <w:numPr>
          <w:ilvl w:val="0"/>
          <w:numId w:val="0"/>
        </w:numPr>
        <w:spacing w:before="0"/>
        <w:ind w:left="397" w:leftChars="0"/>
        <w:rPr>
          <w:rFonts w:hint="eastAsia" w:ascii="仿宋_GB2312" w:hAnsi="仿宋" w:eastAsia="仿宋_GB2312" w:cs="Arial"/>
          <w:b/>
          <w:color w:val="auto"/>
          <w:kern w:val="0"/>
          <w:highlight w:val="none"/>
        </w:rPr>
      </w:pPr>
      <w:r>
        <w:rPr>
          <w:rFonts w:hint="eastAsia" w:ascii="仿宋_GB2312" w:hAnsi="仿宋" w:eastAsia="仿宋_GB2312" w:cs="Arial"/>
          <w:b/>
          <w:color w:val="auto"/>
          <w:kern w:val="0"/>
          <w:highlight w:val="none"/>
          <w:lang w:val="en-US" w:eastAsia="zh-CN"/>
        </w:rPr>
        <w:t>2.</w:t>
      </w:r>
      <w:r>
        <w:rPr>
          <w:rFonts w:hint="eastAsia" w:ascii="仿宋_GB2312" w:hAnsi="仿宋" w:eastAsia="仿宋_GB2312" w:cs="Arial"/>
          <w:b/>
          <w:color w:val="auto"/>
          <w:kern w:val="0"/>
          <w:highlight w:val="none"/>
        </w:rPr>
        <w:t>磋商小组的组成人员的回避。</w:t>
      </w:r>
    </w:p>
    <w:p w14:paraId="7C74DC12">
      <w:pPr>
        <w:pStyle w:val="396"/>
        <w:spacing w:before="0"/>
        <w:ind w:firstLine="480"/>
        <w:rPr>
          <w:rFonts w:ascii="仿宋_GB2312" w:hAnsi="仿宋" w:eastAsia="仿宋_GB2312"/>
          <w:color w:val="auto"/>
          <w:highlight w:val="none"/>
        </w:rPr>
      </w:pPr>
      <w:r>
        <w:rPr>
          <w:rFonts w:hint="eastAsia" w:ascii="仿宋_GB2312" w:hAnsi="仿宋" w:eastAsia="仿宋_GB2312"/>
          <w:color w:val="auto"/>
          <w:highlight w:val="none"/>
        </w:rPr>
        <w:t>在政府采购活动中，磋商小组的组成人员与供应商有下列利害关系之一的，应当回避：</w:t>
      </w:r>
    </w:p>
    <w:p w14:paraId="7AD87E7F">
      <w:pPr>
        <w:pStyle w:val="396"/>
        <w:numPr>
          <w:ilvl w:val="0"/>
          <w:numId w:val="0"/>
        </w:numPr>
        <w:spacing w:before="0"/>
        <w:ind w:left="0" w:leftChars="0" w:firstLine="420" w:firstLineChars="175"/>
        <w:rPr>
          <w:rFonts w:hint="eastAsia" w:ascii="仿宋_GB2312" w:hAnsi="仿宋" w:eastAsia="仿宋_GB2312" w:cs="Arial"/>
          <w:color w:val="auto"/>
          <w:kern w:val="0"/>
          <w:highlight w:val="none"/>
        </w:rPr>
      </w:pPr>
      <w:r>
        <w:rPr>
          <w:rFonts w:hint="eastAsia" w:ascii="仿宋_GB2312" w:hAnsi="仿宋" w:eastAsia="仿宋_GB2312" w:cs="Arial"/>
          <w:color w:val="auto"/>
          <w:kern w:val="0"/>
          <w:highlight w:val="none"/>
          <w:lang w:val="en-US" w:eastAsia="zh-CN"/>
        </w:rPr>
        <w:t>2.1</w:t>
      </w:r>
      <w:r>
        <w:rPr>
          <w:rFonts w:hint="eastAsia" w:ascii="仿宋_GB2312" w:hAnsi="仿宋" w:eastAsia="仿宋_GB2312" w:cs="Arial"/>
          <w:color w:val="auto"/>
          <w:kern w:val="0"/>
          <w:highlight w:val="none"/>
        </w:rPr>
        <w:t>参加采购活动前3年内与供应商存在劳动关系；</w:t>
      </w:r>
    </w:p>
    <w:p w14:paraId="65E16B89">
      <w:pPr>
        <w:pStyle w:val="396"/>
        <w:numPr>
          <w:ilvl w:val="0"/>
          <w:numId w:val="0"/>
        </w:numPr>
        <w:spacing w:before="0"/>
        <w:ind w:left="0" w:leftChars="0" w:firstLine="420" w:firstLineChars="175"/>
        <w:rPr>
          <w:rFonts w:hint="eastAsia" w:ascii="仿宋_GB2312" w:hAnsi="仿宋" w:eastAsia="仿宋_GB2312" w:cs="Arial"/>
          <w:color w:val="auto"/>
          <w:kern w:val="0"/>
          <w:highlight w:val="none"/>
        </w:rPr>
      </w:pPr>
      <w:r>
        <w:rPr>
          <w:rFonts w:hint="eastAsia" w:ascii="仿宋_GB2312" w:hAnsi="仿宋" w:eastAsia="仿宋_GB2312" w:cs="Arial"/>
          <w:color w:val="auto"/>
          <w:kern w:val="0"/>
          <w:highlight w:val="none"/>
          <w:lang w:val="en-US" w:eastAsia="zh-CN"/>
        </w:rPr>
        <w:t>2.2</w:t>
      </w:r>
      <w:r>
        <w:rPr>
          <w:rFonts w:hint="eastAsia" w:ascii="仿宋_GB2312" w:hAnsi="仿宋" w:eastAsia="仿宋_GB2312" w:cs="Arial"/>
          <w:color w:val="auto"/>
          <w:kern w:val="0"/>
          <w:highlight w:val="none"/>
        </w:rPr>
        <w:t>参加采购活动前3年内担任供应商的董事、监事；</w:t>
      </w:r>
    </w:p>
    <w:p w14:paraId="0D3B7A30">
      <w:pPr>
        <w:pStyle w:val="396"/>
        <w:numPr>
          <w:ilvl w:val="0"/>
          <w:numId w:val="0"/>
        </w:numPr>
        <w:spacing w:before="0"/>
        <w:ind w:left="0" w:leftChars="0" w:firstLine="420" w:firstLineChars="175"/>
        <w:rPr>
          <w:rFonts w:hint="eastAsia" w:ascii="仿宋_GB2312" w:hAnsi="仿宋" w:eastAsia="仿宋_GB2312" w:cs="Arial"/>
          <w:color w:val="auto"/>
          <w:kern w:val="0"/>
          <w:highlight w:val="none"/>
        </w:rPr>
      </w:pPr>
      <w:r>
        <w:rPr>
          <w:rFonts w:hint="eastAsia" w:ascii="仿宋_GB2312" w:hAnsi="仿宋" w:eastAsia="仿宋_GB2312" w:cs="Arial"/>
          <w:color w:val="auto"/>
          <w:kern w:val="0"/>
          <w:highlight w:val="none"/>
          <w:lang w:val="en-US" w:eastAsia="zh-CN"/>
        </w:rPr>
        <w:t>2.3</w:t>
      </w:r>
      <w:r>
        <w:rPr>
          <w:rFonts w:hint="eastAsia" w:ascii="仿宋_GB2312" w:hAnsi="仿宋" w:eastAsia="仿宋_GB2312" w:cs="Arial"/>
          <w:color w:val="auto"/>
          <w:kern w:val="0"/>
          <w:highlight w:val="none"/>
        </w:rPr>
        <w:t>参加采购活动前3年内是供应商的控股股东或者实际控制人；</w:t>
      </w:r>
    </w:p>
    <w:p w14:paraId="51001F7D">
      <w:pPr>
        <w:pStyle w:val="396"/>
        <w:numPr>
          <w:ilvl w:val="0"/>
          <w:numId w:val="0"/>
        </w:numPr>
        <w:spacing w:before="0"/>
        <w:ind w:left="0" w:leftChars="0" w:firstLine="420" w:firstLineChars="175"/>
        <w:rPr>
          <w:rFonts w:hint="eastAsia" w:ascii="仿宋_GB2312" w:hAnsi="仿宋" w:eastAsia="仿宋_GB2312" w:cs="Arial"/>
          <w:color w:val="auto"/>
          <w:kern w:val="0"/>
          <w:highlight w:val="none"/>
        </w:rPr>
      </w:pPr>
      <w:r>
        <w:rPr>
          <w:rFonts w:hint="eastAsia" w:ascii="仿宋_GB2312" w:hAnsi="仿宋" w:eastAsia="仿宋_GB2312" w:cs="Arial"/>
          <w:color w:val="auto"/>
          <w:kern w:val="0"/>
          <w:highlight w:val="none"/>
          <w:lang w:val="en-US" w:eastAsia="zh-CN"/>
        </w:rPr>
        <w:t>2.4</w:t>
      </w:r>
      <w:r>
        <w:rPr>
          <w:rFonts w:hint="eastAsia" w:ascii="仿宋_GB2312" w:hAnsi="仿宋" w:eastAsia="仿宋_GB2312" w:cs="Arial"/>
          <w:color w:val="auto"/>
          <w:kern w:val="0"/>
          <w:highlight w:val="none"/>
        </w:rPr>
        <w:t>与供应商的法定代表人或者负责人有夫妻、直系血亲、三代以内旁系血亲或者近姻亲关系；</w:t>
      </w:r>
    </w:p>
    <w:p w14:paraId="1C0150EA">
      <w:pPr>
        <w:pStyle w:val="396"/>
        <w:numPr>
          <w:ilvl w:val="0"/>
          <w:numId w:val="0"/>
        </w:numPr>
        <w:spacing w:before="0"/>
        <w:ind w:left="0" w:leftChars="0" w:firstLine="420" w:firstLineChars="175"/>
        <w:rPr>
          <w:rFonts w:hint="eastAsia" w:ascii="仿宋_GB2312" w:hAnsi="仿宋" w:eastAsia="仿宋_GB2312" w:cs="Arial"/>
          <w:color w:val="auto"/>
          <w:kern w:val="0"/>
          <w:highlight w:val="none"/>
        </w:rPr>
      </w:pPr>
      <w:r>
        <w:rPr>
          <w:rFonts w:hint="eastAsia" w:ascii="仿宋_GB2312" w:hAnsi="仿宋" w:eastAsia="仿宋_GB2312" w:cs="Arial"/>
          <w:color w:val="auto"/>
          <w:kern w:val="0"/>
          <w:highlight w:val="none"/>
          <w:lang w:val="en-US" w:eastAsia="zh-CN"/>
        </w:rPr>
        <w:t>2.5</w:t>
      </w:r>
      <w:r>
        <w:rPr>
          <w:rFonts w:hint="eastAsia" w:ascii="仿宋_GB2312" w:hAnsi="仿宋" w:eastAsia="仿宋_GB2312" w:cs="Arial"/>
          <w:color w:val="auto"/>
          <w:kern w:val="0"/>
          <w:highlight w:val="none"/>
        </w:rPr>
        <w:t>与供应商有其他可能影响政府采购活动公平、公正进行的关系。</w:t>
      </w:r>
    </w:p>
    <w:p w14:paraId="122777EB">
      <w:pPr>
        <w:keepNext w:val="0"/>
        <w:keepLines w:val="0"/>
        <w:pageBreakBefore w:val="0"/>
        <w:widowControl w:val="0"/>
        <w:numPr>
          <w:ilvl w:val="0"/>
          <w:numId w:val="25"/>
        </w:numPr>
        <w:kinsoku/>
        <w:wordWrap/>
        <w:overflowPunct/>
        <w:topLinePunct w:val="0"/>
        <w:autoSpaceDE/>
        <w:autoSpaceDN/>
        <w:bidi w:val="0"/>
        <w:adjustRightInd w:val="0"/>
        <w:snapToGrid w:val="0"/>
        <w:spacing w:before="0" w:beforeLines="50" w:after="0" w:afterLines="50" w:line="360" w:lineRule="auto"/>
        <w:ind w:left="0" w:leftChars="0" w:firstLine="0" w:firstLineChars="0"/>
        <w:jc w:val="left"/>
        <w:textAlignment w:val="auto"/>
        <w:outlineLvl w:val="1"/>
        <w:rPr>
          <w:rFonts w:hint="eastAsia" w:ascii="仿宋_GB2312" w:hAnsi="仿宋" w:eastAsia="仿宋_GB2312" w:cs="仿宋_GB2312"/>
          <w:b/>
          <w:color w:val="auto"/>
          <w:sz w:val="28"/>
          <w:szCs w:val="28"/>
          <w:highlight w:val="none"/>
        </w:rPr>
      </w:pPr>
      <w:r>
        <w:rPr>
          <w:rFonts w:hint="eastAsia" w:ascii="仿宋_GB2312" w:hAnsi="仿宋" w:eastAsia="仿宋_GB2312" w:cs="仿宋_GB2312"/>
          <w:b/>
          <w:color w:val="auto"/>
          <w:sz w:val="28"/>
          <w:szCs w:val="28"/>
          <w:highlight w:val="none"/>
        </w:rPr>
        <w:t>磋商小组的职责</w:t>
      </w:r>
    </w:p>
    <w:p w14:paraId="131D1762">
      <w:pPr>
        <w:pStyle w:val="396"/>
        <w:numPr>
          <w:ilvl w:val="0"/>
          <w:numId w:val="0"/>
        </w:numPr>
        <w:spacing w:before="0"/>
        <w:ind w:left="397" w:leftChars="0"/>
        <w:rPr>
          <w:rFonts w:hint="eastAsia" w:ascii="仿宋_GB2312" w:hAnsi="仿宋" w:eastAsia="仿宋_GB2312"/>
          <w:b/>
          <w:bCs/>
          <w:color w:val="auto"/>
          <w:szCs w:val="24"/>
          <w:highlight w:val="none"/>
        </w:rPr>
      </w:pPr>
      <w:r>
        <w:rPr>
          <w:rFonts w:hint="eastAsia" w:ascii="仿宋_GB2312" w:hAnsi="仿宋" w:eastAsia="仿宋_GB2312"/>
          <w:b/>
          <w:bCs/>
          <w:color w:val="auto"/>
          <w:szCs w:val="24"/>
          <w:highlight w:val="none"/>
          <w:lang w:val="en-US" w:eastAsia="zh-CN"/>
        </w:rPr>
        <w:t>1.</w:t>
      </w:r>
      <w:r>
        <w:rPr>
          <w:rFonts w:hint="eastAsia" w:ascii="仿宋_GB2312" w:hAnsi="仿宋" w:eastAsia="仿宋_GB2312"/>
          <w:b/>
          <w:bCs/>
          <w:color w:val="auto"/>
          <w:szCs w:val="24"/>
          <w:highlight w:val="none"/>
        </w:rPr>
        <w:t>磋商小组负责具体评审事务，并独立履行下列职责：</w:t>
      </w:r>
    </w:p>
    <w:p w14:paraId="2AE5291E">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1.1对响应文件的有效性、完整性和响应程度进行审查；</w:t>
      </w:r>
    </w:p>
    <w:p w14:paraId="0C5DFBBE">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1.2审查、评价响应文件是否符合磋商文件的商务、技术等实质性要求；</w:t>
      </w:r>
    </w:p>
    <w:p w14:paraId="6FAE36F9">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1.3要求供应商对响应文件有关事项作出澄清、说明或者更正；</w:t>
      </w:r>
    </w:p>
    <w:p w14:paraId="698BC93D">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1.4磋商小组集中与单一供应商分别进行磋商；</w:t>
      </w:r>
    </w:p>
    <w:p w14:paraId="08583F2A">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1.5确定磋商文件的变动情况，并确定提交最后报价的供应商；</w:t>
      </w:r>
    </w:p>
    <w:p w14:paraId="1303F866">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1.6根据磋商文件确定的评审办法及评审标准对提交最后报价的供应商的响应文件和最后报价采用综合评分法进行综合评分；</w:t>
      </w:r>
    </w:p>
    <w:p w14:paraId="4705A2CE">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1.7编制评审报告，确定成交候选人名单，以及根据采购人委托直接确定成交人；</w:t>
      </w:r>
    </w:p>
    <w:p w14:paraId="2DF98E69">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1.8向采购人、采购代理机构或者有关部门报告评审中发现的违法行为；</w:t>
      </w:r>
    </w:p>
    <w:p w14:paraId="0D523196">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1.9法律、法规、规章、磋商文件等规定的其它事项。</w:t>
      </w:r>
    </w:p>
    <w:p w14:paraId="0477FD5D">
      <w:pPr>
        <w:pStyle w:val="396"/>
        <w:numPr>
          <w:ilvl w:val="0"/>
          <w:numId w:val="0"/>
        </w:numPr>
        <w:spacing w:before="0"/>
        <w:ind w:left="397" w:leftChars="0"/>
        <w:rPr>
          <w:rFonts w:hint="eastAsia" w:ascii="仿宋_GB2312" w:hAnsi="仿宋" w:eastAsia="仿宋_GB2312"/>
          <w:b/>
          <w:bCs/>
          <w:color w:val="auto"/>
          <w:szCs w:val="24"/>
          <w:highlight w:val="none"/>
        </w:rPr>
      </w:pPr>
      <w:r>
        <w:rPr>
          <w:rFonts w:hint="eastAsia" w:ascii="仿宋_GB2312" w:hAnsi="仿宋" w:eastAsia="仿宋_GB2312"/>
          <w:b/>
          <w:bCs/>
          <w:color w:val="auto"/>
          <w:szCs w:val="24"/>
          <w:highlight w:val="none"/>
          <w:lang w:val="en-US" w:eastAsia="zh-CN"/>
        </w:rPr>
        <w:t>2.</w:t>
      </w:r>
      <w:r>
        <w:rPr>
          <w:rFonts w:hint="eastAsia" w:ascii="仿宋_GB2312" w:hAnsi="仿宋" w:eastAsia="仿宋_GB2312"/>
          <w:b/>
          <w:bCs/>
          <w:color w:val="auto"/>
          <w:szCs w:val="24"/>
          <w:highlight w:val="none"/>
        </w:rPr>
        <w:t>磋商小组及其成员不得有下列行为：</w:t>
      </w:r>
    </w:p>
    <w:p w14:paraId="08A0A643">
      <w:pPr>
        <w:pStyle w:val="396"/>
        <w:numPr>
          <w:ilvl w:val="0"/>
          <w:numId w:val="0"/>
        </w:numPr>
        <w:spacing w:before="0"/>
        <w:ind w:firstLine="480" w:firstLineChars="200"/>
        <w:rPr>
          <w:rFonts w:ascii="仿宋_GB2312" w:hAnsi="仿宋" w:eastAsia="仿宋_GB2312"/>
          <w:color w:val="auto"/>
          <w:highlight w:val="none"/>
        </w:rPr>
      </w:pPr>
      <w:r>
        <w:rPr>
          <w:rFonts w:hint="eastAsia" w:ascii="仿宋_GB2312" w:hAnsi="仿宋" w:eastAsia="仿宋_GB2312"/>
          <w:color w:val="auto"/>
          <w:highlight w:val="none"/>
          <w:lang w:val="en-US" w:eastAsia="zh-CN"/>
        </w:rPr>
        <w:t>2.1</w:t>
      </w:r>
      <w:r>
        <w:rPr>
          <w:rFonts w:hint="eastAsia" w:ascii="仿宋_GB2312" w:hAnsi="仿宋" w:eastAsia="仿宋_GB2312"/>
          <w:color w:val="auto"/>
          <w:highlight w:val="none"/>
        </w:rPr>
        <w:t>确定参与本项目至评审结束前私自接触供应商；</w:t>
      </w:r>
    </w:p>
    <w:p w14:paraId="71873377">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 xml:space="preserve">2.2接受供应商提出的“超出响应文件的范围或者改变响应文件的实质性内容”的澄清、说明或者更正； </w:t>
      </w:r>
    </w:p>
    <w:p w14:paraId="44A0A9C0">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2.3违反评审纪律发表倾向性意见或者征询采购人的倾向性意见；</w:t>
      </w:r>
    </w:p>
    <w:p w14:paraId="2106885D">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2.4对需要专业判断的主观评审因素协商评分；</w:t>
      </w:r>
    </w:p>
    <w:p w14:paraId="51D5A9A4">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2.5在评审过程中擅离职守，影响评审程序正常进行的；</w:t>
      </w:r>
    </w:p>
    <w:p w14:paraId="3EDE466B">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2.6记录、复制或者带走任何评审资料；</w:t>
      </w:r>
    </w:p>
    <w:p w14:paraId="0CAC2F79">
      <w:pPr>
        <w:pStyle w:val="396"/>
        <w:numPr>
          <w:ilvl w:val="0"/>
          <w:numId w:val="0"/>
        </w:numPr>
        <w:spacing w:before="0"/>
        <w:ind w:firstLine="480" w:firstLineChars="200"/>
        <w:rPr>
          <w:rFonts w:hint="eastAsia" w:ascii="仿宋_GB2312" w:hAnsi="仿宋" w:eastAsia="仿宋_GB2312"/>
          <w:color w:val="auto"/>
          <w:highlight w:val="none"/>
          <w:lang w:val="en-US" w:eastAsia="zh-CN"/>
        </w:rPr>
      </w:pPr>
      <w:r>
        <w:rPr>
          <w:rFonts w:hint="eastAsia" w:ascii="仿宋_GB2312" w:hAnsi="仿宋" w:eastAsia="仿宋_GB2312"/>
          <w:color w:val="auto"/>
          <w:highlight w:val="none"/>
          <w:lang w:val="en-US" w:eastAsia="zh-CN"/>
        </w:rPr>
        <w:t>2.7其他不遵守评审纪律的行为。</w:t>
      </w:r>
    </w:p>
    <w:p w14:paraId="2C52279A">
      <w:pPr>
        <w:pStyle w:val="396"/>
        <w:spacing w:before="0"/>
        <w:ind w:firstLine="480"/>
        <w:rPr>
          <w:rFonts w:ascii="仿宋_GB2312" w:hAnsi="仿宋" w:eastAsia="仿宋_GB2312"/>
          <w:color w:val="auto"/>
          <w:highlight w:val="none"/>
        </w:rPr>
      </w:pPr>
      <w:r>
        <w:rPr>
          <w:rFonts w:hint="eastAsia" w:ascii="仿宋_GB2312" w:hAnsi="仿宋" w:eastAsia="仿宋_GB2312"/>
          <w:color w:val="auto"/>
          <w:highlight w:val="none"/>
        </w:rPr>
        <w:t>磋商小组成员有2.1-2.5行为之一的，其评审意见无效，并不得获取评审劳务报酬和报销异地评审差旅费。</w:t>
      </w:r>
    </w:p>
    <w:p w14:paraId="6853CAE5">
      <w:pPr>
        <w:keepNext w:val="0"/>
        <w:keepLines w:val="0"/>
        <w:pageBreakBefore w:val="0"/>
        <w:widowControl w:val="0"/>
        <w:numPr>
          <w:ilvl w:val="0"/>
          <w:numId w:val="25"/>
        </w:numPr>
        <w:kinsoku/>
        <w:wordWrap/>
        <w:overflowPunct/>
        <w:topLinePunct w:val="0"/>
        <w:autoSpaceDE/>
        <w:autoSpaceDN/>
        <w:bidi w:val="0"/>
        <w:adjustRightInd w:val="0"/>
        <w:snapToGrid w:val="0"/>
        <w:spacing w:before="0" w:beforeLines="50" w:after="0" w:afterLines="50" w:line="360" w:lineRule="auto"/>
        <w:ind w:left="0" w:leftChars="0" w:firstLine="0" w:firstLineChars="0"/>
        <w:jc w:val="left"/>
        <w:textAlignment w:val="auto"/>
        <w:outlineLvl w:val="1"/>
        <w:rPr>
          <w:rFonts w:hint="eastAsia" w:ascii="仿宋_GB2312" w:hAnsi="仿宋" w:eastAsia="仿宋_GB2312" w:cs="仿宋_GB2312"/>
          <w:b/>
          <w:color w:val="auto"/>
          <w:sz w:val="28"/>
          <w:szCs w:val="28"/>
          <w:highlight w:val="none"/>
        </w:rPr>
      </w:pPr>
      <w:r>
        <w:rPr>
          <w:rFonts w:hint="eastAsia" w:ascii="仿宋_GB2312" w:hAnsi="仿宋" w:eastAsia="仿宋_GB2312" w:cs="仿宋_GB2312"/>
          <w:b/>
          <w:color w:val="auto"/>
          <w:sz w:val="28"/>
          <w:szCs w:val="28"/>
          <w:highlight w:val="none"/>
        </w:rPr>
        <w:t>评审程序</w:t>
      </w:r>
    </w:p>
    <w:p w14:paraId="51195B0E">
      <w:pPr>
        <w:pStyle w:val="396"/>
        <w:spacing w:before="0"/>
        <w:ind w:firstLine="472" w:firstLineChars="196"/>
        <w:rPr>
          <w:rFonts w:ascii="仿宋_GB2312" w:hAnsi="仿宋" w:eastAsia="仿宋_GB2312"/>
          <w:b/>
          <w:color w:val="auto"/>
          <w:highlight w:val="none"/>
        </w:rPr>
      </w:pPr>
      <w:r>
        <w:rPr>
          <w:rFonts w:hint="eastAsia" w:ascii="仿宋_GB2312" w:hAnsi="仿宋" w:eastAsia="仿宋_GB2312"/>
          <w:b/>
          <w:color w:val="auto"/>
          <w:highlight w:val="none"/>
        </w:rPr>
        <w:t>详见磋商文件“第二部分 竞争性磋商流程”。</w:t>
      </w:r>
    </w:p>
    <w:p w14:paraId="0C2FCA28">
      <w:pPr>
        <w:keepNext w:val="0"/>
        <w:keepLines w:val="0"/>
        <w:pageBreakBefore w:val="0"/>
        <w:widowControl w:val="0"/>
        <w:numPr>
          <w:ilvl w:val="0"/>
          <w:numId w:val="25"/>
        </w:numPr>
        <w:kinsoku/>
        <w:wordWrap/>
        <w:overflowPunct/>
        <w:topLinePunct w:val="0"/>
        <w:autoSpaceDE/>
        <w:autoSpaceDN/>
        <w:bidi w:val="0"/>
        <w:adjustRightInd w:val="0"/>
        <w:snapToGrid w:val="0"/>
        <w:spacing w:before="0" w:beforeLines="50" w:after="0" w:afterLines="50" w:line="360" w:lineRule="auto"/>
        <w:ind w:left="0" w:leftChars="0" w:firstLine="0" w:firstLineChars="0"/>
        <w:jc w:val="left"/>
        <w:textAlignment w:val="auto"/>
        <w:outlineLvl w:val="1"/>
        <w:rPr>
          <w:rFonts w:hint="eastAsia" w:ascii="仿宋_GB2312" w:hAnsi="仿宋" w:eastAsia="仿宋_GB2312" w:cs="仿宋_GB2312"/>
          <w:b/>
          <w:color w:val="auto"/>
          <w:sz w:val="28"/>
          <w:szCs w:val="28"/>
          <w:highlight w:val="none"/>
        </w:rPr>
      </w:pPr>
      <w:r>
        <w:rPr>
          <w:rFonts w:hint="eastAsia" w:ascii="仿宋_GB2312" w:hAnsi="仿宋" w:eastAsia="仿宋_GB2312" w:cs="仿宋_GB2312"/>
          <w:b/>
          <w:color w:val="auto"/>
          <w:sz w:val="28"/>
          <w:szCs w:val="28"/>
          <w:highlight w:val="none"/>
        </w:rPr>
        <w:t>评审须知</w:t>
      </w:r>
    </w:p>
    <w:p w14:paraId="45589646">
      <w:pPr>
        <w:pStyle w:val="396"/>
        <w:numPr>
          <w:ilvl w:val="0"/>
          <w:numId w:val="0"/>
        </w:numPr>
        <w:spacing w:before="0"/>
        <w:ind w:left="397" w:leftChars="0"/>
        <w:rPr>
          <w:rFonts w:ascii="仿宋_GB2312" w:hAnsi="仿宋_GB2312" w:eastAsia="仿宋_GB2312" w:cs="仿宋_GB2312"/>
          <w:b/>
          <w:color w:val="auto"/>
          <w:szCs w:val="24"/>
          <w:highlight w:val="none"/>
        </w:rPr>
      </w:pPr>
      <w:r>
        <w:rPr>
          <w:rFonts w:hint="eastAsia" w:ascii="仿宋_GB2312" w:hAnsi="仿宋" w:eastAsia="仿宋_GB2312"/>
          <w:b/>
          <w:color w:val="auto"/>
          <w:szCs w:val="24"/>
          <w:highlight w:val="none"/>
          <w:lang w:val="en-US" w:eastAsia="zh-CN"/>
        </w:rPr>
        <w:t>1.</w:t>
      </w:r>
      <w:r>
        <w:rPr>
          <w:rFonts w:hint="eastAsia" w:ascii="仿宋_GB2312" w:hAnsi="仿宋" w:eastAsia="仿宋_GB2312"/>
          <w:b/>
          <w:color w:val="auto"/>
          <w:szCs w:val="24"/>
          <w:highlight w:val="none"/>
        </w:rPr>
        <w:t>响应文件的澄清</w:t>
      </w:r>
    </w:p>
    <w:p w14:paraId="2A8D2BD1">
      <w:pPr>
        <w:spacing w:line="360" w:lineRule="auto"/>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53E6CE21">
      <w:pPr>
        <w:pStyle w:val="396"/>
        <w:numPr>
          <w:ilvl w:val="0"/>
          <w:numId w:val="0"/>
        </w:numPr>
        <w:spacing w:before="0"/>
        <w:ind w:left="397" w:left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lang w:val="en-US" w:eastAsia="zh-CN"/>
        </w:rPr>
        <w:t>2.</w:t>
      </w:r>
      <w:r>
        <w:rPr>
          <w:rFonts w:hint="eastAsia" w:ascii="仿宋_GB2312" w:hAnsi="仿宋" w:eastAsia="仿宋_GB2312"/>
          <w:b/>
          <w:color w:val="auto"/>
          <w:szCs w:val="24"/>
          <w:highlight w:val="none"/>
        </w:rPr>
        <w:t>最后报价的修正原则</w:t>
      </w:r>
    </w:p>
    <w:p w14:paraId="514A2BB6">
      <w:pPr>
        <w:spacing w:line="360" w:lineRule="auto"/>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磋商小组对响应文件的最后报价进行审核，对发现计算、书写等错误的，按以下原则进行修正：</w:t>
      </w:r>
    </w:p>
    <w:p w14:paraId="1209891E">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2.1《最后报价一览表》内容与响应文件中响应内容不一致的，以《最后报价一览表》为准;</w:t>
      </w:r>
    </w:p>
    <w:p w14:paraId="3DC9395D">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2.2大写金额和小写金额不一致的，以大写金额为准;</w:t>
      </w:r>
    </w:p>
    <w:p w14:paraId="7AFD912D">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2.3单价金额小数点或者百分比有明显错位的，以《最后报价一览表》的总价为准，并修改单价;</w:t>
      </w:r>
    </w:p>
    <w:p w14:paraId="24389262">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2.4总价金额与按单价汇总金额不一致的，以单价金额计算结果为准。</w:t>
      </w:r>
    </w:p>
    <w:p w14:paraId="15E435A3">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2.5同时出现两种以上不一致的，按照前款规定的顺序修正。</w:t>
      </w:r>
    </w:p>
    <w:p w14:paraId="78D70B0D">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2.6以修正后的总价作为最后报价。</w:t>
      </w:r>
    </w:p>
    <w:p w14:paraId="2DCBC322">
      <w:pPr>
        <w:spacing w:line="360" w:lineRule="auto"/>
        <w:ind w:firstLine="480" w:firstLineChars="200"/>
        <w:rPr>
          <w:rFonts w:ascii="仿宋_GB2312" w:hAnsi="仿宋" w:eastAsia="仿宋_GB2312" w:cs="仿宋_GB2312"/>
          <w:b/>
          <w:bCs/>
          <w:color w:val="auto"/>
          <w:sz w:val="24"/>
          <w:highlight w:val="none"/>
        </w:rPr>
      </w:pPr>
      <w:r>
        <w:rPr>
          <w:rFonts w:hint="eastAsia" w:ascii="仿宋_GB2312" w:hAnsi="仿宋" w:eastAsia="仿宋_GB2312" w:cs="仿宋_GB2312"/>
          <w:bCs/>
          <w:color w:val="auto"/>
          <w:sz w:val="24"/>
          <w:highlight w:val="none"/>
        </w:rPr>
        <w:t>▲</w:t>
      </w:r>
      <w:r>
        <w:rPr>
          <w:rFonts w:hint="eastAsia" w:ascii="仿宋_GB2312" w:hAnsi="仿宋" w:eastAsia="仿宋_GB2312" w:cs="仿宋_GB2312"/>
          <w:b/>
          <w:bCs/>
          <w:color w:val="auto"/>
          <w:sz w:val="24"/>
          <w:highlight w:val="none"/>
        </w:rPr>
        <w:t>供应商对根据修正原则修正后的最后报价不确认的，响应无效。</w:t>
      </w:r>
    </w:p>
    <w:p w14:paraId="15B3BF30">
      <w:pPr>
        <w:pStyle w:val="396"/>
        <w:numPr>
          <w:ilvl w:val="0"/>
          <w:numId w:val="0"/>
        </w:numPr>
        <w:spacing w:before="0"/>
        <w:ind w:left="397" w:left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lang w:val="en-US" w:eastAsia="zh-CN"/>
        </w:rPr>
        <w:t>3.</w:t>
      </w:r>
      <w:r>
        <w:rPr>
          <w:rFonts w:hint="eastAsia" w:ascii="仿宋_GB2312" w:hAnsi="仿宋" w:eastAsia="仿宋_GB2312"/>
          <w:b/>
          <w:color w:val="auto"/>
          <w:szCs w:val="24"/>
          <w:highlight w:val="none"/>
        </w:rPr>
        <w:t>响应无效</w:t>
      </w:r>
    </w:p>
    <w:p w14:paraId="31EAB726">
      <w:pPr>
        <w:pStyle w:val="24"/>
        <w:spacing w:line="360" w:lineRule="auto"/>
        <w:ind w:firstLine="600" w:firstLineChars="250"/>
        <w:rPr>
          <w:rFonts w:ascii="仿宋_GB2312" w:hAnsi="仿宋" w:eastAsia="仿宋_GB2312"/>
          <w:color w:val="auto"/>
          <w:szCs w:val="21"/>
          <w:highlight w:val="none"/>
        </w:rPr>
      </w:pPr>
      <w:r>
        <w:rPr>
          <w:rFonts w:hint="eastAsia" w:ascii="仿宋_GB2312" w:hAnsi="仿宋" w:eastAsia="仿宋_GB2312" w:cs="仿宋_GB2312"/>
          <w:color w:val="auto"/>
          <w:szCs w:val="21"/>
          <w:highlight w:val="none"/>
        </w:rPr>
        <w:t>有下列情况之一的，响应无效</w:t>
      </w:r>
      <w:r>
        <w:rPr>
          <w:rFonts w:hint="eastAsia" w:ascii="仿宋_GB2312" w:hAnsi="仿宋" w:eastAsia="仿宋_GB2312"/>
          <w:color w:val="auto"/>
          <w:szCs w:val="21"/>
          <w:highlight w:val="none"/>
        </w:rPr>
        <w:t>：</w:t>
      </w:r>
    </w:p>
    <w:p w14:paraId="3ADB8F75">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3.1单位负责人为同一人或者存在直接控股、管理关系的不同供应商参加同一合同项下的政府采购活动的（均无效）；</w:t>
      </w:r>
    </w:p>
    <w:p w14:paraId="27EA0041">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 xml:space="preserve">3.2为采购项目提供整体设计、规范编制或者项目管理、监理、检测等服务的供应商再参加该采购项目的其他采购活动的； </w:t>
      </w:r>
    </w:p>
    <w:p w14:paraId="50C849F6">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3.3供应商不具备磋商文件中规定的资格要求的（供应商未提供有效的资格证明文件的，视为供应商不具备磋商文件中规定的资格要求）；</w:t>
      </w:r>
    </w:p>
    <w:p w14:paraId="5B4A5BB0">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3.4如以联合体形式参加政府采购活动的，联合协议不符合磋商文件规定的联合协议要求的；</w:t>
      </w:r>
    </w:p>
    <w:p w14:paraId="7B6990E6">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3.5响应文件未按磋商文件的澄清、修改的内容编制，又不符合实质性要求的；</w:t>
      </w:r>
    </w:p>
    <w:p w14:paraId="4C00682D">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3.6响应文件组成漏项，内容不全或内容字迹模糊辨认不清的；</w:t>
      </w:r>
    </w:p>
    <w:p w14:paraId="0C2C9E8B">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3.7响应文件中法人授权书所载内容与本项目内容有异的；</w:t>
      </w:r>
    </w:p>
    <w:p w14:paraId="587C44F6">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3.8响应文件未按照磋商文件要求签署、盖章的；</w:t>
      </w:r>
    </w:p>
    <w:p w14:paraId="052F6C6A">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3.9采购人拟采购的产品属于政府强制采购的节能产品品目清单范围的，供应商相应的响应产品未获得国家确定的认证机构出具的、处于有效期之内的节能产品认证证书的；</w:t>
      </w:r>
    </w:p>
    <w:p w14:paraId="5E55E8D7">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3.10响应文件含有采购人不能接受的附加条件的；</w:t>
      </w:r>
    </w:p>
    <w:p w14:paraId="3D956929">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3.11响应文件中承诺的响应有效期少于磋商文件中载明的响应有效期的；</w:t>
      </w:r>
    </w:p>
    <w:p w14:paraId="44229EBF">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3.12供应商所投内容不符合磋商文件中实质性要求的；</w:t>
      </w:r>
    </w:p>
    <w:p w14:paraId="1A2B8252">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3.13所提交的《最后报价一览表》中出现不是唯一的、有选择性的报价的;</w:t>
      </w:r>
    </w:p>
    <w:p w14:paraId="3AE77744">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3.14最后报价高于本项目采购预算或者最高限价的;</w:t>
      </w:r>
    </w:p>
    <w:p w14:paraId="60BDF7A5">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3.15最后报价明显低于其他供应商的最后报价，有可能影响产品质量或者不能诚信履约的，未能按要求提供书面说明或者提交相关证明材料，不能证明其报价合理性的;</w:t>
      </w:r>
    </w:p>
    <w:p w14:paraId="70A0EFE8">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3.16《最后报价一览表》填写不完整或字迹不能辨认或有漏项的；</w:t>
      </w:r>
    </w:p>
    <w:p w14:paraId="7D18E475">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3.17供应商对根据修正原则修正后的最后报价不确认的；</w:t>
      </w:r>
    </w:p>
    <w:p w14:paraId="184B5182">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3.18供应商提供虚假材料响应的（包括但不限于以下情节）；</w:t>
      </w:r>
    </w:p>
    <w:p w14:paraId="7E036780">
      <w:pPr>
        <w:pStyle w:val="396"/>
        <w:numPr>
          <w:ilvl w:val="0"/>
          <w:numId w:val="27"/>
        </w:numPr>
        <w:spacing w:before="0"/>
        <w:ind w:left="425" w:leftChars="0" w:firstLine="63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使用伪造、变造的许可证件；</w:t>
      </w:r>
    </w:p>
    <w:p w14:paraId="3D26E80F">
      <w:pPr>
        <w:pStyle w:val="396"/>
        <w:numPr>
          <w:ilvl w:val="0"/>
          <w:numId w:val="27"/>
        </w:numPr>
        <w:spacing w:before="0"/>
        <w:ind w:left="425" w:leftChars="0" w:firstLine="63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提供虚假的财务状况或者业绩；</w:t>
      </w:r>
    </w:p>
    <w:p w14:paraId="05989599">
      <w:pPr>
        <w:pStyle w:val="396"/>
        <w:numPr>
          <w:ilvl w:val="0"/>
          <w:numId w:val="27"/>
        </w:numPr>
        <w:spacing w:before="0"/>
        <w:ind w:left="425" w:leftChars="0" w:firstLine="63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提供虚假的项目负责人或者主要技术人员简历、劳动关系证明；</w:t>
      </w:r>
    </w:p>
    <w:p w14:paraId="049CB013">
      <w:pPr>
        <w:pStyle w:val="396"/>
        <w:numPr>
          <w:ilvl w:val="0"/>
          <w:numId w:val="27"/>
        </w:numPr>
        <w:spacing w:before="0"/>
        <w:ind w:left="425" w:leftChars="0" w:firstLine="63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提供虚假的信用状况；</w:t>
      </w:r>
    </w:p>
    <w:p w14:paraId="543F8A96">
      <w:pPr>
        <w:pStyle w:val="396"/>
        <w:numPr>
          <w:ilvl w:val="0"/>
          <w:numId w:val="27"/>
        </w:numPr>
        <w:spacing w:before="0"/>
        <w:ind w:left="425" w:leftChars="0" w:firstLine="63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其他弄虚作假的行为。</w:t>
      </w:r>
    </w:p>
    <w:p w14:paraId="17548B28">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3.19供应商有恶意串通、妨碍其他供应商的竞争行为、损害采购人或者其他供应商的合法权益情形的。</w:t>
      </w:r>
    </w:p>
    <w:p w14:paraId="2ADCF010">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有下列情形之一的，属于或视为恶意串通，其响应无效：</w:t>
      </w:r>
    </w:p>
    <w:p w14:paraId="450BD775">
      <w:pPr>
        <w:pStyle w:val="396"/>
        <w:numPr>
          <w:ilvl w:val="0"/>
          <w:numId w:val="28"/>
        </w:numPr>
        <w:spacing w:before="0"/>
        <w:ind w:left="5" w:leftChars="0" w:firstLine="41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供应商直接或者间接从采购人或者</w:t>
      </w:r>
      <w:r>
        <w:rPr>
          <w:rFonts w:hint="eastAsia" w:ascii="仿宋_GB2312" w:hAnsi="仿宋" w:eastAsia="仿宋_GB2312"/>
          <w:b/>
          <w:color w:val="auto"/>
          <w:szCs w:val="24"/>
          <w:highlight w:val="none"/>
          <w:lang w:eastAsia="zh-CN"/>
        </w:rPr>
        <w:t>采购代理机构</w:t>
      </w:r>
      <w:r>
        <w:rPr>
          <w:rFonts w:hint="eastAsia" w:ascii="仿宋_GB2312" w:hAnsi="仿宋" w:eastAsia="仿宋_GB2312"/>
          <w:b/>
          <w:color w:val="auto"/>
          <w:szCs w:val="24"/>
          <w:highlight w:val="none"/>
        </w:rPr>
        <w:t>处获得其他供应商的相关情况并修改其响应文件；</w:t>
      </w:r>
    </w:p>
    <w:p w14:paraId="0C42C19D">
      <w:pPr>
        <w:pStyle w:val="396"/>
        <w:numPr>
          <w:ilvl w:val="0"/>
          <w:numId w:val="28"/>
        </w:numPr>
        <w:spacing w:before="0"/>
        <w:ind w:left="5" w:leftChars="0" w:firstLine="41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供应商按照采购人或者</w:t>
      </w:r>
      <w:r>
        <w:rPr>
          <w:rFonts w:hint="eastAsia" w:ascii="仿宋_GB2312" w:hAnsi="仿宋" w:eastAsia="仿宋_GB2312"/>
          <w:b/>
          <w:color w:val="auto"/>
          <w:szCs w:val="24"/>
          <w:highlight w:val="none"/>
          <w:lang w:eastAsia="zh-CN"/>
        </w:rPr>
        <w:t>采购代理机构</w:t>
      </w:r>
      <w:r>
        <w:rPr>
          <w:rFonts w:hint="eastAsia" w:ascii="仿宋_GB2312" w:hAnsi="仿宋" w:eastAsia="仿宋_GB2312"/>
          <w:b/>
          <w:color w:val="auto"/>
          <w:szCs w:val="24"/>
          <w:highlight w:val="none"/>
        </w:rPr>
        <w:t>的授意撤换、修改投标文件或者响应文件；</w:t>
      </w:r>
    </w:p>
    <w:p w14:paraId="00B00C9E">
      <w:pPr>
        <w:pStyle w:val="396"/>
        <w:numPr>
          <w:ilvl w:val="0"/>
          <w:numId w:val="28"/>
        </w:numPr>
        <w:spacing w:before="0"/>
        <w:ind w:left="5" w:leftChars="0" w:firstLine="41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供应商之间协商报价、技术方案等投标文件或者响应文件的实质性内容；</w:t>
      </w:r>
    </w:p>
    <w:p w14:paraId="49407B86">
      <w:pPr>
        <w:pStyle w:val="396"/>
        <w:numPr>
          <w:ilvl w:val="0"/>
          <w:numId w:val="28"/>
        </w:numPr>
        <w:spacing w:before="0"/>
        <w:ind w:left="5" w:leftChars="0" w:firstLine="41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属于同一集团、协会、商会等组织成员的供应商按照该组织要求协同参加政府采购活动；</w:t>
      </w:r>
    </w:p>
    <w:p w14:paraId="5C946F12">
      <w:pPr>
        <w:pStyle w:val="396"/>
        <w:numPr>
          <w:ilvl w:val="0"/>
          <w:numId w:val="28"/>
        </w:numPr>
        <w:spacing w:before="0"/>
        <w:ind w:left="5" w:leftChars="0" w:firstLine="41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供应商之间事先约定由某一特定供应商中标、成交；</w:t>
      </w:r>
    </w:p>
    <w:p w14:paraId="68E873D2">
      <w:pPr>
        <w:pStyle w:val="396"/>
        <w:numPr>
          <w:ilvl w:val="0"/>
          <w:numId w:val="28"/>
        </w:numPr>
        <w:spacing w:before="0"/>
        <w:ind w:left="5" w:leftChars="0" w:firstLine="41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供应商之间商定部分供应商放弃参加政府采购活动或者放弃中标、成交；</w:t>
      </w:r>
    </w:p>
    <w:p w14:paraId="76BF095B">
      <w:pPr>
        <w:pStyle w:val="396"/>
        <w:numPr>
          <w:ilvl w:val="0"/>
          <w:numId w:val="28"/>
        </w:numPr>
        <w:spacing w:before="0"/>
        <w:ind w:left="5" w:leftChars="0" w:firstLine="41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供应商与采购人或者</w:t>
      </w:r>
      <w:r>
        <w:rPr>
          <w:rFonts w:hint="eastAsia" w:ascii="仿宋_GB2312" w:hAnsi="仿宋" w:eastAsia="仿宋_GB2312"/>
          <w:b/>
          <w:color w:val="auto"/>
          <w:szCs w:val="24"/>
          <w:highlight w:val="none"/>
          <w:lang w:eastAsia="zh-CN"/>
        </w:rPr>
        <w:t>采购代理机构</w:t>
      </w:r>
      <w:r>
        <w:rPr>
          <w:rFonts w:hint="eastAsia" w:ascii="仿宋_GB2312" w:hAnsi="仿宋" w:eastAsia="仿宋_GB2312"/>
          <w:b/>
          <w:color w:val="auto"/>
          <w:szCs w:val="24"/>
          <w:highlight w:val="none"/>
        </w:rPr>
        <w:t>之间、供应商相互之间，为谋求特定供应商中标、成交或者排斥其他供应商的其他串通行为。</w:t>
      </w:r>
    </w:p>
    <w:p w14:paraId="6E653C09">
      <w:pPr>
        <w:pStyle w:val="396"/>
        <w:numPr>
          <w:ilvl w:val="0"/>
          <w:numId w:val="28"/>
        </w:numPr>
        <w:spacing w:before="0"/>
        <w:ind w:left="5" w:leftChars="0" w:firstLine="41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不同供应商的响应文件由同一单位或者个人编制；</w:t>
      </w:r>
    </w:p>
    <w:p w14:paraId="6F789BF4">
      <w:pPr>
        <w:pStyle w:val="396"/>
        <w:numPr>
          <w:ilvl w:val="0"/>
          <w:numId w:val="28"/>
        </w:numPr>
        <w:spacing w:before="0"/>
        <w:ind w:left="5" w:leftChars="0" w:firstLine="41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不同供应商委托同一单位或者个人办理响应事宜；</w:t>
      </w:r>
    </w:p>
    <w:p w14:paraId="14BD8021">
      <w:pPr>
        <w:pStyle w:val="396"/>
        <w:numPr>
          <w:ilvl w:val="0"/>
          <w:numId w:val="28"/>
        </w:numPr>
        <w:spacing w:before="0"/>
        <w:ind w:left="5" w:leftChars="0" w:firstLine="41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不同供应商的响应文件载明的项目管理成员或者联系人员为同一人；</w:t>
      </w:r>
    </w:p>
    <w:p w14:paraId="671DF38E">
      <w:pPr>
        <w:pStyle w:val="396"/>
        <w:numPr>
          <w:ilvl w:val="0"/>
          <w:numId w:val="28"/>
        </w:numPr>
        <w:spacing w:before="0"/>
        <w:ind w:left="5" w:leftChars="0" w:firstLine="41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不同供应商的响应文件异常一致或者最后报价呈规律性差异；</w:t>
      </w:r>
    </w:p>
    <w:p w14:paraId="3C4EBC87">
      <w:pPr>
        <w:pStyle w:val="396"/>
        <w:numPr>
          <w:ilvl w:val="0"/>
          <w:numId w:val="28"/>
        </w:numPr>
        <w:spacing w:before="0"/>
        <w:ind w:left="5" w:leftChars="0" w:firstLine="415"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不同供应商的响应文件相互混装。</w:t>
      </w:r>
    </w:p>
    <w:p w14:paraId="17C71F7A">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3.20供应商仅提交备份响应文件，没有在电子交易平台传输提交响应文件的，响应无效；</w:t>
      </w:r>
    </w:p>
    <w:p w14:paraId="04E2FC74">
      <w:pPr>
        <w:pStyle w:val="396"/>
        <w:numPr>
          <w:ilvl w:val="0"/>
          <w:numId w:val="0"/>
        </w:numPr>
        <w:spacing w:before="0"/>
        <w:ind w:firstLine="482" w:firstLineChars="200"/>
        <w:rPr>
          <w:rFonts w:hint="eastAsia" w:ascii="仿宋_GB2312" w:hAnsi="仿宋" w:eastAsia="仿宋"/>
          <w:b/>
          <w:color w:val="auto"/>
          <w:szCs w:val="24"/>
          <w:highlight w:val="none"/>
          <w:lang w:eastAsia="zh-CN"/>
        </w:rPr>
      </w:pPr>
      <w:r>
        <w:rPr>
          <w:rFonts w:hint="eastAsia" w:ascii="仿宋" w:hAnsi="仿宋" w:eastAsia="仿宋" w:cs="仿宋"/>
          <w:b/>
          <w:bCs/>
          <w:kern w:val="0"/>
          <w:sz w:val="24"/>
          <w:highlight w:val="none"/>
          <w:lang w:val="en-US" w:eastAsia="zh-CN"/>
        </w:rPr>
        <w:t>3.21</w:t>
      </w:r>
      <w:r>
        <w:rPr>
          <w:rFonts w:hint="eastAsia" w:ascii="仿宋" w:hAnsi="仿宋" w:eastAsia="仿宋" w:cs="仿宋"/>
          <w:b/>
          <w:bCs/>
          <w:kern w:val="0"/>
          <w:sz w:val="24"/>
          <w:highlight w:val="none"/>
        </w:rPr>
        <w:t>参与同一个采购包（标段）的供应商存在下列情形之一</w:t>
      </w:r>
      <w:r>
        <w:rPr>
          <w:rFonts w:hint="eastAsia" w:ascii="仿宋" w:hAnsi="仿宋" w:eastAsia="仿宋" w:cs="仿宋"/>
          <w:b/>
          <w:bCs/>
          <w:kern w:val="0"/>
          <w:sz w:val="24"/>
          <w:highlight w:val="none"/>
          <w:lang w:eastAsia="zh-CN"/>
        </w:rPr>
        <w:t>，</w:t>
      </w:r>
      <w:r>
        <w:rPr>
          <w:rFonts w:hint="eastAsia" w:ascii="仿宋" w:hAnsi="仿宋" w:eastAsia="仿宋" w:cs="仿宋"/>
          <w:b/>
          <w:bCs/>
          <w:kern w:val="0"/>
          <w:sz w:val="24"/>
          <w:highlight w:val="none"/>
        </w:rPr>
        <w:t>且无法合理解释的，其投标（响应）文件无效：（1）</w:t>
      </w:r>
      <w:r>
        <w:rPr>
          <w:rFonts w:hint="eastAsia" w:ascii="仿宋_GB2312" w:hAnsi="仿宋" w:eastAsia="仿宋_GB2312" w:cs="仿宋"/>
          <w:b/>
          <w:bCs/>
          <w:kern w:val="0"/>
          <w:sz w:val="24"/>
          <w:highlight w:val="none"/>
        </w:rPr>
        <w:t>不同供应商的电子投标（响应）文件上传计算机的网卡MAC地址、CPU序列号和硬盘序列号等硬件信息相同的</w:t>
      </w:r>
      <w:r>
        <w:rPr>
          <w:rFonts w:hint="eastAsia" w:ascii="仿宋" w:hAnsi="仿宋" w:eastAsia="仿宋" w:cs="仿宋"/>
          <w:b/>
          <w:bCs/>
          <w:kern w:val="0"/>
          <w:sz w:val="24"/>
          <w:highlight w:val="none"/>
        </w:rPr>
        <w:t>；（2）上传的电子投标（响应）文件若出现使用本项目其他投标（响应）人的数字证书加密的，或者加盖本项目其他投标（响应）人的电子印章的；（3）不同供应商的投标（响应）文件的内容存在</w:t>
      </w:r>
      <w:r>
        <w:rPr>
          <w:rFonts w:hint="eastAsia" w:ascii="仿宋" w:hAnsi="仿宋" w:eastAsia="仿宋" w:cs="仿宋"/>
          <w:b/>
          <w:bCs/>
          <w:kern w:val="0"/>
          <w:sz w:val="24"/>
          <w:highlight w:val="none"/>
          <w:lang w:val="en-US" w:eastAsia="zh-CN"/>
        </w:rPr>
        <w:t>3</w:t>
      </w:r>
      <w:r>
        <w:rPr>
          <w:rFonts w:hint="eastAsia" w:ascii="仿宋" w:hAnsi="仿宋" w:eastAsia="仿宋" w:cs="仿宋"/>
          <w:b/>
          <w:bCs/>
          <w:kern w:val="0"/>
          <w:sz w:val="24"/>
          <w:highlight w:val="none"/>
        </w:rPr>
        <w:t>处</w:t>
      </w:r>
      <w:r>
        <w:rPr>
          <w:rFonts w:hint="eastAsia" w:ascii="仿宋" w:hAnsi="仿宋" w:eastAsia="仿宋" w:cs="仿宋"/>
          <w:b/>
          <w:bCs/>
          <w:kern w:val="0"/>
          <w:sz w:val="24"/>
          <w:highlight w:val="none"/>
          <w:lang w:eastAsia="zh-CN"/>
        </w:rPr>
        <w:t>（</w:t>
      </w:r>
      <w:r>
        <w:rPr>
          <w:rFonts w:hint="eastAsia" w:ascii="仿宋" w:hAnsi="仿宋" w:eastAsia="仿宋" w:cs="仿宋"/>
          <w:b/>
          <w:bCs/>
          <w:kern w:val="0"/>
          <w:sz w:val="24"/>
          <w:highlight w:val="none"/>
          <w:lang w:val="en-US" w:eastAsia="zh-CN"/>
        </w:rPr>
        <w:t>含</w:t>
      </w:r>
      <w:r>
        <w:rPr>
          <w:rFonts w:hint="eastAsia" w:ascii="仿宋" w:hAnsi="仿宋" w:eastAsia="仿宋" w:cs="仿宋"/>
          <w:b/>
          <w:bCs/>
          <w:kern w:val="0"/>
          <w:sz w:val="24"/>
          <w:highlight w:val="none"/>
          <w:lang w:eastAsia="zh-CN"/>
        </w:rPr>
        <w:t>）</w:t>
      </w:r>
      <w:r>
        <w:rPr>
          <w:rFonts w:hint="eastAsia" w:ascii="仿宋" w:hAnsi="仿宋" w:eastAsia="仿宋" w:cs="仿宋"/>
          <w:b/>
          <w:bCs/>
          <w:kern w:val="0"/>
          <w:sz w:val="24"/>
          <w:highlight w:val="none"/>
        </w:rPr>
        <w:t>以上细节错误一致的；（4）不同供应商联系人为同一人或不同联系人的联系电话一致</w:t>
      </w:r>
      <w:r>
        <w:rPr>
          <w:rFonts w:hint="eastAsia" w:ascii="仿宋" w:hAnsi="仿宋" w:eastAsia="仿宋" w:cs="仿宋"/>
          <w:b/>
          <w:bCs/>
          <w:kern w:val="0"/>
          <w:sz w:val="24"/>
          <w:highlight w:val="none"/>
          <w:lang w:eastAsia="zh-CN"/>
        </w:rPr>
        <w:t>。</w:t>
      </w:r>
    </w:p>
    <w:p w14:paraId="49AFE8A5">
      <w:pPr>
        <w:pStyle w:val="396"/>
        <w:numPr>
          <w:ilvl w:val="0"/>
          <w:numId w:val="0"/>
        </w:numPr>
        <w:spacing w:before="0"/>
        <w:ind w:firstLine="482" w:firstLineChars="20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3.2</w:t>
      </w:r>
      <w:r>
        <w:rPr>
          <w:rFonts w:hint="eastAsia" w:ascii="仿宋_GB2312" w:hAnsi="仿宋" w:eastAsia="仿宋_GB2312"/>
          <w:b/>
          <w:color w:val="auto"/>
          <w:szCs w:val="24"/>
          <w:highlight w:val="none"/>
          <w:lang w:val="en-US" w:eastAsia="zh-CN"/>
        </w:rPr>
        <w:t>2</w:t>
      </w:r>
      <w:r>
        <w:rPr>
          <w:rFonts w:hint="eastAsia" w:ascii="仿宋_GB2312" w:hAnsi="仿宋" w:eastAsia="仿宋_GB2312"/>
          <w:b/>
          <w:color w:val="auto"/>
          <w:szCs w:val="24"/>
          <w:highlight w:val="none"/>
        </w:rPr>
        <w:t>法律、法规、规章（适用本市的）及省级以上规范性文件（适用本市的）规定的其他无效情形。</w:t>
      </w:r>
    </w:p>
    <w:p w14:paraId="2E94DBB7">
      <w:pPr>
        <w:pStyle w:val="396"/>
        <w:numPr>
          <w:ilvl w:val="0"/>
          <w:numId w:val="0"/>
        </w:numPr>
        <w:spacing w:before="0"/>
        <w:ind w:left="397" w:left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lang w:val="en-US" w:eastAsia="zh-CN"/>
        </w:rPr>
        <w:t>4.</w:t>
      </w:r>
      <w:r>
        <w:rPr>
          <w:rFonts w:hint="eastAsia" w:ascii="仿宋_GB2312" w:hAnsi="仿宋" w:eastAsia="仿宋_GB2312"/>
          <w:b/>
          <w:color w:val="auto"/>
          <w:szCs w:val="24"/>
          <w:highlight w:val="none"/>
        </w:rPr>
        <w:t>重新开展采购活动</w:t>
      </w:r>
    </w:p>
    <w:p w14:paraId="604E45F0">
      <w:pPr>
        <w:spacing w:line="360" w:lineRule="auto"/>
        <w:ind w:firstLine="407" w:firstLineChars="194"/>
        <w:rPr>
          <w:rFonts w:ascii="仿宋_GB2312" w:hAnsi="仿宋" w:eastAsia="仿宋_GB2312"/>
          <w:color w:val="auto"/>
          <w:sz w:val="24"/>
          <w:szCs w:val="21"/>
          <w:highlight w:val="none"/>
        </w:rPr>
      </w:pPr>
      <w:r>
        <w:rPr>
          <w:rFonts w:hint="eastAsia" w:ascii="仿宋_GB2312" w:hAnsi="仿宋" w:eastAsia="仿宋_GB2312" w:cs="Arial"/>
          <w:color w:val="auto"/>
          <w:szCs w:val="21"/>
          <w:highlight w:val="none"/>
        </w:rPr>
        <w:t xml:space="preserve"> </w:t>
      </w:r>
      <w:r>
        <w:rPr>
          <w:rFonts w:hint="eastAsia" w:ascii="仿宋_GB2312" w:hAnsi="仿宋" w:eastAsia="仿宋_GB2312"/>
          <w:color w:val="auto"/>
          <w:sz w:val="24"/>
          <w:szCs w:val="21"/>
          <w:highlight w:val="none"/>
        </w:rPr>
        <w:t>出现下列情形之一的，</w:t>
      </w:r>
      <w:r>
        <w:rPr>
          <w:rFonts w:hint="eastAsia" w:ascii="仿宋_GB2312" w:hAnsi="仿宋" w:eastAsia="仿宋_GB2312"/>
          <w:color w:val="auto"/>
          <w:sz w:val="24"/>
          <w:szCs w:val="21"/>
          <w:highlight w:val="none"/>
          <w:lang w:eastAsia="zh-CN"/>
        </w:rPr>
        <w:t>采购代理机构</w:t>
      </w:r>
      <w:r>
        <w:rPr>
          <w:rFonts w:hint="eastAsia" w:ascii="仿宋_GB2312" w:hAnsi="仿宋" w:eastAsia="仿宋_GB2312"/>
          <w:color w:val="auto"/>
          <w:sz w:val="24"/>
          <w:szCs w:val="21"/>
          <w:highlight w:val="none"/>
        </w:rPr>
        <w:t>应当终止竞争性磋商采购活动，通过电子交易平台发布项目终止公告并说明原因，重新开展采购活动：</w:t>
      </w:r>
    </w:p>
    <w:p w14:paraId="3B782B56">
      <w:pPr>
        <w:pStyle w:val="396"/>
        <w:numPr>
          <w:ilvl w:val="0"/>
          <w:numId w:val="29"/>
        </w:numPr>
        <w:spacing w:before="0"/>
        <w:ind w:left="8" w:leftChars="0" w:firstLine="412"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因情况变化，不再符合规定的竞争性磋商采购方式适用情形的；</w:t>
      </w:r>
    </w:p>
    <w:p w14:paraId="050909C1">
      <w:pPr>
        <w:pStyle w:val="396"/>
        <w:numPr>
          <w:ilvl w:val="0"/>
          <w:numId w:val="29"/>
        </w:numPr>
        <w:spacing w:before="0"/>
        <w:ind w:left="8" w:leftChars="0" w:firstLine="412"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出现影响采购公正的违法、违规行为的；</w:t>
      </w:r>
    </w:p>
    <w:p w14:paraId="5A8B52A5">
      <w:pPr>
        <w:pStyle w:val="396"/>
        <w:numPr>
          <w:ilvl w:val="0"/>
          <w:numId w:val="29"/>
        </w:numPr>
        <w:spacing w:before="0"/>
        <w:ind w:left="8" w:leftChars="0" w:firstLine="412" w:firstLine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rPr>
        <w:t>在采购过程中符合要求的供应商或者最后报价未超过采购预算的供应商不足3家的（有特殊规定的从其规定）。</w:t>
      </w:r>
    </w:p>
    <w:p w14:paraId="3C571B2E">
      <w:pPr>
        <w:pStyle w:val="396"/>
        <w:numPr>
          <w:ilvl w:val="0"/>
          <w:numId w:val="0"/>
        </w:numPr>
        <w:spacing w:before="0"/>
        <w:ind w:left="397" w:leftChars="0"/>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lang w:val="en-US" w:eastAsia="zh-CN"/>
        </w:rPr>
        <w:t>5.</w:t>
      </w:r>
      <w:r>
        <w:rPr>
          <w:rFonts w:hint="eastAsia" w:ascii="仿宋_GB2312" w:hAnsi="仿宋" w:eastAsia="仿宋_GB2312"/>
          <w:b/>
          <w:color w:val="auto"/>
          <w:szCs w:val="24"/>
          <w:highlight w:val="none"/>
        </w:rPr>
        <w:t>终止采购活动</w:t>
      </w:r>
    </w:p>
    <w:p w14:paraId="466DE86F">
      <w:pPr>
        <w:spacing w:line="360" w:lineRule="auto"/>
        <w:ind w:firstLine="465" w:firstLineChars="194"/>
        <w:rPr>
          <w:rFonts w:ascii="仿宋_GB2312" w:hAnsi="仿宋" w:eastAsia="仿宋_GB2312"/>
          <w:color w:val="auto"/>
          <w:sz w:val="24"/>
          <w:szCs w:val="21"/>
          <w:highlight w:val="none"/>
        </w:rPr>
      </w:pPr>
      <w:r>
        <w:rPr>
          <w:rFonts w:hint="eastAsia" w:ascii="仿宋_GB2312" w:hAnsi="仿宋" w:eastAsia="仿宋_GB2312"/>
          <w:color w:val="auto"/>
          <w:sz w:val="24"/>
          <w:szCs w:val="21"/>
          <w:highlight w:val="none"/>
        </w:rPr>
        <w:t>在采购活动中因重大变故，采购任务取消的，</w:t>
      </w:r>
      <w:r>
        <w:rPr>
          <w:rFonts w:hint="eastAsia" w:ascii="仿宋_GB2312" w:hAnsi="仿宋" w:eastAsia="仿宋_GB2312"/>
          <w:color w:val="auto"/>
          <w:sz w:val="24"/>
          <w:szCs w:val="21"/>
          <w:highlight w:val="none"/>
          <w:lang w:eastAsia="zh-CN"/>
        </w:rPr>
        <w:t>采购代理机构</w:t>
      </w:r>
      <w:r>
        <w:rPr>
          <w:rFonts w:hint="eastAsia" w:ascii="仿宋_GB2312" w:hAnsi="仿宋" w:eastAsia="仿宋_GB2312"/>
          <w:color w:val="auto"/>
          <w:sz w:val="24"/>
          <w:szCs w:val="21"/>
          <w:highlight w:val="none"/>
        </w:rPr>
        <w:t>将终止采购活动，通过电子交易平台通知所有参加采购活动的供应商，并将项目实施情况和采购任务取消原因报送本级财政部门。</w:t>
      </w:r>
    </w:p>
    <w:p w14:paraId="14059B5A">
      <w:pPr>
        <w:pStyle w:val="396"/>
        <w:numPr>
          <w:ilvl w:val="0"/>
          <w:numId w:val="0"/>
        </w:numPr>
        <w:spacing w:before="0"/>
        <w:ind w:left="17" w:leftChars="0" w:firstLine="381" w:firstLineChars="158"/>
        <w:rPr>
          <w:rFonts w:hint="eastAsia" w:ascii="仿宋_GB2312" w:hAnsi="仿宋" w:eastAsia="仿宋_GB2312"/>
          <w:b/>
          <w:color w:val="auto"/>
          <w:szCs w:val="24"/>
          <w:highlight w:val="none"/>
        </w:rPr>
      </w:pPr>
      <w:r>
        <w:rPr>
          <w:rFonts w:hint="eastAsia" w:ascii="仿宋_GB2312" w:hAnsi="仿宋" w:eastAsia="仿宋_GB2312"/>
          <w:b/>
          <w:color w:val="auto"/>
          <w:szCs w:val="24"/>
          <w:highlight w:val="none"/>
          <w:lang w:val="en-US" w:eastAsia="zh-CN"/>
        </w:rPr>
        <w:t>6.</w:t>
      </w:r>
      <w:r>
        <w:rPr>
          <w:rFonts w:hint="eastAsia" w:ascii="仿宋_GB2312" w:hAnsi="仿宋" w:eastAsia="仿宋_GB2312"/>
          <w:b/>
          <w:color w:val="auto"/>
          <w:szCs w:val="24"/>
          <w:highlight w:val="none"/>
          <w:lang w:eastAsia="zh-CN"/>
        </w:rPr>
        <w:t>采购代理机构</w:t>
      </w:r>
      <w:r>
        <w:rPr>
          <w:rFonts w:hint="eastAsia" w:ascii="仿宋_GB2312" w:hAnsi="仿宋" w:eastAsia="仿宋_GB2312"/>
          <w:b/>
          <w:color w:val="auto"/>
          <w:szCs w:val="24"/>
          <w:highlight w:val="none"/>
        </w:rPr>
        <w:t>有权对磋商小组各成员的评分情况和评审意见进行合理性和合规性审查，如发现磋商小组成员的评审意见带有明显倾向性，或不按规定程序和标准评审、计分的，磋商小组成员应进行书面澄清和说明；磋商小组成员拒不接受</w:t>
      </w:r>
      <w:r>
        <w:rPr>
          <w:rFonts w:hint="eastAsia" w:ascii="仿宋_GB2312" w:hAnsi="仿宋" w:eastAsia="仿宋_GB2312"/>
          <w:b/>
          <w:color w:val="auto"/>
          <w:szCs w:val="24"/>
          <w:highlight w:val="none"/>
          <w:lang w:eastAsia="zh-CN"/>
        </w:rPr>
        <w:t>采购代理机构</w:t>
      </w:r>
      <w:r>
        <w:rPr>
          <w:rFonts w:hint="eastAsia" w:ascii="仿宋_GB2312" w:hAnsi="仿宋" w:eastAsia="仿宋_GB2312"/>
          <w:b/>
          <w:color w:val="auto"/>
          <w:szCs w:val="24"/>
          <w:highlight w:val="none"/>
        </w:rPr>
        <w:t>审查的，</w:t>
      </w:r>
      <w:r>
        <w:rPr>
          <w:rFonts w:hint="eastAsia" w:ascii="仿宋_GB2312" w:hAnsi="仿宋" w:eastAsia="仿宋_GB2312"/>
          <w:b/>
          <w:color w:val="auto"/>
          <w:szCs w:val="24"/>
          <w:highlight w:val="none"/>
          <w:lang w:eastAsia="zh-CN"/>
        </w:rPr>
        <w:t>采购代理机构</w:t>
      </w:r>
      <w:r>
        <w:rPr>
          <w:rFonts w:hint="eastAsia" w:ascii="仿宋_GB2312" w:hAnsi="仿宋" w:eastAsia="仿宋_GB2312"/>
          <w:b/>
          <w:color w:val="auto"/>
          <w:szCs w:val="24"/>
          <w:highlight w:val="none"/>
        </w:rPr>
        <w:t>将向同级政府采购监督管理部门报告并予以处理。</w:t>
      </w:r>
    </w:p>
    <w:p w14:paraId="54C3D309">
      <w:pPr>
        <w:keepNext w:val="0"/>
        <w:keepLines w:val="0"/>
        <w:pageBreakBefore w:val="0"/>
        <w:widowControl w:val="0"/>
        <w:numPr>
          <w:ilvl w:val="0"/>
          <w:numId w:val="25"/>
        </w:numPr>
        <w:kinsoku/>
        <w:wordWrap/>
        <w:overflowPunct/>
        <w:topLinePunct w:val="0"/>
        <w:autoSpaceDE/>
        <w:autoSpaceDN/>
        <w:bidi w:val="0"/>
        <w:adjustRightInd w:val="0"/>
        <w:snapToGrid w:val="0"/>
        <w:spacing w:before="0" w:beforeLines="50" w:after="0" w:afterLines="50" w:line="360" w:lineRule="auto"/>
        <w:ind w:left="0" w:leftChars="0" w:firstLine="0" w:firstLineChars="0"/>
        <w:jc w:val="left"/>
        <w:textAlignment w:val="auto"/>
        <w:outlineLvl w:val="1"/>
        <w:rPr>
          <w:rFonts w:hint="eastAsia" w:ascii="仿宋_GB2312" w:hAnsi="仿宋" w:eastAsia="仿宋_GB2312" w:cs="仿宋_GB2312"/>
          <w:b/>
          <w:color w:val="auto"/>
          <w:sz w:val="28"/>
          <w:szCs w:val="28"/>
          <w:highlight w:val="none"/>
        </w:rPr>
      </w:pPr>
      <w:r>
        <w:rPr>
          <w:rFonts w:hint="eastAsia" w:ascii="仿宋_GB2312" w:hAnsi="仿宋" w:eastAsia="仿宋_GB2312" w:cs="仿宋_GB2312"/>
          <w:b/>
          <w:color w:val="auto"/>
          <w:sz w:val="28"/>
          <w:szCs w:val="28"/>
          <w:highlight w:val="none"/>
        </w:rPr>
        <w:t>评审过程的保密与录像</w:t>
      </w:r>
    </w:p>
    <w:p w14:paraId="3B7ACD28">
      <w:pPr>
        <w:widowControl/>
        <w:numPr>
          <w:ilvl w:val="0"/>
          <w:numId w:val="0"/>
        </w:numPr>
        <w:spacing w:line="360" w:lineRule="auto"/>
        <w:ind w:left="17" w:leftChars="0" w:firstLine="381" w:firstLineChars="158"/>
        <w:rPr>
          <w:rFonts w:ascii="仿宋_GB2312" w:hAnsi="仿宋" w:eastAsia="仿宋_GB2312" w:cs="仿宋_GB2312"/>
          <w:color w:val="auto"/>
          <w:sz w:val="24"/>
          <w:highlight w:val="none"/>
        </w:rPr>
      </w:pPr>
      <w:r>
        <w:rPr>
          <w:rFonts w:hint="eastAsia" w:ascii="仿宋_GB2312" w:hAnsi="仿宋" w:eastAsia="仿宋_GB2312" w:cs="仿宋_GB2312"/>
          <w:b/>
          <w:color w:val="auto"/>
          <w:sz w:val="24"/>
          <w:highlight w:val="none"/>
          <w:lang w:val="en-US" w:eastAsia="zh-CN"/>
        </w:rPr>
        <w:t>1.</w:t>
      </w:r>
      <w:r>
        <w:rPr>
          <w:rFonts w:hint="eastAsia" w:ascii="仿宋_GB2312" w:hAnsi="仿宋" w:eastAsia="仿宋_GB2312" w:cs="仿宋_GB2312"/>
          <w:b/>
          <w:color w:val="auto"/>
          <w:sz w:val="24"/>
          <w:highlight w:val="none"/>
        </w:rPr>
        <w:t>保密。</w:t>
      </w:r>
      <w:r>
        <w:rPr>
          <w:rFonts w:hint="eastAsia" w:ascii="仿宋_GB2312" w:hAnsi="仿宋" w:eastAsia="仿宋_GB2312" w:cs="仿宋_GB2312"/>
          <w:color w:val="auto"/>
          <w:sz w:val="24"/>
          <w:highlight w:val="none"/>
        </w:rPr>
        <w:t>评审活动在严格保密的情况下进行。评审过程中凡是与采购响应文件评审和比较、成交人推荐等评审有关的情况，以及涉及国家秘密和商业秘密等信息，磋商小组成员、采购人和</w:t>
      </w:r>
      <w:r>
        <w:rPr>
          <w:rFonts w:hint="eastAsia" w:ascii="仿宋_GB2312" w:hAnsi="仿宋" w:eastAsia="仿宋_GB2312" w:cs="仿宋_GB2312"/>
          <w:color w:val="auto"/>
          <w:sz w:val="24"/>
          <w:highlight w:val="none"/>
          <w:lang w:eastAsia="zh-CN"/>
        </w:rPr>
        <w:t>采购代理机构</w:t>
      </w:r>
      <w:r>
        <w:rPr>
          <w:rFonts w:hint="eastAsia" w:ascii="仿宋_GB2312" w:hAnsi="仿宋" w:eastAsia="仿宋_GB2312" w:cs="仿宋_GB2312"/>
          <w:color w:val="auto"/>
          <w:sz w:val="24"/>
          <w:highlight w:val="none"/>
        </w:rPr>
        <w:t>工作人员、相关监督人员等与评审有关的人员应当予以保密。</w:t>
      </w:r>
    </w:p>
    <w:p w14:paraId="7662D505">
      <w:pPr>
        <w:widowControl/>
        <w:numPr>
          <w:ilvl w:val="1"/>
          <w:numId w:val="30"/>
        </w:numPr>
        <w:spacing w:line="360" w:lineRule="auto"/>
        <w:ind w:left="10" w:firstLine="387"/>
        <w:rPr>
          <w:rFonts w:ascii="仿宋" w:hAnsi="仿宋" w:eastAsia="仿宋" w:cs="仿宋"/>
          <w:color w:val="auto"/>
          <w:sz w:val="24"/>
          <w:highlight w:val="none"/>
        </w:rPr>
      </w:pPr>
      <w:r>
        <w:rPr>
          <w:rFonts w:hint="eastAsia" w:ascii="仿宋_GB2312" w:hAnsi="仿宋" w:eastAsia="仿宋_GB2312" w:cs="仿宋_GB2312"/>
          <w:b/>
          <w:color w:val="auto"/>
          <w:sz w:val="24"/>
          <w:highlight w:val="none"/>
          <w:lang w:val="en-US" w:eastAsia="zh-CN"/>
        </w:rPr>
        <w:t>2.</w:t>
      </w:r>
      <w:r>
        <w:rPr>
          <w:rFonts w:hint="eastAsia" w:ascii="仿宋_GB2312" w:hAnsi="仿宋" w:eastAsia="仿宋_GB2312" w:cs="仿宋_GB2312"/>
          <w:b/>
          <w:color w:val="auto"/>
          <w:sz w:val="24"/>
          <w:highlight w:val="none"/>
        </w:rPr>
        <w:t>录音录像。</w:t>
      </w:r>
      <w:r>
        <w:rPr>
          <w:rFonts w:hint="eastAsia" w:ascii="仿宋_GB2312" w:hAnsi="仿宋" w:eastAsia="仿宋_GB2312" w:cs="仿宋_GB2312"/>
          <w:color w:val="auto"/>
          <w:sz w:val="24"/>
          <w:highlight w:val="none"/>
          <w:lang w:eastAsia="zh-CN"/>
        </w:rPr>
        <w:t>采购代理机构</w:t>
      </w:r>
      <w:r>
        <w:rPr>
          <w:rFonts w:hint="eastAsia" w:ascii="仿宋_GB2312" w:hAnsi="仿宋" w:eastAsia="仿宋_GB2312" w:cs="仿宋_GB2312"/>
          <w:color w:val="auto"/>
          <w:sz w:val="24"/>
          <w:highlight w:val="none"/>
        </w:rPr>
        <w:t>对评审工作现场进行全过程录音录像，录音录像资料作为采购项目文件随其他文件一并存档。</w:t>
      </w:r>
    </w:p>
    <w:p w14:paraId="2076FFBE">
      <w:pPr>
        <w:snapToGrid w:val="0"/>
        <w:spacing w:line="360" w:lineRule="auto"/>
        <w:ind w:firstLine="467" w:firstLineChars="194"/>
        <w:rPr>
          <w:rFonts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46297FA8">
      <w:pPr>
        <w:spacing w:line="360"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w:t>
      </w:r>
      <w:bookmarkEnd w:id="72"/>
      <w:r>
        <w:rPr>
          <w:rFonts w:hint="eastAsia" w:ascii="仿宋" w:hAnsi="仿宋" w:eastAsia="仿宋" w:cs="仿宋"/>
          <w:b/>
          <w:color w:val="auto"/>
          <w:sz w:val="36"/>
          <w:szCs w:val="36"/>
          <w:highlight w:val="none"/>
        </w:rPr>
        <w:t xml:space="preserve">  拟签订的合同文本</w:t>
      </w:r>
    </w:p>
    <w:p w14:paraId="47B71586">
      <w:pPr>
        <w:spacing w:line="360" w:lineRule="auto"/>
        <w:rPr>
          <w:rFonts w:ascii="仿宋" w:hAnsi="仿宋" w:eastAsia="仿宋" w:cs="仿宋"/>
          <w:color w:val="auto"/>
          <w:sz w:val="24"/>
          <w:highlight w:val="none"/>
        </w:rPr>
      </w:pPr>
      <w:bookmarkStart w:id="73" w:name="第五部分"/>
      <w:bookmarkStart w:id="74" w:name="_Toc86217003"/>
    </w:p>
    <w:p w14:paraId="469ADD6A">
      <w:pPr>
        <w:snapToGrid w:val="0"/>
        <w:spacing w:line="360"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以下为采购人提出涉及乙方的主要条款，供应商在磋商响应文件中应对其进行确认或拒绝。如供应商在其磋商响应文件中未做拒绝或提出修改要求的，采购人将视作认同。</w:t>
      </w:r>
    </w:p>
    <w:p w14:paraId="62D55454">
      <w:pPr>
        <w:spacing w:line="360" w:lineRule="auto"/>
        <w:rPr>
          <w:rFonts w:ascii="仿宋" w:hAnsi="仿宋" w:eastAsia="仿宋" w:cs="仿宋"/>
          <w:color w:val="auto"/>
          <w:spacing w:val="-6"/>
          <w:highlight w:val="none"/>
        </w:rPr>
      </w:pPr>
    </w:p>
    <w:p w14:paraId="3D9231C8">
      <w:pPr>
        <w:spacing w:line="360" w:lineRule="auto"/>
        <w:rPr>
          <w:rFonts w:ascii="仿宋" w:hAnsi="仿宋" w:eastAsia="仿宋" w:cs="仿宋"/>
          <w:color w:val="auto"/>
          <w:spacing w:val="-6"/>
          <w:highlight w:val="none"/>
        </w:rPr>
      </w:pPr>
    </w:p>
    <w:p w14:paraId="0EED3EC2">
      <w:pPr>
        <w:spacing w:line="360" w:lineRule="auto"/>
        <w:jc w:val="center"/>
        <w:rPr>
          <w:rFonts w:ascii="仿宋" w:hAnsi="仿宋" w:eastAsia="仿宋" w:cs="仿宋"/>
          <w:color w:val="auto"/>
          <w:spacing w:val="-6"/>
          <w:highlight w:val="none"/>
        </w:rPr>
      </w:pPr>
      <w:r>
        <w:rPr>
          <w:rFonts w:hint="eastAsia" w:ascii="仿宋" w:hAnsi="仿宋" w:eastAsia="仿宋" w:cs="仿宋"/>
          <w:color w:val="auto"/>
          <w:spacing w:val="-6"/>
          <w:highlight w:val="none"/>
        </w:rPr>
        <w:t>（本合同为合同样稿）</w:t>
      </w:r>
    </w:p>
    <w:p w14:paraId="7221C5F1">
      <w:pPr>
        <w:pStyle w:val="75"/>
        <w:rPr>
          <w:color w:val="auto"/>
          <w:highlight w:val="none"/>
        </w:rPr>
      </w:pPr>
      <w:r>
        <w:rPr>
          <w:color w:val="auto"/>
          <w:highlight w:val="none"/>
        </w:rPr>
        <w:br w:type="page"/>
      </w:r>
    </w:p>
    <w:p w14:paraId="3A20FE46">
      <w:pPr>
        <w:snapToGrid w:val="0"/>
        <w:spacing w:before="120" w:beforeLines="50" w:after="120" w:afterLines="50"/>
        <w:jc w:val="center"/>
        <w:rPr>
          <w:rFonts w:hint="eastAsia" w:ascii="仿宋" w:hAnsi="仿宋" w:eastAsia="仿宋" w:cs="仿宋"/>
          <w:b/>
          <w:color w:val="auto"/>
          <w:sz w:val="32"/>
          <w:szCs w:val="32"/>
          <w:highlight w:val="none"/>
          <w:shd w:val="clear" w:color="auto" w:fill="auto"/>
          <w:lang w:eastAsia="zh-CN"/>
        </w:rPr>
      </w:pPr>
      <w:r>
        <w:rPr>
          <w:rFonts w:hint="eastAsia" w:ascii="仿宋" w:hAnsi="仿宋" w:eastAsia="仿宋" w:cs="仿宋"/>
          <w:b/>
          <w:color w:val="auto"/>
          <w:sz w:val="32"/>
          <w:szCs w:val="32"/>
          <w:highlight w:val="none"/>
          <w:shd w:val="clear" w:color="auto" w:fill="auto"/>
          <w:lang w:eastAsia="zh-CN"/>
        </w:rPr>
        <w:t>杭州市</w:t>
      </w:r>
      <w:r>
        <w:rPr>
          <w:rFonts w:hint="eastAsia" w:ascii="仿宋" w:hAnsi="仿宋" w:eastAsia="仿宋" w:cs="仿宋"/>
          <w:b/>
          <w:color w:val="auto"/>
          <w:sz w:val="32"/>
          <w:szCs w:val="32"/>
          <w:highlight w:val="none"/>
          <w:shd w:val="clear" w:color="auto" w:fill="auto"/>
          <w:lang w:val="en-US" w:eastAsia="zh-CN"/>
        </w:rPr>
        <w:t>上城区</w:t>
      </w:r>
      <w:r>
        <w:rPr>
          <w:rFonts w:hint="eastAsia" w:ascii="仿宋" w:hAnsi="仿宋" w:eastAsia="仿宋" w:cs="仿宋"/>
          <w:b/>
          <w:color w:val="auto"/>
          <w:sz w:val="32"/>
          <w:szCs w:val="32"/>
          <w:highlight w:val="none"/>
          <w:shd w:val="clear" w:color="auto" w:fill="auto"/>
          <w:lang w:eastAsia="zh-CN"/>
        </w:rPr>
        <w:t>人民政府复议应诉法律服务</w:t>
      </w:r>
    </w:p>
    <w:p w14:paraId="5FBAC94E">
      <w:pPr>
        <w:snapToGrid w:val="0"/>
        <w:spacing w:before="120" w:beforeLines="50" w:after="120" w:afterLines="50"/>
        <w:jc w:val="center"/>
        <w:rPr>
          <w:rFonts w:hint="eastAsia" w:ascii="仿宋" w:hAnsi="仿宋" w:eastAsia="仿宋" w:cs="仿宋"/>
          <w:b/>
          <w:color w:val="auto"/>
          <w:sz w:val="32"/>
          <w:szCs w:val="32"/>
          <w:highlight w:val="none"/>
          <w:shd w:val="clear" w:color="auto" w:fill="auto"/>
          <w:lang w:eastAsia="zh-CN"/>
        </w:rPr>
      </w:pPr>
      <w:r>
        <w:rPr>
          <w:rFonts w:hint="eastAsia" w:ascii="仿宋" w:hAnsi="仿宋" w:eastAsia="仿宋" w:cs="仿宋"/>
          <w:b/>
          <w:color w:val="auto"/>
          <w:sz w:val="32"/>
          <w:szCs w:val="32"/>
          <w:highlight w:val="none"/>
          <w:shd w:val="clear" w:color="auto" w:fill="auto"/>
          <w:lang w:val="en-US" w:eastAsia="zh-CN"/>
        </w:rPr>
        <w:t>服务合同</w:t>
      </w:r>
    </w:p>
    <w:p w14:paraId="493C5021">
      <w:pPr>
        <w:adjustRightInd w:val="0"/>
        <w:snapToGrid w:val="0"/>
        <w:spacing w:line="360" w:lineRule="auto"/>
        <w:ind w:firstLine="482" w:firstLineChars="200"/>
        <w:rPr>
          <w:rFonts w:hint="eastAsia" w:ascii="仿宋" w:hAnsi="仿宋" w:eastAsia="仿宋" w:cs="仿宋"/>
          <w:b/>
          <w:color w:val="auto"/>
          <w:sz w:val="24"/>
          <w:szCs w:val="24"/>
          <w:highlight w:val="none"/>
          <w:shd w:val="clear" w:color="auto" w:fill="auto"/>
        </w:rPr>
      </w:pPr>
    </w:p>
    <w:p w14:paraId="4E8F51ED">
      <w:pPr>
        <w:adjustRightInd w:val="0"/>
        <w:snapToGrid w:val="0"/>
        <w:spacing w:line="360" w:lineRule="auto"/>
        <w:ind w:firstLine="482" w:firstLineChars="200"/>
        <w:rPr>
          <w:rFonts w:hint="eastAsia" w:ascii="仿宋" w:hAnsi="仿宋" w:eastAsia="仿宋" w:cs="仿宋"/>
          <w:b/>
          <w:color w:val="auto"/>
          <w:sz w:val="24"/>
          <w:szCs w:val="24"/>
          <w:highlight w:val="none"/>
          <w:shd w:val="clear" w:color="auto" w:fill="auto"/>
          <w:lang w:val="en-US" w:eastAsia="zh-CN"/>
        </w:rPr>
      </w:pPr>
      <w:r>
        <w:rPr>
          <w:rFonts w:hint="eastAsia" w:ascii="仿宋" w:hAnsi="仿宋" w:eastAsia="仿宋" w:cs="仿宋"/>
          <w:b/>
          <w:color w:val="auto"/>
          <w:sz w:val="24"/>
          <w:szCs w:val="24"/>
          <w:highlight w:val="none"/>
          <w:shd w:val="clear" w:color="auto" w:fill="auto"/>
        </w:rPr>
        <w:t>甲方：</w:t>
      </w:r>
      <w:r>
        <w:rPr>
          <w:rFonts w:hint="eastAsia" w:ascii="仿宋" w:hAnsi="仿宋" w:eastAsia="仿宋" w:cs="仿宋"/>
          <w:b/>
          <w:color w:val="auto"/>
          <w:sz w:val="24"/>
          <w:szCs w:val="24"/>
          <w:highlight w:val="none"/>
          <w:shd w:val="clear" w:color="auto" w:fill="auto"/>
          <w:lang w:val="en-US" w:eastAsia="zh-CN"/>
        </w:rPr>
        <w:t>杭州市上城区司法局</w:t>
      </w:r>
    </w:p>
    <w:p w14:paraId="3495056E">
      <w:pPr>
        <w:adjustRightInd w:val="0"/>
        <w:snapToGrid w:val="0"/>
        <w:spacing w:line="360" w:lineRule="auto"/>
        <w:ind w:firstLine="480" w:firstLineChars="200"/>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地址：</w:t>
      </w:r>
    </w:p>
    <w:p w14:paraId="26CE0336">
      <w:pPr>
        <w:adjustRightInd w:val="0"/>
        <w:snapToGrid w:val="0"/>
        <w:spacing w:line="360" w:lineRule="auto"/>
        <w:ind w:firstLine="480" w:firstLineChars="200"/>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联系人：</w:t>
      </w:r>
    </w:p>
    <w:p w14:paraId="59EC87CF">
      <w:pPr>
        <w:adjustRightInd w:val="0"/>
        <w:snapToGrid w:val="0"/>
        <w:spacing w:line="360" w:lineRule="auto"/>
        <w:ind w:firstLine="480" w:firstLineChars="200"/>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联系电话：</w:t>
      </w:r>
    </w:p>
    <w:p w14:paraId="54BDAC09">
      <w:pPr>
        <w:tabs>
          <w:tab w:val="left" w:pos="6237"/>
          <w:tab w:val="left" w:pos="6521"/>
        </w:tabs>
        <w:adjustRightInd w:val="0"/>
        <w:snapToGrid w:val="0"/>
        <w:spacing w:line="360" w:lineRule="auto"/>
        <w:ind w:firstLine="480" w:firstLineChars="200"/>
        <w:rPr>
          <w:rFonts w:hint="eastAsia" w:ascii="仿宋" w:hAnsi="仿宋" w:eastAsia="仿宋" w:cs="仿宋"/>
          <w:color w:val="auto"/>
          <w:sz w:val="24"/>
          <w:szCs w:val="24"/>
          <w:highlight w:val="none"/>
          <w:shd w:val="clear" w:color="auto" w:fill="auto"/>
        </w:rPr>
      </w:pPr>
    </w:p>
    <w:p w14:paraId="50583377">
      <w:pPr>
        <w:adjustRightInd w:val="0"/>
        <w:snapToGrid w:val="0"/>
        <w:spacing w:line="360" w:lineRule="auto"/>
        <w:ind w:firstLine="482" w:firstLineChars="200"/>
        <w:rPr>
          <w:rFonts w:hint="eastAsia" w:ascii="仿宋" w:hAnsi="仿宋" w:eastAsia="仿宋" w:cs="仿宋"/>
          <w:b/>
          <w:color w:val="auto"/>
          <w:sz w:val="24"/>
          <w:szCs w:val="24"/>
          <w:highlight w:val="none"/>
          <w:shd w:val="clear" w:color="auto" w:fill="auto"/>
        </w:rPr>
      </w:pPr>
      <w:r>
        <w:rPr>
          <w:rFonts w:hint="eastAsia" w:ascii="仿宋" w:hAnsi="仿宋" w:eastAsia="仿宋" w:cs="仿宋"/>
          <w:b/>
          <w:color w:val="auto"/>
          <w:sz w:val="24"/>
          <w:szCs w:val="24"/>
          <w:highlight w:val="none"/>
          <w:shd w:val="clear" w:color="auto" w:fill="auto"/>
        </w:rPr>
        <w:t>乙方：</w:t>
      </w:r>
    </w:p>
    <w:p w14:paraId="4F6436B7">
      <w:pPr>
        <w:adjustRightInd w:val="0"/>
        <w:snapToGrid w:val="0"/>
        <w:spacing w:line="360" w:lineRule="auto"/>
        <w:ind w:firstLine="480" w:firstLineChars="200"/>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地址：</w:t>
      </w:r>
    </w:p>
    <w:p w14:paraId="70A9634C">
      <w:pPr>
        <w:adjustRightInd w:val="0"/>
        <w:snapToGrid w:val="0"/>
        <w:spacing w:line="360" w:lineRule="auto"/>
        <w:ind w:firstLine="480" w:firstLineChars="200"/>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法定代表人：</w:t>
      </w:r>
    </w:p>
    <w:p w14:paraId="5BF3AA45">
      <w:pPr>
        <w:adjustRightInd w:val="0"/>
        <w:snapToGrid w:val="0"/>
        <w:spacing w:line="360" w:lineRule="auto"/>
        <w:ind w:firstLine="480" w:firstLineChars="200"/>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统一社会信用代码：</w:t>
      </w:r>
    </w:p>
    <w:p w14:paraId="6C95F337">
      <w:pPr>
        <w:adjustRightInd w:val="0"/>
        <w:snapToGrid w:val="0"/>
        <w:spacing w:line="360" w:lineRule="auto"/>
        <w:ind w:firstLine="480" w:firstLineChars="200"/>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 xml:space="preserve">授权代表： </w:t>
      </w:r>
    </w:p>
    <w:p w14:paraId="597BD845">
      <w:pPr>
        <w:adjustRightInd w:val="0"/>
        <w:snapToGrid w:val="0"/>
        <w:spacing w:line="360" w:lineRule="auto"/>
        <w:ind w:firstLine="480" w:firstLineChars="200"/>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联系人：</w:t>
      </w:r>
    </w:p>
    <w:p w14:paraId="081ED900">
      <w:pPr>
        <w:adjustRightInd w:val="0"/>
        <w:snapToGrid w:val="0"/>
        <w:spacing w:line="360" w:lineRule="auto"/>
        <w:ind w:firstLine="480" w:firstLineChars="200"/>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联系电话：</w:t>
      </w:r>
    </w:p>
    <w:p w14:paraId="6C1E8481">
      <w:pPr>
        <w:adjustRightInd w:val="0"/>
        <w:snapToGrid w:val="0"/>
        <w:spacing w:line="360" w:lineRule="auto"/>
        <w:ind w:firstLine="480" w:firstLineChars="200"/>
        <w:rPr>
          <w:rFonts w:hint="eastAsia" w:ascii="仿宋" w:hAnsi="仿宋" w:eastAsia="仿宋" w:cs="仿宋"/>
          <w:color w:val="auto"/>
          <w:sz w:val="24"/>
          <w:szCs w:val="24"/>
          <w:highlight w:val="none"/>
          <w:shd w:val="clear" w:color="auto" w:fill="auto"/>
        </w:rPr>
      </w:pPr>
    </w:p>
    <w:p w14:paraId="3AFDE711">
      <w:pPr>
        <w:spacing w:line="360" w:lineRule="auto"/>
        <w:ind w:firstLine="480" w:firstLineChars="200"/>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甲乙双方依据《中华人民共和国政府采购法》、《</w:t>
      </w:r>
      <w:r>
        <w:rPr>
          <w:rFonts w:hint="eastAsia" w:ascii="仿宋" w:hAnsi="仿宋" w:eastAsia="仿宋" w:cs="仿宋"/>
          <w:color w:val="auto"/>
          <w:sz w:val="24"/>
          <w:szCs w:val="24"/>
          <w:highlight w:val="none"/>
          <w:shd w:val="clear" w:color="auto" w:fill="auto"/>
          <w:lang w:val="zh-CN"/>
        </w:rPr>
        <w:t>中华人民共和国民法典</w:t>
      </w:r>
      <w:r>
        <w:rPr>
          <w:rFonts w:hint="eastAsia" w:ascii="仿宋" w:hAnsi="仿宋" w:eastAsia="仿宋" w:cs="仿宋"/>
          <w:color w:val="auto"/>
          <w:sz w:val="24"/>
          <w:szCs w:val="24"/>
          <w:highlight w:val="none"/>
          <w:shd w:val="clear" w:color="auto" w:fill="auto"/>
        </w:rPr>
        <w:t>》等相关法律法规，以及</w:t>
      </w:r>
      <w:r>
        <w:rPr>
          <w:rFonts w:hint="eastAsia" w:ascii="仿宋" w:hAnsi="仿宋" w:eastAsia="仿宋" w:cs="仿宋"/>
          <w:color w:val="auto"/>
          <w:sz w:val="24"/>
          <w:highlight w:val="none"/>
          <w:u w:val="single"/>
          <w:lang w:eastAsia="zh-CN"/>
        </w:rPr>
        <w:t>杭州市上城区人民政府复议应诉类法律服务项目</w:t>
      </w:r>
      <w:r>
        <w:rPr>
          <w:rFonts w:hint="eastAsia" w:ascii="仿宋" w:hAnsi="仿宋" w:eastAsia="仿宋" w:cs="仿宋"/>
          <w:color w:val="auto"/>
          <w:sz w:val="24"/>
          <w:szCs w:val="24"/>
          <w:highlight w:val="none"/>
          <w:shd w:val="clear" w:color="auto" w:fill="auto"/>
        </w:rPr>
        <w:t>（项目编号：</w:t>
      </w:r>
      <w:r>
        <w:rPr>
          <w:rFonts w:hint="eastAsia" w:ascii="仿宋" w:hAnsi="仿宋" w:eastAsia="仿宋" w:cs="仿宋"/>
          <w:color w:val="auto"/>
          <w:sz w:val="24"/>
          <w:szCs w:val="24"/>
          <w:highlight w:val="none"/>
          <w:shd w:val="clear" w:color="auto" w:fill="auto"/>
          <w:lang w:eastAsia="zh-CN"/>
        </w:rPr>
        <w:t>ZJ-2540643</w:t>
      </w:r>
      <w:r>
        <w:rPr>
          <w:rFonts w:hint="eastAsia" w:ascii="仿宋" w:hAnsi="仿宋" w:eastAsia="仿宋" w:cs="仿宋"/>
          <w:color w:val="auto"/>
          <w:sz w:val="24"/>
          <w:szCs w:val="24"/>
          <w:highlight w:val="none"/>
          <w:shd w:val="clear" w:color="auto" w:fill="auto"/>
        </w:rPr>
        <w:t>）的</w:t>
      </w:r>
      <w:r>
        <w:rPr>
          <w:rFonts w:hint="eastAsia" w:ascii="仿宋" w:hAnsi="仿宋" w:eastAsia="仿宋" w:cs="仿宋"/>
          <w:color w:val="auto"/>
          <w:sz w:val="24"/>
          <w:szCs w:val="24"/>
          <w:highlight w:val="none"/>
          <w:shd w:val="clear" w:color="auto" w:fill="auto"/>
          <w:lang w:val="en-US" w:eastAsia="zh-CN"/>
        </w:rPr>
        <w:t>成交</w:t>
      </w:r>
      <w:r>
        <w:rPr>
          <w:rFonts w:hint="eastAsia" w:ascii="仿宋" w:hAnsi="仿宋" w:eastAsia="仿宋" w:cs="仿宋"/>
          <w:color w:val="auto"/>
          <w:sz w:val="24"/>
          <w:szCs w:val="24"/>
          <w:highlight w:val="none"/>
          <w:shd w:val="clear" w:color="auto" w:fill="auto"/>
        </w:rPr>
        <w:t>结果，在平等自愿的基础上，同意按照下面的条款和条件，签署政府采购合同。</w:t>
      </w:r>
    </w:p>
    <w:p w14:paraId="1E56CC14">
      <w:pPr>
        <w:pStyle w:val="638"/>
        <w:adjustRightInd w:val="0"/>
        <w:snapToGrid w:val="0"/>
        <w:spacing w:before="0" w:beforeAutospacing="0" w:after="0" w:afterAutospacing="0" w:line="360" w:lineRule="auto"/>
        <w:ind w:firstLine="480" w:firstLineChars="200"/>
        <w:rPr>
          <w:rFonts w:hint="eastAsia" w:ascii="仿宋" w:hAnsi="仿宋" w:eastAsia="仿宋" w:cs="仿宋"/>
          <w:color w:val="auto"/>
          <w:sz w:val="24"/>
          <w:szCs w:val="24"/>
          <w:highlight w:val="none"/>
          <w:shd w:val="clear" w:color="auto" w:fill="auto"/>
        </w:rPr>
      </w:pPr>
    </w:p>
    <w:p w14:paraId="55BA167C">
      <w:pPr>
        <w:adjustRightInd w:val="0"/>
        <w:snapToGrid w:val="0"/>
        <w:spacing w:line="360" w:lineRule="auto"/>
        <w:jc w:val="left"/>
        <w:rPr>
          <w:rFonts w:hint="eastAsia" w:ascii="仿宋" w:hAnsi="仿宋" w:eastAsia="仿宋" w:cs="仿宋"/>
          <w:b/>
          <w:color w:val="auto"/>
          <w:sz w:val="24"/>
          <w:szCs w:val="24"/>
          <w:highlight w:val="none"/>
          <w:shd w:val="clear" w:color="auto" w:fill="auto"/>
        </w:rPr>
      </w:pPr>
      <w:r>
        <w:rPr>
          <w:rFonts w:hint="eastAsia" w:ascii="仿宋" w:hAnsi="仿宋" w:eastAsia="仿宋" w:cs="仿宋"/>
          <w:b/>
          <w:color w:val="auto"/>
          <w:sz w:val="24"/>
          <w:szCs w:val="24"/>
          <w:highlight w:val="none"/>
          <w:shd w:val="clear" w:color="auto" w:fill="auto"/>
        </w:rPr>
        <w:t>一、项目内容</w:t>
      </w:r>
    </w:p>
    <w:p w14:paraId="0B9FE00A">
      <w:pPr>
        <w:pStyle w:val="638"/>
        <w:adjustRightInd w:val="0"/>
        <w:snapToGrid w:val="0"/>
        <w:spacing w:before="0" w:beforeAutospacing="0" w:after="0" w:afterAutospacing="0" w:line="360" w:lineRule="auto"/>
        <w:ind w:firstLine="480" w:firstLineChars="200"/>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1、甲方委托乙方提供相关法律服务，具体服务内容以甲方通知为准。</w:t>
      </w:r>
    </w:p>
    <w:p w14:paraId="5B75E876">
      <w:pPr>
        <w:pStyle w:val="638"/>
        <w:adjustRightInd w:val="0"/>
        <w:snapToGrid w:val="0"/>
        <w:spacing w:before="0" w:beforeAutospacing="0" w:after="0" w:afterAutospacing="0"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szCs w:val="24"/>
          <w:highlight w:val="none"/>
          <w:shd w:val="clear" w:color="auto" w:fill="auto"/>
          <w:lang w:val="en-US" w:eastAsia="zh-CN"/>
        </w:rPr>
        <w:t>2、服务期限：</w:t>
      </w:r>
      <w:r>
        <w:rPr>
          <w:rFonts w:hint="eastAsia" w:ascii="仿宋" w:hAnsi="仿宋" w:eastAsia="仿宋" w:cs="仿宋"/>
          <w:color w:val="auto"/>
          <w:sz w:val="24"/>
          <w:highlight w:val="none"/>
          <w:lang w:val="en-US" w:eastAsia="zh-CN"/>
        </w:rPr>
        <w:t>整体服务期为一年，</w:t>
      </w:r>
      <w:r>
        <w:rPr>
          <w:rFonts w:hint="eastAsia" w:ascii="仿宋" w:hAnsi="仿宋" w:eastAsia="仿宋"/>
          <w:sz w:val="24"/>
          <w:szCs w:val="28"/>
          <w:highlight w:val="none"/>
        </w:rPr>
        <w:t>自</w:t>
      </w:r>
      <w:r>
        <w:rPr>
          <w:rFonts w:hint="eastAsia" w:ascii="仿宋" w:hAnsi="仿宋" w:eastAsia="仿宋"/>
          <w:color w:val="auto"/>
          <w:sz w:val="24"/>
          <w:szCs w:val="28"/>
          <w:highlight w:val="none"/>
          <w:u w:val="single"/>
          <w:lang w:val="en-US" w:eastAsia="zh-CN"/>
        </w:rPr>
        <w:t xml:space="preserve">     </w:t>
      </w:r>
      <w:r>
        <w:rPr>
          <w:rFonts w:hint="eastAsia" w:ascii="仿宋" w:hAnsi="仿宋" w:eastAsia="仿宋"/>
          <w:color w:val="auto"/>
          <w:sz w:val="24"/>
          <w:szCs w:val="28"/>
          <w:highlight w:val="none"/>
        </w:rPr>
        <w:t>年</w:t>
      </w:r>
      <w:r>
        <w:rPr>
          <w:rFonts w:hint="eastAsia" w:ascii="仿宋" w:hAnsi="仿宋" w:eastAsia="仿宋"/>
          <w:color w:val="auto"/>
          <w:sz w:val="24"/>
          <w:szCs w:val="28"/>
          <w:highlight w:val="none"/>
          <w:u w:val="single"/>
          <w:lang w:val="en-US" w:eastAsia="zh-CN"/>
        </w:rPr>
        <w:t xml:space="preserve">   </w:t>
      </w:r>
      <w:r>
        <w:rPr>
          <w:rFonts w:hint="eastAsia" w:ascii="仿宋" w:hAnsi="仿宋" w:eastAsia="仿宋"/>
          <w:color w:val="auto"/>
          <w:sz w:val="24"/>
          <w:szCs w:val="28"/>
          <w:highlight w:val="none"/>
        </w:rPr>
        <w:t>月</w:t>
      </w:r>
      <w:r>
        <w:rPr>
          <w:rFonts w:hint="eastAsia" w:ascii="仿宋" w:hAnsi="仿宋" w:eastAsia="仿宋"/>
          <w:color w:val="auto"/>
          <w:sz w:val="24"/>
          <w:szCs w:val="28"/>
          <w:highlight w:val="none"/>
          <w:u w:val="single"/>
          <w:lang w:val="en-US" w:eastAsia="zh-CN"/>
        </w:rPr>
        <w:t xml:space="preserve">   </w:t>
      </w:r>
      <w:r>
        <w:rPr>
          <w:rFonts w:hint="eastAsia" w:ascii="仿宋" w:hAnsi="仿宋" w:eastAsia="仿宋"/>
          <w:color w:val="auto"/>
          <w:sz w:val="24"/>
          <w:szCs w:val="28"/>
          <w:highlight w:val="none"/>
        </w:rPr>
        <w:t>日至</w:t>
      </w:r>
      <w:r>
        <w:rPr>
          <w:rFonts w:hint="eastAsia" w:ascii="仿宋" w:hAnsi="仿宋" w:eastAsia="仿宋"/>
          <w:color w:val="auto"/>
          <w:sz w:val="24"/>
          <w:szCs w:val="28"/>
          <w:highlight w:val="none"/>
          <w:u w:val="single"/>
          <w:lang w:val="en-US" w:eastAsia="zh-CN"/>
        </w:rPr>
        <w:t xml:space="preserve">     </w:t>
      </w:r>
      <w:r>
        <w:rPr>
          <w:rFonts w:hint="eastAsia" w:ascii="仿宋" w:hAnsi="仿宋" w:eastAsia="仿宋"/>
          <w:color w:val="auto"/>
          <w:sz w:val="24"/>
          <w:szCs w:val="28"/>
          <w:highlight w:val="none"/>
        </w:rPr>
        <w:t>年</w:t>
      </w:r>
      <w:r>
        <w:rPr>
          <w:rFonts w:hint="eastAsia" w:ascii="仿宋" w:hAnsi="仿宋" w:eastAsia="仿宋"/>
          <w:color w:val="auto"/>
          <w:sz w:val="24"/>
          <w:szCs w:val="28"/>
          <w:highlight w:val="none"/>
          <w:u w:val="single"/>
          <w:lang w:val="en-US" w:eastAsia="zh-CN"/>
        </w:rPr>
        <w:t xml:space="preserve">   </w:t>
      </w:r>
      <w:r>
        <w:rPr>
          <w:rFonts w:hint="eastAsia" w:ascii="仿宋" w:hAnsi="仿宋" w:eastAsia="仿宋"/>
          <w:color w:val="auto"/>
          <w:sz w:val="24"/>
          <w:szCs w:val="28"/>
          <w:highlight w:val="none"/>
        </w:rPr>
        <w:t>月</w:t>
      </w:r>
      <w:r>
        <w:rPr>
          <w:rFonts w:hint="eastAsia" w:ascii="仿宋" w:hAnsi="仿宋" w:eastAsia="仿宋"/>
          <w:color w:val="auto"/>
          <w:sz w:val="24"/>
          <w:szCs w:val="28"/>
          <w:highlight w:val="none"/>
          <w:u w:val="single"/>
          <w:lang w:val="en-US" w:eastAsia="zh-CN"/>
        </w:rPr>
        <w:t xml:space="preserve">   </w:t>
      </w:r>
      <w:r>
        <w:rPr>
          <w:rFonts w:hint="eastAsia" w:ascii="仿宋" w:hAnsi="仿宋" w:eastAsia="仿宋"/>
          <w:color w:val="auto"/>
          <w:sz w:val="24"/>
          <w:szCs w:val="28"/>
          <w:highlight w:val="none"/>
        </w:rPr>
        <w:t>日止</w:t>
      </w:r>
      <w:r>
        <w:rPr>
          <w:rFonts w:hint="eastAsia" w:ascii="仿宋" w:hAnsi="仿宋" w:eastAsia="仿宋"/>
          <w:color w:val="auto"/>
          <w:sz w:val="24"/>
          <w:szCs w:val="28"/>
          <w:highlight w:val="none"/>
          <w:lang w:eastAsia="zh-CN"/>
        </w:rPr>
        <w:t>。</w:t>
      </w:r>
    </w:p>
    <w:p w14:paraId="7ED28DF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在服务期内，</w:t>
      </w:r>
      <w:r>
        <w:rPr>
          <w:rFonts w:hint="eastAsia" w:ascii="仿宋" w:hAnsi="仿宋" w:eastAsia="仿宋" w:cs="仿宋"/>
          <w:color w:val="auto"/>
          <w:sz w:val="24"/>
          <w:highlight w:val="none"/>
          <w:lang w:val="en-US" w:eastAsia="zh-CN"/>
        </w:rPr>
        <w:t>乙方</w:t>
      </w:r>
      <w:r>
        <w:rPr>
          <w:rFonts w:hint="eastAsia" w:ascii="仿宋" w:hAnsi="仿宋" w:eastAsia="仿宋" w:cs="仿宋"/>
          <w:color w:val="auto"/>
          <w:sz w:val="24"/>
          <w:highlight w:val="none"/>
        </w:rPr>
        <w:t>接受</w:t>
      </w:r>
      <w:r>
        <w:rPr>
          <w:rFonts w:hint="eastAsia" w:ascii="仿宋" w:hAnsi="仿宋" w:eastAsia="仿宋" w:cs="仿宋"/>
          <w:color w:val="auto"/>
          <w:sz w:val="24"/>
          <w:highlight w:val="none"/>
          <w:lang w:val="en-US" w:eastAsia="zh-CN"/>
        </w:rPr>
        <w:t>甲方</w:t>
      </w:r>
      <w:r>
        <w:rPr>
          <w:rFonts w:hint="eastAsia" w:ascii="仿宋" w:hAnsi="仿宋" w:eastAsia="仿宋" w:cs="仿宋"/>
          <w:color w:val="auto"/>
          <w:sz w:val="24"/>
          <w:highlight w:val="none"/>
        </w:rPr>
        <w:t>具体项目委托，并根据</w:t>
      </w:r>
      <w:r>
        <w:rPr>
          <w:rFonts w:hint="eastAsia" w:ascii="仿宋" w:hAnsi="仿宋" w:eastAsia="仿宋" w:cs="仿宋"/>
          <w:color w:val="auto"/>
          <w:sz w:val="24"/>
          <w:highlight w:val="none"/>
          <w:lang w:val="en-US" w:eastAsia="zh-CN"/>
        </w:rPr>
        <w:t>甲方</w:t>
      </w:r>
      <w:r>
        <w:rPr>
          <w:rFonts w:hint="eastAsia" w:ascii="仿宋" w:hAnsi="仿宋" w:eastAsia="仿宋" w:cs="仿宋"/>
          <w:color w:val="auto"/>
          <w:sz w:val="24"/>
          <w:highlight w:val="none"/>
        </w:rPr>
        <w:t>的时间计划安排相关工作。</w:t>
      </w:r>
    </w:p>
    <w:p w14:paraId="378C9A79">
      <w:pPr>
        <w:pStyle w:val="638"/>
        <w:adjustRightInd w:val="0"/>
        <w:snapToGrid w:val="0"/>
        <w:spacing w:before="0" w:beforeAutospacing="0" w:after="0" w:afterAutospacing="0" w:line="360" w:lineRule="auto"/>
        <w:ind w:firstLine="480" w:firstLineChars="200"/>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3、乙方的服务范围（服务标项范围）：</w:t>
      </w:r>
      <w:r>
        <w:rPr>
          <w:rFonts w:hint="eastAsia" w:ascii="仿宋" w:hAnsi="仿宋" w:eastAsia="仿宋" w:cs="仿宋"/>
          <w:color w:val="auto"/>
          <w:sz w:val="24"/>
          <w:szCs w:val="24"/>
          <w:highlight w:val="none"/>
          <w:u w:val="single"/>
          <w:shd w:val="clear" w:color="auto" w:fill="auto"/>
          <w:lang w:val="en-US" w:eastAsia="zh-CN"/>
        </w:rPr>
        <w:t xml:space="preserve">      （按成交标项填写）             </w:t>
      </w:r>
      <w:r>
        <w:rPr>
          <w:rFonts w:hint="eastAsia" w:ascii="仿宋" w:hAnsi="仿宋" w:eastAsia="仿宋" w:cs="仿宋"/>
          <w:color w:val="auto"/>
          <w:sz w:val="24"/>
          <w:szCs w:val="24"/>
          <w:highlight w:val="none"/>
          <w:shd w:val="clear" w:color="auto" w:fill="auto"/>
          <w:lang w:val="en-US" w:eastAsia="zh-CN"/>
        </w:rPr>
        <w:t>。（</w:t>
      </w:r>
      <w:r>
        <w:rPr>
          <w:rFonts w:hint="eastAsia" w:ascii="仿宋" w:hAnsi="仿宋" w:eastAsia="仿宋" w:cs="仿宋"/>
          <w:color w:val="auto"/>
          <w:sz w:val="24"/>
          <w:highlight w:val="none"/>
          <w:lang w:val="en-US" w:eastAsia="zh-CN"/>
        </w:rPr>
        <w:t>甲方有权根据工作需要对上述内容进行合理安排或调整</w:t>
      </w:r>
      <w:r>
        <w:rPr>
          <w:rFonts w:hint="eastAsia" w:ascii="仿宋" w:hAnsi="仿宋" w:eastAsia="仿宋" w:cs="仿宋"/>
          <w:color w:val="auto"/>
          <w:sz w:val="24"/>
          <w:szCs w:val="24"/>
          <w:highlight w:val="none"/>
          <w:shd w:val="clear" w:color="auto" w:fill="auto"/>
          <w:lang w:val="en-US" w:eastAsia="zh-CN"/>
        </w:rPr>
        <w:t>）</w:t>
      </w:r>
    </w:p>
    <w:p w14:paraId="3A7F172D">
      <w:pPr>
        <w:adjustRightInd w:val="0"/>
        <w:snapToGrid w:val="0"/>
        <w:spacing w:line="360" w:lineRule="auto"/>
        <w:jc w:val="left"/>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b/>
          <w:color w:val="auto"/>
          <w:sz w:val="24"/>
          <w:szCs w:val="24"/>
          <w:highlight w:val="none"/>
          <w:shd w:val="clear" w:color="auto" w:fill="auto"/>
        </w:rPr>
        <w:t>二、</w:t>
      </w:r>
      <w:r>
        <w:rPr>
          <w:rFonts w:hint="eastAsia" w:ascii="仿宋" w:hAnsi="仿宋" w:eastAsia="仿宋" w:cs="仿宋"/>
          <w:b/>
          <w:color w:val="auto"/>
          <w:sz w:val="24"/>
          <w:szCs w:val="24"/>
          <w:highlight w:val="none"/>
          <w:shd w:val="clear" w:color="auto" w:fill="auto"/>
          <w:lang w:val="en-US" w:eastAsia="zh-CN"/>
        </w:rPr>
        <w:t>法律服务内容</w:t>
      </w:r>
    </w:p>
    <w:p w14:paraId="0CCAEA22">
      <w:pPr>
        <w:pStyle w:val="22"/>
        <w:keepNext w:val="0"/>
        <w:keepLines w:val="0"/>
        <w:pageBreakBefore w:val="0"/>
        <w:widowControl w:val="0"/>
        <w:kinsoku/>
        <w:wordWrap/>
        <w:overflowPunct/>
        <w:topLinePunct w:val="0"/>
        <w:bidi w:val="0"/>
        <w:adjustRightInd w:val="0"/>
        <w:snapToGrid w:val="0"/>
        <w:ind w:firstLine="480" w:firstLineChars="200"/>
        <w:textAlignment w:val="auto"/>
        <w:outlineLvl w:val="9"/>
        <w:rPr>
          <w:rFonts w:hint="default" w:ascii="仿宋" w:hAnsi="仿宋" w:eastAsia="仿宋" w:cs="仿宋"/>
          <w:highlight w:val="none"/>
          <w:u w:val="single"/>
          <w:lang w:val="en-US" w:eastAsia="zh-CN"/>
        </w:rPr>
      </w:pPr>
      <w:r>
        <w:rPr>
          <w:rFonts w:hint="eastAsia" w:ascii="仿宋" w:hAnsi="仿宋" w:eastAsia="仿宋" w:cs="仿宋"/>
          <w:highlight w:val="none"/>
          <w:u w:val="single"/>
          <w:lang w:val="en-US" w:eastAsia="zh-CN"/>
        </w:rPr>
        <w:t xml:space="preserve">  </w:t>
      </w:r>
      <w:r>
        <w:rPr>
          <w:rFonts w:hint="eastAsia" w:ascii="仿宋" w:hAnsi="仿宋" w:eastAsia="仿宋" w:cs="仿宋"/>
          <w:color w:val="auto"/>
          <w:sz w:val="24"/>
          <w:szCs w:val="24"/>
          <w:highlight w:val="none"/>
          <w:u w:val="single"/>
          <w:shd w:val="clear" w:color="auto" w:fill="auto"/>
          <w:lang w:val="en-US" w:eastAsia="zh-CN"/>
        </w:rPr>
        <w:t xml:space="preserve"> （按成交标项服务要求填写） </w:t>
      </w:r>
      <w:r>
        <w:rPr>
          <w:rFonts w:hint="eastAsia" w:ascii="仿宋" w:hAnsi="仿宋" w:eastAsia="仿宋" w:cs="仿宋"/>
          <w:highlight w:val="none"/>
          <w:u w:val="single"/>
          <w:lang w:val="en-US" w:eastAsia="zh-CN"/>
        </w:rPr>
        <w:t xml:space="preserve">    </w:t>
      </w:r>
    </w:p>
    <w:p w14:paraId="7E7DFCED">
      <w:pPr>
        <w:pStyle w:val="22"/>
        <w:keepNext w:val="0"/>
        <w:keepLines w:val="0"/>
        <w:pageBreakBefore w:val="0"/>
        <w:widowControl w:val="0"/>
        <w:kinsoku/>
        <w:wordWrap/>
        <w:overflowPunct/>
        <w:topLinePunct w:val="0"/>
        <w:bidi w:val="0"/>
        <w:adjustRightInd w:val="0"/>
        <w:snapToGrid w:val="0"/>
        <w:ind w:firstLine="480" w:firstLineChars="200"/>
        <w:textAlignment w:val="auto"/>
        <w:outlineLvl w:val="9"/>
        <w:rPr>
          <w:rFonts w:hint="eastAsia" w:ascii="仿宋" w:hAnsi="仿宋" w:eastAsia="仿宋" w:cs="仿宋"/>
          <w:highlight w:val="none"/>
          <w:lang w:val="en-US" w:eastAsia="zh-CN"/>
        </w:rPr>
      </w:pPr>
      <w:r>
        <w:rPr>
          <w:rFonts w:hint="eastAsia" w:ascii="仿宋" w:hAnsi="仿宋" w:eastAsia="仿宋" w:cs="仿宋"/>
          <w:highlight w:val="none"/>
          <w:lang w:val="en-US" w:eastAsia="zh-CN"/>
        </w:rPr>
        <w:t>其他：</w:t>
      </w:r>
      <w:r>
        <w:rPr>
          <w:rFonts w:hint="eastAsia" w:ascii="仿宋" w:hAnsi="仿宋" w:eastAsia="仿宋" w:cs="仿宋"/>
          <w:highlight w:val="none"/>
          <w:u w:val="single"/>
          <w:lang w:val="en-US" w:eastAsia="zh-CN"/>
        </w:rPr>
        <w:t>相关内容详见甲方采购文件、乙方响应文件内容及承诺</w:t>
      </w:r>
      <w:r>
        <w:rPr>
          <w:rFonts w:hint="eastAsia" w:ascii="仿宋" w:hAnsi="仿宋" w:eastAsia="仿宋" w:cs="仿宋"/>
          <w:highlight w:val="none"/>
          <w:lang w:val="en-US" w:eastAsia="zh-CN"/>
        </w:rPr>
        <w:t>。</w:t>
      </w:r>
    </w:p>
    <w:p w14:paraId="23E18A8F">
      <w:pPr>
        <w:pStyle w:val="22"/>
        <w:keepNext w:val="0"/>
        <w:keepLines w:val="0"/>
        <w:pageBreakBefore w:val="0"/>
        <w:widowControl w:val="0"/>
        <w:kinsoku/>
        <w:wordWrap/>
        <w:overflowPunct/>
        <w:topLinePunct w:val="0"/>
        <w:bidi w:val="0"/>
        <w:adjustRightInd w:val="0"/>
        <w:snapToGrid w:val="0"/>
        <w:ind w:firstLine="480" w:firstLineChars="200"/>
        <w:textAlignment w:val="auto"/>
        <w:outlineLvl w:val="9"/>
        <w:rPr>
          <w:rFonts w:hint="default" w:ascii="仿宋" w:hAnsi="仿宋" w:eastAsia="仿宋" w:cs="仿宋"/>
          <w:highlight w:val="none"/>
          <w:lang w:val="en-US" w:eastAsia="zh-CN"/>
        </w:rPr>
      </w:pPr>
      <w:r>
        <w:rPr>
          <w:rFonts w:hint="eastAsia" w:ascii="仿宋" w:hAnsi="仿宋" w:eastAsia="仿宋" w:cs="仿宋"/>
          <w:highlight w:val="none"/>
          <w:lang w:val="en-US" w:eastAsia="zh-CN"/>
        </w:rPr>
        <w:t>（如有补充可进一步增加）</w:t>
      </w:r>
    </w:p>
    <w:p w14:paraId="0AA0F353">
      <w:pPr>
        <w:adjustRightInd w:val="0"/>
        <w:snapToGrid w:val="0"/>
        <w:spacing w:line="360" w:lineRule="auto"/>
        <w:jc w:val="left"/>
        <w:rPr>
          <w:rFonts w:hint="eastAsia" w:ascii="仿宋" w:hAnsi="仿宋" w:eastAsia="仿宋" w:cs="仿宋"/>
          <w:b/>
          <w:color w:val="auto"/>
          <w:sz w:val="24"/>
          <w:szCs w:val="24"/>
          <w:highlight w:val="none"/>
          <w:shd w:val="clear" w:color="auto" w:fill="auto"/>
          <w:lang w:val="en-US" w:eastAsia="zh-CN"/>
        </w:rPr>
      </w:pPr>
      <w:r>
        <w:rPr>
          <w:rFonts w:hint="eastAsia" w:ascii="仿宋" w:hAnsi="仿宋" w:eastAsia="仿宋" w:cs="仿宋"/>
          <w:b/>
          <w:color w:val="auto"/>
          <w:sz w:val="24"/>
          <w:szCs w:val="24"/>
          <w:highlight w:val="none"/>
          <w:shd w:val="clear" w:color="auto" w:fill="auto"/>
          <w:lang w:val="en-US" w:eastAsia="zh-CN"/>
        </w:rPr>
        <w:t xml:space="preserve">三、服务模式 </w:t>
      </w:r>
    </w:p>
    <w:p w14:paraId="45E042A3">
      <w:pPr>
        <w:pStyle w:val="22"/>
        <w:adjustRightInd w:val="0"/>
        <w:snapToGrid w:val="0"/>
        <w:spacing w:after="0"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1.乙方确保应甲方实际工作需要，最大程度协调、整合、应用全所力量。</w:t>
      </w:r>
    </w:p>
    <w:p w14:paraId="4BF095E7">
      <w:pPr>
        <w:pStyle w:val="22"/>
        <w:adjustRightInd w:val="0"/>
        <w:snapToGrid w:val="0"/>
        <w:spacing w:after="0"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2.乙方指定本所</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律师作为本合同项下法律服务的负责人，直接同甲方联络，并确保及时顺畅。 </w:t>
      </w:r>
    </w:p>
    <w:p w14:paraId="0586AF74">
      <w:pPr>
        <w:pStyle w:val="22"/>
        <w:adjustRightInd w:val="0"/>
        <w:snapToGrid w:val="0"/>
        <w:spacing w:after="0"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3.乙方应保证服务团队的人力资源充足，根据不同法律服务项目的需要及时派出和调配工作人员。</w:t>
      </w:r>
    </w:p>
    <w:p w14:paraId="700D98BF">
      <w:pPr>
        <w:pStyle w:val="22"/>
        <w:adjustRightInd w:val="0"/>
        <w:snapToGrid w:val="0"/>
        <w:spacing w:after="0"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4.甲乙双方同意，按甲方要求针对相关工作进度召开工作沟通会。</w:t>
      </w:r>
      <w:r>
        <w:rPr>
          <w:rFonts w:hint="eastAsia" w:ascii="仿宋" w:hAnsi="仿宋" w:eastAsia="仿宋" w:cs="仿宋"/>
          <w:b/>
          <w:bCs/>
          <w:color w:val="auto"/>
          <w:sz w:val="24"/>
          <w:szCs w:val="24"/>
          <w:highlight w:val="none"/>
          <w:lang w:val="en-US" w:eastAsia="zh-CN"/>
        </w:rPr>
        <w:t>乙方应按季度提交法律服务工作小结，对相关法律问题及时总结，向甲方反馈。</w:t>
      </w:r>
      <w:r>
        <w:rPr>
          <w:rFonts w:hint="eastAsia" w:ascii="仿宋" w:hAnsi="仿宋" w:eastAsia="仿宋" w:cs="仿宋"/>
          <w:color w:val="auto"/>
          <w:sz w:val="24"/>
          <w:szCs w:val="24"/>
          <w:highlight w:val="none"/>
          <w:lang w:val="en-US" w:eastAsia="zh-CN"/>
        </w:rPr>
        <w:t xml:space="preserve"> </w:t>
      </w:r>
    </w:p>
    <w:p w14:paraId="20DC4DE6">
      <w:pPr>
        <w:pStyle w:val="22"/>
        <w:adjustRightInd w:val="0"/>
        <w:snapToGrid w:val="0"/>
        <w:spacing w:after="0"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5.甲方认为律师服务团队任何成员出现不适宜承担工作任务的情形，乙方应及时更换更高或同等级别 （资历）的律师。 </w:t>
      </w:r>
    </w:p>
    <w:p w14:paraId="6B68E26D">
      <w:pPr>
        <w:pStyle w:val="22"/>
        <w:adjustRightInd w:val="0"/>
        <w:snapToGrid w:val="0"/>
        <w:spacing w:after="0"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6. 律师服务团队办公场地以乙方办公地点为主；如工作需要，也可到甲方指定地点办公。 </w:t>
      </w:r>
    </w:p>
    <w:p w14:paraId="2BAFB466">
      <w:pPr>
        <w:adjustRightInd w:val="0"/>
        <w:snapToGrid w:val="0"/>
        <w:spacing w:line="360" w:lineRule="auto"/>
        <w:jc w:val="left"/>
        <w:rPr>
          <w:rFonts w:hint="eastAsia" w:ascii="仿宋" w:hAnsi="仿宋" w:eastAsia="仿宋" w:cs="仿宋"/>
          <w:b/>
          <w:color w:val="auto"/>
          <w:sz w:val="24"/>
          <w:szCs w:val="24"/>
          <w:highlight w:val="none"/>
          <w:shd w:val="clear" w:color="auto" w:fill="auto"/>
          <w:lang w:val="en-US" w:eastAsia="zh-CN"/>
        </w:rPr>
      </w:pPr>
      <w:r>
        <w:rPr>
          <w:rFonts w:hint="eastAsia" w:ascii="仿宋" w:hAnsi="仿宋" w:eastAsia="仿宋" w:cs="仿宋"/>
          <w:b/>
          <w:color w:val="auto"/>
          <w:sz w:val="24"/>
          <w:szCs w:val="24"/>
          <w:highlight w:val="none"/>
          <w:shd w:val="clear" w:color="auto" w:fill="auto"/>
          <w:lang w:val="en-US" w:eastAsia="zh-CN"/>
        </w:rPr>
        <w:t xml:space="preserve">四、权利义务 </w:t>
      </w:r>
    </w:p>
    <w:p w14:paraId="5099FF26">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1、甲方有权按法律、法规以及本合同约定要求乙方提供法律服务。</w:t>
      </w:r>
    </w:p>
    <w:p w14:paraId="3519B681">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2、甲方应根据本合同的约定时间向乙方支付法律服务费和其它费用。</w:t>
      </w:r>
    </w:p>
    <w:p w14:paraId="69FEE7CC">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户名：XXXXX律师事务所</w:t>
      </w:r>
    </w:p>
    <w:p w14:paraId="43C24490">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开户行： XXXXX</w:t>
      </w:r>
    </w:p>
    <w:p w14:paraId="7CE4DAF0">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账号： XXXXX</w:t>
      </w:r>
    </w:p>
    <w:p w14:paraId="082E298E">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3、甲方应为乙方开展法律顾问工作提供必要的协助，在乙方律师指导下应如实地向乙方提供全部、真实的法律事实、证据材料和文件，为乙方代理案件提供必要的工作条件和便利。</w:t>
      </w:r>
    </w:p>
    <w:p w14:paraId="6B4B3904">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4、甲方不得要求乙方律师从事违法的、违背律师职业道德的或具有欺诈性的一切违法违纪行为。</w:t>
      </w:r>
    </w:p>
    <w:p w14:paraId="1899C996">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5、甲方有权决定委托乙方的授权范围，对委托乙方办理的事项有知情权、监督权，有权对乙方律师办理的法律事务的质量和效果聘请第三方作出评估并作为乙方律师是否切实履行合同义务及符合勤勉尽职，专业高效的要求。</w:t>
      </w:r>
    </w:p>
    <w:p w14:paraId="2F903769">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6、乙方应当以本行业公认的优质高效的专业标准及勤勉尽职的要求履行法律服务职责，依据事实和法律，维护甲方的合法利益。</w:t>
      </w:r>
    </w:p>
    <w:p w14:paraId="4F24DDF9">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7、乙方接受甲方委托后，不得擅自转委托第三方办理，乙方承办律师不得超越委托代理权限，乙方承办律师不得担任同一案件中对方当事人的代理人。</w:t>
      </w:r>
    </w:p>
    <w:p w14:paraId="7A23D21F">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8、乙方指派的律师因特殊原因不能履行职务，经甲方同意，乙方可以另行指派本所执业律师代行职务。如果甲方认为指派的律师难以达到甲方的要求，甲方可要求乙方更换律师，由甲、乙双方协商更换律师人选。</w:t>
      </w:r>
    </w:p>
    <w:p w14:paraId="3FC3FF79">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9、乙方对其在法律顾问工作中知悉的甲方行政内部信息、国家秘密、商业秘密和涉密信息必须保密，不得向任何第三方泄漏。否则，乙方应对甲方因此遭受的损失承担赔偿责任。</w:t>
      </w:r>
    </w:p>
    <w:p w14:paraId="21C5E43E">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10、乙方不得在服务期满后的合理期限内为被申请人或被告为上城区政府及其部门的复议、诉讼案件提供各种形式的法律帮助。</w:t>
      </w:r>
    </w:p>
    <w:p w14:paraId="58A3AC5F">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default"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11、乙方在接到委托后，应当甲方要求时间内向甲方提交经律师事务所主任或副主任审批确认的相关法律文书及其他材料（疑难复杂案件经说明情况可适当延长期限）。</w:t>
      </w:r>
    </w:p>
    <w:p w14:paraId="09962739">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12、因乙方提供的专项法律服务存在过错和失误，致使甲方利益受损（包括重大决策、合同、规范性文件、行政复议、行政诉讼案件等被司法机关、上级政府或第三方机构评估纠错的），情节较轻的，甲方有权要求乙方退还该次法律服务费用;情节严重的，经书面通知，甲方有权要求乙方退还该次法律服务费用并解除本合同，该解除通知在乙方收到之日生效。一旦收到解除通知，乙方和律师立即停止提供法律顾问服务。（乙方提出意见后甲方因其他原因不予采纳导致利益受损的和复议纠错、诉讼败诉案件及非乙方代理过程中的审查、答辩行为导致的情形除外）。</w:t>
      </w:r>
    </w:p>
    <w:p w14:paraId="6C72D8D9">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13、因乙方律师执业存在过错而给甲方或相关委托方造成的损失，乙方应当依据《律师法》、《民法典》的有关规定给予赔偿，乙方应按照有关规定为执业律师办理执业保险。</w:t>
      </w:r>
    </w:p>
    <w:p w14:paraId="6F42BE29">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rPr>
          <w:rFonts w:hint="default"/>
          <w:highlight w:val="none"/>
          <w:lang w:val="en-US" w:eastAsia="zh-CN"/>
        </w:rPr>
      </w:pPr>
      <w:r>
        <w:rPr>
          <w:rFonts w:hint="eastAsia" w:ascii="仿宋" w:hAnsi="仿宋" w:eastAsia="仿宋" w:cs="仿宋"/>
          <w:b w:val="0"/>
          <w:bCs/>
          <w:color w:val="auto"/>
          <w:sz w:val="24"/>
          <w:szCs w:val="24"/>
          <w:highlight w:val="none"/>
          <w:shd w:val="clear" w:color="auto" w:fill="auto"/>
          <w:lang w:val="en-US" w:eastAsia="zh-CN"/>
        </w:rPr>
        <w:t>14、如果甲方未按照本协议约定支付法律顾问费和其它费用，且无正当理由的，经乙方催告后十日内仍未支付的，乙方有权解除本合同，但应书面通知甲方。</w:t>
      </w:r>
      <w:r>
        <w:rPr>
          <w:rFonts w:hint="eastAsia" w:ascii="仿宋" w:hAnsi="仿宋" w:eastAsia="仿宋" w:cs="仿宋"/>
          <w:b w:val="0"/>
          <w:bCs/>
          <w:color w:val="auto"/>
          <w:sz w:val="24"/>
          <w:szCs w:val="24"/>
          <w:highlight w:val="none"/>
          <w:shd w:val="clear" w:color="auto" w:fill="auto"/>
          <w:lang w:val="en-US" w:eastAsia="zh-CN"/>
        </w:rPr>
        <w:br w:type="textWrapping"/>
      </w:r>
      <w:r>
        <w:rPr>
          <w:rFonts w:hint="eastAsia" w:ascii="仿宋" w:hAnsi="仿宋" w:eastAsia="仿宋" w:cs="仿宋"/>
          <w:b w:val="0"/>
          <w:bCs/>
          <w:color w:val="auto"/>
          <w:sz w:val="24"/>
          <w:szCs w:val="24"/>
          <w:highlight w:val="none"/>
          <w:shd w:val="clear" w:color="auto" w:fill="auto"/>
          <w:lang w:val="en-US" w:eastAsia="zh-CN"/>
        </w:rPr>
        <w:t xml:space="preserve">    15、若甲方要求达到的目标不符合法律规定或乙方认为无法实现的，经乙方提示甲方仍作要求的或甲方要求有违律师职业道德和执业纪律的规定，则乙方有权随时终止向甲方提供法律服务，但应书面通知甲方。</w:t>
      </w:r>
    </w:p>
    <w:p w14:paraId="651D4409">
      <w:pPr>
        <w:adjustRightInd w:val="0"/>
        <w:snapToGrid w:val="0"/>
        <w:spacing w:line="360" w:lineRule="auto"/>
        <w:jc w:val="left"/>
        <w:rPr>
          <w:rFonts w:hint="eastAsia" w:ascii="仿宋" w:hAnsi="仿宋" w:eastAsia="仿宋" w:cs="仿宋"/>
          <w:b/>
          <w:color w:val="auto"/>
          <w:sz w:val="24"/>
          <w:szCs w:val="24"/>
          <w:highlight w:val="none"/>
          <w:shd w:val="clear" w:color="auto" w:fill="auto"/>
          <w:lang w:val="en-US" w:eastAsia="zh-CN"/>
        </w:rPr>
      </w:pPr>
      <w:r>
        <w:rPr>
          <w:rFonts w:hint="eastAsia" w:ascii="仿宋" w:hAnsi="仿宋" w:eastAsia="仿宋" w:cs="仿宋"/>
          <w:b/>
          <w:color w:val="auto"/>
          <w:sz w:val="24"/>
          <w:szCs w:val="24"/>
          <w:highlight w:val="none"/>
          <w:shd w:val="clear" w:color="auto" w:fill="auto"/>
          <w:lang w:val="en-US" w:eastAsia="zh-CN"/>
        </w:rPr>
        <w:t xml:space="preserve">五、服务费用及支付方式 </w:t>
      </w:r>
    </w:p>
    <w:p w14:paraId="21899972">
      <w:pPr>
        <w:pStyle w:val="22"/>
        <w:pageBreakBefore w:val="0"/>
        <w:widowControl w:val="0"/>
        <w:kinsoku/>
        <w:wordWrap/>
        <w:overflowPunct/>
        <w:topLinePunct w:val="0"/>
        <w:bidi w:val="0"/>
        <w:adjustRightInd w:val="0"/>
        <w:snapToGrid w:val="0"/>
        <w:spacing w:line="360" w:lineRule="auto"/>
        <w:ind w:left="0"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highlight w:val="none"/>
          <w:lang w:val="en-US" w:eastAsia="zh-CN"/>
        </w:rPr>
        <w:t>本合同按件计费，为综合单价包干。</w:t>
      </w:r>
    </w:p>
    <w:p w14:paraId="1C8416D5">
      <w:pPr>
        <w:pStyle w:val="22"/>
        <w:pageBreakBefore w:val="0"/>
        <w:widowControl w:val="0"/>
        <w:kinsoku/>
        <w:wordWrap/>
        <w:overflowPunct/>
        <w:topLinePunct w:val="0"/>
        <w:bidi w:val="0"/>
        <w:adjustRightInd w:val="0"/>
        <w:snapToGrid w:val="0"/>
        <w:spacing w:line="360" w:lineRule="auto"/>
        <w:ind w:left="0" w:firstLine="482" w:firstLineChars="200"/>
        <w:textAlignment w:val="auto"/>
        <w:rPr>
          <w:rFonts w:hint="default" w:ascii="仿宋" w:hAnsi="仿宋" w:eastAsia="仿宋" w:cs="仿宋"/>
          <w:b/>
          <w:bCs/>
          <w:color w:val="auto"/>
          <w:sz w:val="24"/>
          <w:highlight w:val="none"/>
          <w:u w:val="none"/>
          <w:lang w:val="en-US" w:eastAsia="zh-CN"/>
        </w:rPr>
      </w:pPr>
      <w:r>
        <w:rPr>
          <w:rFonts w:hint="eastAsia" w:ascii="仿宋" w:hAnsi="仿宋" w:eastAsia="仿宋" w:cs="仿宋"/>
          <w:b/>
          <w:bCs/>
          <w:color w:val="auto"/>
          <w:sz w:val="24"/>
          <w:highlight w:val="none"/>
          <w:u w:val="none"/>
          <w:lang w:val="en-US" w:eastAsia="zh-CN"/>
        </w:rPr>
        <w:t>综合单价为</w:t>
      </w:r>
      <w:r>
        <w:rPr>
          <w:rFonts w:hint="eastAsia" w:ascii="仿宋" w:hAnsi="仿宋" w:eastAsia="仿宋" w:cs="仿宋"/>
          <w:b/>
          <w:bCs/>
          <w:color w:val="auto"/>
          <w:sz w:val="24"/>
          <w:highlight w:val="none"/>
          <w:u w:val="single"/>
          <w:lang w:val="en-US" w:eastAsia="zh-CN"/>
        </w:rPr>
        <w:t xml:space="preserve">    </w:t>
      </w:r>
      <w:r>
        <w:rPr>
          <w:rFonts w:hint="eastAsia" w:ascii="仿宋" w:hAnsi="仿宋" w:eastAsia="仿宋" w:cs="仿宋"/>
          <w:b/>
          <w:bCs/>
          <w:color w:val="auto"/>
          <w:sz w:val="24"/>
          <w:highlight w:val="none"/>
          <w:u w:val="none"/>
          <w:lang w:val="en-US" w:eastAsia="zh-CN"/>
        </w:rPr>
        <w:t>元/件。</w:t>
      </w:r>
    </w:p>
    <w:p w14:paraId="09E770A7">
      <w:pPr>
        <w:keepNext w:val="0"/>
        <w:keepLines w:val="0"/>
        <w:pageBreakBefore w:val="0"/>
        <w:widowControl w:val="0"/>
        <w:kinsoku/>
        <w:wordWrap/>
        <w:overflowPunct/>
        <w:topLinePunct w:val="0"/>
        <w:bidi w:val="0"/>
        <w:adjustRightInd w:val="0"/>
        <w:snapToGrid w:val="0"/>
        <w:spacing w:line="360" w:lineRule="auto"/>
        <w:ind w:left="0" w:firstLine="482" w:firstLineChars="200"/>
        <w:textAlignment w:val="auto"/>
        <w:rPr>
          <w:rFonts w:hint="eastAsia" w:ascii="仿宋" w:hAnsi="仿宋" w:eastAsia="仿宋" w:cs="仿宋"/>
          <w:b/>
          <w:bCs/>
          <w:color w:val="auto"/>
          <w:sz w:val="24"/>
          <w:highlight w:val="none"/>
          <w:u w:val="none"/>
          <w:lang w:val="en-US" w:eastAsia="zh-CN"/>
        </w:rPr>
      </w:pPr>
      <w:r>
        <w:rPr>
          <w:rFonts w:hint="eastAsia" w:ascii="仿宋" w:hAnsi="仿宋" w:eastAsia="仿宋" w:cs="仿宋"/>
          <w:b/>
          <w:bCs/>
          <w:color w:val="auto"/>
          <w:sz w:val="24"/>
          <w:highlight w:val="none"/>
          <w:u w:val="none"/>
          <w:lang w:val="en-US" w:eastAsia="zh-CN"/>
        </w:rPr>
        <w:t>注：</w:t>
      </w:r>
    </w:p>
    <w:p w14:paraId="667C7F24">
      <w:pPr>
        <w:keepNext w:val="0"/>
        <w:keepLines w:val="0"/>
        <w:pageBreakBefore w:val="0"/>
        <w:widowControl w:val="0"/>
        <w:kinsoku/>
        <w:wordWrap/>
        <w:overflowPunct/>
        <w:topLinePunct w:val="0"/>
        <w:bidi w:val="0"/>
        <w:adjustRightInd w:val="0"/>
        <w:snapToGrid w:val="0"/>
        <w:spacing w:line="360" w:lineRule="auto"/>
        <w:ind w:left="0" w:firstLine="482" w:firstLineChars="200"/>
        <w:textAlignment w:val="auto"/>
        <w:rPr>
          <w:rFonts w:hint="eastAsia" w:ascii="仿宋" w:hAnsi="仿宋" w:eastAsia="仿宋" w:cs="仿宋"/>
          <w:b/>
          <w:bCs/>
          <w:color w:val="auto"/>
          <w:sz w:val="24"/>
          <w:highlight w:val="none"/>
          <w:u w:val="none"/>
          <w:lang w:val="en-US" w:eastAsia="zh-CN"/>
        </w:rPr>
      </w:pPr>
      <w:r>
        <w:rPr>
          <w:rFonts w:hint="eastAsia" w:ascii="仿宋" w:hAnsi="仿宋" w:eastAsia="仿宋" w:cs="仿宋"/>
          <w:b/>
          <w:bCs/>
          <w:color w:val="auto"/>
          <w:sz w:val="24"/>
          <w:highlight w:val="none"/>
          <w:u w:val="none"/>
          <w:lang w:val="en-US" w:eastAsia="zh-CN"/>
        </w:rPr>
        <w:t>（1）各类专项事务的处理，由双方另行签订委托合同，其他服务内容不再另行签订委托合同。</w:t>
      </w:r>
    </w:p>
    <w:p w14:paraId="6DBD6381">
      <w:pPr>
        <w:pStyle w:val="24"/>
        <w:keepNext w:val="0"/>
        <w:keepLines w:val="0"/>
        <w:pageBreakBefore w:val="0"/>
        <w:widowControl w:val="0"/>
        <w:numPr>
          <w:ilvl w:val="0"/>
          <w:numId w:val="31"/>
        </w:numPr>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相关行政争议甲方已经在前置其他法律程序中单项委托的，后续程序如复议后诉讼、二审、再审等，综合单价按前置委托的八折计算。</w:t>
      </w:r>
    </w:p>
    <w:p w14:paraId="6A154139">
      <w:pPr>
        <w:pStyle w:val="24"/>
        <w:keepNext w:val="0"/>
        <w:keepLines w:val="0"/>
        <w:pageBreakBefore w:val="0"/>
        <w:widowControl w:val="0"/>
        <w:numPr>
          <w:ilvl w:val="0"/>
          <w:numId w:val="31"/>
        </w:numPr>
        <w:kinsoku/>
        <w:wordWrap/>
        <w:overflowPunct/>
        <w:topLinePunct w:val="0"/>
        <w:bidi w:val="0"/>
        <w:adjustRightInd w:val="0"/>
        <w:snapToGrid w:val="0"/>
        <w:spacing w:line="360" w:lineRule="auto"/>
        <w:ind w:left="0"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同一或类似事由引发的同类复议诉讼案件如发生5件及以上的为批量案件，批量案件统一结算，综合单价按原合同定价八折计算。</w:t>
      </w:r>
    </w:p>
    <w:p w14:paraId="2C90C85B">
      <w:pPr>
        <w:pStyle w:val="22"/>
        <w:adjustRightInd w:val="0"/>
        <w:snapToGrid w:val="0"/>
        <w:spacing w:after="0"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2、支付方式</w:t>
      </w:r>
    </w:p>
    <w:p w14:paraId="65F15C51">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lang w:val="en-US" w:eastAsia="zh-CN"/>
        </w:rPr>
        <w:t>（1）</w:t>
      </w:r>
      <w:r>
        <w:rPr>
          <w:rFonts w:hint="eastAsia" w:ascii="仿宋" w:hAnsi="仿宋" w:eastAsia="仿宋" w:cs="仿宋"/>
          <w:snapToGrid w:val="0"/>
          <w:color w:val="auto"/>
          <w:sz w:val="24"/>
          <w:szCs w:val="24"/>
          <w:highlight w:val="none"/>
        </w:rPr>
        <w:t>合同生效后具备实施条件5个工作日内</w:t>
      </w:r>
      <w:r>
        <w:rPr>
          <w:rFonts w:hint="eastAsia" w:ascii="仿宋" w:hAnsi="仿宋" w:eastAsia="仿宋" w:cs="仿宋"/>
          <w:snapToGrid w:val="0"/>
          <w:color w:val="auto"/>
          <w:sz w:val="24"/>
          <w:szCs w:val="24"/>
          <w:highlight w:val="none"/>
          <w:lang w:eastAsia="zh-CN"/>
        </w:rPr>
        <w:t>，</w:t>
      </w:r>
      <w:r>
        <w:rPr>
          <w:rFonts w:hint="eastAsia" w:ascii="仿宋" w:hAnsi="仿宋" w:eastAsia="仿宋" w:cs="仿宋"/>
          <w:snapToGrid w:val="0"/>
          <w:color w:val="auto"/>
          <w:sz w:val="24"/>
          <w:szCs w:val="24"/>
          <w:highlight w:val="none"/>
          <w:lang w:val="en-US" w:eastAsia="zh-CN"/>
        </w:rPr>
        <w:t>甲方</w:t>
      </w:r>
      <w:r>
        <w:rPr>
          <w:rFonts w:hint="eastAsia" w:ascii="仿宋" w:hAnsi="仿宋" w:eastAsia="仿宋" w:cs="仿宋"/>
          <w:snapToGrid w:val="0"/>
          <w:color w:val="auto"/>
          <w:sz w:val="24"/>
          <w:szCs w:val="24"/>
          <w:highlight w:val="none"/>
        </w:rPr>
        <w:t>向</w:t>
      </w:r>
      <w:r>
        <w:rPr>
          <w:rFonts w:hint="eastAsia" w:ascii="仿宋" w:hAnsi="仿宋" w:eastAsia="仿宋" w:cs="仿宋"/>
          <w:snapToGrid w:val="0"/>
          <w:color w:val="auto"/>
          <w:sz w:val="24"/>
          <w:szCs w:val="24"/>
          <w:highlight w:val="none"/>
          <w:lang w:val="en-US" w:eastAsia="zh-CN"/>
        </w:rPr>
        <w:t>乙方</w:t>
      </w:r>
      <w:r>
        <w:rPr>
          <w:rFonts w:hint="eastAsia" w:ascii="仿宋" w:hAnsi="仿宋" w:eastAsia="仿宋" w:cs="仿宋"/>
          <w:snapToGrid w:val="0"/>
          <w:color w:val="auto"/>
          <w:sz w:val="24"/>
          <w:szCs w:val="24"/>
          <w:highlight w:val="none"/>
        </w:rPr>
        <w:t>支付合同金额</w:t>
      </w:r>
      <w:r>
        <w:rPr>
          <w:rFonts w:hint="eastAsia" w:ascii="仿宋" w:hAnsi="仿宋" w:eastAsia="仿宋" w:cs="仿宋"/>
          <w:snapToGrid w:val="0"/>
          <w:color w:val="auto"/>
          <w:sz w:val="24"/>
          <w:szCs w:val="24"/>
          <w:highlight w:val="none"/>
          <w:lang w:eastAsia="zh-CN"/>
        </w:rPr>
        <w:t>（</w:t>
      </w:r>
      <w:r>
        <w:rPr>
          <w:rFonts w:hint="eastAsia" w:ascii="仿宋" w:hAnsi="仿宋" w:eastAsia="仿宋" w:cs="仿宋"/>
          <w:snapToGrid w:val="0"/>
          <w:color w:val="auto"/>
          <w:sz w:val="24"/>
          <w:szCs w:val="24"/>
          <w:highlight w:val="none"/>
          <w:lang w:val="en-US" w:eastAsia="zh-CN"/>
        </w:rPr>
        <w:t>即标项年度预算</w:t>
      </w:r>
      <w:r>
        <w:rPr>
          <w:rFonts w:hint="eastAsia" w:ascii="仿宋" w:hAnsi="仿宋" w:eastAsia="仿宋" w:cs="仿宋"/>
          <w:snapToGrid w:val="0"/>
          <w:color w:val="auto"/>
          <w:sz w:val="24"/>
          <w:szCs w:val="24"/>
          <w:highlight w:val="none"/>
          <w:lang w:eastAsia="zh-CN"/>
        </w:rPr>
        <w:t>）</w:t>
      </w:r>
      <w:r>
        <w:rPr>
          <w:rFonts w:hint="eastAsia" w:ascii="仿宋" w:hAnsi="仿宋" w:eastAsia="仿宋" w:cs="仿宋"/>
          <w:snapToGrid w:val="0"/>
          <w:color w:val="auto"/>
          <w:sz w:val="24"/>
          <w:szCs w:val="24"/>
          <w:highlight w:val="none"/>
        </w:rPr>
        <w:t>的</w:t>
      </w:r>
      <w:r>
        <w:rPr>
          <w:rFonts w:hint="eastAsia" w:ascii="仿宋" w:hAnsi="仿宋" w:eastAsia="仿宋" w:cs="仿宋"/>
          <w:snapToGrid w:val="0"/>
          <w:color w:val="auto"/>
          <w:sz w:val="24"/>
          <w:szCs w:val="24"/>
          <w:highlight w:val="none"/>
          <w:lang w:val="en-US" w:eastAsia="zh-CN"/>
        </w:rPr>
        <w:t>5</w:t>
      </w:r>
      <w:r>
        <w:rPr>
          <w:rFonts w:hint="eastAsia" w:ascii="仿宋" w:hAnsi="仿宋" w:eastAsia="仿宋" w:cs="仿宋"/>
          <w:snapToGrid w:val="0"/>
          <w:color w:val="auto"/>
          <w:sz w:val="24"/>
          <w:szCs w:val="24"/>
          <w:highlight w:val="none"/>
        </w:rPr>
        <w:t>0%；</w:t>
      </w:r>
      <w:r>
        <w:rPr>
          <w:rFonts w:hint="eastAsia" w:ascii="仿宋" w:hAnsi="仿宋" w:eastAsia="仿宋" w:cs="仿宋"/>
          <w:snapToGrid w:val="0"/>
          <w:color w:val="auto"/>
          <w:sz w:val="24"/>
          <w:szCs w:val="24"/>
          <w:highlight w:val="none"/>
          <w:lang w:val="en-US" w:eastAsia="zh-CN"/>
        </w:rPr>
        <w:t>（在签订合同时，乙方明确表示无需预付款或者主动要求降低预付款比例的，可不适用预付款相关规定；参见采购文件商务要求条款）</w:t>
      </w:r>
    </w:p>
    <w:p w14:paraId="71EF819F">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snapToGrid w:val="0"/>
          <w:color w:val="auto"/>
          <w:sz w:val="24"/>
          <w:szCs w:val="24"/>
          <w:highlight w:val="none"/>
          <w:lang w:val="en-US" w:eastAsia="zh-CN"/>
        </w:rPr>
      </w:pPr>
      <w:r>
        <w:rPr>
          <w:rFonts w:hint="eastAsia" w:ascii="仿宋" w:hAnsi="仿宋" w:eastAsia="仿宋" w:cs="仿宋"/>
          <w:snapToGrid w:val="0"/>
          <w:color w:val="auto"/>
          <w:sz w:val="24"/>
          <w:szCs w:val="24"/>
          <w:highlight w:val="none"/>
          <w:lang w:val="en-US" w:eastAsia="zh-CN"/>
        </w:rPr>
        <w:t>（2）根据实际发生的服务数量以及服务单价，每季度期满后的15日内由乙方提供《季度服务简报》，经甲方审核通过后一次性结算该季度服务费用。</w:t>
      </w:r>
    </w:p>
    <w:p w14:paraId="4E58119F">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snapToGrid w:val="0"/>
          <w:color w:val="auto"/>
          <w:sz w:val="24"/>
          <w:szCs w:val="24"/>
          <w:highlight w:val="none"/>
          <w:lang w:val="en-US" w:eastAsia="zh-CN"/>
        </w:rPr>
      </w:pPr>
      <w:r>
        <w:rPr>
          <w:rFonts w:hint="eastAsia" w:ascii="仿宋" w:hAnsi="仿宋" w:eastAsia="仿宋" w:cs="仿宋"/>
          <w:snapToGrid w:val="0"/>
          <w:color w:val="auto"/>
          <w:sz w:val="24"/>
          <w:szCs w:val="24"/>
          <w:highlight w:val="none"/>
          <w:lang w:val="en-US" w:eastAsia="zh-CN"/>
        </w:rPr>
        <w:t>（3）最后一个季度的服务费用（尾款）待全部服务结束、履约验收合格后支付。</w:t>
      </w:r>
    </w:p>
    <w:p w14:paraId="08642023">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snapToGrid w:val="0"/>
          <w:color w:val="auto"/>
          <w:sz w:val="24"/>
          <w:szCs w:val="24"/>
          <w:highlight w:val="none"/>
          <w:lang w:val="en-US" w:eastAsia="zh-CN"/>
        </w:rPr>
      </w:pPr>
      <w:r>
        <w:rPr>
          <w:rFonts w:hint="eastAsia" w:ascii="仿宋" w:hAnsi="仿宋" w:eastAsia="仿宋" w:cs="仿宋"/>
          <w:snapToGrid w:val="0"/>
          <w:color w:val="auto"/>
          <w:sz w:val="24"/>
          <w:szCs w:val="24"/>
          <w:highlight w:val="none"/>
          <w:lang w:val="en-US" w:eastAsia="zh-CN"/>
        </w:rPr>
        <w:t>（4）甲方支付的年度总服务费用不超过标项年度预算。在服务期内，乙方应完成所有服务内容及数量，按实际数量计酬如超出标项预算的，甲方实际最多支付至标项预算金额。如未超过标项预算金额的，按实际进行结算后支付。</w:t>
      </w:r>
    </w:p>
    <w:p w14:paraId="6E57D4A6">
      <w:pPr>
        <w:pStyle w:val="22"/>
        <w:adjustRightInd w:val="0"/>
        <w:snapToGrid w:val="0"/>
        <w:spacing w:after="0" w:line="360" w:lineRule="auto"/>
        <w:ind w:firstLine="480" w:firstLineChars="200"/>
        <w:rPr>
          <w:rFonts w:hint="eastAsia" w:ascii="仿宋" w:hAnsi="仿宋" w:eastAsia="仿宋" w:cs="仿宋"/>
          <w:snapToGrid w:val="0"/>
          <w:color w:val="auto"/>
          <w:sz w:val="24"/>
          <w:szCs w:val="24"/>
          <w:highlight w:val="none"/>
          <w:lang w:val="en-US" w:eastAsia="zh-CN"/>
        </w:rPr>
      </w:pPr>
      <w:r>
        <w:rPr>
          <w:rFonts w:hint="eastAsia" w:ascii="仿宋" w:hAnsi="仿宋" w:eastAsia="仿宋" w:cs="仿宋"/>
          <w:snapToGrid w:val="0"/>
          <w:color w:val="auto"/>
          <w:sz w:val="24"/>
          <w:szCs w:val="24"/>
          <w:highlight w:val="none"/>
          <w:lang w:val="en-US" w:eastAsia="zh-CN"/>
        </w:rPr>
        <w:t>（5）付款前，乙方须向甲方提供正规、等额、合法、有效的发票，以及服务台账清单。实际结算金额=应付金额-罚款金额。根据资金支付情况及财政支付制度，最终付款方式以双方确认，合同明确为准。</w:t>
      </w:r>
    </w:p>
    <w:p w14:paraId="57E47A88">
      <w:pPr>
        <w:pStyle w:val="22"/>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snapToGrid w:val="0"/>
          <w:color w:val="auto"/>
          <w:sz w:val="24"/>
          <w:szCs w:val="24"/>
          <w:highlight w:val="none"/>
          <w:lang w:val="en-US" w:eastAsia="zh-CN"/>
        </w:rPr>
        <w:t>3、</w:t>
      </w:r>
      <w:r>
        <w:rPr>
          <w:rFonts w:hint="eastAsia" w:ascii="仿宋" w:hAnsi="仿宋" w:eastAsia="仿宋" w:cs="仿宋"/>
          <w:color w:val="auto"/>
          <w:sz w:val="24"/>
          <w:highlight w:val="none"/>
        </w:rPr>
        <w:t>履约保证金</w:t>
      </w:r>
    </w:p>
    <w:p w14:paraId="53B0C70C">
      <w:pPr>
        <w:pStyle w:val="22"/>
        <w:keepNext w:val="0"/>
        <w:keepLines w:val="0"/>
        <w:pageBreakBefore w:val="0"/>
        <w:widowControl w:val="0"/>
        <w:kinsoku/>
        <w:wordWrap/>
        <w:overflowPunct/>
        <w:topLinePunct w:val="0"/>
        <w:bidi w:val="0"/>
        <w:adjustRightInd w:val="0"/>
        <w:snapToGrid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乙方无需</w:t>
      </w:r>
      <w:r>
        <w:rPr>
          <w:rFonts w:hint="eastAsia" w:ascii="仿宋" w:hAnsi="仿宋" w:eastAsia="仿宋" w:cs="仿宋"/>
          <w:color w:val="auto"/>
          <w:sz w:val="24"/>
          <w:highlight w:val="none"/>
        </w:rPr>
        <w:t>交纳履约保证金。</w:t>
      </w:r>
      <w:r>
        <w:rPr>
          <w:rFonts w:hint="eastAsia" w:ascii="仿宋" w:hAnsi="仿宋" w:eastAsia="仿宋" w:cs="仿宋"/>
          <w:color w:val="auto"/>
          <w:sz w:val="24"/>
          <w:highlight w:val="none"/>
          <w:lang w:val="en-US" w:eastAsia="zh-CN"/>
        </w:rPr>
        <w:t>如有违约行为，从应付合同费用中扣除。</w:t>
      </w:r>
    </w:p>
    <w:p w14:paraId="3703B098">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default" w:ascii="仿宋" w:hAnsi="仿宋" w:eastAsia="仿宋" w:cs="仿宋"/>
          <w:b/>
          <w:bCs/>
          <w:color w:val="auto"/>
          <w:sz w:val="24"/>
          <w:szCs w:val="24"/>
          <w:highlight w:val="none"/>
          <w:shd w:val="clear" w:color="auto" w:fill="auto"/>
          <w:lang w:val="en-US" w:eastAsia="zh-CN"/>
        </w:rPr>
      </w:pPr>
      <w:r>
        <w:rPr>
          <w:rFonts w:hint="eastAsia" w:ascii="仿宋" w:hAnsi="仿宋" w:eastAsia="仿宋" w:cs="仿宋"/>
          <w:b/>
          <w:bCs/>
          <w:color w:val="auto"/>
          <w:sz w:val="24"/>
          <w:szCs w:val="24"/>
          <w:highlight w:val="none"/>
          <w:shd w:val="clear" w:color="auto" w:fill="auto"/>
          <w:lang w:val="en-US" w:eastAsia="zh-CN"/>
        </w:rPr>
        <w:t>六、考核及验收</w:t>
      </w:r>
    </w:p>
    <w:p w14:paraId="56DEE972">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（一）中期考核</w:t>
      </w:r>
    </w:p>
    <w:p w14:paraId="5C45EB9C">
      <w:pPr>
        <w:pStyle w:val="22"/>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1、服务期间甲方有权进行中期考核，根据考核结果，甲方视情况作如下处理：</w:t>
      </w:r>
    </w:p>
    <w:p w14:paraId="51D0C7F4">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（1）团队成员的服务质量达不到要求的，甲方有权要求乙方更换相关人员。</w:t>
      </w:r>
    </w:p>
    <w:p w14:paraId="560FAB67">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（2）服务质量不佳，整体考核结果未达到甲方要求的，甲方有权终止合同。</w:t>
      </w:r>
    </w:p>
    <w:p w14:paraId="3C007B64">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2、考核主要内容如下（以甲方最终确认为准）。</w:t>
      </w:r>
    </w:p>
    <w:p w14:paraId="1CED3B7A">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（1）是否发生有责投诉的。</w:t>
      </w:r>
    </w:p>
    <w:p w14:paraId="60A77548">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（2）是否因工作人员不当言论、行为发生信访事件的。</w:t>
      </w:r>
    </w:p>
    <w:p w14:paraId="2B00781B">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（3）未及时响应采购人的要求和安排，多次迟到或无故推脱的。</w:t>
      </w:r>
    </w:p>
    <w:p w14:paraId="59599796">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kern w:val="2"/>
          <w:sz w:val="24"/>
          <w:szCs w:val="21"/>
          <w:highlight w:val="none"/>
          <w:lang w:val="en-US" w:eastAsia="zh-CN" w:bidi="ar-SA"/>
        </w:rPr>
      </w:pPr>
      <w:r>
        <w:rPr>
          <w:rFonts w:hint="eastAsia" w:ascii="仿宋" w:hAnsi="仿宋" w:eastAsia="仿宋" w:cs="仿宋"/>
          <w:kern w:val="2"/>
          <w:sz w:val="24"/>
          <w:szCs w:val="21"/>
          <w:highlight w:val="none"/>
          <w:lang w:val="en-US" w:eastAsia="zh-CN" w:bidi="ar-SA"/>
        </w:rPr>
        <w:t>（4）未按时提交的相应法律文书或法律意见的，经多次催促的；或提交文书质量不过关，多次被要求返工的；</w:t>
      </w:r>
    </w:p>
    <w:p w14:paraId="0DBB33CE">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kern w:val="2"/>
          <w:sz w:val="24"/>
          <w:szCs w:val="21"/>
          <w:highlight w:val="none"/>
          <w:lang w:val="en-US" w:eastAsia="zh-CN" w:bidi="ar-SA"/>
        </w:rPr>
      </w:pPr>
      <w:r>
        <w:rPr>
          <w:rFonts w:hint="eastAsia" w:ascii="仿宋" w:hAnsi="仿宋" w:eastAsia="仿宋" w:cs="仿宋"/>
          <w:kern w:val="2"/>
          <w:sz w:val="24"/>
          <w:szCs w:val="21"/>
          <w:highlight w:val="none"/>
          <w:lang w:val="en-US" w:eastAsia="zh-CN" w:bidi="ar-SA"/>
        </w:rPr>
        <w:t>（5）提供的法律意见或法律文书存在纰漏，造成工作严重失误的，或导致区政府因此被纠错或败诉的。</w:t>
      </w:r>
    </w:p>
    <w:p w14:paraId="71CAAB45">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（6）服务保障不到位，检查缺少记录和台账资料，资料不齐的。</w:t>
      </w:r>
    </w:p>
    <w:p w14:paraId="432197F6">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（7）发生吃、拿、卡、要等问题的。</w:t>
      </w:r>
    </w:p>
    <w:p w14:paraId="31E91B1E">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（8）发生弄虚作假的行为。</w:t>
      </w:r>
    </w:p>
    <w:p w14:paraId="2995470F">
      <w:pPr>
        <w:pStyle w:val="22"/>
        <w:pageBreakBefore w:val="0"/>
        <w:widowControl w:val="0"/>
        <w:numPr>
          <w:ilvl w:val="0"/>
          <w:numId w:val="0"/>
        </w:numPr>
        <w:kinsoku/>
        <w:wordWrap/>
        <w:overflowPunct/>
        <w:topLinePunct w:val="0"/>
        <w:bidi w:val="0"/>
        <w:adjustRightInd w:val="0"/>
        <w:snapToGrid w:val="0"/>
        <w:spacing w:line="360" w:lineRule="auto"/>
        <w:ind w:leftChars="200"/>
        <w:textAlignment w:val="auto"/>
        <w:rPr>
          <w:rFonts w:hint="eastAsia"/>
          <w:highlight w:val="none"/>
          <w:lang w:val="en-US" w:eastAsia="zh-CN"/>
        </w:rPr>
      </w:pPr>
      <w:r>
        <w:rPr>
          <w:rFonts w:hint="eastAsia" w:ascii="仿宋" w:hAnsi="仿宋" w:eastAsia="仿宋" w:cs="仿宋"/>
          <w:highlight w:val="none"/>
          <w:lang w:val="en-US" w:eastAsia="zh-CN"/>
        </w:rPr>
        <w:t>（9）其他任何有可能影响考核公正性的行为的。</w:t>
      </w:r>
    </w:p>
    <w:p w14:paraId="42C36DF6">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default" w:ascii="仿宋" w:hAnsi="仿宋" w:eastAsia="仿宋" w:cs="仿宋"/>
          <w:highlight w:val="none"/>
          <w:lang w:val="en-US" w:eastAsia="zh-CN"/>
        </w:rPr>
      </w:pPr>
      <w:r>
        <w:rPr>
          <w:rFonts w:hint="eastAsia" w:ascii="仿宋" w:hAnsi="仿宋" w:eastAsia="仿宋" w:cs="仿宋"/>
          <w:highlight w:val="none"/>
          <w:lang w:val="en-US" w:eastAsia="zh-CN"/>
        </w:rPr>
        <w:t>（二）履约验收</w:t>
      </w:r>
    </w:p>
    <w:p w14:paraId="02559E51">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zh-CN" w:eastAsia="zh-CN"/>
        </w:rPr>
      </w:pPr>
      <w:r>
        <w:rPr>
          <w:rFonts w:hint="eastAsia" w:ascii="仿宋" w:hAnsi="仿宋" w:eastAsia="仿宋" w:cs="仿宋"/>
          <w:highlight w:val="none"/>
          <w:lang w:val="en-US" w:eastAsia="zh-CN"/>
        </w:rPr>
        <w:t>1、</w:t>
      </w:r>
      <w:r>
        <w:rPr>
          <w:rFonts w:hint="eastAsia" w:ascii="仿宋" w:hAnsi="仿宋" w:eastAsia="仿宋" w:cs="仿宋"/>
          <w:highlight w:val="none"/>
          <w:lang w:val="zh-CN" w:eastAsia="zh-CN"/>
        </w:rPr>
        <w:t>本项目</w:t>
      </w:r>
      <w:r>
        <w:rPr>
          <w:rFonts w:hint="eastAsia" w:ascii="仿宋" w:hAnsi="仿宋" w:eastAsia="仿宋" w:cs="仿宋"/>
          <w:highlight w:val="none"/>
          <w:lang w:val="en-US" w:eastAsia="zh-CN"/>
        </w:rPr>
        <w:t>组织</w:t>
      </w:r>
      <w:r>
        <w:rPr>
          <w:rFonts w:hint="eastAsia" w:ascii="仿宋" w:hAnsi="仿宋" w:eastAsia="仿宋" w:cs="仿宋"/>
          <w:highlight w:val="none"/>
          <w:lang w:val="zh-CN" w:eastAsia="zh-CN"/>
        </w:rPr>
        <w:t>履约验收，验收合格的情况作为项目支付的依据。</w:t>
      </w:r>
    </w:p>
    <w:p w14:paraId="591AC671">
      <w:pPr>
        <w:pStyle w:val="22"/>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0" w:firstLine="480" w:firstLineChars="200"/>
        <w:textAlignment w:val="auto"/>
        <w:rPr>
          <w:rFonts w:hint="eastAsia" w:ascii="仿宋" w:hAnsi="仿宋" w:eastAsia="仿宋" w:cs="仿宋"/>
          <w:highlight w:val="none"/>
          <w:lang w:val="zh-CN" w:eastAsia="zh-CN"/>
        </w:rPr>
      </w:pPr>
      <w:r>
        <w:rPr>
          <w:rFonts w:hint="eastAsia" w:ascii="仿宋" w:hAnsi="仿宋" w:eastAsia="仿宋" w:cs="仿宋"/>
          <w:highlight w:val="none"/>
          <w:lang w:val="en-US" w:eastAsia="zh-CN"/>
        </w:rPr>
        <w:t>2、</w:t>
      </w:r>
      <w:r>
        <w:rPr>
          <w:rFonts w:hint="eastAsia" w:ascii="仿宋" w:hAnsi="仿宋" w:eastAsia="仿宋" w:cs="仿宋"/>
          <w:highlight w:val="none"/>
          <w:lang w:val="zh-CN" w:eastAsia="zh-CN"/>
        </w:rPr>
        <w:t>验收依据：①采购文件确定的技术指标或者服务要求；②</w:t>
      </w:r>
      <w:r>
        <w:rPr>
          <w:rFonts w:hint="eastAsia" w:ascii="仿宋" w:hAnsi="仿宋" w:eastAsia="仿宋" w:cs="仿宋"/>
          <w:highlight w:val="none"/>
          <w:lang w:val="en-US" w:eastAsia="zh-CN"/>
        </w:rPr>
        <w:t>响应</w:t>
      </w:r>
      <w:r>
        <w:rPr>
          <w:rFonts w:hint="eastAsia" w:ascii="仿宋" w:hAnsi="仿宋" w:eastAsia="仿宋" w:cs="仿宋"/>
          <w:highlight w:val="none"/>
          <w:lang w:val="zh-CN" w:eastAsia="zh-CN"/>
        </w:rPr>
        <w:t>文件承诺、询标回复；③服务合同、</w:t>
      </w:r>
      <w:r>
        <w:rPr>
          <w:rFonts w:hint="eastAsia" w:ascii="仿宋" w:hAnsi="仿宋" w:eastAsia="仿宋" w:cs="仿宋"/>
          <w:highlight w:val="none"/>
          <w:lang w:val="en-US" w:eastAsia="zh-CN"/>
        </w:rPr>
        <w:t>采购人</w:t>
      </w:r>
      <w:r>
        <w:rPr>
          <w:rFonts w:hint="eastAsia" w:ascii="仿宋" w:hAnsi="仿宋" w:eastAsia="仿宋" w:cs="仿宋"/>
          <w:highlight w:val="none"/>
          <w:lang w:val="zh-CN" w:eastAsia="zh-CN"/>
        </w:rPr>
        <w:t>制定的考核标准。未进行相应约定的，应当符合国家强制性规定、政策要求、安全标准、行业或企业有关标准等。</w:t>
      </w:r>
    </w:p>
    <w:p w14:paraId="42C3778D">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color w:val="auto"/>
          <w:sz w:val="24"/>
          <w:szCs w:val="24"/>
          <w:highlight w:val="none"/>
          <w:shd w:val="clear" w:color="auto" w:fill="auto"/>
          <w:lang w:val="en-US" w:eastAsia="zh-CN"/>
        </w:rPr>
      </w:pPr>
      <w:r>
        <w:rPr>
          <w:rFonts w:hint="eastAsia" w:ascii="仿宋" w:hAnsi="仿宋" w:eastAsia="仿宋" w:cs="仿宋"/>
          <w:b/>
          <w:bCs/>
          <w:color w:val="auto"/>
          <w:sz w:val="24"/>
          <w:szCs w:val="24"/>
          <w:highlight w:val="none"/>
          <w:shd w:val="clear" w:color="auto" w:fill="auto"/>
          <w:lang w:val="en-US" w:eastAsia="zh-CN"/>
        </w:rPr>
        <w:t xml:space="preserve">七、违约责任 </w:t>
      </w:r>
    </w:p>
    <w:p w14:paraId="5E7BD849">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本合同签订后，任何一方不履行或不完全履行本合同约定条款的，即构成违约。任何一方违约时，守约方有权要求违约方继续履行本合同，同时有权要求违约方支付违约金。 </w:t>
      </w:r>
    </w:p>
    <w:p w14:paraId="1ED86CD8">
      <w:pPr>
        <w:snapToGrid w:val="0"/>
        <w:spacing w:line="360" w:lineRule="auto"/>
        <w:rPr>
          <w:rFonts w:hint="eastAsia" w:ascii="仿宋_GB2312" w:hAnsi="仿宋_GB2312" w:eastAsia="仿宋_GB2312" w:cs="仿宋_GB2312"/>
          <w:b/>
          <w:kern w:val="0"/>
          <w:sz w:val="24"/>
          <w:highlight w:val="none"/>
        </w:rPr>
      </w:pPr>
      <w:r>
        <w:rPr>
          <w:rFonts w:hint="eastAsia" w:ascii="仿宋_GB2312" w:hAnsi="仿宋_GB2312" w:eastAsia="仿宋_GB2312" w:cs="仿宋_GB2312"/>
          <w:b/>
          <w:kern w:val="0"/>
          <w:sz w:val="24"/>
          <w:highlight w:val="none"/>
          <w:lang w:val="en-US" w:eastAsia="zh-CN"/>
        </w:rPr>
        <w:t>八</w:t>
      </w:r>
      <w:r>
        <w:rPr>
          <w:rFonts w:hint="eastAsia" w:ascii="仿宋_GB2312" w:hAnsi="仿宋_GB2312" w:eastAsia="仿宋_GB2312" w:cs="仿宋_GB2312"/>
          <w:b/>
          <w:kern w:val="0"/>
          <w:sz w:val="24"/>
          <w:highlight w:val="none"/>
        </w:rPr>
        <w:t>、保密要求</w:t>
      </w:r>
    </w:p>
    <w:p w14:paraId="532D0D68">
      <w:pPr>
        <w:pStyle w:val="22"/>
        <w:keepNext w:val="0"/>
        <w:keepLines w:val="0"/>
        <w:pageBreakBefore w:val="0"/>
        <w:widowControl w:val="0"/>
        <w:kinsoku/>
        <w:wordWrap/>
        <w:overflowPunct/>
        <w:topLinePunct w:val="0"/>
        <w:autoSpaceDE/>
        <w:autoSpaceDN/>
        <w:bidi w:val="0"/>
        <w:adjustRightInd w:val="0"/>
        <w:snapToGrid w:val="0"/>
        <w:spacing w:after="0"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乙方未经甲方书面同意，不得以任何形式向其他任何单位和个人披露或使用被审核项目的相关信息或资料，更不得对外提供、泄露或公开审核任务的有关情况。如因乙方违反本条款，乙方应承担由此导致的一切责任，如造成甲方损失，乙方应承担相应的经济赔偿。</w:t>
      </w:r>
    </w:p>
    <w:p w14:paraId="3E041EAB">
      <w:pPr>
        <w:keepNext w:val="0"/>
        <w:keepLines w:val="0"/>
        <w:pageBreakBefore w:val="0"/>
        <w:widowControl w:val="0"/>
        <w:kinsoku/>
        <w:wordWrap/>
        <w:overflowPunct/>
        <w:topLinePunct w:val="0"/>
        <w:bidi w:val="0"/>
        <w:adjustRightInd w:val="0"/>
        <w:snapToGrid w:val="0"/>
        <w:spacing w:line="360" w:lineRule="auto"/>
        <w:jc w:val="left"/>
        <w:textAlignment w:val="auto"/>
        <w:outlineLvl w:val="9"/>
        <w:rPr>
          <w:rFonts w:hint="eastAsia" w:ascii="仿宋" w:hAnsi="仿宋" w:eastAsia="仿宋" w:cs="仿宋"/>
          <w:b/>
          <w:color w:val="auto"/>
          <w:sz w:val="24"/>
          <w:szCs w:val="24"/>
          <w:highlight w:val="none"/>
          <w:shd w:val="clear" w:color="auto" w:fill="auto"/>
          <w:lang w:val="en-US" w:eastAsia="zh-CN"/>
        </w:rPr>
      </w:pPr>
      <w:r>
        <w:rPr>
          <w:rFonts w:hint="eastAsia" w:ascii="仿宋" w:hAnsi="仿宋" w:eastAsia="仿宋" w:cs="仿宋"/>
          <w:b/>
          <w:color w:val="auto"/>
          <w:sz w:val="24"/>
          <w:szCs w:val="24"/>
          <w:highlight w:val="none"/>
          <w:shd w:val="clear" w:color="auto" w:fill="auto"/>
          <w:lang w:val="en-US" w:eastAsia="zh-CN"/>
        </w:rPr>
        <w:t xml:space="preserve">九、争议解决 </w:t>
      </w:r>
    </w:p>
    <w:p w14:paraId="2ADFA5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outlineLvl w:val="9"/>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1、本合同的订立、解释、履行及争议解决，均适用中华人民共和国法律。</w:t>
      </w:r>
    </w:p>
    <w:p w14:paraId="211C4885">
      <w:pPr>
        <w:pStyle w:val="22"/>
        <w:keepNext w:val="0"/>
        <w:keepLines w:val="0"/>
        <w:pageBreakBefore w:val="0"/>
        <w:widowControl w:val="0"/>
        <w:kinsoku/>
        <w:wordWrap/>
        <w:overflowPunct/>
        <w:topLinePunct w:val="0"/>
        <w:bidi w:val="0"/>
        <w:adjustRightInd w:val="0"/>
        <w:snapToGrid w:val="0"/>
        <w:spacing w:after="0"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shd w:val="clear" w:color="auto" w:fill="auto"/>
        </w:rPr>
        <w:t>2、本合同履行过程中发生争议的，甲乙双方应友好协商；协商不成的，争议由杭州</w:t>
      </w:r>
      <w:r>
        <w:rPr>
          <w:rFonts w:hint="eastAsia" w:ascii="仿宋" w:hAnsi="仿宋" w:eastAsia="仿宋" w:cs="仿宋"/>
          <w:color w:val="auto"/>
          <w:sz w:val="24"/>
          <w:szCs w:val="24"/>
          <w:highlight w:val="none"/>
          <w:shd w:val="clear" w:color="auto" w:fill="auto"/>
          <w:lang w:eastAsia="zh-CN"/>
        </w:rPr>
        <w:t>市</w:t>
      </w:r>
      <w:r>
        <w:rPr>
          <w:rFonts w:hint="eastAsia" w:ascii="仿宋" w:hAnsi="仿宋" w:eastAsia="仿宋" w:cs="仿宋"/>
          <w:color w:val="auto"/>
          <w:sz w:val="24"/>
          <w:szCs w:val="24"/>
          <w:highlight w:val="none"/>
          <w:shd w:val="clear" w:color="auto" w:fill="auto"/>
          <w:lang w:val="en-US" w:eastAsia="zh-CN"/>
        </w:rPr>
        <w:t>上城</w:t>
      </w:r>
      <w:r>
        <w:rPr>
          <w:rFonts w:hint="eastAsia" w:ascii="仿宋" w:hAnsi="仿宋" w:eastAsia="仿宋" w:cs="仿宋"/>
          <w:color w:val="auto"/>
          <w:sz w:val="24"/>
          <w:szCs w:val="24"/>
          <w:highlight w:val="none"/>
          <w:shd w:val="clear" w:color="auto" w:fill="auto"/>
          <w:lang w:eastAsia="zh-CN"/>
        </w:rPr>
        <w:t>区人民法院管辖</w:t>
      </w:r>
      <w:r>
        <w:rPr>
          <w:rFonts w:hint="eastAsia" w:ascii="仿宋" w:hAnsi="仿宋" w:eastAsia="仿宋" w:cs="仿宋"/>
          <w:color w:val="auto"/>
          <w:sz w:val="24"/>
          <w:szCs w:val="24"/>
          <w:highlight w:val="none"/>
          <w:shd w:val="clear" w:color="auto" w:fill="auto"/>
        </w:rPr>
        <w:t>。</w:t>
      </w:r>
      <w:r>
        <w:rPr>
          <w:rFonts w:hint="eastAsia" w:ascii="仿宋" w:hAnsi="仿宋" w:eastAsia="仿宋" w:cs="仿宋"/>
          <w:color w:val="auto"/>
          <w:sz w:val="24"/>
          <w:szCs w:val="24"/>
          <w:highlight w:val="none"/>
          <w:lang w:val="en-US" w:eastAsia="zh-CN"/>
        </w:rPr>
        <w:t xml:space="preserve"> </w:t>
      </w:r>
    </w:p>
    <w:p w14:paraId="647CA64F">
      <w:pPr>
        <w:adjustRightInd w:val="0"/>
        <w:snapToGrid w:val="0"/>
        <w:spacing w:line="360" w:lineRule="auto"/>
        <w:jc w:val="left"/>
        <w:rPr>
          <w:rFonts w:hint="eastAsia" w:ascii="仿宋" w:hAnsi="仿宋" w:eastAsia="仿宋" w:cs="仿宋"/>
          <w:b/>
          <w:color w:val="auto"/>
          <w:sz w:val="24"/>
          <w:szCs w:val="24"/>
          <w:highlight w:val="none"/>
          <w:shd w:val="clear" w:color="auto" w:fill="auto"/>
          <w:lang w:val="en-US" w:eastAsia="zh-CN"/>
        </w:rPr>
      </w:pPr>
      <w:r>
        <w:rPr>
          <w:rFonts w:hint="eastAsia" w:ascii="仿宋" w:hAnsi="仿宋" w:eastAsia="仿宋" w:cs="仿宋"/>
          <w:b/>
          <w:color w:val="auto"/>
          <w:sz w:val="24"/>
          <w:szCs w:val="24"/>
          <w:highlight w:val="none"/>
          <w:shd w:val="clear" w:color="auto" w:fill="auto"/>
          <w:lang w:val="en-US" w:eastAsia="zh-CN"/>
        </w:rPr>
        <w:t xml:space="preserve">十、合同效力及其它 </w:t>
      </w:r>
    </w:p>
    <w:p w14:paraId="32EDB0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outlineLvl w:val="9"/>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1、本合同经甲、乙双方加盖单位公章后生效，合同一式</w:t>
      </w:r>
      <w:r>
        <w:rPr>
          <w:rFonts w:hint="eastAsia" w:ascii="仿宋" w:hAnsi="仿宋" w:eastAsia="仿宋" w:cs="仿宋"/>
          <w:color w:val="auto"/>
          <w:sz w:val="24"/>
          <w:szCs w:val="24"/>
          <w:highlight w:val="none"/>
          <w:u w:val="single"/>
          <w:shd w:val="clear" w:color="auto" w:fill="auto"/>
          <w:lang w:val="en-US" w:eastAsia="zh-CN"/>
        </w:rPr>
        <w:t xml:space="preserve">       </w:t>
      </w:r>
      <w:r>
        <w:rPr>
          <w:rFonts w:hint="eastAsia" w:ascii="仿宋" w:hAnsi="仿宋" w:eastAsia="仿宋" w:cs="仿宋"/>
          <w:color w:val="auto"/>
          <w:sz w:val="24"/>
          <w:szCs w:val="24"/>
          <w:highlight w:val="none"/>
          <w:shd w:val="clear" w:color="auto" w:fill="auto"/>
        </w:rPr>
        <w:t>份，甲、乙双方各执</w:t>
      </w:r>
      <w:r>
        <w:rPr>
          <w:rFonts w:hint="eastAsia" w:ascii="仿宋" w:hAnsi="仿宋" w:eastAsia="仿宋" w:cs="仿宋"/>
          <w:color w:val="auto"/>
          <w:sz w:val="24"/>
          <w:szCs w:val="24"/>
          <w:highlight w:val="none"/>
          <w:u w:val="single"/>
          <w:shd w:val="clear" w:color="auto" w:fill="auto"/>
          <w:lang w:val="en-US" w:eastAsia="zh-CN"/>
        </w:rPr>
        <w:t xml:space="preserve">     </w:t>
      </w:r>
      <w:r>
        <w:rPr>
          <w:rFonts w:hint="eastAsia" w:ascii="仿宋" w:hAnsi="仿宋" w:eastAsia="仿宋" w:cs="仿宋"/>
          <w:color w:val="auto"/>
          <w:sz w:val="24"/>
          <w:szCs w:val="24"/>
          <w:highlight w:val="none"/>
          <w:shd w:val="clear" w:color="auto" w:fill="auto"/>
        </w:rPr>
        <w:t>份，具有同等法律效力。</w:t>
      </w:r>
    </w:p>
    <w:p w14:paraId="3916DA4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outlineLvl w:val="9"/>
        <w:rPr>
          <w:rFonts w:hint="eastAsia" w:ascii="仿宋" w:hAnsi="仿宋" w:eastAsia="仿宋" w:cs="仿宋"/>
          <w:color w:val="auto"/>
          <w:sz w:val="24"/>
          <w:szCs w:val="24"/>
          <w:highlight w:val="none"/>
          <w:shd w:val="clear" w:color="auto" w:fill="auto"/>
        </w:rPr>
      </w:pPr>
      <w:r>
        <w:rPr>
          <w:rFonts w:hint="eastAsia" w:ascii="仿宋" w:hAnsi="仿宋" w:eastAsia="仿宋" w:cs="仿宋"/>
          <w:color w:val="auto"/>
          <w:sz w:val="24"/>
          <w:szCs w:val="24"/>
          <w:highlight w:val="none"/>
          <w:shd w:val="clear" w:color="auto" w:fill="auto"/>
        </w:rPr>
        <w:t>2、本次采购过程中的</w:t>
      </w:r>
      <w:r>
        <w:rPr>
          <w:rFonts w:hint="eastAsia" w:ascii="仿宋" w:hAnsi="仿宋" w:eastAsia="仿宋" w:cs="仿宋"/>
          <w:color w:val="auto"/>
          <w:sz w:val="24"/>
          <w:szCs w:val="24"/>
          <w:highlight w:val="none"/>
          <w:shd w:val="clear" w:color="auto" w:fill="auto"/>
          <w:lang w:val="en-US" w:eastAsia="zh-CN"/>
        </w:rPr>
        <w:t>采购</w:t>
      </w:r>
      <w:r>
        <w:rPr>
          <w:rFonts w:hint="eastAsia" w:ascii="仿宋" w:hAnsi="仿宋" w:eastAsia="仿宋" w:cs="仿宋"/>
          <w:color w:val="auto"/>
          <w:sz w:val="24"/>
          <w:szCs w:val="24"/>
          <w:highlight w:val="none"/>
          <w:shd w:val="clear" w:color="auto" w:fill="auto"/>
        </w:rPr>
        <w:t>文件</w:t>
      </w:r>
      <w:r>
        <w:rPr>
          <w:rFonts w:hint="eastAsia" w:ascii="仿宋" w:hAnsi="仿宋" w:eastAsia="仿宋" w:cs="仿宋"/>
          <w:color w:val="auto"/>
          <w:sz w:val="24"/>
          <w:szCs w:val="24"/>
          <w:highlight w:val="none"/>
          <w:shd w:val="clear" w:color="auto" w:fill="auto"/>
          <w:lang w:eastAsia="zh-CN"/>
        </w:rPr>
        <w:t>（</w:t>
      </w:r>
      <w:r>
        <w:rPr>
          <w:rFonts w:hint="eastAsia" w:ascii="仿宋" w:hAnsi="仿宋" w:eastAsia="仿宋" w:cs="仿宋"/>
          <w:color w:val="auto"/>
          <w:sz w:val="24"/>
          <w:szCs w:val="24"/>
          <w:highlight w:val="none"/>
          <w:shd w:val="clear" w:color="auto" w:fill="auto"/>
          <w:lang w:val="en-US" w:eastAsia="zh-CN"/>
        </w:rPr>
        <w:t>招标文件</w:t>
      </w:r>
      <w:r>
        <w:rPr>
          <w:rFonts w:hint="eastAsia" w:ascii="仿宋" w:hAnsi="仿宋" w:eastAsia="仿宋" w:cs="仿宋"/>
          <w:color w:val="auto"/>
          <w:sz w:val="24"/>
          <w:szCs w:val="24"/>
          <w:highlight w:val="none"/>
          <w:shd w:val="clear" w:color="auto" w:fill="auto"/>
          <w:lang w:eastAsia="zh-CN"/>
        </w:rPr>
        <w:t>）</w:t>
      </w:r>
      <w:r>
        <w:rPr>
          <w:rFonts w:hint="eastAsia" w:ascii="仿宋" w:hAnsi="仿宋" w:eastAsia="仿宋" w:cs="仿宋"/>
          <w:color w:val="auto"/>
          <w:sz w:val="24"/>
          <w:szCs w:val="24"/>
          <w:highlight w:val="none"/>
          <w:shd w:val="clear" w:color="auto" w:fill="auto"/>
        </w:rPr>
        <w:t>、响应文件</w:t>
      </w:r>
      <w:r>
        <w:rPr>
          <w:rFonts w:hint="eastAsia" w:ascii="仿宋" w:hAnsi="仿宋" w:eastAsia="仿宋" w:cs="仿宋"/>
          <w:color w:val="auto"/>
          <w:sz w:val="24"/>
          <w:szCs w:val="24"/>
          <w:highlight w:val="none"/>
          <w:shd w:val="clear" w:color="auto" w:fill="auto"/>
          <w:lang w:eastAsia="zh-CN"/>
        </w:rPr>
        <w:t>（</w:t>
      </w:r>
      <w:r>
        <w:rPr>
          <w:rFonts w:hint="eastAsia" w:ascii="仿宋" w:hAnsi="仿宋" w:eastAsia="仿宋" w:cs="仿宋"/>
          <w:color w:val="auto"/>
          <w:sz w:val="24"/>
          <w:szCs w:val="24"/>
          <w:highlight w:val="none"/>
          <w:shd w:val="clear" w:color="auto" w:fill="auto"/>
          <w:lang w:val="en-US" w:eastAsia="zh-CN"/>
        </w:rPr>
        <w:t>投标文件</w:t>
      </w:r>
      <w:r>
        <w:rPr>
          <w:rFonts w:hint="eastAsia" w:ascii="仿宋" w:hAnsi="仿宋" w:eastAsia="仿宋" w:cs="仿宋"/>
          <w:color w:val="auto"/>
          <w:sz w:val="24"/>
          <w:szCs w:val="24"/>
          <w:highlight w:val="none"/>
          <w:shd w:val="clear" w:color="auto" w:fill="auto"/>
          <w:lang w:eastAsia="zh-CN"/>
        </w:rPr>
        <w:t>）</w:t>
      </w:r>
      <w:r>
        <w:rPr>
          <w:rFonts w:hint="eastAsia" w:ascii="仿宋" w:hAnsi="仿宋" w:eastAsia="仿宋" w:cs="仿宋"/>
          <w:color w:val="auto"/>
          <w:sz w:val="24"/>
          <w:szCs w:val="24"/>
          <w:highlight w:val="none"/>
          <w:shd w:val="clear" w:color="auto" w:fill="auto"/>
        </w:rPr>
        <w:t>、</w:t>
      </w:r>
      <w:r>
        <w:rPr>
          <w:rFonts w:hint="eastAsia" w:ascii="仿宋" w:hAnsi="仿宋" w:eastAsia="仿宋" w:cs="仿宋"/>
          <w:color w:val="auto"/>
          <w:sz w:val="24"/>
          <w:szCs w:val="24"/>
          <w:highlight w:val="none"/>
          <w:shd w:val="clear" w:color="auto" w:fill="auto"/>
          <w:lang w:val="en-US" w:eastAsia="zh-CN"/>
        </w:rPr>
        <w:t>澄清内容</w:t>
      </w:r>
      <w:r>
        <w:rPr>
          <w:rFonts w:hint="eastAsia" w:ascii="仿宋" w:hAnsi="仿宋" w:eastAsia="仿宋" w:cs="仿宋"/>
          <w:color w:val="auto"/>
          <w:sz w:val="24"/>
          <w:szCs w:val="24"/>
          <w:highlight w:val="none"/>
          <w:shd w:val="clear" w:color="auto" w:fill="auto"/>
        </w:rPr>
        <w:t>、</w:t>
      </w:r>
      <w:r>
        <w:rPr>
          <w:rFonts w:hint="eastAsia" w:ascii="仿宋" w:hAnsi="仿宋" w:eastAsia="仿宋" w:cs="仿宋"/>
          <w:color w:val="auto"/>
          <w:sz w:val="24"/>
          <w:szCs w:val="24"/>
          <w:highlight w:val="none"/>
          <w:shd w:val="clear" w:color="auto" w:fill="auto"/>
          <w:lang w:val="en-US" w:eastAsia="zh-CN"/>
        </w:rPr>
        <w:t>相关</w:t>
      </w:r>
      <w:r>
        <w:rPr>
          <w:rFonts w:hint="eastAsia" w:ascii="仿宋" w:hAnsi="仿宋" w:eastAsia="仿宋" w:cs="仿宋"/>
          <w:color w:val="auto"/>
          <w:sz w:val="24"/>
          <w:szCs w:val="24"/>
          <w:highlight w:val="none"/>
          <w:shd w:val="clear" w:color="auto" w:fill="auto"/>
        </w:rPr>
        <w:t>附件等与本合同具有同等法律效力。各项文件之间约定不一致的，以签署时间在后者的为准。</w:t>
      </w:r>
    </w:p>
    <w:p w14:paraId="5059F6D6">
      <w:pPr>
        <w:keepNext w:val="0"/>
        <w:keepLines w:val="0"/>
        <w:pageBreakBefore w:val="0"/>
        <w:kinsoku/>
        <w:wordWrap/>
        <w:overflowPunct/>
        <w:topLinePunct w:val="0"/>
        <w:bidi w:val="0"/>
        <w:adjustRightInd w:val="0"/>
        <w:snapToGrid w:val="0"/>
        <w:spacing w:line="360" w:lineRule="auto"/>
        <w:ind w:left="0" w:firstLine="480" w:firstLineChars="200"/>
        <w:textAlignment w:val="auto"/>
        <w:outlineLvl w:val="9"/>
        <w:rPr>
          <w:rFonts w:hint="eastAsia" w:ascii="仿宋" w:hAnsi="仿宋" w:eastAsia="仿宋" w:cs="仿宋"/>
          <w:color w:val="auto"/>
          <w:sz w:val="24"/>
          <w:highlight w:val="none"/>
          <w:shd w:val="pct10" w:color="auto" w:fill="FFFFFF"/>
        </w:rPr>
      </w:pPr>
      <w:r>
        <w:rPr>
          <w:rFonts w:hint="eastAsia" w:ascii="仿宋" w:hAnsi="仿宋" w:eastAsia="仿宋" w:cs="仿宋"/>
          <w:color w:val="auto"/>
          <w:sz w:val="24"/>
          <w:szCs w:val="24"/>
          <w:highlight w:val="none"/>
          <w:shd w:val="clear" w:color="auto" w:fill="auto"/>
          <w:lang w:val="en-US" w:eastAsia="zh-CN"/>
        </w:rPr>
        <w:t>3</w:t>
      </w:r>
      <w:r>
        <w:rPr>
          <w:rFonts w:hint="eastAsia" w:ascii="仿宋" w:hAnsi="仿宋" w:eastAsia="仿宋" w:cs="仿宋"/>
          <w:color w:val="auto"/>
          <w:sz w:val="24"/>
          <w:szCs w:val="24"/>
          <w:highlight w:val="none"/>
          <w:shd w:val="clear" w:color="auto" w:fill="auto"/>
        </w:rPr>
        <w:t>、本合同未尽事宜，遵照《中华人民共和国政府采购法》、《中华人民共和国民法典》有关条文执行。</w:t>
      </w:r>
      <w:r>
        <w:rPr>
          <w:rFonts w:hint="eastAsia" w:ascii="仿宋" w:hAnsi="仿宋" w:eastAsia="仿宋" w:cs="仿宋"/>
          <w:color w:val="auto"/>
          <w:sz w:val="24"/>
          <w:highlight w:val="none"/>
        </w:rPr>
        <w:t xml:space="preserve"> </w:t>
      </w:r>
    </w:p>
    <w:p w14:paraId="3B128369">
      <w:pPr>
        <w:pStyle w:val="22"/>
        <w:keepNext w:val="0"/>
        <w:keepLines w:val="0"/>
        <w:pageBreakBefore w:val="0"/>
        <w:kinsoku/>
        <w:wordWrap/>
        <w:overflowPunct/>
        <w:topLinePunct w:val="0"/>
        <w:bidi w:val="0"/>
        <w:adjustRightInd w:val="0"/>
        <w:snapToGrid w:val="0"/>
        <w:spacing w:line="360" w:lineRule="auto"/>
        <w:ind w:left="0"/>
        <w:textAlignment w:val="auto"/>
        <w:outlineLvl w:val="9"/>
        <w:rPr>
          <w:rFonts w:hint="eastAsia" w:ascii="仿宋" w:hAnsi="仿宋" w:eastAsia="仿宋" w:cs="仿宋"/>
          <w:color w:val="auto"/>
          <w:sz w:val="24"/>
          <w:highlight w:val="none"/>
        </w:rPr>
      </w:pPr>
    </w:p>
    <w:p w14:paraId="6549790E">
      <w:pPr>
        <w:pStyle w:val="24"/>
        <w:rPr>
          <w:rFonts w:hint="eastAsia"/>
          <w:color w:val="auto"/>
          <w:highlight w:val="none"/>
        </w:rPr>
      </w:pPr>
    </w:p>
    <w:p w14:paraId="2F7A9D00">
      <w:pPr>
        <w:keepNext w:val="0"/>
        <w:keepLines w:val="0"/>
        <w:pageBreakBefore w:val="0"/>
        <w:kinsoku/>
        <w:wordWrap/>
        <w:overflowPunct/>
        <w:topLinePunct w:val="0"/>
        <w:autoSpaceDE w:val="0"/>
        <w:autoSpaceDN w:val="0"/>
        <w:bidi w:val="0"/>
        <w:adjustRightInd w:val="0"/>
        <w:snapToGrid w:val="0"/>
        <w:spacing w:line="360" w:lineRule="auto"/>
        <w:ind w:left="0"/>
        <w:jc w:val="left"/>
        <w:textAlignment w:val="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甲方：                                   乙方： </w:t>
      </w:r>
    </w:p>
    <w:p w14:paraId="61C447FE">
      <w:pPr>
        <w:keepNext w:val="0"/>
        <w:keepLines w:val="0"/>
        <w:pageBreakBefore w:val="0"/>
        <w:kinsoku/>
        <w:wordWrap/>
        <w:overflowPunct/>
        <w:topLinePunct w:val="0"/>
        <w:autoSpaceDE w:val="0"/>
        <w:autoSpaceDN w:val="0"/>
        <w:bidi w:val="0"/>
        <w:adjustRightInd w:val="0"/>
        <w:snapToGrid w:val="0"/>
        <w:spacing w:line="360" w:lineRule="auto"/>
        <w:ind w:left="0"/>
        <w:jc w:val="left"/>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甲方（盖章）：                            乙方（盖章）： </w:t>
      </w:r>
    </w:p>
    <w:p w14:paraId="19C899FA">
      <w:pPr>
        <w:keepNext w:val="0"/>
        <w:keepLines w:val="0"/>
        <w:pageBreakBefore w:val="0"/>
        <w:kinsoku/>
        <w:wordWrap/>
        <w:overflowPunct/>
        <w:topLinePunct w:val="0"/>
        <w:autoSpaceDE w:val="0"/>
        <w:autoSpaceDN w:val="0"/>
        <w:bidi w:val="0"/>
        <w:adjustRightInd w:val="0"/>
        <w:snapToGrid w:val="0"/>
        <w:spacing w:line="360" w:lineRule="auto"/>
        <w:ind w:left="0"/>
        <w:jc w:val="left"/>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法定代表或授权代表（签章）：              法定代表或授权代表（签章）：</w:t>
      </w:r>
    </w:p>
    <w:p w14:paraId="52B4426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年     月    日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年    月     日</w:t>
      </w:r>
    </w:p>
    <w:p w14:paraId="67546A43">
      <w:pPr>
        <w:widowControl/>
        <w:adjustRightInd/>
        <w:jc w:val="left"/>
        <w:rPr>
          <w:rFonts w:ascii="仿宋" w:hAnsi="仿宋" w:eastAsia="仿宋" w:cs="仿宋"/>
          <w:b/>
          <w:color w:val="auto"/>
          <w:sz w:val="24"/>
          <w:highlight w:val="none"/>
        </w:rPr>
      </w:pPr>
    </w:p>
    <w:p w14:paraId="638189C6">
      <w:pPr>
        <w:rPr>
          <w:rFonts w:ascii="仿宋" w:hAnsi="仿宋" w:eastAsia="仿宋" w:cs="仿宋"/>
          <w:b/>
          <w:color w:val="auto"/>
          <w:sz w:val="36"/>
          <w:szCs w:val="20"/>
          <w:highlight w:val="none"/>
        </w:rPr>
      </w:pPr>
      <w:r>
        <w:rPr>
          <w:rFonts w:ascii="仿宋" w:hAnsi="仿宋" w:eastAsia="仿宋" w:cs="仿宋"/>
          <w:b/>
          <w:color w:val="auto"/>
          <w:sz w:val="36"/>
          <w:szCs w:val="20"/>
          <w:highlight w:val="none"/>
        </w:rPr>
        <w:br w:type="page"/>
      </w:r>
    </w:p>
    <w:p w14:paraId="215B581C">
      <w:pP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附件（委托任务可使用该合同）</w:t>
      </w:r>
    </w:p>
    <w:p w14:paraId="400CAC6D">
      <w:pPr>
        <w:rPr>
          <w:rFonts w:hint="eastAsia" w:ascii="仿宋" w:hAnsi="仿宋" w:eastAsia="仿宋" w:cs="仿宋"/>
          <w:b/>
          <w:color w:val="auto"/>
          <w:sz w:val="24"/>
          <w:szCs w:val="24"/>
          <w:highlight w:val="none"/>
          <w:lang w:val="en-US" w:eastAsia="zh-CN"/>
        </w:rPr>
      </w:pPr>
    </w:p>
    <w:p w14:paraId="19188412">
      <w:pPr>
        <w:wordWrap w:val="0"/>
        <w:jc w:val="right"/>
        <w:rPr>
          <w:rFonts w:hint="default" w:eastAsiaTheme="minorEastAsia"/>
          <w:b/>
          <w:bCs/>
          <w:sz w:val="32"/>
          <w:szCs w:val="32"/>
          <w:highlight w:val="none"/>
          <w:lang w:val="en-US" w:eastAsia="zh-CN"/>
        </w:rPr>
      </w:pPr>
      <w:r>
        <w:rPr>
          <w:rFonts w:hint="eastAsia" w:ascii="黑体" w:hAnsi="黑体" w:eastAsia="黑体" w:cs="黑体"/>
          <w:b/>
          <w:bCs/>
          <w:sz w:val="32"/>
          <w:szCs w:val="32"/>
          <w:highlight w:val="none"/>
        </w:rPr>
        <w:t>编号：</w:t>
      </w:r>
      <w:r>
        <w:rPr>
          <w:rFonts w:hint="eastAsia" w:ascii="黑体" w:hAnsi="黑体" w:eastAsia="黑体" w:cs="黑体"/>
          <w:b/>
          <w:bCs/>
          <w:sz w:val="32"/>
          <w:szCs w:val="32"/>
          <w:highlight w:val="none"/>
          <w:lang w:val="en-US" w:eastAsia="zh-CN"/>
        </w:rPr>
        <w:t xml:space="preserve">                </w:t>
      </w:r>
    </w:p>
    <w:p w14:paraId="3FAC4AB0">
      <w:pPr>
        <w:jc w:val="center"/>
        <w:rPr>
          <w:rFonts w:hint="eastAsia"/>
          <w:highlight w:val="none"/>
        </w:rPr>
      </w:pPr>
    </w:p>
    <w:p w14:paraId="09D8CDAF">
      <w:pPr>
        <w:jc w:val="center"/>
        <w:rPr>
          <w:rFonts w:hint="eastAsia"/>
          <w:highlight w:val="none"/>
        </w:rPr>
      </w:pPr>
    </w:p>
    <w:p w14:paraId="00DDDEE1">
      <w:pPr>
        <w:jc w:val="center"/>
        <w:rPr>
          <w:rFonts w:hint="eastAsia" w:ascii="黑体" w:hAnsi="黑体" w:eastAsia="黑体" w:cs="黑体"/>
          <w:b/>
          <w:bCs/>
          <w:sz w:val="52"/>
          <w:szCs w:val="52"/>
          <w:highlight w:val="none"/>
        </w:rPr>
      </w:pPr>
    </w:p>
    <w:p w14:paraId="33A66ECB">
      <w:pPr>
        <w:jc w:val="center"/>
        <w:rPr>
          <w:rFonts w:hint="eastAsia" w:ascii="黑体" w:hAnsi="黑体" w:eastAsia="黑体" w:cs="黑体"/>
          <w:b/>
          <w:bCs/>
          <w:sz w:val="72"/>
          <w:szCs w:val="72"/>
          <w:highlight w:val="none"/>
        </w:rPr>
      </w:pPr>
    </w:p>
    <w:p w14:paraId="7D1998A4">
      <w:pPr>
        <w:jc w:val="center"/>
        <w:rPr>
          <w:rFonts w:hint="eastAsia"/>
          <w:highlight w:val="none"/>
        </w:rPr>
      </w:pPr>
      <w:r>
        <w:rPr>
          <w:rFonts w:hint="eastAsia" w:ascii="黑体" w:hAnsi="黑体" w:eastAsia="黑体" w:cs="黑体"/>
          <w:b/>
          <w:bCs/>
          <w:sz w:val="72"/>
          <w:szCs w:val="72"/>
          <w:highlight w:val="none"/>
        </w:rPr>
        <w:t>法律服务委托合同书</w:t>
      </w:r>
    </w:p>
    <w:p w14:paraId="55E05A16">
      <w:pPr>
        <w:jc w:val="center"/>
        <w:rPr>
          <w:rFonts w:hint="eastAsia"/>
          <w:highlight w:val="none"/>
        </w:rPr>
      </w:pPr>
    </w:p>
    <w:p w14:paraId="24E5CE61">
      <w:pPr>
        <w:jc w:val="center"/>
        <w:rPr>
          <w:rFonts w:hint="eastAsia"/>
          <w:highlight w:val="none"/>
        </w:rPr>
      </w:pPr>
    </w:p>
    <w:p w14:paraId="4FA15CF7">
      <w:pPr>
        <w:jc w:val="center"/>
        <w:rPr>
          <w:rFonts w:hint="eastAsia"/>
          <w:highlight w:val="none"/>
        </w:rPr>
      </w:pPr>
    </w:p>
    <w:p w14:paraId="644650EF">
      <w:pPr>
        <w:jc w:val="center"/>
        <w:rPr>
          <w:rFonts w:hint="eastAsia"/>
          <w:highlight w:val="none"/>
        </w:rPr>
      </w:pPr>
    </w:p>
    <w:p w14:paraId="6281771F">
      <w:pPr>
        <w:jc w:val="center"/>
        <w:rPr>
          <w:rFonts w:hint="eastAsia"/>
          <w:highlight w:val="none"/>
        </w:rPr>
      </w:pPr>
    </w:p>
    <w:p w14:paraId="4CB381E4">
      <w:pPr>
        <w:jc w:val="center"/>
        <w:rPr>
          <w:rFonts w:hint="eastAsia"/>
          <w:highlight w:val="none"/>
        </w:rPr>
      </w:pPr>
    </w:p>
    <w:p w14:paraId="4BE58D0B">
      <w:pPr>
        <w:jc w:val="center"/>
        <w:rPr>
          <w:rFonts w:hint="eastAsia"/>
          <w:highlight w:val="none"/>
        </w:rPr>
      </w:pPr>
    </w:p>
    <w:p w14:paraId="131764B6">
      <w:pPr>
        <w:jc w:val="center"/>
        <w:rPr>
          <w:rFonts w:hint="eastAsia"/>
          <w:highlight w:val="none"/>
        </w:rPr>
      </w:pPr>
    </w:p>
    <w:p w14:paraId="46D65ACF">
      <w:pPr>
        <w:jc w:val="center"/>
        <w:rPr>
          <w:rFonts w:hint="eastAsia"/>
          <w:highlight w:val="none"/>
        </w:rPr>
      </w:pPr>
    </w:p>
    <w:p w14:paraId="799DCB1D">
      <w:pPr>
        <w:jc w:val="center"/>
        <w:rPr>
          <w:rFonts w:hint="eastAsia"/>
          <w:highlight w:val="none"/>
        </w:rPr>
      </w:pPr>
    </w:p>
    <w:p w14:paraId="17EC0296">
      <w:pPr>
        <w:jc w:val="center"/>
        <w:rPr>
          <w:rFonts w:hint="eastAsia"/>
          <w:highlight w:val="none"/>
        </w:rPr>
      </w:pPr>
    </w:p>
    <w:p w14:paraId="2542FE18">
      <w:pPr>
        <w:jc w:val="center"/>
        <w:rPr>
          <w:rFonts w:hint="eastAsia"/>
          <w:highlight w:val="none"/>
        </w:rPr>
      </w:pPr>
    </w:p>
    <w:p w14:paraId="42FB7F5B">
      <w:pPr>
        <w:jc w:val="center"/>
        <w:rPr>
          <w:rFonts w:hint="eastAsia"/>
          <w:highlight w:val="none"/>
        </w:rPr>
      </w:pPr>
    </w:p>
    <w:p w14:paraId="42EC007D">
      <w:pPr>
        <w:jc w:val="center"/>
        <w:rPr>
          <w:rFonts w:hint="eastAsia"/>
          <w:highlight w:val="none"/>
        </w:rPr>
      </w:pPr>
    </w:p>
    <w:p w14:paraId="4E7DD51D">
      <w:pPr>
        <w:jc w:val="center"/>
        <w:rPr>
          <w:rFonts w:hint="eastAsia"/>
          <w:highlight w:val="none"/>
        </w:rPr>
      </w:pPr>
    </w:p>
    <w:p w14:paraId="1661F674">
      <w:pPr>
        <w:jc w:val="center"/>
        <w:rPr>
          <w:rFonts w:hint="eastAsia"/>
          <w:highlight w:val="none"/>
        </w:rPr>
      </w:pPr>
    </w:p>
    <w:p w14:paraId="204610BA">
      <w:pPr>
        <w:jc w:val="both"/>
        <w:rPr>
          <w:rFonts w:hint="eastAsia"/>
          <w:highlight w:val="none"/>
        </w:rPr>
      </w:pPr>
    </w:p>
    <w:p w14:paraId="3D9DFCFD">
      <w:pPr>
        <w:jc w:val="center"/>
        <w:rPr>
          <w:rFonts w:hint="eastAsia"/>
          <w:highlight w:val="none"/>
        </w:rPr>
      </w:pPr>
    </w:p>
    <w:p w14:paraId="0B706B9E">
      <w:pPr>
        <w:jc w:val="both"/>
        <w:rPr>
          <w:rFonts w:hint="eastAsia"/>
          <w:highlight w:val="none"/>
        </w:rPr>
      </w:pPr>
    </w:p>
    <w:p w14:paraId="71CAFCE8">
      <w:pPr>
        <w:jc w:val="center"/>
        <w:rPr>
          <w:rFonts w:hint="eastAsia"/>
          <w:highlight w:val="none"/>
        </w:rPr>
      </w:pPr>
    </w:p>
    <w:p w14:paraId="68C43F15">
      <w:pPr>
        <w:jc w:val="center"/>
        <w:rPr>
          <w:rFonts w:hint="eastAsia"/>
          <w:highlight w:val="none"/>
        </w:rPr>
      </w:pPr>
    </w:p>
    <w:p w14:paraId="04F21B11">
      <w:pPr>
        <w:jc w:val="both"/>
        <w:rPr>
          <w:rFonts w:hint="eastAsia"/>
          <w:highlight w:val="none"/>
        </w:rPr>
      </w:pPr>
    </w:p>
    <w:p w14:paraId="58227BC6">
      <w:pPr>
        <w:jc w:val="center"/>
        <w:rPr>
          <w:rFonts w:hint="eastAsia" w:asciiTheme="minorEastAsia" w:hAnsiTheme="minorEastAsia" w:eastAsiaTheme="minorEastAsia" w:cstheme="minorEastAsia"/>
          <w:b/>
          <w:bCs/>
          <w:sz w:val="36"/>
          <w:szCs w:val="36"/>
          <w:highlight w:val="none"/>
        </w:rPr>
      </w:pPr>
      <w:r>
        <w:rPr>
          <w:rFonts w:hint="eastAsia" w:ascii="黑体" w:hAnsi="黑体" w:eastAsia="黑体" w:cs="黑体"/>
          <w:b/>
          <w:bCs/>
          <w:sz w:val="36"/>
          <w:szCs w:val="36"/>
          <w:highlight w:val="none"/>
        </w:rPr>
        <w:t>浙江省司法厅监制</w:t>
      </w:r>
    </w:p>
    <w:p w14:paraId="748530D3">
      <w:pPr>
        <w:jc w:val="center"/>
        <w:rPr>
          <w:rFonts w:hint="eastAsia"/>
          <w:highlight w:val="none"/>
        </w:rPr>
      </w:pPr>
    </w:p>
    <w:p w14:paraId="6EAC2578">
      <w:pPr>
        <w:jc w:val="center"/>
        <w:rPr>
          <w:rFonts w:hint="eastAsia"/>
          <w:highlight w:val="none"/>
        </w:rPr>
      </w:pPr>
    </w:p>
    <w:p w14:paraId="1A4C2574">
      <w:pPr>
        <w:jc w:val="center"/>
        <w:rPr>
          <w:rFonts w:hint="eastAsia"/>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7086D6AA">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法律服务委托合同</w:t>
      </w:r>
    </w:p>
    <w:p w14:paraId="76098EFC">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highlight w:val="none"/>
        </w:rPr>
      </w:pPr>
    </w:p>
    <w:p w14:paraId="281CD4EE">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委托人（甲方）：</w:t>
      </w:r>
    </w:p>
    <w:p w14:paraId="2F3ED152">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 址：</w:t>
      </w:r>
    </w:p>
    <w:p w14:paraId="54539E88">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邮 编：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 xml:space="preserve">电话：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传真：</w:t>
      </w:r>
    </w:p>
    <w:p w14:paraId="1CE511DF">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联系人：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电子邮件：</w:t>
      </w:r>
    </w:p>
    <w:p w14:paraId="78D35F0F">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受托人（乙方）：</w:t>
      </w:r>
      <w:r>
        <w:rPr>
          <w:rFonts w:hint="eastAsia" w:ascii="仿宋" w:hAnsi="仿宋" w:eastAsia="仿宋" w:cs="仿宋"/>
          <w:b/>
          <w:bCs/>
          <w:sz w:val="24"/>
          <w:szCs w:val="24"/>
          <w:highlight w:val="none"/>
          <w:lang w:val="en-US" w:eastAsia="zh-CN"/>
        </w:rPr>
        <w:t xml:space="preserve">      </w:t>
      </w:r>
      <w:r>
        <w:rPr>
          <w:rFonts w:hint="eastAsia" w:ascii="仿宋" w:hAnsi="仿宋" w:eastAsia="仿宋" w:cs="仿宋"/>
          <w:b/>
          <w:bCs/>
          <w:sz w:val="24"/>
          <w:szCs w:val="24"/>
          <w:highlight w:val="none"/>
        </w:rPr>
        <w:t>律师事务所</w:t>
      </w:r>
    </w:p>
    <w:p w14:paraId="5F71D798">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 址：</w:t>
      </w:r>
    </w:p>
    <w:p w14:paraId="58F149AA">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邮 编：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 xml:space="preserve">电话：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传真：</w:t>
      </w:r>
    </w:p>
    <w:p w14:paraId="1C1FB465">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联系人：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电子邮件：</w:t>
      </w:r>
    </w:p>
    <w:p w14:paraId="4BDDE0F1">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开户银行及账号：</w:t>
      </w:r>
    </w:p>
    <w:p w14:paraId="6FF5CA20">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p>
    <w:p w14:paraId="687DCBD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甲、乙双方根据《中华人民共和国律师法》和其他相关法律、法规，就下列法律服务事项达成一致，</w:t>
      </w:r>
      <w:r>
        <w:rPr>
          <w:rFonts w:hint="eastAsia" w:ascii="仿宋" w:hAnsi="仿宋" w:eastAsia="仿宋" w:cs="仿宋"/>
          <w:sz w:val="24"/>
          <w:szCs w:val="24"/>
          <w:highlight w:val="none"/>
          <w:lang w:val="en-US" w:eastAsia="zh-CN"/>
        </w:rPr>
        <w:t>于</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年</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月</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日订立本合同。</w:t>
      </w:r>
    </w:p>
    <w:p w14:paraId="69DDC55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1、法律服务范围</w:t>
      </w:r>
    </w:p>
    <w:p w14:paraId="4C0BBDE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甲方委托乙方处理下列法律事务（以下简称“本事务”）：</w:t>
      </w:r>
    </w:p>
    <w:p w14:paraId="4C48CE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代理</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与</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案的第</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审诉讼</w:t>
      </w:r>
      <w:r>
        <w:rPr>
          <w:rFonts w:hint="eastAsia" w:ascii="仿宋" w:hAnsi="仿宋" w:eastAsia="仿宋" w:cs="仿宋"/>
          <w:sz w:val="24"/>
          <w:szCs w:val="24"/>
          <w:highlight w:val="none"/>
          <w:lang w:val="en-US" w:eastAsia="zh-CN"/>
        </w:rPr>
        <w:t>阶段</w:t>
      </w:r>
      <w:r>
        <w:rPr>
          <w:rFonts w:hint="eastAsia" w:ascii="仿宋" w:hAnsi="仿宋" w:eastAsia="仿宋" w:cs="仿宋"/>
          <w:sz w:val="24"/>
          <w:szCs w:val="24"/>
          <w:highlight w:val="none"/>
        </w:rPr>
        <w:t>。</w:t>
      </w:r>
    </w:p>
    <w:p w14:paraId="67CA002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代理</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与</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案的</w:t>
      </w:r>
      <w:r>
        <w:rPr>
          <w:rFonts w:hint="eastAsia" w:ascii="仿宋" w:hAnsi="仿宋" w:eastAsia="仿宋" w:cs="仿宋"/>
          <w:sz w:val="24"/>
          <w:szCs w:val="24"/>
          <w:highlight w:val="none"/>
          <w:lang w:val="en-US" w:eastAsia="zh-CN"/>
        </w:rPr>
        <w:t>行政复议阶段</w:t>
      </w:r>
      <w:r>
        <w:rPr>
          <w:rFonts w:hint="eastAsia" w:ascii="仿宋" w:hAnsi="仿宋" w:eastAsia="仿宋" w:cs="仿宋"/>
          <w:sz w:val="24"/>
          <w:szCs w:val="24"/>
          <w:highlight w:val="none"/>
        </w:rPr>
        <w:t>。</w:t>
      </w:r>
    </w:p>
    <w:p w14:paraId="5B4E696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2、委托权限</w:t>
      </w:r>
    </w:p>
    <w:p w14:paraId="3144FD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甲方授予乙方在履行本合同时的权限为下列第（</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）项范围：</w:t>
      </w:r>
    </w:p>
    <w:p w14:paraId="4431926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（1）一般诉讼/仲裁代理。</w:t>
      </w:r>
    </w:p>
    <w:p w14:paraId="4906833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（2）可代为承认、放弃、变更诉讼/仲裁请求，进行和解、提起反诉/反（仲裁）申请或上诉的特别授权诉讼/仲裁代理。</w:t>
      </w:r>
    </w:p>
    <w:p w14:paraId="220836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3、承办律师及助理</w:t>
      </w:r>
    </w:p>
    <w:p w14:paraId="21FBBB8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（1）乙方接受甲方的委托，指派</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律师为本事务的承办律师（以下简称“律师”）</w:t>
      </w:r>
      <w:r>
        <w:rPr>
          <w:rFonts w:hint="eastAsia" w:ascii="仿宋" w:hAnsi="仿宋" w:eastAsia="仿宋" w:cs="仿宋"/>
          <w:sz w:val="24"/>
          <w:szCs w:val="24"/>
          <w:highlight w:val="none"/>
          <w:lang w:eastAsia="zh-CN"/>
        </w:rPr>
        <w:t>；</w:t>
      </w:r>
    </w:p>
    <w:p w14:paraId="2D1A81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（2）甲方同意乙方及其所指派的律师在认为必要时可将本事务的部分工作交由乙方的助理人员或其他律师协助完成</w:t>
      </w:r>
      <w:r>
        <w:rPr>
          <w:rFonts w:hint="eastAsia" w:ascii="仿宋" w:hAnsi="仿宋" w:eastAsia="仿宋" w:cs="仿宋"/>
          <w:sz w:val="24"/>
          <w:szCs w:val="24"/>
          <w:highlight w:val="none"/>
          <w:lang w:eastAsia="zh-CN"/>
        </w:rPr>
        <w:t>；</w:t>
      </w:r>
    </w:p>
    <w:p w14:paraId="67056E1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本合同履行过程中，若律师因合理原因（包括但不限于正常调动、离职、时间冲突、回避、身体状况等）无法继续或暂时不能承办本事务时，律师应及时告知甲方并由合同双方协商另行指派其他合适的律师接替</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甲方不同意其他律师接替的，视为甲方解除合同，本合同终止履行。</w:t>
      </w:r>
    </w:p>
    <w:p w14:paraId="5EEC0E5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4、律师费</w:t>
      </w:r>
    </w:p>
    <w:p w14:paraId="190EB14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双方商定按下列第（</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）种方式计算应支付给乙方的律师费：</w:t>
      </w:r>
    </w:p>
    <w:p w14:paraId="356BA22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（1）计件收费方式。本事务律师费总额为人民币</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元。</w:t>
      </w:r>
    </w:p>
    <w:p w14:paraId="19B1318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（2）计时收费方式。计费标准为每小时人民币</w:t>
      </w:r>
      <w:r>
        <w:rPr>
          <w:rFonts w:hint="eastAsia" w:ascii="仿宋" w:hAnsi="仿宋" w:eastAsia="仿宋" w:cs="仿宋"/>
          <w:sz w:val="24"/>
          <w:szCs w:val="24"/>
          <w:highlight w:val="none"/>
          <w:u w:val="single"/>
          <w:lang w:val="en-US" w:eastAsia="zh-CN"/>
        </w:rPr>
        <w:t xml:space="preserve">   /   </w:t>
      </w:r>
      <w:r>
        <w:rPr>
          <w:rFonts w:hint="eastAsia" w:ascii="仿宋" w:hAnsi="仿宋" w:eastAsia="仿宋" w:cs="仿宋"/>
          <w:sz w:val="24"/>
          <w:szCs w:val="24"/>
          <w:highlight w:val="none"/>
        </w:rPr>
        <w:t>元。</w:t>
      </w:r>
    </w:p>
    <w:p w14:paraId="72AFCB8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（3）分阶段/成果收费方式，具体约定为：</w:t>
      </w:r>
      <w:r>
        <w:rPr>
          <w:rFonts w:hint="eastAsia" w:ascii="仿宋" w:hAnsi="仿宋" w:eastAsia="仿宋" w:cs="仿宋"/>
          <w:sz w:val="24"/>
          <w:szCs w:val="24"/>
          <w:highlight w:val="none"/>
          <w:lang w:val="en-US" w:eastAsia="zh-CN"/>
        </w:rPr>
        <w:t>/</w:t>
      </w:r>
    </w:p>
    <w:p w14:paraId="0240397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val="en-US" w:eastAsia="zh-CN"/>
        </w:rPr>
      </w:pPr>
    </w:p>
    <w:p w14:paraId="7C03C2A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5、其他费用</w:t>
      </w:r>
    </w:p>
    <w:p w14:paraId="63C544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双方商定下列</w:t>
      </w:r>
      <w:r>
        <w:rPr>
          <w:rFonts w:hint="eastAsia" w:ascii="仿宋" w:hAnsi="仿宋" w:eastAsia="仿宋" w:cs="仿宋"/>
          <w:sz w:val="24"/>
          <w:szCs w:val="24"/>
          <w:highlight w:val="none"/>
          <w:lang w:val="en-US" w:eastAsia="zh-CN"/>
        </w:rPr>
        <w:t>乙方为办理甲方事务的费用开支</w:t>
      </w:r>
      <w:r>
        <w:rPr>
          <w:rFonts w:hint="eastAsia" w:ascii="仿宋" w:hAnsi="仿宋" w:eastAsia="仿宋" w:cs="仿宋"/>
          <w:sz w:val="24"/>
          <w:szCs w:val="24"/>
          <w:highlight w:val="none"/>
        </w:rPr>
        <w:t>由甲方负担：</w:t>
      </w:r>
    </w:p>
    <w:p w14:paraId="38CEBEC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（1）异地交通</w:t>
      </w:r>
      <w:r>
        <w:rPr>
          <w:rFonts w:hint="eastAsia" w:ascii="仿宋" w:hAnsi="仿宋" w:eastAsia="仿宋" w:cs="仿宋"/>
          <w:sz w:val="24"/>
          <w:szCs w:val="24"/>
          <w:highlight w:val="none"/>
          <w:lang w:val="en-US" w:eastAsia="zh-CN"/>
        </w:rPr>
        <w:t>费</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异地</w:t>
      </w:r>
      <w:r>
        <w:rPr>
          <w:rFonts w:hint="eastAsia" w:ascii="仿宋" w:hAnsi="仿宋" w:eastAsia="仿宋" w:cs="仿宋"/>
          <w:sz w:val="24"/>
          <w:szCs w:val="24"/>
          <w:highlight w:val="none"/>
        </w:rPr>
        <w:t>住宿</w:t>
      </w:r>
      <w:r>
        <w:rPr>
          <w:rFonts w:hint="eastAsia" w:ascii="仿宋" w:hAnsi="仿宋" w:eastAsia="仿宋" w:cs="仿宋"/>
          <w:sz w:val="24"/>
          <w:szCs w:val="24"/>
          <w:highlight w:val="none"/>
          <w:lang w:val="en-US" w:eastAsia="zh-CN"/>
        </w:rPr>
        <w:t>费</w:t>
      </w:r>
      <w:r>
        <w:rPr>
          <w:rFonts w:hint="eastAsia" w:ascii="仿宋" w:hAnsi="仿宋" w:eastAsia="仿宋" w:cs="仿宋"/>
          <w:sz w:val="24"/>
          <w:szCs w:val="24"/>
          <w:highlight w:val="none"/>
        </w:rPr>
        <w:t>；</w:t>
      </w:r>
    </w:p>
    <w:p w14:paraId="732407D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上述费用由乙方律师向甲方按实报销</w:t>
      </w:r>
      <w:r>
        <w:rPr>
          <w:rFonts w:hint="eastAsia" w:ascii="仿宋" w:hAnsi="仿宋" w:eastAsia="仿宋" w:cs="仿宋"/>
          <w:sz w:val="24"/>
          <w:szCs w:val="24"/>
          <w:highlight w:val="none"/>
          <w:lang w:eastAsia="zh-CN"/>
        </w:rPr>
        <w:t>。</w:t>
      </w:r>
    </w:p>
    <w:p w14:paraId="344DA8C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6、律师费的支付与结算</w:t>
      </w:r>
    </w:p>
    <w:p w14:paraId="1A984F6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本合同第4条所约定的律师费，以下列第（</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）种办法支付与结算</w:t>
      </w:r>
      <w:r>
        <w:rPr>
          <w:rFonts w:hint="eastAsia" w:ascii="仿宋" w:hAnsi="仿宋" w:eastAsia="仿宋" w:cs="仿宋"/>
          <w:sz w:val="24"/>
          <w:szCs w:val="24"/>
          <w:highlight w:val="none"/>
          <w:lang w:eastAsia="zh-CN"/>
        </w:rPr>
        <w:t>：</w:t>
      </w:r>
    </w:p>
    <w:p w14:paraId="0C0D0D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（1）计件收费方式的，于本合同生效之当日一次性付清。</w:t>
      </w:r>
    </w:p>
    <w:p w14:paraId="546A8E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（2）计件收费方式的，于本合同生效之当日首付</w:t>
      </w:r>
      <w:r>
        <w:rPr>
          <w:rFonts w:hint="eastAsia" w:ascii="仿宋" w:hAnsi="仿宋" w:eastAsia="仿宋" w:cs="仿宋"/>
          <w:sz w:val="24"/>
          <w:szCs w:val="24"/>
          <w:highlight w:val="none"/>
          <w:u w:val="single"/>
          <w:lang w:val="en-US" w:eastAsia="zh-CN"/>
        </w:rPr>
        <w:t xml:space="preserve">    /  </w:t>
      </w:r>
      <w:r>
        <w:rPr>
          <w:rFonts w:hint="eastAsia" w:ascii="仿宋" w:hAnsi="仿宋" w:eastAsia="仿宋" w:cs="仿宋"/>
          <w:sz w:val="24"/>
          <w:szCs w:val="24"/>
          <w:highlight w:val="none"/>
        </w:rPr>
        <w:t>%计</w:t>
      </w:r>
      <w:r>
        <w:rPr>
          <w:rFonts w:hint="eastAsia" w:ascii="仿宋" w:hAnsi="仿宋" w:eastAsia="仿宋" w:cs="仿宋"/>
          <w:sz w:val="24"/>
          <w:szCs w:val="24"/>
          <w:highlight w:val="none"/>
          <w:u w:val="single"/>
          <w:lang w:val="en-US" w:eastAsia="zh-CN"/>
        </w:rPr>
        <w:t xml:space="preserve">  /    </w:t>
      </w:r>
      <w:r>
        <w:rPr>
          <w:rFonts w:hint="eastAsia" w:ascii="仿宋" w:hAnsi="仿宋" w:eastAsia="仿宋" w:cs="仿宋"/>
          <w:sz w:val="24"/>
          <w:szCs w:val="24"/>
          <w:highlight w:val="none"/>
        </w:rPr>
        <w:t>元，余款于</w:t>
      </w:r>
      <w:r>
        <w:rPr>
          <w:rFonts w:hint="eastAsia" w:ascii="仿宋" w:hAnsi="仿宋" w:eastAsia="仿宋" w:cs="仿宋"/>
          <w:sz w:val="24"/>
          <w:szCs w:val="24"/>
          <w:highlight w:val="none"/>
          <w:u w:val="single"/>
          <w:lang w:val="en-US" w:eastAsia="zh-CN"/>
        </w:rPr>
        <w:t xml:space="preserve">   /   </w:t>
      </w:r>
      <w:r>
        <w:rPr>
          <w:rFonts w:hint="eastAsia" w:ascii="仿宋" w:hAnsi="仿宋" w:eastAsia="仿宋" w:cs="仿宋"/>
          <w:sz w:val="24"/>
          <w:szCs w:val="24"/>
          <w:highlight w:val="none"/>
        </w:rPr>
        <w:t>付清。</w:t>
      </w:r>
    </w:p>
    <w:p w14:paraId="2B7C903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（3）计时收费方式的，于本合同生效之当日暂时付</w:t>
      </w:r>
      <w:r>
        <w:rPr>
          <w:rFonts w:hint="eastAsia" w:ascii="仿宋" w:hAnsi="仿宋" w:eastAsia="仿宋" w:cs="仿宋"/>
          <w:sz w:val="24"/>
          <w:szCs w:val="24"/>
          <w:highlight w:val="none"/>
          <w:u w:val="single"/>
          <w:lang w:val="en-US" w:eastAsia="zh-CN"/>
        </w:rPr>
        <w:t xml:space="preserve">   /   </w:t>
      </w:r>
      <w:r>
        <w:rPr>
          <w:rFonts w:hint="eastAsia" w:ascii="仿宋" w:hAnsi="仿宋" w:eastAsia="仿宋" w:cs="仿宋"/>
          <w:sz w:val="24"/>
          <w:szCs w:val="24"/>
          <w:highlight w:val="none"/>
        </w:rPr>
        <w:t>小时律师费用计</w:t>
      </w:r>
      <w:r>
        <w:rPr>
          <w:rFonts w:hint="eastAsia" w:ascii="仿宋" w:hAnsi="仿宋" w:eastAsia="仿宋" w:cs="仿宋"/>
          <w:sz w:val="24"/>
          <w:szCs w:val="24"/>
          <w:highlight w:val="none"/>
          <w:u w:val="single"/>
          <w:lang w:val="en-US" w:eastAsia="zh-CN"/>
        </w:rPr>
        <w:t xml:space="preserve">   /   </w:t>
      </w:r>
      <w:r>
        <w:rPr>
          <w:rFonts w:hint="eastAsia" w:ascii="仿宋" w:hAnsi="仿宋" w:eastAsia="仿宋" w:cs="仿宋"/>
          <w:sz w:val="24"/>
          <w:szCs w:val="24"/>
          <w:highlight w:val="none"/>
        </w:rPr>
        <w:t>元，于乙方完成受托事务后再按实际工作小时</w:t>
      </w:r>
      <w:r>
        <w:rPr>
          <w:rFonts w:hint="eastAsia" w:ascii="仿宋" w:hAnsi="仿宋" w:eastAsia="仿宋" w:cs="仿宋"/>
          <w:sz w:val="24"/>
          <w:szCs w:val="24"/>
          <w:highlight w:val="none"/>
          <w:lang w:val="en-US" w:eastAsia="zh-CN"/>
        </w:rPr>
        <w:t>进行</w:t>
      </w:r>
      <w:r>
        <w:rPr>
          <w:rFonts w:hint="eastAsia" w:ascii="仿宋" w:hAnsi="仿宋" w:eastAsia="仿宋" w:cs="仿宋"/>
          <w:sz w:val="24"/>
          <w:szCs w:val="24"/>
          <w:highlight w:val="none"/>
        </w:rPr>
        <w:t>结算。甲方有权要求查询律师承办事务的实际工作时间的记录。</w:t>
      </w:r>
    </w:p>
    <w:p w14:paraId="03446D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、发票</w:t>
      </w:r>
    </w:p>
    <w:p w14:paraId="6869C4E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乙方收到甲方支付的律师费后，应当向甲方出具正式税务发票。</w:t>
      </w:r>
    </w:p>
    <w:p w14:paraId="0C11DD0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8</w:t>
      </w:r>
      <w:r>
        <w:rPr>
          <w:rFonts w:hint="eastAsia" w:ascii="仿宋" w:hAnsi="仿宋" w:eastAsia="仿宋" w:cs="仿宋"/>
          <w:sz w:val="24"/>
          <w:szCs w:val="24"/>
          <w:highlight w:val="none"/>
        </w:rPr>
        <w:t>、乙方及律师的义务</w:t>
      </w:r>
    </w:p>
    <w:p w14:paraId="25B0AE5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（1）律师必须遵守职业道德和执业</w:t>
      </w:r>
      <w:r>
        <w:rPr>
          <w:rFonts w:hint="eastAsia" w:ascii="仿宋" w:hAnsi="仿宋" w:eastAsia="仿宋" w:cs="仿宋"/>
          <w:sz w:val="24"/>
          <w:szCs w:val="24"/>
          <w:highlight w:val="none"/>
          <w:lang w:val="en-US" w:eastAsia="zh-CN"/>
        </w:rPr>
        <w:t>纪律</w:t>
      </w:r>
      <w:r>
        <w:rPr>
          <w:rFonts w:hint="eastAsia" w:ascii="仿宋" w:hAnsi="仿宋" w:eastAsia="仿宋" w:cs="仿宋"/>
          <w:sz w:val="24"/>
          <w:szCs w:val="24"/>
          <w:highlight w:val="none"/>
        </w:rPr>
        <w:t>；</w:t>
      </w:r>
    </w:p>
    <w:p w14:paraId="2FB3E62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（2）律师应当勤勉尽</w:t>
      </w:r>
      <w:r>
        <w:rPr>
          <w:rFonts w:hint="eastAsia" w:ascii="仿宋" w:hAnsi="仿宋" w:eastAsia="仿宋" w:cs="仿宋"/>
          <w:sz w:val="24"/>
          <w:szCs w:val="24"/>
          <w:highlight w:val="none"/>
          <w:lang w:val="en-US" w:eastAsia="zh-CN"/>
        </w:rPr>
        <w:t>职</w:t>
      </w:r>
      <w:r>
        <w:rPr>
          <w:rFonts w:hint="eastAsia" w:ascii="仿宋" w:hAnsi="仿宋" w:eastAsia="仿宋" w:cs="仿宋"/>
          <w:sz w:val="24"/>
          <w:szCs w:val="24"/>
          <w:highlight w:val="none"/>
        </w:rPr>
        <w:t>，依法在本合同约定范围内维护甲方的最大利益；</w:t>
      </w:r>
    </w:p>
    <w:p w14:paraId="4A1245C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（3）律师应当及时向甲方报告有关本事务的进展情况；</w:t>
      </w:r>
    </w:p>
    <w:p w14:paraId="385B119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（4）律师无权超越甲方授权行事；</w:t>
      </w:r>
    </w:p>
    <w:p w14:paraId="5C43A37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（5）律师无权在本合同约定的律师费和</w:t>
      </w:r>
      <w:r>
        <w:rPr>
          <w:rFonts w:hint="eastAsia" w:ascii="仿宋" w:hAnsi="仿宋" w:eastAsia="仿宋" w:cs="仿宋"/>
          <w:sz w:val="24"/>
          <w:szCs w:val="24"/>
          <w:highlight w:val="none"/>
          <w:lang w:val="en-US" w:eastAsia="zh-CN"/>
        </w:rPr>
        <w:t>其他</w:t>
      </w:r>
      <w:r>
        <w:rPr>
          <w:rFonts w:hint="eastAsia" w:ascii="仿宋" w:hAnsi="仿宋" w:eastAsia="仿宋" w:cs="仿宋"/>
          <w:sz w:val="24"/>
          <w:szCs w:val="24"/>
          <w:highlight w:val="none"/>
        </w:rPr>
        <w:t>费用以外再要求</w:t>
      </w:r>
      <w:r>
        <w:rPr>
          <w:rFonts w:hint="eastAsia" w:ascii="仿宋" w:hAnsi="仿宋" w:eastAsia="仿宋" w:cs="仿宋"/>
          <w:sz w:val="24"/>
          <w:szCs w:val="24"/>
          <w:highlight w:val="none"/>
          <w:lang w:val="en-US" w:eastAsia="zh-CN"/>
        </w:rPr>
        <w:t>甲方</w:t>
      </w:r>
      <w:r>
        <w:rPr>
          <w:rFonts w:hint="eastAsia" w:ascii="仿宋" w:hAnsi="仿宋" w:eastAsia="仿宋" w:cs="仿宋"/>
          <w:sz w:val="24"/>
          <w:szCs w:val="24"/>
          <w:highlight w:val="none"/>
        </w:rPr>
        <w:t>支付任何</w:t>
      </w:r>
      <w:r>
        <w:rPr>
          <w:rFonts w:hint="eastAsia" w:ascii="仿宋" w:hAnsi="仿宋" w:eastAsia="仿宋" w:cs="仿宋"/>
          <w:sz w:val="24"/>
          <w:szCs w:val="24"/>
          <w:highlight w:val="none"/>
          <w:lang w:val="en-US" w:eastAsia="zh-CN"/>
        </w:rPr>
        <w:t>其他</w:t>
      </w:r>
      <w:r>
        <w:rPr>
          <w:rFonts w:hint="eastAsia" w:ascii="仿宋" w:hAnsi="仿宋" w:eastAsia="仿宋" w:cs="仿宋"/>
          <w:sz w:val="24"/>
          <w:szCs w:val="24"/>
          <w:highlight w:val="none"/>
        </w:rPr>
        <w:t>款项；</w:t>
      </w:r>
    </w:p>
    <w:p w14:paraId="36184C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（6）乙方或律师变更联系信息的，应当及时通知甲方；</w:t>
      </w:r>
    </w:p>
    <w:p w14:paraId="0A2E9BC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（7）乙方和律师对甲方负有保密义务</w:t>
      </w:r>
      <w:r>
        <w:rPr>
          <w:rFonts w:hint="eastAsia" w:ascii="仿宋" w:hAnsi="仿宋" w:eastAsia="仿宋" w:cs="仿宋"/>
          <w:sz w:val="24"/>
          <w:szCs w:val="24"/>
          <w:highlight w:val="none"/>
          <w:lang w:eastAsia="zh-CN"/>
        </w:rPr>
        <w:t>。</w:t>
      </w:r>
    </w:p>
    <w:p w14:paraId="5569C9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rPr>
        <w:t>、甲方的义务</w:t>
      </w:r>
    </w:p>
    <w:p w14:paraId="074E949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（1）与乙方和律师诚实合作</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向乙方和律师如实提供与本事务有关的资料、证据</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如实陈述与本事务有关的情况；</w:t>
      </w:r>
    </w:p>
    <w:p w14:paraId="66C1611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（2）如与本</w:t>
      </w:r>
      <w:r>
        <w:rPr>
          <w:rFonts w:hint="eastAsia" w:ascii="仿宋" w:hAnsi="仿宋" w:eastAsia="仿宋" w:cs="仿宋"/>
          <w:sz w:val="24"/>
          <w:szCs w:val="24"/>
          <w:highlight w:val="none"/>
          <w:lang w:val="en-US" w:eastAsia="zh-CN"/>
        </w:rPr>
        <w:t>事务</w:t>
      </w:r>
      <w:r>
        <w:rPr>
          <w:rFonts w:hint="eastAsia" w:ascii="仿宋" w:hAnsi="仿宋" w:eastAsia="仿宋" w:cs="仿宋"/>
          <w:sz w:val="24"/>
          <w:szCs w:val="24"/>
          <w:highlight w:val="none"/>
        </w:rPr>
        <w:t>有关情况和事实发生变化，应及时告知乙方或律师；</w:t>
      </w:r>
    </w:p>
    <w:p w14:paraId="46A879B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（3）如变更联系信息，应当及时通知乙方和律师；</w:t>
      </w:r>
    </w:p>
    <w:p w14:paraId="1DCA20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（4）按照</w:t>
      </w:r>
      <w:r>
        <w:rPr>
          <w:rFonts w:hint="eastAsia" w:ascii="仿宋" w:hAnsi="仿宋" w:eastAsia="仿宋" w:cs="仿宋"/>
          <w:sz w:val="24"/>
          <w:szCs w:val="24"/>
          <w:highlight w:val="none"/>
          <w:lang w:val="en-US" w:eastAsia="zh-CN"/>
        </w:rPr>
        <w:t>约定</w:t>
      </w:r>
      <w:r>
        <w:rPr>
          <w:rFonts w:hint="eastAsia" w:ascii="仿宋" w:hAnsi="仿宋" w:eastAsia="仿宋" w:cs="仿宋"/>
          <w:sz w:val="24"/>
          <w:szCs w:val="24"/>
          <w:highlight w:val="none"/>
        </w:rPr>
        <w:t>支付律师费和其他费用；</w:t>
      </w:r>
    </w:p>
    <w:p w14:paraId="36160DD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（5）向乙方和律师提出的要求不</w:t>
      </w:r>
      <w:r>
        <w:rPr>
          <w:rFonts w:hint="eastAsia" w:ascii="仿宋" w:hAnsi="仿宋" w:eastAsia="仿宋" w:cs="仿宋"/>
          <w:sz w:val="24"/>
          <w:szCs w:val="24"/>
          <w:highlight w:val="none"/>
          <w:lang w:val="en-US" w:eastAsia="zh-CN"/>
        </w:rPr>
        <w:t>应</w:t>
      </w:r>
      <w:r>
        <w:rPr>
          <w:rFonts w:hint="eastAsia" w:ascii="仿宋" w:hAnsi="仿宋" w:eastAsia="仿宋" w:cs="仿宋"/>
          <w:sz w:val="24"/>
          <w:szCs w:val="24"/>
          <w:highlight w:val="none"/>
        </w:rPr>
        <w:t>与法律以及律师职业道德和执业纪律的规定相冲突。</w:t>
      </w:r>
    </w:p>
    <w:p w14:paraId="31476AD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10、保密</w:t>
      </w:r>
    </w:p>
    <w:p w14:paraId="43AE70F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（1）乙方和律师对于甲方的商业秘密或个人隐私，应当保守秘密，在未征得甲方同意的情况下，不得向第三方泄露，但法定或约定应向司法机关或仲裁机构提供的除外</w:t>
      </w:r>
      <w:r>
        <w:rPr>
          <w:rFonts w:hint="eastAsia" w:ascii="仿宋" w:hAnsi="仿宋" w:eastAsia="仿宋" w:cs="仿宋"/>
          <w:sz w:val="24"/>
          <w:szCs w:val="24"/>
          <w:highlight w:val="none"/>
          <w:lang w:eastAsia="zh-CN"/>
        </w:rPr>
        <w:t>；</w:t>
      </w:r>
    </w:p>
    <w:p w14:paraId="2E10D74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甲方</w:t>
      </w:r>
      <w:r>
        <w:rPr>
          <w:rFonts w:hint="eastAsia" w:ascii="仿宋" w:hAnsi="仿宋" w:eastAsia="仿宋" w:cs="仿宋"/>
          <w:sz w:val="24"/>
          <w:szCs w:val="24"/>
          <w:highlight w:val="none"/>
        </w:rPr>
        <w:t>有特殊保密要求的，应当另行签订保密协议，以保密协议的约定为准。</w:t>
      </w:r>
    </w:p>
    <w:p w14:paraId="1E0892F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11</w:t>
      </w:r>
      <w:r>
        <w:rPr>
          <w:rFonts w:hint="eastAsia" w:ascii="仿宋" w:hAnsi="仿宋" w:eastAsia="仿宋" w:cs="仿宋"/>
          <w:sz w:val="24"/>
          <w:szCs w:val="24"/>
          <w:highlight w:val="none"/>
        </w:rPr>
        <w:t>、利益冲突</w:t>
      </w:r>
    </w:p>
    <w:p w14:paraId="01F62D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乙方和律师应将已经或正在或可能存在的为与甲方有利益冲突的当事人提供法律服务的情况如实告知甲方。在发生利益冲突</w:t>
      </w:r>
      <w:r>
        <w:rPr>
          <w:rFonts w:hint="eastAsia" w:ascii="仿宋" w:hAnsi="仿宋" w:eastAsia="仿宋" w:cs="仿宋"/>
          <w:sz w:val="24"/>
          <w:szCs w:val="24"/>
          <w:highlight w:val="none"/>
          <w:lang w:val="en-US" w:eastAsia="zh-CN"/>
        </w:rPr>
        <w:t>且依规定乙方无法继续为甲方提供法律服务时，</w:t>
      </w:r>
      <w:r>
        <w:rPr>
          <w:rFonts w:hint="eastAsia" w:ascii="仿宋" w:hAnsi="仿宋" w:eastAsia="仿宋" w:cs="仿宋"/>
          <w:sz w:val="24"/>
          <w:szCs w:val="24"/>
          <w:highlight w:val="none"/>
        </w:rPr>
        <w:t>乙方有权作出回避的安排</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甲方应无条件予以配合</w:t>
      </w:r>
      <w:r>
        <w:rPr>
          <w:rFonts w:hint="eastAsia" w:ascii="仿宋" w:hAnsi="仿宋" w:eastAsia="仿宋" w:cs="仿宋"/>
          <w:sz w:val="24"/>
          <w:szCs w:val="24"/>
          <w:highlight w:val="none"/>
        </w:rPr>
        <w:t>。</w:t>
      </w:r>
    </w:p>
    <w:p w14:paraId="1B9911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、其他法律事务</w:t>
      </w:r>
    </w:p>
    <w:p w14:paraId="19F06BA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乙方和律师均无权利和义务代理甲方处理本合同约定的法律服务范围以外的</w:t>
      </w:r>
      <w:r>
        <w:rPr>
          <w:rFonts w:hint="eastAsia" w:ascii="仿宋" w:hAnsi="仿宋" w:eastAsia="仿宋" w:cs="仿宋"/>
          <w:sz w:val="24"/>
          <w:szCs w:val="24"/>
          <w:highlight w:val="none"/>
          <w:lang w:eastAsia="zh-CN"/>
        </w:rPr>
        <w:t>其他</w:t>
      </w:r>
      <w:r>
        <w:rPr>
          <w:rFonts w:hint="eastAsia" w:ascii="仿宋" w:hAnsi="仿宋" w:eastAsia="仿宋" w:cs="仿宋"/>
          <w:sz w:val="24"/>
          <w:szCs w:val="24"/>
          <w:highlight w:val="none"/>
        </w:rPr>
        <w:t>法律事务。甲方如确需乙方和律师提供有关其他法律事务的服务的，应当与乙方签订补充协议或另行签订法律服务委托合同。</w:t>
      </w:r>
    </w:p>
    <w:p w14:paraId="2B4DF58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13</w:t>
      </w:r>
      <w:r>
        <w:rPr>
          <w:rFonts w:hint="eastAsia" w:ascii="仿宋" w:hAnsi="仿宋" w:eastAsia="仿宋" w:cs="仿宋"/>
          <w:sz w:val="24"/>
          <w:szCs w:val="24"/>
          <w:highlight w:val="none"/>
        </w:rPr>
        <w:t>、完成受托事务</w:t>
      </w:r>
    </w:p>
    <w:p w14:paraId="2E4223D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发生下列任何一种情形，即视为本合同乙方完成受托事务：</w:t>
      </w:r>
    </w:p>
    <w:p w14:paraId="2201A976">
      <w:pPr>
        <w:keepNext w:val="0"/>
        <w:keepLines w:val="0"/>
        <w:pageBreakBefore w:val="0"/>
        <w:widowControl w:val="0"/>
        <w:numPr>
          <w:ilvl w:val="0"/>
          <w:numId w:val="32"/>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属</w:t>
      </w:r>
      <w:r>
        <w:rPr>
          <w:rFonts w:hint="eastAsia" w:ascii="仿宋" w:hAnsi="仿宋" w:eastAsia="仿宋" w:cs="仿宋"/>
          <w:b/>
          <w:bCs/>
          <w:sz w:val="24"/>
          <w:szCs w:val="24"/>
          <w:highlight w:val="none"/>
          <w:lang w:eastAsia="zh-CN"/>
        </w:rPr>
        <w:t>复议</w:t>
      </w:r>
      <w:r>
        <w:rPr>
          <w:rFonts w:hint="eastAsia" w:ascii="仿宋" w:hAnsi="仿宋" w:eastAsia="仿宋" w:cs="仿宋"/>
          <w:b/>
          <w:bCs/>
          <w:sz w:val="24"/>
          <w:szCs w:val="24"/>
          <w:highlight w:val="none"/>
        </w:rPr>
        <w:t>/诉讼代理的：</w:t>
      </w:r>
    </w:p>
    <w:p w14:paraId="4A4BCA9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代理案件已取得与受托法律事务对应的判决书（复议决定时）、裁定书、调解书；</w:t>
      </w:r>
    </w:p>
    <w:p w14:paraId="5509ABB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）甲方解除合同、撤销委托</w:t>
      </w:r>
      <w:r>
        <w:rPr>
          <w:rFonts w:hint="eastAsia" w:ascii="仿宋" w:hAnsi="仿宋" w:eastAsia="仿宋" w:cs="仿宋"/>
          <w:sz w:val="24"/>
          <w:szCs w:val="24"/>
          <w:highlight w:val="none"/>
          <w:lang w:eastAsia="zh-CN"/>
        </w:rPr>
        <w:t>。</w:t>
      </w:r>
    </w:p>
    <w:p w14:paraId="2DAD61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、合同的解除、终止履行</w:t>
      </w:r>
    </w:p>
    <w:p w14:paraId="19F23D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（1）经书面通知，甲方有权随时以任何理由解除本合同，该解除通知在乙方收到之日生效。一旦收到解除通知，乙方和律师立即停止提供法律服务</w:t>
      </w:r>
      <w:r>
        <w:rPr>
          <w:rFonts w:hint="eastAsia" w:ascii="仿宋" w:hAnsi="仿宋" w:eastAsia="仿宋" w:cs="仿宋"/>
          <w:sz w:val="24"/>
          <w:szCs w:val="24"/>
          <w:highlight w:val="none"/>
          <w:lang w:eastAsia="zh-CN"/>
        </w:rPr>
        <w:t>；</w:t>
      </w:r>
    </w:p>
    <w:p w14:paraId="02D9D7C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（2）如果甲方未按照本协议约定支付律师费和其他费用且延期超过三十日的，乙方有权解除本协议，但应书面通知甲方</w:t>
      </w:r>
      <w:r>
        <w:rPr>
          <w:rFonts w:hint="eastAsia" w:ascii="仿宋" w:hAnsi="仿宋" w:eastAsia="仿宋" w:cs="仿宋"/>
          <w:sz w:val="24"/>
          <w:szCs w:val="24"/>
          <w:highlight w:val="none"/>
          <w:lang w:eastAsia="zh-CN"/>
        </w:rPr>
        <w:t>；</w:t>
      </w:r>
    </w:p>
    <w:p w14:paraId="0F3A503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（3）若甲方要求达到的目标有违律师职业道德和执业纪律的规定，则乙方有权随时终止向甲方提供法律服务，但应书面通知甲方</w:t>
      </w:r>
      <w:r>
        <w:rPr>
          <w:rFonts w:hint="eastAsia" w:ascii="仿宋" w:hAnsi="仿宋" w:eastAsia="仿宋" w:cs="仿宋"/>
          <w:sz w:val="24"/>
          <w:szCs w:val="24"/>
          <w:highlight w:val="none"/>
          <w:lang w:eastAsia="zh-CN"/>
        </w:rPr>
        <w:t>；</w:t>
      </w:r>
    </w:p>
    <w:p w14:paraId="1477E2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（4）若乙方在受托处理本事务过程中发现甲方有故意隐瞒事实或虚假作证等妨碍乙方正常完成受托事务的能力之情形，有权中（终）止向甲方提供法律服务</w:t>
      </w:r>
      <w:r>
        <w:rPr>
          <w:rFonts w:hint="eastAsia" w:ascii="仿宋" w:hAnsi="仿宋" w:eastAsia="仿宋" w:cs="仿宋"/>
          <w:sz w:val="24"/>
          <w:szCs w:val="24"/>
          <w:highlight w:val="none"/>
          <w:lang w:eastAsia="zh-CN"/>
        </w:rPr>
        <w:t>；</w:t>
      </w:r>
    </w:p>
    <w:p w14:paraId="3607E41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本合同因上列情形而解除时，约定以计件方式收费的，乙方已收取的律师费不予退还，甲方欠付的应予以补足约定数额；以计时方式收费的，按解除时的实际工作小时结算律师费；以分阶段/成果方式收费的，按实际所处的阶段或成果结算律师费。</w:t>
      </w:r>
    </w:p>
    <w:p w14:paraId="2BE5866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、不保证</w:t>
      </w:r>
    </w:p>
    <w:p w14:paraId="4199ABD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乙方和律师向甲方提供的分析、判断或咨询意见，均不可理解为乙方或律师就受托事务的结果作出了成功或胜诉的保证。</w:t>
      </w:r>
    </w:p>
    <w:p w14:paraId="72EEC8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16</w:t>
      </w:r>
      <w:r>
        <w:rPr>
          <w:rFonts w:hint="eastAsia" w:ascii="仿宋" w:hAnsi="仿宋" w:eastAsia="仿宋" w:cs="仿宋"/>
          <w:sz w:val="24"/>
          <w:szCs w:val="24"/>
          <w:highlight w:val="none"/>
        </w:rPr>
        <w:t>、免责</w:t>
      </w:r>
    </w:p>
    <w:p w14:paraId="6F08DF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本合同履行期间，如遇不可抗力，致使本合同无法实际/继续履行，双方应按有关法律规定处理。</w:t>
      </w:r>
    </w:p>
    <w:p w14:paraId="324021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17</w:t>
      </w:r>
      <w:r>
        <w:rPr>
          <w:rFonts w:hint="eastAsia" w:ascii="仿宋" w:hAnsi="仿宋" w:eastAsia="仿宋" w:cs="仿宋"/>
          <w:sz w:val="24"/>
          <w:szCs w:val="24"/>
          <w:highlight w:val="none"/>
        </w:rPr>
        <w:t>、通知</w:t>
      </w:r>
    </w:p>
    <w:p w14:paraId="3D8919B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与本合同履行有关的通知应当以书面方式提交对方，送达方式可为邮寄</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专人送达、电子邮件等。各方均可分别视需要选择合适的送达方式。</w:t>
      </w:r>
    </w:p>
    <w:p w14:paraId="059402A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18</w:t>
      </w:r>
      <w:r>
        <w:rPr>
          <w:rFonts w:hint="eastAsia" w:ascii="仿宋" w:hAnsi="仿宋" w:eastAsia="仿宋" w:cs="仿宋"/>
          <w:sz w:val="24"/>
          <w:szCs w:val="24"/>
          <w:highlight w:val="none"/>
        </w:rPr>
        <w:t>、争议的解决</w:t>
      </w:r>
    </w:p>
    <w:p w14:paraId="3C7D79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（1）双方之间就律师费和其他费用发生争议的，应当进行协商，如果协商不成，甲方应先向乙方主管司法行政部门投诉，由主管司法行政部门进行调解</w:t>
      </w:r>
      <w:r>
        <w:rPr>
          <w:rFonts w:hint="eastAsia" w:ascii="仿宋" w:hAnsi="仿宋" w:eastAsia="仿宋" w:cs="仿宋"/>
          <w:sz w:val="24"/>
          <w:szCs w:val="24"/>
          <w:highlight w:val="none"/>
          <w:lang w:eastAsia="zh-CN"/>
        </w:rPr>
        <w:t>；</w:t>
      </w:r>
    </w:p>
    <w:p w14:paraId="1661B3B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（2）双方同意，就本合同签订、履行而发生的任何争议，在无法通过协商和调解方式解决的情况下，任何一方均可向原告所在地人民法院提起诉讼。</w:t>
      </w:r>
    </w:p>
    <w:p w14:paraId="4B48E4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19</w:t>
      </w:r>
      <w:r>
        <w:rPr>
          <w:rFonts w:hint="eastAsia" w:ascii="仿宋" w:hAnsi="仿宋" w:eastAsia="仿宋" w:cs="仿宋"/>
          <w:sz w:val="24"/>
          <w:szCs w:val="24"/>
          <w:highlight w:val="none"/>
        </w:rPr>
        <w:t>、其他约定</w:t>
      </w:r>
    </w:p>
    <w:p w14:paraId="1CDEB5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除上述条款约定外，乙方和甲方就如下内容达成一致的约定：</w:t>
      </w:r>
    </w:p>
    <w:p w14:paraId="60E6912B">
      <w:pPr>
        <w:keepNext w:val="0"/>
        <w:keepLines w:val="0"/>
        <w:pageBreakBefore w:val="0"/>
        <w:widowControl w:val="0"/>
        <w:numPr>
          <w:ilvl w:val="0"/>
          <w:numId w:val="33"/>
        </w:numPr>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u w:val="single"/>
          <w:lang w:val="en-US" w:eastAsia="zh-CN"/>
        </w:rPr>
        <w:t xml:space="preserve">       /                                      </w:t>
      </w:r>
      <w:r>
        <w:rPr>
          <w:rFonts w:hint="eastAsia" w:ascii="仿宋" w:hAnsi="仿宋" w:eastAsia="仿宋" w:cs="仿宋"/>
          <w:sz w:val="24"/>
          <w:szCs w:val="24"/>
          <w:highlight w:val="none"/>
          <w:lang w:val="en-US" w:eastAsia="zh-CN"/>
        </w:rPr>
        <w:t xml:space="preserve">       </w:t>
      </w:r>
    </w:p>
    <w:p w14:paraId="5BAC97B8">
      <w:pPr>
        <w:keepNext w:val="0"/>
        <w:keepLines w:val="0"/>
        <w:pageBreakBefore w:val="0"/>
        <w:widowControl w:val="0"/>
        <w:numPr>
          <w:ilvl w:val="0"/>
          <w:numId w:val="33"/>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u w:val="single"/>
          <w:lang w:val="en-US" w:eastAsia="zh-CN"/>
        </w:rPr>
        <w:t xml:space="preserve">       /                                     </w:t>
      </w:r>
    </w:p>
    <w:p w14:paraId="1EF400BD">
      <w:pPr>
        <w:keepNext w:val="0"/>
        <w:keepLines w:val="0"/>
        <w:pageBreakBefore w:val="0"/>
        <w:widowControl w:val="0"/>
        <w:numPr>
          <w:ilvl w:val="0"/>
          <w:numId w:val="33"/>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u w:val="single"/>
          <w:lang w:val="en-US" w:eastAsia="zh-CN"/>
        </w:rPr>
        <w:t xml:space="preserve">       /                                      </w:t>
      </w:r>
    </w:p>
    <w:p w14:paraId="09ECEFE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20</w:t>
      </w:r>
      <w:r>
        <w:rPr>
          <w:rFonts w:hint="eastAsia" w:ascii="仿宋" w:hAnsi="仿宋" w:eastAsia="仿宋" w:cs="仿宋"/>
          <w:sz w:val="24"/>
          <w:szCs w:val="24"/>
          <w:highlight w:val="none"/>
        </w:rPr>
        <w:t>、生效条件</w:t>
      </w:r>
    </w:p>
    <w:p w14:paraId="4C2BFA3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本合同在双方</w:t>
      </w:r>
      <w:r>
        <w:rPr>
          <w:rFonts w:hint="eastAsia" w:ascii="仿宋" w:hAnsi="仿宋" w:eastAsia="仿宋" w:cs="仿宋"/>
          <w:sz w:val="24"/>
          <w:szCs w:val="24"/>
          <w:highlight w:val="none"/>
          <w:lang w:val="en-US" w:eastAsia="zh-CN"/>
        </w:rPr>
        <w:t>签字（自然人）或盖章（法人或其他组织）后生效。</w:t>
      </w:r>
    </w:p>
    <w:p w14:paraId="2847D90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21、本合同空格部分填写的文字与印刷文字具有同等效力。</w:t>
      </w:r>
    </w:p>
    <w:p w14:paraId="18B0AD9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22</w:t>
      </w:r>
      <w:r>
        <w:rPr>
          <w:rFonts w:hint="eastAsia" w:ascii="仿宋" w:hAnsi="仿宋" w:eastAsia="仿宋" w:cs="仿宋"/>
          <w:sz w:val="24"/>
          <w:szCs w:val="24"/>
          <w:highlight w:val="none"/>
        </w:rPr>
        <w:t>、本合同有效期限</w:t>
      </w:r>
      <w:r>
        <w:rPr>
          <w:rFonts w:hint="eastAsia" w:ascii="仿宋" w:hAnsi="仿宋" w:eastAsia="仿宋" w:cs="仿宋"/>
          <w:sz w:val="24"/>
          <w:szCs w:val="24"/>
          <w:highlight w:val="none"/>
          <w:lang w:val="en-US" w:eastAsia="zh-CN"/>
        </w:rPr>
        <w:t>为</w:t>
      </w:r>
      <w:r>
        <w:rPr>
          <w:rFonts w:hint="eastAsia" w:ascii="仿宋" w:hAnsi="仿宋" w:eastAsia="仿宋" w:cs="仿宋"/>
          <w:sz w:val="24"/>
          <w:szCs w:val="24"/>
          <w:highlight w:val="none"/>
        </w:rPr>
        <w:t>自</w:t>
      </w:r>
      <w:r>
        <w:rPr>
          <w:rFonts w:hint="eastAsia" w:ascii="仿宋" w:hAnsi="仿宋" w:eastAsia="仿宋" w:cs="仿宋"/>
          <w:sz w:val="24"/>
          <w:szCs w:val="24"/>
          <w:highlight w:val="none"/>
          <w:lang w:val="en-US" w:eastAsia="zh-CN"/>
        </w:rPr>
        <w:t>签订</w:t>
      </w:r>
      <w:r>
        <w:rPr>
          <w:rFonts w:hint="eastAsia" w:ascii="仿宋" w:hAnsi="仿宋" w:eastAsia="仿宋" w:cs="仿宋"/>
          <w:sz w:val="24"/>
          <w:szCs w:val="24"/>
          <w:highlight w:val="none"/>
        </w:rPr>
        <w:t>之日起至</w:t>
      </w:r>
      <w:r>
        <w:rPr>
          <w:rFonts w:hint="eastAsia" w:ascii="仿宋" w:hAnsi="仿宋" w:eastAsia="仿宋" w:cs="仿宋"/>
          <w:sz w:val="24"/>
          <w:szCs w:val="24"/>
          <w:highlight w:val="none"/>
          <w:lang w:val="en-US" w:eastAsia="zh-CN"/>
        </w:rPr>
        <w:t>受托法律事务完成之日止。</w:t>
      </w:r>
    </w:p>
    <w:p w14:paraId="2B3F24A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23</w:t>
      </w:r>
      <w:r>
        <w:rPr>
          <w:rFonts w:hint="eastAsia" w:ascii="仿宋" w:hAnsi="仿宋" w:eastAsia="仿宋" w:cs="仿宋"/>
          <w:sz w:val="24"/>
          <w:szCs w:val="24"/>
          <w:highlight w:val="none"/>
        </w:rPr>
        <w:t>、本合同一式</w:t>
      </w:r>
      <w:r>
        <w:rPr>
          <w:rFonts w:hint="eastAsia" w:ascii="仿宋" w:hAnsi="仿宋" w:eastAsia="仿宋" w:cs="仿宋"/>
          <w:sz w:val="24"/>
          <w:szCs w:val="24"/>
          <w:highlight w:val="none"/>
          <w:lang w:val="en-US" w:eastAsia="zh-CN"/>
        </w:rPr>
        <w:t>贰</w:t>
      </w:r>
      <w:r>
        <w:rPr>
          <w:rFonts w:hint="eastAsia" w:ascii="仿宋" w:hAnsi="仿宋" w:eastAsia="仿宋" w:cs="仿宋"/>
          <w:sz w:val="24"/>
          <w:szCs w:val="24"/>
          <w:highlight w:val="none"/>
        </w:rPr>
        <w:t>份，</w:t>
      </w:r>
      <w:r>
        <w:rPr>
          <w:rFonts w:hint="eastAsia" w:ascii="仿宋" w:hAnsi="仿宋" w:eastAsia="仿宋" w:cs="仿宋"/>
          <w:sz w:val="24"/>
          <w:szCs w:val="24"/>
          <w:highlight w:val="none"/>
          <w:lang w:val="en-US" w:eastAsia="zh-CN"/>
        </w:rPr>
        <w:t>甲乙</w:t>
      </w:r>
      <w:r>
        <w:rPr>
          <w:rFonts w:hint="eastAsia" w:ascii="仿宋" w:hAnsi="仿宋" w:eastAsia="仿宋" w:cs="仿宋"/>
          <w:sz w:val="24"/>
          <w:szCs w:val="24"/>
          <w:highlight w:val="none"/>
        </w:rPr>
        <w:t>双方各执</w:t>
      </w:r>
      <w:r>
        <w:rPr>
          <w:rFonts w:hint="eastAsia" w:ascii="仿宋" w:hAnsi="仿宋" w:eastAsia="仿宋" w:cs="仿宋"/>
          <w:sz w:val="24"/>
          <w:szCs w:val="24"/>
          <w:highlight w:val="none"/>
          <w:lang w:val="en-US" w:eastAsia="zh-CN"/>
        </w:rPr>
        <w:t>壹</w:t>
      </w:r>
      <w:r>
        <w:rPr>
          <w:rFonts w:hint="eastAsia" w:ascii="仿宋" w:hAnsi="仿宋" w:eastAsia="仿宋" w:cs="仿宋"/>
          <w:sz w:val="24"/>
          <w:szCs w:val="24"/>
          <w:highlight w:val="none"/>
        </w:rPr>
        <w:t>份</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具有同等法律效力</w:t>
      </w:r>
      <w:r>
        <w:rPr>
          <w:rFonts w:hint="eastAsia" w:ascii="仿宋" w:hAnsi="仿宋" w:eastAsia="仿宋" w:cs="仿宋"/>
          <w:sz w:val="24"/>
          <w:szCs w:val="24"/>
          <w:highlight w:val="none"/>
        </w:rPr>
        <w:t>。</w:t>
      </w:r>
    </w:p>
    <w:p w14:paraId="5C0434E6">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p>
    <w:p w14:paraId="21A6593D">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p>
    <w:p w14:paraId="04551CA2">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p>
    <w:p w14:paraId="3865F9CA">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委托人</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盖章）</w:t>
      </w:r>
      <w:r>
        <w:rPr>
          <w:rFonts w:hint="eastAsia" w:ascii="仿宋" w:hAnsi="仿宋" w:eastAsia="仿宋" w:cs="仿宋"/>
          <w:sz w:val="24"/>
          <w:szCs w:val="24"/>
          <w:highlight w:val="none"/>
        </w:rPr>
        <w:t>：</w:t>
      </w:r>
    </w:p>
    <w:p w14:paraId="383BCC15">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                        年  月  日</w:t>
      </w:r>
    </w:p>
    <w:p w14:paraId="0555FA43">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p>
    <w:p w14:paraId="26B57CF4">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p>
    <w:p w14:paraId="205E6E77">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受托人</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盖章）</w:t>
      </w:r>
      <w:r>
        <w:rPr>
          <w:rFonts w:hint="eastAsia" w:ascii="仿宋" w:hAnsi="仿宋" w:eastAsia="仿宋" w:cs="仿宋"/>
          <w:sz w:val="24"/>
          <w:szCs w:val="24"/>
          <w:highlight w:val="none"/>
        </w:rPr>
        <w:t>：</w:t>
      </w:r>
      <w:r>
        <w:rPr>
          <w:rFonts w:hint="eastAsia" w:ascii="仿宋" w:hAnsi="仿宋" w:eastAsia="仿宋" w:cs="仿宋"/>
          <w:sz w:val="24"/>
          <w:szCs w:val="24"/>
          <w:highlight w:val="none"/>
          <w:u w:val="none"/>
          <w:lang w:val="en-US" w:eastAsia="zh-CN"/>
        </w:rPr>
        <w:t xml:space="preserve">        </w:t>
      </w:r>
      <w:r>
        <w:rPr>
          <w:rFonts w:hint="eastAsia" w:ascii="仿宋" w:hAnsi="仿宋" w:eastAsia="仿宋" w:cs="仿宋"/>
          <w:sz w:val="24"/>
          <w:szCs w:val="24"/>
          <w:highlight w:val="none"/>
        </w:rPr>
        <w:t>律师事务所</w:t>
      </w:r>
    </w:p>
    <w:p w14:paraId="5878B92E">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                        年  月  日</w:t>
      </w:r>
    </w:p>
    <w:p w14:paraId="23E848D0">
      <w:pPr>
        <w:rPr>
          <w:rFonts w:ascii="仿宋" w:hAnsi="仿宋" w:eastAsia="仿宋" w:cs="仿宋"/>
          <w:b/>
          <w:color w:val="auto"/>
          <w:sz w:val="36"/>
          <w:szCs w:val="20"/>
          <w:highlight w:val="none"/>
        </w:rPr>
      </w:pPr>
      <w:r>
        <w:rPr>
          <w:rFonts w:ascii="仿宋" w:hAnsi="仿宋" w:eastAsia="仿宋" w:cs="仿宋"/>
          <w:b/>
          <w:color w:val="auto"/>
          <w:sz w:val="36"/>
          <w:szCs w:val="20"/>
          <w:highlight w:val="none"/>
        </w:rPr>
        <w:br w:type="page"/>
      </w:r>
    </w:p>
    <w:p w14:paraId="0907C531">
      <w:pPr>
        <w:pStyle w:val="75"/>
        <w:rPr>
          <w:color w:val="auto"/>
          <w:highlight w:val="none"/>
        </w:rPr>
      </w:pPr>
    </w:p>
    <w:p w14:paraId="074E691D">
      <w:pPr>
        <w:snapToGrid w:val="0"/>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第七部分</w:t>
      </w:r>
      <w:bookmarkEnd w:id="73"/>
      <w:r>
        <w:rPr>
          <w:rFonts w:hint="eastAsia" w:ascii="仿宋" w:hAnsi="仿宋" w:eastAsia="仿宋" w:cs="仿宋"/>
          <w:b/>
          <w:color w:val="auto"/>
          <w:sz w:val="36"/>
          <w:szCs w:val="20"/>
          <w:highlight w:val="none"/>
        </w:rPr>
        <w:t xml:space="preserve">  </w:t>
      </w:r>
      <w:bookmarkEnd w:id="74"/>
      <w:r>
        <w:rPr>
          <w:rFonts w:hint="eastAsia" w:ascii="仿宋" w:hAnsi="仿宋" w:eastAsia="仿宋" w:cs="仿宋"/>
          <w:b/>
          <w:color w:val="auto"/>
          <w:sz w:val="36"/>
          <w:szCs w:val="20"/>
          <w:highlight w:val="none"/>
        </w:rPr>
        <w:t>应提交的有关格式范例</w:t>
      </w:r>
    </w:p>
    <w:p w14:paraId="6E032B7F">
      <w:pPr>
        <w:spacing w:line="360" w:lineRule="auto"/>
        <w:jc w:val="center"/>
        <w:outlineLvl w:val="1"/>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415DB893">
      <w:pPr>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目录</w:t>
      </w:r>
    </w:p>
    <w:p w14:paraId="38B6A49D">
      <w:pPr>
        <w:rPr>
          <w:rFonts w:ascii="仿宋" w:hAnsi="仿宋" w:eastAsia="仿宋" w:cs="仿宋"/>
          <w:color w:val="auto"/>
          <w:highlight w:val="none"/>
        </w:rPr>
      </w:pPr>
    </w:p>
    <w:p w14:paraId="171AE7B8">
      <w:pPr>
        <w:pStyle w:val="24"/>
        <w:rPr>
          <w:rFonts w:ascii="仿宋" w:hAnsi="仿宋" w:eastAsia="仿宋" w:cs="仿宋"/>
          <w:color w:val="auto"/>
          <w:highlight w:val="none"/>
        </w:rPr>
      </w:pPr>
    </w:p>
    <w:p w14:paraId="2C0F4D2E">
      <w:pPr>
        <w:snapToGrid w:val="0"/>
        <w:spacing w:line="360" w:lineRule="auto"/>
        <w:rPr>
          <w:rFonts w:ascii="仿宋_GB2312" w:hAnsi="仿宋" w:eastAsia="仿宋_GB2312" w:cs="仿宋_GB2312"/>
          <w:sz w:val="24"/>
          <w:highlight w:val="none"/>
        </w:rPr>
      </w:pPr>
      <w:r>
        <w:rPr>
          <w:rFonts w:hint="eastAsia" w:ascii="仿宋_GB2312" w:hAnsi="仿宋" w:eastAsia="仿宋_GB2312" w:cs="仿宋_GB2312"/>
          <w:sz w:val="24"/>
          <w:highlight w:val="none"/>
        </w:rPr>
        <w:t>（</w:t>
      </w:r>
      <w:r>
        <w:rPr>
          <w:rFonts w:ascii="仿宋_GB2312" w:hAnsi="仿宋" w:eastAsia="仿宋_GB2312" w:cs="仿宋_GB2312"/>
          <w:sz w:val="24"/>
          <w:highlight w:val="none"/>
        </w:rPr>
        <w:t>1）符合参加政府采购活动应当具备的一般条件的承诺函……</w:t>
      </w:r>
      <w:r>
        <w:rPr>
          <w:rFonts w:hint="eastAsia" w:ascii="仿宋_GB2312" w:hAnsi="仿宋" w:eastAsia="仿宋_GB2312" w:cs="仿宋_GB2312"/>
          <w:sz w:val="24"/>
          <w:highlight w:val="none"/>
        </w:rPr>
        <w:t>………（页码）</w:t>
      </w:r>
    </w:p>
    <w:p w14:paraId="371D0B98">
      <w:pPr>
        <w:snapToGrid w:val="0"/>
        <w:spacing w:line="360" w:lineRule="auto"/>
        <w:rPr>
          <w:rFonts w:ascii="仿宋_GB2312" w:hAnsi="仿宋" w:eastAsia="仿宋_GB2312" w:cs="仿宋_GB2312"/>
          <w:sz w:val="24"/>
          <w:highlight w:val="none"/>
        </w:rPr>
      </w:pPr>
      <w:r>
        <w:rPr>
          <w:rFonts w:hint="eastAsia" w:ascii="仿宋_GB2312" w:hAnsi="仿宋" w:eastAsia="仿宋_GB2312" w:cs="仿宋_GB2312"/>
          <w:sz w:val="24"/>
          <w:highlight w:val="none"/>
        </w:rPr>
        <w:t>（</w:t>
      </w:r>
      <w:r>
        <w:rPr>
          <w:rFonts w:ascii="仿宋_GB2312" w:hAnsi="仿宋" w:eastAsia="仿宋_GB2312" w:cs="仿宋_GB2312"/>
          <w:sz w:val="24"/>
          <w:highlight w:val="none"/>
        </w:rPr>
        <w:t>2）</w:t>
      </w:r>
      <w:r>
        <w:rPr>
          <w:rFonts w:hint="eastAsia" w:ascii="仿宋_GB2312" w:hAnsi="仿宋" w:eastAsia="仿宋_GB2312" w:cs="仿宋_GB2312"/>
          <w:sz w:val="24"/>
          <w:highlight w:val="none"/>
        </w:rPr>
        <w:t>联合协议………………………………………………………………（页码）</w:t>
      </w:r>
    </w:p>
    <w:p w14:paraId="160431FC">
      <w:pPr>
        <w:snapToGrid w:val="0"/>
        <w:spacing w:line="360" w:lineRule="auto"/>
        <w:rPr>
          <w:rFonts w:ascii="仿宋_GB2312" w:hAnsi="仿宋" w:eastAsia="仿宋_GB2312" w:cs="仿宋_GB2312"/>
          <w:sz w:val="24"/>
          <w:highlight w:val="none"/>
        </w:rPr>
      </w:pPr>
      <w:r>
        <w:rPr>
          <w:rFonts w:hint="eastAsia" w:ascii="仿宋_GB2312" w:hAnsi="仿宋" w:eastAsia="仿宋_GB2312" w:cs="仿宋_GB2312"/>
          <w:sz w:val="24"/>
          <w:highlight w:val="none"/>
          <w:lang w:eastAsia="zh-CN"/>
        </w:rPr>
        <w:t>（</w:t>
      </w:r>
      <w:r>
        <w:rPr>
          <w:rFonts w:hint="eastAsia" w:ascii="仿宋_GB2312" w:hAnsi="仿宋" w:eastAsia="仿宋_GB2312" w:cs="仿宋_GB2312"/>
          <w:sz w:val="24"/>
          <w:highlight w:val="none"/>
          <w:lang w:val="en-US" w:eastAsia="zh-CN"/>
        </w:rPr>
        <w:t>3）</w:t>
      </w:r>
      <w:r>
        <w:rPr>
          <w:rFonts w:ascii="仿宋_GB2312" w:hAnsi="仿宋" w:eastAsia="仿宋_GB2312" w:cs="仿宋_GB2312"/>
          <w:sz w:val="24"/>
          <w:highlight w:val="none"/>
        </w:rPr>
        <w:t>落实政府采购政策需满足的资格要求……</w:t>
      </w:r>
      <w:r>
        <w:rPr>
          <w:rFonts w:hint="eastAsia" w:ascii="仿宋_GB2312" w:hAnsi="仿宋" w:eastAsia="仿宋_GB2312" w:cs="仿宋_GB2312"/>
          <w:sz w:val="24"/>
          <w:highlight w:val="none"/>
        </w:rPr>
        <w:t>…………………………（页码）</w:t>
      </w:r>
    </w:p>
    <w:p w14:paraId="2D52F260">
      <w:pPr>
        <w:snapToGrid w:val="0"/>
        <w:spacing w:line="360" w:lineRule="auto"/>
        <w:rPr>
          <w:rFonts w:ascii="仿宋" w:hAnsi="仿宋" w:eastAsia="仿宋" w:cs="仿宋"/>
          <w:color w:val="auto"/>
          <w:sz w:val="24"/>
          <w:highlight w:val="none"/>
        </w:rPr>
      </w:pPr>
      <w:r>
        <w:rPr>
          <w:rFonts w:hint="eastAsia" w:ascii="仿宋_GB2312" w:hAnsi="仿宋" w:eastAsia="仿宋_GB2312" w:cs="仿宋_GB2312"/>
          <w:sz w:val="24"/>
          <w:highlight w:val="none"/>
        </w:rPr>
        <w:t>（</w:t>
      </w:r>
      <w:r>
        <w:rPr>
          <w:rFonts w:hint="eastAsia" w:ascii="仿宋_GB2312" w:hAnsi="仿宋" w:eastAsia="仿宋_GB2312" w:cs="仿宋_GB2312"/>
          <w:sz w:val="24"/>
          <w:highlight w:val="none"/>
          <w:lang w:val="en-US" w:eastAsia="zh-CN"/>
        </w:rPr>
        <w:t>4</w:t>
      </w:r>
      <w:r>
        <w:rPr>
          <w:rFonts w:ascii="仿宋_GB2312" w:hAnsi="仿宋" w:eastAsia="仿宋_GB2312" w:cs="仿宋_GB2312"/>
          <w:sz w:val="24"/>
          <w:highlight w:val="none"/>
        </w:rPr>
        <w:t>）本项目的特定资格要求……</w:t>
      </w:r>
      <w:r>
        <w:rPr>
          <w:rFonts w:hint="eastAsia" w:ascii="仿宋_GB2312" w:hAnsi="仿宋" w:eastAsia="仿宋_GB2312" w:cs="仿宋_GB2312"/>
          <w:sz w:val="24"/>
          <w:highlight w:val="none"/>
        </w:rPr>
        <w:t>…………………………………………（页码）</w:t>
      </w:r>
    </w:p>
    <w:p w14:paraId="665932D7">
      <w:pPr>
        <w:snapToGrid w:val="0"/>
        <w:spacing w:line="360" w:lineRule="auto"/>
        <w:ind w:right="480"/>
        <w:jc w:val="both"/>
        <w:rPr>
          <w:rFonts w:ascii="仿宋_GB2312" w:hAnsi="仿宋" w:eastAsia="仿宋_GB2312" w:cs="仿宋_GB2312"/>
          <w:b/>
          <w:color w:val="auto"/>
          <w:kern w:val="0"/>
          <w:sz w:val="32"/>
          <w:szCs w:val="32"/>
          <w:highlight w:val="none"/>
        </w:rPr>
      </w:pPr>
      <w:r>
        <w:rPr>
          <w:rFonts w:hint="eastAsia" w:ascii="仿宋" w:hAnsi="仿宋" w:eastAsia="仿宋" w:cs="仿宋"/>
          <w:color w:val="auto"/>
          <w:sz w:val="24"/>
          <w:highlight w:val="none"/>
        </w:rPr>
        <w:br w:type="page"/>
      </w:r>
      <w:r>
        <w:rPr>
          <w:rFonts w:ascii="仿宋_GB2312" w:hAnsi="仿宋" w:eastAsia="仿宋_GB2312" w:cs="仿宋_GB2312"/>
          <w:b/>
          <w:color w:val="auto"/>
          <w:kern w:val="0"/>
          <w:sz w:val="32"/>
          <w:szCs w:val="32"/>
          <w:highlight w:val="none"/>
        </w:rPr>
        <w:t>一、 符合参加政府采购活动应当具备的一般条件的承诺函</w:t>
      </w:r>
    </w:p>
    <w:p w14:paraId="15DE6DC9">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u w:val="single"/>
        </w:rPr>
        <w:t>（采购人）、（采购代理机构）</w:t>
      </w:r>
      <w:r>
        <w:rPr>
          <w:rFonts w:hint="eastAsia" w:ascii="仿宋_GB2312" w:hAnsi="仿宋" w:eastAsia="仿宋_GB2312" w:cs="仿宋_GB2312"/>
          <w:color w:val="auto"/>
          <w:sz w:val="24"/>
          <w:highlight w:val="none"/>
        </w:rPr>
        <w:t>：</w:t>
      </w:r>
    </w:p>
    <w:p w14:paraId="73371A7E">
      <w:pPr>
        <w:snapToGrid w:val="0"/>
        <w:spacing w:line="360" w:lineRule="auto"/>
        <w:ind w:firstLine="420" w:firstLineChars="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我方参与（项目名称）【编号：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】政府采购活动，郑重承诺：</w:t>
      </w:r>
    </w:p>
    <w:p w14:paraId="18937E02">
      <w:pPr>
        <w:snapToGrid w:val="0"/>
        <w:spacing w:line="360" w:lineRule="auto"/>
        <w:ind w:firstLine="360" w:firstLineChars="15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（一）具备《中华人民共和国政府采购法》第二十二条第一款规定的条件：</w:t>
      </w:r>
    </w:p>
    <w:p w14:paraId="2CB44A08">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具有独立承担民事责任的能力；</w:t>
      </w:r>
    </w:p>
    <w:p w14:paraId="6C170068">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w:t>
      </w:r>
      <w:r>
        <w:rPr>
          <w:rFonts w:ascii="仿宋_GB2312" w:hAnsi="仿宋" w:eastAsia="仿宋_GB2312"/>
          <w:color w:val="auto"/>
          <w:sz w:val="24"/>
          <w:highlight w:val="none"/>
        </w:rPr>
        <w:t xml:space="preserve">具有良好的商业信誉和健全的财务会计制度； </w:t>
      </w:r>
    </w:p>
    <w:p w14:paraId="47573957">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w:t>
      </w:r>
      <w:r>
        <w:rPr>
          <w:rFonts w:ascii="仿宋_GB2312" w:hAnsi="仿宋" w:eastAsia="仿宋_GB2312"/>
          <w:color w:val="auto"/>
          <w:sz w:val="24"/>
          <w:highlight w:val="none"/>
        </w:rPr>
        <w:t>具有履行合同所必需的设备和专业技术能力；</w:t>
      </w:r>
    </w:p>
    <w:p w14:paraId="5E271007">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w:t>
      </w:r>
      <w:r>
        <w:rPr>
          <w:rFonts w:ascii="仿宋_GB2312" w:hAnsi="仿宋" w:eastAsia="仿宋_GB2312"/>
          <w:color w:val="auto"/>
          <w:sz w:val="24"/>
          <w:highlight w:val="none"/>
        </w:rPr>
        <w:t>有依法缴纳税收和社会保障资金的良好记录；</w:t>
      </w:r>
    </w:p>
    <w:p w14:paraId="3215B220">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5、</w:t>
      </w:r>
      <w:r>
        <w:rPr>
          <w:rFonts w:ascii="仿宋_GB2312" w:hAnsi="仿宋" w:eastAsia="仿宋_GB2312"/>
          <w:color w:val="auto"/>
          <w:sz w:val="24"/>
          <w:highlight w:val="none"/>
        </w:rPr>
        <w:t>参加政府采购活动前三年内，在经营活动中没有重大违法记录；</w:t>
      </w:r>
    </w:p>
    <w:p w14:paraId="52168585">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6、</w:t>
      </w:r>
      <w:r>
        <w:rPr>
          <w:rFonts w:ascii="仿宋_GB2312" w:hAnsi="仿宋" w:eastAsia="仿宋_GB2312"/>
          <w:color w:val="auto"/>
          <w:sz w:val="24"/>
          <w:highlight w:val="none"/>
        </w:rPr>
        <w:t>具有法律、行政法规规定的其他条件。</w:t>
      </w:r>
    </w:p>
    <w:p w14:paraId="339800AB">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（二）未被信用中国（</w:t>
      </w:r>
      <w:r>
        <w:rPr>
          <w:rFonts w:ascii="仿宋_GB2312" w:hAnsi="仿宋" w:eastAsia="仿宋_GB2312"/>
          <w:color w:val="auto"/>
          <w:sz w:val="24"/>
          <w:highlight w:val="none"/>
        </w:rPr>
        <w:t>www.creditchina.gov.cn)、中国政府采购网（www.ccgp.gov.cn）列入失信被执行人、重大税收违法案件当事人名单、政府采购严重违法失信行为记录名单。</w:t>
      </w:r>
    </w:p>
    <w:p w14:paraId="54D5F161">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（三）不存在以下情况：</w:t>
      </w:r>
    </w:p>
    <w:p w14:paraId="26B258FB">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单位负责人为同一人或者存在直接控股、管理关系的不同供应商参加同一合同项下的政府采购活动的；</w:t>
      </w:r>
    </w:p>
    <w:p w14:paraId="4F2EDB30">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w:t>
      </w:r>
      <w:r>
        <w:rPr>
          <w:rFonts w:ascii="仿宋_GB2312" w:hAnsi="仿宋" w:eastAsia="仿宋_GB2312" w:cs="仿宋_GB2312"/>
          <w:color w:val="auto"/>
          <w:sz w:val="24"/>
          <w:highlight w:val="none"/>
        </w:rPr>
        <w:t>为采购项目提供整体设计、规范编制或者项目管理、监理、检测等服务后再参加该采购项目的其他采购活动的。</w:t>
      </w:r>
    </w:p>
    <w:p w14:paraId="1B5A89DE">
      <w:pPr>
        <w:pStyle w:val="24"/>
        <w:rPr>
          <w:rFonts w:ascii="仿宋_GB2312" w:hAnsi="仿宋" w:eastAsia="仿宋_GB2312" w:cs="仿宋_GB2312"/>
          <w:color w:val="auto"/>
          <w:sz w:val="24"/>
          <w:highlight w:val="none"/>
        </w:rPr>
      </w:pPr>
    </w:p>
    <w:p w14:paraId="1EE85444">
      <w:pPr>
        <w:rPr>
          <w:color w:val="auto"/>
          <w:highlight w:val="none"/>
        </w:rPr>
      </w:pPr>
    </w:p>
    <w:p w14:paraId="478E0307">
      <w:pPr>
        <w:snapToGrid w:val="0"/>
        <w:spacing w:line="360" w:lineRule="auto"/>
        <w:ind w:firstLine="5520" w:firstLineChars="2300"/>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供应商名称</w:t>
      </w:r>
      <w:r>
        <w:rPr>
          <w:rFonts w:ascii="仿宋_GB2312" w:hAnsi="仿宋" w:eastAsia="仿宋_GB2312" w:cs="仿宋_GB2312"/>
          <w:color w:val="auto"/>
          <w:kern w:val="0"/>
          <w:sz w:val="24"/>
          <w:highlight w:val="none"/>
          <w:lang w:val="zh-CN"/>
        </w:rPr>
        <w:t>(电子签名)：</w:t>
      </w:r>
    </w:p>
    <w:p w14:paraId="616C035D">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日期</w:t>
      </w:r>
      <w:r>
        <w:rPr>
          <w:rFonts w:hint="eastAsia" w:ascii="仿宋_GB2312" w:hAnsi="仿宋" w:eastAsia="仿宋_GB2312" w:cs="仿宋_GB2312"/>
          <w:color w:val="auto"/>
          <w:kern w:val="0"/>
          <w:sz w:val="24"/>
          <w:highlight w:val="none"/>
        </w:rPr>
        <w:t>：</w:t>
      </w:r>
      <w:r>
        <w:rPr>
          <w:rFonts w:ascii="仿宋_GB2312" w:hAnsi="仿宋" w:eastAsia="仿宋_GB2312" w:cs="仿宋_GB2312"/>
          <w:color w:val="auto"/>
          <w:kern w:val="0"/>
          <w:sz w:val="24"/>
          <w:highlight w:val="none"/>
        </w:rPr>
        <w:t xml:space="preserve">  年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w:t>
      </w:r>
    </w:p>
    <w:p w14:paraId="5DA39AB9">
      <w:pPr>
        <w:snapToGrid w:val="0"/>
        <w:spacing w:line="360" w:lineRule="auto"/>
        <w:ind w:right="480"/>
        <w:jc w:val="center"/>
        <w:rPr>
          <w:rFonts w:ascii="仿宋_GB2312" w:hAnsi="仿宋" w:eastAsia="仿宋_GB2312" w:cs="仿宋_GB2312"/>
          <w:b/>
          <w:color w:val="auto"/>
          <w:kern w:val="0"/>
          <w:sz w:val="32"/>
          <w:szCs w:val="32"/>
          <w:highlight w:val="none"/>
        </w:rPr>
      </w:pPr>
    </w:p>
    <w:p w14:paraId="5E43F569">
      <w:pPr>
        <w:snapToGrid w:val="0"/>
        <w:spacing w:line="360" w:lineRule="auto"/>
        <w:ind w:right="480"/>
        <w:jc w:val="center"/>
        <w:rPr>
          <w:rFonts w:ascii="仿宋_GB2312" w:hAnsi="仿宋" w:eastAsia="仿宋_GB2312" w:cs="仿宋_GB2312"/>
          <w:b/>
          <w:color w:val="auto"/>
          <w:kern w:val="0"/>
          <w:sz w:val="32"/>
          <w:szCs w:val="32"/>
          <w:highlight w:val="none"/>
        </w:rPr>
      </w:pPr>
    </w:p>
    <w:p w14:paraId="18D996C0">
      <w:pPr>
        <w:rPr>
          <w:color w:val="auto"/>
          <w:highlight w:val="none"/>
        </w:rPr>
      </w:pPr>
    </w:p>
    <w:p w14:paraId="6564547D">
      <w:pPr>
        <w:snapToGrid w:val="0"/>
        <w:spacing w:line="360" w:lineRule="auto"/>
        <w:ind w:right="480"/>
        <w:jc w:val="center"/>
        <w:rPr>
          <w:rFonts w:ascii="仿宋_GB2312" w:hAnsi="仿宋" w:eastAsia="仿宋_GB2312" w:cs="仿宋_GB2312"/>
          <w:b/>
          <w:color w:val="auto"/>
          <w:kern w:val="0"/>
          <w:sz w:val="32"/>
          <w:szCs w:val="32"/>
          <w:highlight w:val="none"/>
        </w:rPr>
      </w:pPr>
    </w:p>
    <w:p w14:paraId="2C4F3916">
      <w:pPr>
        <w:snapToGrid w:val="0"/>
        <w:spacing w:line="360" w:lineRule="auto"/>
        <w:ind w:right="480"/>
        <w:jc w:val="center"/>
        <w:rPr>
          <w:rFonts w:ascii="仿宋_GB2312" w:hAnsi="仿宋" w:eastAsia="仿宋_GB2312" w:cs="仿宋_GB2312"/>
          <w:b/>
          <w:color w:val="auto"/>
          <w:kern w:val="0"/>
          <w:sz w:val="32"/>
          <w:szCs w:val="32"/>
          <w:highlight w:val="none"/>
        </w:rPr>
      </w:pPr>
    </w:p>
    <w:p w14:paraId="15763AF6">
      <w:pPr>
        <w:rPr>
          <w:rFonts w:hint="eastAsia"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br w:type="page"/>
      </w:r>
    </w:p>
    <w:p w14:paraId="088BE415">
      <w:pPr>
        <w:snapToGrid w:val="0"/>
        <w:spacing w:line="360" w:lineRule="auto"/>
        <w:ind w:right="480"/>
        <w:jc w:val="center"/>
        <w:rPr>
          <w:rFonts w:hint="eastAsia"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二、联合协议（如果有）</w:t>
      </w:r>
    </w:p>
    <w:p w14:paraId="7ACEDEE5">
      <w:pPr>
        <w:spacing w:line="360" w:lineRule="auto"/>
        <w:ind w:firstLine="480" w:firstLineChars="20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[以联合体形式投标的，提供联合协议（附件5）；本项目不接受联合体投标或者投标人不以联合体形式投标的，则不需要提供）]</w:t>
      </w:r>
    </w:p>
    <w:p w14:paraId="5F3E10D8">
      <w:pPr>
        <w:rPr>
          <w:rFonts w:hint="eastAsia" w:ascii="仿宋_GB2312" w:hAnsi="仿宋" w:eastAsia="仿宋_GB2312" w:cs="仿宋_GB2312"/>
          <w:b/>
          <w:color w:val="auto"/>
          <w:kern w:val="0"/>
          <w:sz w:val="32"/>
          <w:szCs w:val="32"/>
          <w:highlight w:val="none"/>
        </w:rPr>
      </w:pPr>
    </w:p>
    <w:p w14:paraId="02044C42">
      <w:pPr>
        <w:rPr>
          <w:rFonts w:hint="eastAsia" w:ascii="仿宋_GB2312" w:hAnsi="仿宋" w:eastAsia="仿宋_GB2312" w:cs="仿宋_GB2312"/>
          <w:b/>
          <w:color w:val="auto"/>
          <w:kern w:val="0"/>
          <w:sz w:val="32"/>
          <w:szCs w:val="32"/>
          <w:highlight w:val="none"/>
          <w:lang w:eastAsia="zh-CN"/>
        </w:rPr>
      </w:pPr>
      <w:r>
        <w:rPr>
          <w:rFonts w:hint="eastAsia" w:ascii="仿宋_GB2312" w:hAnsi="仿宋" w:eastAsia="仿宋_GB2312" w:cs="仿宋_GB2312"/>
          <w:b/>
          <w:color w:val="auto"/>
          <w:kern w:val="0"/>
          <w:sz w:val="32"/>
          <w:szCs w:val="32"/>
          <w:highlight w:val="none"/>
          <w:lang w:eastAsia="zh-CN"/>
        </w:rPr>
        <w:br w:type="page"/>
      </w:r>
    </w:p>
    <w:p w14:paraId="4E2082C1">
      <w:pPr>
        <w:snapToGrid w:val="0"/>
        <w:spacing w:line="360" w:lineRule="auto"/>
        <w:ind w:right="480"/>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lang w:eastAsia="zh-CN"/>
        </w:rPr>
        <w:t>三</w:t>
      </w:r>
      <w:r>
        <w:rPr>
          <w:rFonts w:hint="eastAsia" w:ascii="仿宋_GB2312" w:hAnsi="仿宋" w:eastAsia="仿宋_GB2312" w:cs="仿宋_GB2312"/>
          <w:b/>
          <w:color w:val="auto"/>
          <w:kern w:val="0"/>
          <w:sz w:val="32"/>
          <w:szCs w:val="32"/>
          <w:highlight w:val="none"/>
        </w:rPr>
        <w:t>、落实政府采购政策需满足的资格要求</w:t>
      </w:r>
    </w:p>
    <w:p w14:paraId="7332CBE9">
      <w:pPr>
        <w:spacing w:line="360" w:lineRule="auto"/>
        <w:rPr>
          <w:rFonts w:ascii="仿宋_GB2312" w:hAnsi="仿宋" w:eastAsia="仿宋_GB2312"/>
          <w:color w:val="auto"/>
          <w:sz w:val="24"/>
          <w:highlight w:val="none"/>
        </w:rPr>
      </w:pPr>
      <w:r>
        <w:rPr>
          <w:rFonts w:hint="eastAsia" w:ascii="仿宋_GB2312" w:hAnsi="仿宋" w:eastAsia="仿宋_GB2312" w:cs="仿宋_GB2312"/>
          <w:color w:val="auto"/>
          <w:sz w:val="24"/>
          <w:highlight w:val="none"/>
        </w:rPr>
        <w:t>（根据竞争性磋商邀请公告</w:t>
      </w:r>
      <w:r>
        <w:rPr>
          <w:rFonts w:hint="eastAsia" w:ascii="仿宋_GB2312" w:hAnsi="仿宋" w:eastAsia="仿宋_GB2312"/>
          <w:color w:val="auto"/>
          <w:sz w:val="24"/>
          <w:highlight w:val="none"/>
        </w:rPr>
        <w:t>落实政府采购政策需满足的资格要求选择提供相应的材料；未要求的，无需提供</w:t>
      </w:r>
      <w:r>
        <w:rPr>
          <w:rFonts w:hint="eastAsia" w:ascii="仿宋_GB2312" w:hAnsi="仿宋" w:eastAsia="仿宋_GB2312" w:cs="仿宋_GB2312"/>
          <w:color w:val="auto"/>
          <w:sz w:val="24"/>
          <w:highlight w:val="none"/>
        </w:rPr>
        <w:t>）</w:t>
      </w:r>
    </w:p>
    <w:p w14:paraId="59A8F163">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.专门面向中小企业，服务全部由符合政策要求的中小企业（或小微企业）承接的，提供相应的中小企业声明函（附件</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 xml:space="preserve">）。 </w:t>
      </w:r>
    </w:p>
    <w:p w14:paraId="229BBBBE">
      <w:pPr>
        <w:widowControl/>
        <w:spacing w:line="360" w:lineRule="auto"/>
        <w:ind w:firstLine="480"/>
        <w:jc w:val="left"/>
        <w:rPr>
          <w:rFonts w:hint="eastAsia" w:ascii="仿宋" w:hAnsi="仿宋" w:eastAsia="仿宋" w:cs="仿宋"/>
          <w:color w:val="auto"/>
          <w:sz w:val="24"/>
          <w:highlight w:val="none"/>
        </w:rPr>
      </w:pPr>
    </w:p>
    <w:p w14:paraId="7CD8B43E">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w:t>
      </w:r>
      <w:r>
        <w:rPr>
          <w:rFonts w:hint="eastAsia" w:ascii="仿宋" w:hAnsi="仿宋" w:eastAsia="仿宋" w:cs="仿宋"/>
          <w:color w:val="auto"/>
          <w:sz w:val="24"/>
          <w:highlight w:val="none"/>
          <w:lang w:eastAsia="zh-CN"/>
        </w:rPr>
        <w:t>（附件</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和中小企业声明函（附件</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），联合协议中中小企业合同金额应当达到</w:t>
      </w:r>
      <w:r>
        <w:rPr>
          <w:rFonts w:hint="eastAsia" w:ascii="仿宋" w:hAnsi="仿宋" w:eastAsia="仿宋" w:cs="仿宋"/>
          <w:b/>
          <w:bCs/>
          <w:color w:val="auto"/>
          <w:sz w:val="24"/>
          <w:highlight w:val="none"/>
        </w:rPr>
        <w:t>竞争性磋商邀请公告</w:t>
      </w:r>
      <w:r>
        <w:rPr>
          <w:rFonts w:hint="eastAsia" w:ascii="仿宋" w:hAnsi="仿宋" w:eastAsia="仿宋" w:cs="仿宋"/>
          <w:color w:val="auto"/>
          <w:sz w:val="24"/>
          <w:highlight w:val="none"/>
        </w:rPr>
        <w:t>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0A40204A">
      <w:pPr>
        <w:snapToGrid w:val="0"/>
        <w:spacing w:before="50" w:after="50"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14:paraId="6E10503F">
      <w:pPr>
        <w:snapToGrid w:val="0"/>
        <w:spacing w:before="50" w:after="50" w:line="360" w:lineRule="auto"/>
        <w:ind w:firstLine="472" w:firstLineChars="196"/>
        <w:jc w:val="left"/>
        <w:rPr>
          <w:rFonts w:ascii="仿宋_GB2312" w:hAnsi="仿宋" w:eastAsia="仿宋_GB2312" w:cs="仿宋_GB2312"/>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w:t>
      </w:r>
      <w:r>
        <w:rPr>
          <w:rFonts w:hint="eastAsia" w:ascii="仿宋" w:hAnsi="仿宋" w:eastAsia="仿宋" w:cs="仿宋"/>
          <w:color w:val="auto"/>
          <w:sz w:val="24"/>
          <w:highlight w:val="none"/>
          <w:lang w:eastAsia="zh-CN"/>
        </w:rPr>
        <w:t>（附件</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和中小企业声明函（附件</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），分包意向协议中中小企业合同金额应当达到</w:t>
      </w:r>
      <w:r>
        <w:rPr>
          <w:rFonts w:hint="eastAsia" w:ascii="仿宋" w:hAnsi="仿宋" w:eastAsia="仿宋" w:cs="仿宋"/>
          <w:b/>
          <w:bCs/>
          <w:color w:val="auto"/>
          <w:sz w:val="24"/>
          <w:highlight w:val="none"/>
        </w:rPr>
        <w:t>竞争性磋商邀请公告</w:t>
      </w:r>
      <w:r>
        <w:rPr>
          <w:rFonts w:hint="eastAsia" w:ascii="仿宋" w:hAnsi="仿宋" w:eastAsia="仿宋" w:cs="仿宋"/>
          <w:color w:val="auto"/>
          <w:sz w:val="24"/>
          <w:highlight w:val="none"/>
        </w:rPr>
        <w:t>载明的比例；如果供应商本身提供的所有标的均由中小企业承接的，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 xml:space="preserve">视同符合了资格条件，无需再向中小企业分包，无需提供分包意向协议。 </w:t>
      </w:r>
    </w:p>
    <w:p w14:paraId="131C7D99">
      <w:pPr>
        <w:widowControl/>
        <w:spacing w:line="360" w:lineRule="auto"/>
        <w:ind w:firstLine="480"/>
        <w:jc w:val="left"/>
        <w:rPr>
          <w:rFonts w:ascii="仿宋_GB2312" w:hAnsi="宋体" w:eastAsia="仿宋_GB2312"/>
          <w:color w:val="auto"/>
          <w:sz w:val="24"/>
          <w:highlight w:val="none"/>
        </w:rPr>
      </w:pPr>
    </w:p>
    <w:p w14:paraId="414B5AC8">
      <w:pPr>
        <w:rPr>
          <w:rFonts w:ascii="仿宋_GB2312" w:hAnsi="仿宋" w:eastAsia="仿宋_GB2312" w:cs="仿宋_GB2312"/>
          <w:b/>
          <w:color w:val="auto"/>
          <w:sz w:val="24"/>
          <w:highlight w:val="none"/>
        </w:rPr>
      </w:pPr>
      <w:r>
        <w:rPr>
          <w:rFonts w:ascii="仿宋_GB2312" w:hAnsi="仿宋" w:eastAsia="仿宋_GB2312" w:cs="仿宋_GB2312"/>
          <w:b/>
          <w:color w:val="auto"/>
          <w:sz w:val="24"/>
          <w:highlight w:val="none"/>
        </w:rPr>
        <w:br w:type="page"/>
      </w:r>
    </w:p>
    <w:p w14:paraId="460AF2D9">
      <w:pPr>
        <w:widowControl/>
        <w:spacing w:line="360" w:lineRule="auto"/>
        <w:ind w:left="150"/>
        <w:jc w:val="center"/>
        <w:rPr>
          <w:rFonts w:hint="eastAsia" w:ascii="仿宋_GB2312" w:hAnsi="仿宋" w:eastAsia="仿宋_GB2312" w:cs="仿宋_GB2312"/>
          <w:b/>
          <w:color w:val="auto"/>
          <w:kern w:val="0"/>
          <w:sz w:val="32"/>
          <w:szCs w:val="32"/>
          <w:highlight w:val="none"/>
          <w:lang w:eastAsia="zh-CN"/>
        </w:rPr>
      </w:pPr>
      <w:r>
        <w:rPr>
          <w:rFonts w:hint="eastAsia" w:ascii="仿宋_GB2312" w:hAnsi="仿宋" w:eastAsia="仿宋_GB2312" w:cs="仿宋_GB2312"/>
          <w:b/>
          <w:color w:val="auto"/>
          <w:kern w:val="0"/>
          <w:sz w:val="32"/>
          <w:szCs w:val="32"/>
          <w:highlight w:val="none"/>
          <w:lang w:eastAsia="zh-CN"/>
        </w:rPr>
        <w:t>四</w:t>
      </w:r>
      <w:r>
        <w:rPr>
          <w:rFonts w:hint="eastAsia" w:ascii="仿宋_GB2312" w:hAnsi="仿宋" w:eastAsia="仿宋_GB2312" w:cs="仿宋_GB2312"/>
          <w:b/>
          <w:color w:val="auto"/>
          <w:kern w:val="0"/>
          <w:sz w:val="32"/>
          <w:szCs w:val="32"/>
          <w:highlight w:val="none"/>
        </w:rPr>
        <w:t>、本项目的特定资格要求</w:t>
      </w:r>
    </w:p>
    <w:p w14:paraId="5AE2FA4E">
      <w:pPr>
        <w:spacing w:line="360" w:lineRule="auto"/>
        <w:jc w:val="center"/>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（根据竞争性磋商邀请公告本项目的特定资格要求</w:t>
      </w:r>
      <w:r>
        <w:rPr>
          <w:rFonts w:hint="eastAsia" w:ascii="仿宋_GB2312" w:hAnsi="仿宋" w:eastAsia="仿宋_GB2312"/>
          <w:color w:val="auto"/>
          <w:sz w:val="24"/>
          <w:highlight w:val="none"/>
        </w:rPr>
        <w:t>提供相应的材料；未要求的，无需提供</w:t>
      </w:r>
      <w:r>
        <w:rPr>
          <w:rFonts w:hint="eastAsia" w:ascii="仿宋_GB2312" w:hAnsi="仿宋" w:eastAsia="仿宋_GB2312" w:cs="仿宋_GB2312"/>
          <w:color w:val="auto"/>
          <w:sz w:val="24"/>
          <w:highlight w:val="none"/>
        </w:rPr>
        <w:t>）</w:t>
      </w:r>
    </w:p>
    <w:p w14:paraId="720FA561">
      <w:pPr>
        <w:pStyle w:val="24"/>
        <w:rPr>
          <w:rFonts w:hint="default" w:eastAsia="仿宋_GB2312"/>
          <w:color w:val="auto"/>
          <w:highlight w:val="none"/>
          <w:lang w:val="en-US" w:eastAsia="zh-CN"/>
        </w:rPr>
      </w:pPr>
      <w:r>
        <w:rPr>
          <w:rFonts w:hint="eastAsia" w:ascii="仿宋_GB2312" w:hAnsi="仿宋" w:eastAsia="仿宋_GB2312" w:cs="仿宋_GB2312"/>
          <w:color w:val="auto"/>
          <w:sz w:val="24"/>
          <w:highlight w:val="none"/>
          <w:lang w:val="en-US" w:eastAsia="zh-CN"/>
        </w:rPr>
        <w:t>注：</w:t>
      </w:r>
      <w:r>
        <w:rPr>
          <w:rFonts w:hint="eastAsia" w:ascii="仿宋" w:hAnsi="仿宋" w:eastAsia="仿宋" w:cs="仿宋"/>
          <w:color w:val="auto"/>
          <w:sz w:val="24"/>
          <w:highlight w:val="none"/>
          <w:lang w:val="en-US" w:eastAsia="zh-CN"/>
        </w:rPr>
        <w:t>本项目供应商必须为依法设立并取得执业许可证的律师事务所；提供有效的律所执业许可证</w:t>
      </w:r>
    </w:p>
    <w:p w14:paraId="1ADA30D9">
      <w:pP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br w:type="page"/>
      </w:r>
    </w:p>
    <w:p w14:paraId="25F38432">
      <w:pPr>
        <w:spacing w:line="360" w:lineRule="auto"/>
        <w:jc w:val="center"/>
        <w:outlineLvl w:val="1"/>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11E01AA3">
      <w:pPr>
        <w:bidi w:val="0"/>
        <w:rPr>
          <w:color w:val="auto"/>
          <w:highlight w:val="none"/>
        </w:rPr>
      </w:pPr>
    </w:p>
    <w:p w14:paraId="67FD79CD">
      <w:pPr>
        <w:bidi w:val="0"/>
        <w:spacing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目录</w:t>
      </w:r>
    </w:p>
    <w:p w14:paraId="6C5D0E45">
      <w:pPr>
        <w:numPr>
          <w:ilvl w:val="0"/>
          <w:numId w:val="34"/>
        </w:numPr>
        <w:snapToGrid w:val="0"/>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函…………………………………………………………………………（页码）</w:t>
      </w:r>
    </w:p>
    <w:p w14:paraId="03316E7D">
      <w:pPr>
        <w:numPr>
          <w:ilvl w:val="0"/>
          <w:numId w:val="34"/>
        </w:numPr>
        <w:snapToGrid w:val="0"/>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授权委托书或法定代表人（单位负责人、自然人本人）身份证明…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……（页码）</w:t>
      </w:r>
    </w:p>
    <w:p w14:paraId="5154670C">
      <w:pPr>
        <w:numPr>
          <w:ilvl w:val="0"/>
          <w:numId w:val="34"/>
        </w:numPr>
        <w:snapToGrid w:val="0"/>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分包意向协议…………………………………………………………………（页码）</w:t>
      </w:r>
    </w:p>
    <w:p w14:paraId="5F8FEBCB">
      <w:pPr>
        <w:numPr>
          <w:ilvl w:val="0"/>
          <w:numId w:val="34"/>
        </w:numPr>
        <w:snapToGrid w:val="0"/>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符合性审查资料………………………………………………………………（页码）</w:t>
      </w:r>
    </w:p>
    <w:p w14:paraId="52A93B9B">
      <w:pPr>
        <w:numPr>
          <w:ilvl w:val="0"/>
          <w:numId w:val="34"/>
        </w:numPr>
        <w:snapToGrid w:val="0"/>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评标标准相应的商务技术资料………………………………………………（页码）</w:t>
      </w:r>
    </w:p>
    <w:p w14:paraId="328194F6">
      <w:pPr>
        <w:numPr>
          <w:ilvl w:val="0"/>
          <w:numId w:val="34"/>
        </w:numPr>
        <w:snapToGrid w:val="0"/>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标的清单………………………………………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………………（页码）</w:t>
      </w:r>
    </w:p>
    <w:p w14:paraId="7B56D5D8">
      <w:pPr>
        <w:numPr>
          <w:ilvl w:val="0"/>
          <w:numId w:val="34"/>
        </w:numPr>
        <w:snapToGrid w:val="0"/>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商务技术偏离表………………………………………………………………（页码）</w:t>
      </w:r>
    </w:p>
    <w:p w14:paraId="15F8DF32">
      <w:pPr>
        <w:numPr>
          <w:ilvl w:val="0"/>
          <w:numId w:val="34"/>
        </w:numPr>
        <w:snapToGrid w:val="0"/>
        <w:spacing w:line="360" w:lineRule="auto"/>
        <w:ind w:left="425" w:leftChars="0" w:hanging="5"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政府采购供应商廉洁自律承诺书</w:t>
      </w:r>
      <w:r>
        <w:rPr>
          <w:rFonts w:hint="eastAsia" w:ascii="仿宋" w:hAnsi="仿宋" w:eastAsia="仿宋" w:cs="仿宋"/>
          <w:color w:val="auto"/>
          <w:sz w:val="24"/>
          <w:szCs w:val="24"/>
          <w:highlight w:val="none"/>
        </w:rPr>
        <w:t>……………………………………………（页码）</w:t>
      </w:r>
    </w:p>
    <w:p w14:paraId="2CA3470F">
      <w:pPr>
        <w:bidi w:val="0"/>
        <w:rPr>
          <w:rFonts w:hint="eastAsia" w:ascii="仿宋" w:hAnsi="仿宋" w:eastAsia="仿宋" w:cs="仿宋"/>
          <w:color w:val="auto"/>
          <w:sz w:val="24"/>
          <w:szCs w:val="24"/>
          <w:highlight w:val="none"/>
          <w:lang w:val="zh-CN"/>
        </w:rPr>
      </w:pPr>
    </w:p>
    <w:p w14:paraId="02F65EAD">
      <w:pPr>
        <w:bidi w:val="0"/>
        <w:rPr>
          <w:color w:val="auto"/>
          <w:highlight w:val="none"/>
          <w:lang w:val="zh-CN"/>
        </w:rPr>
      </w:pPr>
    </w:p>
    <w:p w14:paraId="277B7734">
      <w:pPr>
        <w:bidi w:val="0"/>
        <w:rPr>
          <w:color w:val="auto"/>
          <w:highlight w:val="none"/>
          <w:lang w:val="zh-CN"/>
        </w:rPr>
      </w:pPr>
    </w:p>
    <w:p w14:paraId="49B4968F">
      <w:pPr>
        <w:rPr>
          <w:color w:val="auto"/>
          <w:highlight w:val="none"/>
        </w:rPr>
      </w:pPr>
      <w:r>
        <w:rPr>
          <w:color w:val="auto"/>
          <w:highlight w:val="none"/>
        </w:rPr>
        <w:br w:type="page"/>
      </w:r>
    </w:p>
    <w:p w14:paraId="7A3D09F8">
      <w:pPr>
        <w:keepNext w:val="0"/>
        <w:keepLines w:val="0"/>
        <w:pageBreakBefore w:val="0"/>
        <w:kinsoku/>
        <w:wordWrap/>
        <w:overflowPunct/>
        <w:topLinePunct w:val="0"/>
        <w:bidi w:val="0"/>
        <w:snapToGrid w:val="0"/>
        <w:spacing w:line="360" w:lineRule="auto"/>
        <w:jc w:val="center"/>
        <w:textAlignment w:val="auto"/>
        <w:outlineLvl w:val="9"/>
        <w:rPr>
          <w:rFonts w:hint="eastAsia"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一、响应函</w:t>
      </w:r>
    </w:p>
    <w:p w14:paraId="6F44F30B">
      <w:pPr>
        <w:keepNext w:val="0"/>
        <w:keepLines w:val="0"/>
        <w:pageBreakBefore w:val="0"/>
        <w:widowControl w:val="0"/>
        <w:kinsoku/>
        <w:wordWrap/>
        <w:overflowPunct/>
        <w:topLinePunct w:val="0"/>
        <w:bidi w:val="0"/>
        <w:adjustRightInd w:val="0"/>
        <w:snapToGrid w:val="0"/>
        <w:spacing w:line="360" w:lineRule="exact"/>
        <w:textAlignment w:val="auto"/>
        <w:outlineLvl w:val="9"/>
        <w:rPr>
          <w:rFonts w:ascii="仿宋_GB2312" w:hAnsi="仿宋_GB2312" w:eastAsia="仿宋_GB2312" w:cs="仿宋_GB2312"/>
          <w:color w:val="auto"/>
          <w:sz w:val="24"/>
          <w:highlight w:val="none"/>
        </w:rPr>
      </w:pPr>
      <w:r>
        <w:rPr>
          <w:rFonts w:hint="eastAsia" w:ascii="仿宋_GB2312" w:hAnsi="仿宋" w:eastAsia="仿宋_GB2312" w:cs="仿宋_GB2312"/>
          <w:color w:val="auto"/>
          <w:sz w:val="24"/>
          <w:highlight w:val="none"/>
          <w:u w:val="single"/>
        </w:rPr>
        <w:t>（采购人）、（采购代理机构）</w:t>
      </w:r>
      <w:r>
        <w:rPr>
          <w:rFonts w:hint="eastAsia" w:ascii="仿宋_GB2312" w:hAnsi="仿宋_GB2312" w:eastAsia="仿宋_GB2312" w:cs="仿宋_GB2312"/>
          <w:color w:val="auto"/>
          <w:sz w:val="24"/>
          <w:highlight w:val="none"/>
        </w:rPr>
        <w:t>：</w:t>
      </w:r>
    </w:p>
    <w:p w14:paraId="6AF3A431">
      <w:pPr>
        <w:keepNext w:val="0"/>
        <w:keepLines w:val="0"/>
        <w:pageBreakBefore w:val="0"/>
        <w:widowControl w:val="0"/>
        <w:kinsoku/>
        <w:wordWrap/>
        <w:overflowPunct/>
        <w:topLinePunct w:val="0"/>
        <w:bidi w:val="0"/>
        <w:adjustRightInd w:val="0"/>
        <w:snapToGrid w:val="0"/>
        <w:spacing w:line="360" w:lineRule="exact"/>
        <w:ind w:firstLine="480" w:firstLineChars="200"/>
        <w:textAlignment w:val="auto"/>
        <w:outlineLvl w:val="9"/>
        <w:rPr>
          <w:rFonts w:ascii="仿宋_GB2312" w:hAnsi="仿宋_GB2312" w:eastAsia="仿宋_GB2312" w:cs="仿宋_GB2312"/>
          <w:color w:val="auto"/>
          <w:sz w:val="24"/>
          <w:highlight w:val="none"/>
        </w:rPr>
      </w:pPr>
      <w:r>
        <w:rPr>
          <w:rFonts w:hint="eastAsia" w:ascii="仿宋_GB2312" w:hAnsi="仿宋" w:eastAsia="仿宋_GB2312" w:cs="仿宋_GB2312"/>
          <w:color w:val="auto"/>
          <w:sz w:val="24"/>
          <w:highlight w:val="none"/>
        </w:rPr>
        <w:t>我方参加你方组织的</w:t>
      </w:r>
      <w:r>
        <w:rPr>
          <w:rFonts w:hint="eastAsia" w:ascii="仿宋_GB2312" w:hAnsi="仿宋" w:eastAsia="仿宋_GB2312" w:cs="仿宋_GB2312"/>
          <w:color w:val="auto"/>
          <w:sz w:val="24"/>
          <w:highlight w:val="none"/>
          <w:u w:val="single"/>
        </w:rPr>
        <w:t>（项目名称）【编号：</w:t>
      </w:r>
      <w:r>
        <w:rPr>
          <w:rFonts w:hint="eastAsia" w:ascii="仿宋_GB2312" w:hAnsi="仿宋" w:eastAsia="仿宋_GB2312"/>
          <w:color w:val="auto"/>
          <w:sz w:val="24"/>
          <w:highlight w:val="none"/>
          <w:u w:val="single"/>
        </w:rPr>
        <w:t>（采购编号）</w:t>
      </w:r>
      <w:r>
        <w:rPr>
          <w:rFonts w:hint="eastAsia" w:ascii="仿宋_GB2312" w:hAnsi="仿宋" w:eastAsia="仿宋_GB2312" w:cs="仿宋_GB2312"/>
          <w:color w:val="auto"/>
          <w:sz w:val="24"/>
          <w:highlight w:val="none"/>
          <w:u w:val="single"/>
        </w:rPr>
        <w:t>】</w:t>
      </w:r>
      <w:r>
        <w:rPr>
          <w:rFonts w:hint="eastAsia" w:ascii="仿宋_GB2312" w:hAnsi="仿宋" w:eastAsia="仿宋_GB2312" w:cs="仿宋_GB2312"/>
          <w:color w:val="auto"/>
          <w:sz w:val="24"/>
          <w:highlight w:val="none"/>
          <w:lang w:eastAsia="zh-CN"/>
        </w:rPr>
        <w:t>竞争性磋商</w:t>
      </w:r>
      <w:r>
        <w:rPr>
          <w:rFonts w:hint="eastAsia" w:ascii="仿宋_GB2312" w:hAnsi="仿宋" w:eastAsia="仿宋_GB2312" w:cs="仿宋_GB2312"/>
          <w:color w:val="auto"/>
          <w:sz w:val="24"/>
          <w:highlight w:val="none"/>
        </w:rPr>
        <w:t>的有关活动，并对此项目进行</w:t>
      </w:r>
      <w:r>
        <w:rPr>
          <w:rFonts w:hint="eastAsia" w:ascii="仿宋_GB2312" w:hAnsi="仿宋" w:eastAsia="仿宋_GB2312" w:cs="仿宋_GB2312"/>
          <w:color w:val="auto"/>
          <w:sz w:val="24"/>
          <w:highlight w:val="none"/>
          <w:lang w:eastAsia="zh-CN"/>
        </w:rPr>
        <w:t>响应</w:t>
      </w:r>
      <w:r>
        <w:rPr>
          <w:rFonts w:hint="eastAsia" w:ascii="仿宋_GB2312" w:hAnsi="仿宋" w:eastAsia="仿宋_GB2312" w:cs="仿宋_GB2312"/>
          <w:color w:val="auto"/>
          <w:sz w:val="24"/>
          <w:highlight w:val="none"/>
        </w:rPr>
        <w:t>。</w:t>
      </w:r>
      <w:r>
        <w:rPr>
          <w:rFonts w:hint="eastAsia" w:ascii="仿宋_GB2312" w:hAnsi="仿宋_GB2312" w:eastAsia="仿宋_GB2312" w:cs="仿宋_GB2312"/>
          <w:color w:val="auto"/>
          <w:sz w:val="24"/>
          <w:highlight w:val="none"/>
        </w:rPr>
        <w:t>为此：</w:t>
      </w:r>
    </w:p>
    <w:p w14:paraId="4AD55555">
      <w:pPr>
        <w:keepNext w:val="0"/>
        <w:keepLines w:val="0"/>
        <w:pageBreakBefore w:val="0"/>
        <w:widowControl w:val="0"/>
        <w:numPr>
          <w:ilvl w:val="0"/>
          <w:numId w:val="35"/>
        </w:numPr>
        <w:kinsoku/>
        <w:wordWrap/>
        <w:overflowPunct/>
        <w:topLinePunct w:val="0"/>
        <w:bidi w:val="0"/>
        <w:adjustRightInd w:val="0"/>
        <w:snapToGrid w:val="0"/>
        <w:spacing w:line="360" w:lineRule="exact"/>
        <w:textAlignment w:val="auto"/>
        <w:outlineLvl w:val="9"/>
        <w:rPr>
          <w:rFonts w:ascii="仿宋_GB2312" w:hAnsi="仿宋_GB2312" w:eastAsia="仿宋_GB2312" w:cs="仿宋_GB2312"/>
          <w:color w:val="auto"/>
          <w:sz w:val="24"/>
          <w:highlight w:val="none"/>
        </w:rPr>
      </w:pPr>
      <w:r>
        <w:rPr>
          <w:rFonts w:ascii="仿宋_GB2312" w:hAnsi="仿宋" w:eastAsia="仿宋_GB2312" w:cs="仿宋_GB2312"/>
          <w:color w:val="auto"/>
          <w:sz w:val="24"/>
          <w:highlight w:val="none"/>
        </w:rPr>
        <w:t>我方承诺</w:t>
      </w:r>
      <w:r>
        <w:rPr>
          <w:rFonts w:hint="eastAsia" w:ascii="仿宋_GB2312" w:hAnsi="仿宋" w:eastAsia="仿宋_GB2312" w:cs="仿宋_GB2312"/>
          <w:color w:val="auto"/>
          <w:sz w:val="24"/>
          <w:highlight w:val="none"/>
          <w:lang w:eastAsia="zh-CN"/>
        </w:rPr>
        <w:t>响应</w:t>
      </w:r>
      <w:r>
        <w:rPr>
          <w:rFonts w:ascii="仿宋_GB2312" w:hAnsi="仿宋" w:eastAsia="仿宋_GB2312" w:cs="仿宋_GB2312"/>
          <w:color w:val="auto"/>
          <w:sz w:val="24"/>
          <w:highlight w:val="none"/>
        </w:rPr>
        <w:t>有效期从提交</w:t>
      </w:r>
      <w:r>
        <w:rPr>
          <w:rFonts w:hint="eastAsia" w:ascii="仿宋_GB2312" w:hAnsi="仿宋" w:eastAsia="仿宋_GB2312" w:cs="仿宋_GB2312"/>
          <w:color w:val="auto"/>
          <w:sz w:val="24"/>
          <w:highlight w:val="none"/>
          <w:lang w:eastAsia="zh-CN"/>
        </w:rPr>
        <w:t>响应</w:t>
      </w:r>
      <w:r>
        <w:rPr>
          <w:rFonts w:ascii="仿宋_GB2312" w:hAnsi="仿宋" w:eastAsia="仿宋_GB2312" w:cs="仿宋_GB2312"/>
          <w:color w:val="auto"/>
          <w:sz w:val="24"/>
          <w:highlight w:val="none"/>
        </w:rPr>
        <w:t>文件的截止之日起</w:t>
      </w:r>
      <w:r>
        <w:rPr>
          <w:rFonts w:ascii="仿宋_GB2312" w:hAnsi="仿宋" w:eastAsia="仿宋_GB2312" w:cs="仿宋_GB2312"/>
          <w:color w:val="auto"/>
          <w:sz w:val="24"/>
          <w:highlight w:val="none"/>
          <w:u w:val="single"/>
        </w:rPr>
        <w:t xml:space="preserve">     </w:t>
      </w:r>
      <w:r>
        <w:rPr>
          <w:rFonts w:hint="eastAsia" w:ascii="仿宋_GB2312" w:hAnsi="仿宋" w:eastAsia="仿宋_GB2312" w:cs="仿宋_GB2312"/>
          <w:color w:val="auto"/>
          <w:sz w:val="24"/>
          <w:highlight w:val="none"/>
        </w:rPr>
        <w:t>天（不少于</w:t>
      </w:r>
      <w:r>
        <w:rPr>
          <w:rFonts w:ascii="仿宋_GB2312" w:hAnsi="仿宋" w:eastAsia="仿宋_GB2312" w:cs="仿宋_GB2312"/>
          <w:color w:val="auto"/>
          <w:sz w:val="24"/>
          <w:highlight w:val="none"/>
        </w:rPr>
        <w:t>90天）</w:t>
      </w:r>
      <w:r>
        <w:rPr>
          <w:rFonts w:hint="eastAsia"/>
          <w:color w:val="auto"/>
          <w:highlight w:val="none"/>
        </w:rPr>
        <w:t>，</w:t>
      </w:r>
      <w:r>
        <w:rPr>
          <w:rFonts w:hint="eastAsia" w:ascii="仿宋_GB2312" w:hAnsi="仿宋" w:eastAsia="仿宋_GB2312" w:cs="仿宋_GB2312"/>
          <w:color w:val="auto"/>
          <w:sz w:val="24"/>
          <w:highlight w:val="none"/>
        </w:rPr>
        <w:t>本</w:t>
      </w:r>
      <w:r>
        <w:rPr>
          <w:rFonts w:hint="eastAsia" w:ascii="仿宋_GB2312" w:hAnsi="仿宋" w:eastAsia="仿宋_GB2312" w:cs="仿宋_GB2312"/>
          <w:color w:val="auto"/>
          <w:sz w:val="24"/>
          <w:highlight w:val="none"/>
          <w:lang w:eastAsia="zh-CN"/>
        </w:rPr>
        <w:t>响应</w:t>
      </w:r>
      <w:r>
        <w:rPr>
          <w:rFonts w:hint="eastAsia" w:ascii="仿宋_GB2312" w:hAnsi="仿宋" w:eastAsia="仿宋_GB2312" w:cs="仿宋_GB2312"/>
          <w:color w:val="auto"/>
          <w:sz w:val="24"/>
          <w:highlight w:val="none"/>
        </w:rPr>
        <w:t>文件在</w:t>
      </w:r>
      <w:r>
        <w:rPr>
          <w:rFonts w:hint="eastAsia" w:ascii="仿宋_GB2312" w:hAnsi="仿宋" w:eastAsia="仿宋_GB2312" w:cs="仿宋_GB2312"/>
          <w:color w:val="auto"/>
          <w:sz w:val="24"/>
          <w:highlight w:val="none"/>
          <w:lang w:eastAsia="zh-CN"/>
        </w:rPr>
        <w:t>响应</w:t>
      </w:r>
      <w:r>
        <w:rPr>
          <w:rFonts w:hint="eastAsia" w:ascii="仿宋_GB2312" w:hAnsi="仿宋" w:eastAsia="仿宋_GB2312" w:cs="仿宋_GB2312"/>
          <w:color w:val="auto"/>
          <w:sz w:val="24"/>
          <w:highlight w:val="none"/>
        </w:rPr>
        <w:t>有效期满之前均具有约束力</w:t>
      </w:r>
      <w:r>
        <w:rPr>
          <w:rFonts w:hint="eastAsia" w:ascii="仿宋_GB2312" w:hAnsi="仿宋_GB2312" w:eastAsia="仿宋_GB2312" w:cs="仿宋_GB2312"/>
          <w:color w:val="auto"/>
          <w:sz w:val="24"/>
          <w:highlight w:val="none"/>
        </w:rPr>
        <w:t>。</w:t>
      </w:r>
    </w:p>
    <w:p w14:paraId="540523C1">
      <w:pPr>
        <w:keepNext w:val="0"/>
        <w:keepLines w:val="0"/>
        <w:pageBreakBefore w:val="0"/>
        <w:widowControl w:val="0"/>
        <w:numPr>
          <w:ilvl w:val="0"/>
          <w:numId w:val="35"/>
        </w:numPr>
        <w:kinsoku/>
        <w:wordWrap/>
        <w:overflowPunct/>
        <w:topLinePunct w:val="0"/>
        <w:bidi w:val="0"/>
        <w:adjustRightInd w:val="0"/>
        <w:snapToGrid w:val="0"/>
        <w:spacing w:line="360" w:lineRule="exact"/>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我方的</w:t>
      </w:r>
      <w:r>
        <w:rPr>
          <w:rFonts w:hint="eastAsia" w:ascii="仿宋_GB2312" w:hAnsi="仿宋_GB2312" w:eastAsia="仿宋_GB2312" w:cs="仿宋_GB2312"/>
          <w:color w:val="auto"/>
          <w:sz w:val="24"/>
          <w:highlight w:val="none"/>
          <w:lang w:eastAsia="zh-CN"/>
        </w:rPr>
        <w:t>响应</w:t>
      </w:r>
      <w:r>
        <w:rPr>
          <w:rFonts w:hint="eastAsia" w:ascii="仿宋_GB2312" w:hAnsi="仿宋_GB2312" w:eastAsia="仿宋_GB2312" w:cs="仿宋_GB2312"/>
          <w:color w:val="auto"/>
          <w:sz w:val="24"/>
          <w:highlight w:val="none"/>
        </w:rPr>
        <w:t>文件包括以下内容：</w:t>
      </w:r>
    </w:p>
    <w:p w14:paraId="62FB9426">
      <w:pPr>
        <w:keepNext w:val="0"/>
        <w:keepLines w:val="0"/>
        <w:pageBreakBefore w:val="0"/>
        <w:widowControl w:val="0"/>
        <w:numPr>
          <w:ilvl w:val="1"/>
          <w:numId w:val="36"/>
        </w:numPr>
        <w:kinsoku/>
        <w:wordWrap/>
        <w:overflowPunct/>
        <w:topLinePunct w:val="0"/>
        <w:bidi w:val="0"/>
        <w:adjustRightInd w:val="0"/>
        <w:snapToGrid w:val="0"/>
        <w:spacing w:line="360" w:lineRule="exact"/>
        <w:ind w:left="850" w:leftChars="0" w:hanging="453" w:firstLineChars="0"/>
        <w:textAlignment w:val="auto"/>
        <w:outlineLvl w:val="9"/>
        <w:rPr>
          <w:rFonts w:hint="eastAsia" w:ascii="仿宋_GB2312" w:hAnsi="仿宋" w:eastAsia="仿宋_GB2312" w:cs="仿宋_GB2312"/>
          <w:b w:val="0"/>
          <w:bCs/>
          <w:color w:val="auto"/>
          <w:sz w:val="24"/>
          <w:highlight w:val="none"/>
        </w:rPr>
      </w:pPr>
      <w:r>
        <w:rPr>
          <w:rFonts w:hint="eastAsia" w:ascii="仿宋_GB2312" w:hAnsi="仿宋" w:eastAsia="仿宋_GB2312" w:cs="仿宋_GB2312"/>
          <w:b w:val="0"/>
          <w:bCs/>
          <w:color w:val="auto"/>
          <w:sz w:val="24"/>
          <w:highlight w:val="none"/>
        </w:rPr>
        <w:t>资格文件：</w:t>
      </w:r>
    </w:p>
    <w:p w14:paraId="2042AF4F">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rPr>
      </w:pPr>
      <w:r>
        <w:rPr>
          <w:rFonts w:hint="eastAsia" w:ascii="仿宋_GB2312" w:hAnsi="仿宋" w:eastAsia="仿宋_GB2312" w:cs="仿宋_GB2312"/>
          <w:b w:val="0"/>
          <w:bCs/>
          <w:color w:val="auto"/>
          <w:sz w:val="24"/>
          <w:highlight w:val="none"/>
        </w:rPr>
        <w:t>符合参加政府采购活动应当具备的一般条件的承诺函；</w:t>
      </w:r>
    </w:p>
    <w:p w14:paraId="0CCD18BB">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rPr>
      </w:pPr>
      <w:r>
        <w:rPr>
          <w:rFonts w:hint="eastAsia" w:ascii="仿宋_GB2312" w:hAnsi="仿宋" w:eastAsia="仿宋_GB2312" w:cs="仿宋_GB2312"/>
          <w:b w:val="0"/>
          <w:bCs/>
          <w:color w:val="auto"/>
          <w:sz w:val="24"/>
          <w:highlight w:val="none"/>
          <w:lang w:eastAsia="zh-CN"/>
        </w:rPr>
        <w:t>联合协议（如果有）；</w:t>
      </w:r>
    </w:p>
    <w:p w14:paraId="6DB23D26">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rPr>
      </w:pPr>
      <w:r>
        <w:rPr>
          <w:rFonts w:hint="eastAsia" w:ascii="仿宋_GB2312" w:hAnsi="仿宋" w:eastAsia="仿宋_GB2312" w:cs="仿宋_GB2312"/>
          <w:b w:val="0"/>
          <w:bCs/>
          <w:color w:val="auto"/>
          <w:sz w:val="24"/>
          <w:highlight w:val="none"/>
        </w:rPr>
        <w:t>落实政府采购政策需满足的资格要求；</w:t>
      </w:r>
      <w:r>
        <w:rPr>
          <w:rFonts w:hint="eastAsia" w:ascii="仿宋_GB2312" w:hAnsi="仿宋" w:eastAsia="仿宋_GB2312" w:cs="仿宋_GB2312"/>
          <w:b w:val="0"/>
          <w:bCs/>
          <w:color w:val="auto"/>
          <w:sz w:val="24"/>
          <w:highlight w:val="none"/>
          <w:lang w:eastAsia="zh-CN"/>
        </w:rPr>
        <w:t>（</w:t>
      </w:r>
      <w:r>
        <w:rPr>
          <w:rFonts w:hint="eastAsia" w:ascii="仿宋_GB2312" w:hAnsi="仿宋" w:eastAsia="仿宋_GB2312" w:cs="仿宋_GB2312"/>
          <w:b w:val="0"/>
          <w:bCs/>
          <w:color w:val="auto"/>
          <w:sz w:val="24"/>
          <w:highlight w:val="none"/>
          <w:lang w:val="en-US" w:eastAsia="zh-CN"/>
        </w:rPr>
        <w:t>本项目不适用</w:t>
      </w:r>
      <w:r>
        <w:rPr>
          <w:rFonts w:hint="eastAsia" w:ascii="仿宋_GB2312" w:hAnsi="仿宋" w:eastAsia="仿宋_GB2312" w:cs="仿宋_GB2312"/>
          <w:b w:val="0"/>
          <w:bCs/>
          <w:color w:val="auto"/>
          <w:sz w:val="24"/>
          <w:highlight w:val="none"/>
          <w:lang w:eastAsia="zh-CN"/>
        </w:rPr>
        <w:t>）</w:t>
      </w:r>
    </w:p>
    <w:p w14:paraId="65E80A2A">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rPr>
      </w:pPr>
      <w:r>
        <w:rPr>
          <w:rFonts w:hint="eastAsia" w:ascii="仿宋_GB2312" w:hAnsi="仿宋" w:eastAsia="仿宋_GB2312" w:cs="仿宋_GB2312"/>
          <w:b w:val="0"/>
          <w:bCs/>
          <w:color w:val="auto"/>
          <w:sz w:val="24"/>
          <w:highlight w:val="none"/>
        </w:rPr>
        <w:t>本项目的特定资格要求。</w:t>
      </w:r>
      <w:r>
        <w:rPr>
          <w:rFonts w:hint="eastAsia" w:ascii="仿宋_GB2312" w:hAnsi="仿宋" w:eastAsia="仿宋_GB2312" w:cs="仿宋_GB2312"/>
          <w:b w:val="0"/>
          <w:bCs/>
          <w:color w:val="auto"/>
          <w:sz w:val="24"/>
          <w:highlight w:val="none"/>
          <w:lang w:eastAsia="zh-CN"/>
        </w:rPr>
        <w:t>（</w:t>
      </w:r>
      <w:r>
        <w:rPr>
          <w:rFonts w:hint="eastAsia" w:ascii="仿宋" w:hAnsi="仿宋" w:eastAsia="仿宋" w:cs="仿宋"/>
          <w:color w:val="auto"/>
          <w:sz w:val="24"/>
          <w:highlight w:val="none"/>
          <w:lang w:val="en-US" w:eastAsia="zh-CN"/>
        </w:rPr>
        <w:t>依法设立并取得执业许可证的律师事务所；提供有效的律所执业许可证</w:t>
      </w:r>
      <w:r>
        <w:rPr>
          <w:rFonts w:hint="eastAsia" w:ascii="仿宋_GB2312" w:hAnsi="仿宋" w:eastAsia="仿宋_GB2312" w:cs="仿宋_GB2312"/>
          <w:b w:val="0"/>
          <w:bCs/>
          <w:color w:val="auto"/>
          <w:sz w:val="24"/>
          <w:highlight w:val="none"/>
          <w:lang w:eastAsia="zh-CN"/>
        </w:rPr>
        <w:t>）</w:t>
      </w:r>
    </w:p>
    <w:p w14:paraId="0BD332A4">
      <w:pPr>
        <w:keepNext w:val="0"/>
        <w:keepLines w:val="0"/>
        <w:pageBreakBefore w:val="0"/>
        <w:widowControl w:val="0"/>
        <w:numPr>
          <w:ilvl w:val="1"/>
          <w:numId w:val="36"/>
        </w:numPr>
        <w:kinsoku/>
        <w:wordWrap/>
        <w:overflowPunct/>
        <w:topLinePunct w:val="0"/>
        <w:bidi w:val="0"/>
        <w:adjustRightInd w:val="0"/>
        <w:snapToGrid w:val="0"/>
        <w:spacing w:line="360" w:lineRule="exact"/>
        <w:ind w:left="850" w:leftChars="0" w:hanging="453" w:firstLineChars="0"/>
        <w:textAlignment w:val="auto"/>
        <w:outlineLvl w:val="9"/>
        <w:rPr>
          <w:rFonts w:hint="eastAsia" w:ascii="仿宋_GB2312" w:hAnsi="仿宋" w:eastAsia="仿宋_GB2312" w:cs="仿宋_GB2312"/>
          <w:b w:val="0"/>
          <w:bCs/>
          <w:color w:val="auto"/>
          <w:sz w:val="24"/>
          <w:highlight w:val="none"/>
          <w:lang w:val="zh-CN"/>
        </w:rPr>
      </w:pPr>
      <w:r>
        <w:rPr>
          <w:rFonts w:hint="eastAsia" w:ascii="仿宋_GB2312" w:hAnsi="仿宋" w:eastAsia="仿宋_GB2312" w:cs="仿宋_GB2312"/>
          <w:b w:val="0"/>
          <w:bCs/>
          <w:color w:val="auto"/>
          <w:sz w:val="24"/>
          <w:highlight w:val="none"/>
        </w:rPr>
        <w:t>商务技术</w:t>
      </w:r>
      <w:r>
        <w:rPr>
          <w:rFonts w:hint="eastAsia" w:ascii="仿宋_GB2312" w:hAnsi="仿宋" w:eastAsia="仿宋_GB2312" w:cs="仿宋_GB2312"/>
          <w:b w:val="0"/>
          <w:bCs/>
          <w:color w:val="auto"/>
          <w:sz w:val="24"/>
          <w:highlight w:val="none"/>
          <w:lang w:val="zh-CN"/>
        </w:rPr>
        <w:t>文件：</w:t>
      </w:r>
    </w:p>
    <w:p w14:paraId="220D444C">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rPr>
      </w:pPr>
      <w:r>
        <w:rPr>
          <w:rFonts w:hint="eastAsia" w:ascii="仿宋_GB2312" w:hAnsi="仿宋" w:eastAsia="仿宋_GB2312" w:cs="仿宋_GB2312"/>
          <w:b w:val="0"/>
          <w:bCs/>
          <w:color w:val="auto"/>
          <w:sz w:val="24"/>
          <w:highlight w:val="none"/>
          <w:lang w:eastAsia="zh-CN"/>
        </w:rPr>
        <w:t>响应</w:t>
      </w:r>
      <w:r>
        <w:rPr>
          <w:rFonts w:hint="eastAsia" w:ascii="仿宋_GB2312" w:hAnsi="仿宋" w:eastAsia="仿宋_GB2312" w:cs="仿宋_GB2312"/>
          <w:b w:val="0"/>
          <w:bCs/>
          <w:color w:val="auto"/>
          <w:sz w:val="24"/>
          <w:highlight w:val="none"/>
        </w:rPr>
        <w:t>函；</w:t>
      </w:r>
      <w:r>
        <w:rPr>
          <w:rFonts w:hint="eastAsia" w:ascii="仿宋_GB2312" w:hAnsi="仿宋" w:eastAsia="仿宋_GB2312" w:cs="仿宋_GB2312"/>
          <w:b w:val="0"/>
          <w:bCs/>
          <w:color w:val="auto"/>
          <w:sz w:val="24"/>
          <w:highlight w:val="none"/>
          <w:lang w:val="zh-CN"/>
        </w:rPr>
        <w:t xml:space="preserve"> </w:t>
      </w:r>
    </w:p>
    <w:p w14:paraId="543BB8A1">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rPr>
      </w:pPr>
      <w:r>
        <w:rPr>
          <w:rFonts w:hint="eastAsia" w:ascii="仿宋_GB2312" w:hAnsi="仿宋" w:eastAsia="仿宋_GB2312" w:cs="仿宋_GB2312"/>
          <w:b w:val="0"/>
          <w:bCs/>
          <w:color w:val="auto"/>
          <w:sz w:val="24"/>
          <w:highlight w:val="none"/>
        </w:rPr>
        <w:t>授权委托书或法定代表人（单位负责人、自然人本人）身份证明；</w:t>
      </w:r>
    </w:p>
    <w:p w14:paraId="42916827">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rPr>
      </w:pPr>
      <w:r>
        <w:rPr>
          <w:rFonts w:hint="eastAsia" w:ascii="仿宋_GB2312" w:hAnsi="仿宋" w:eastAsia="仿宋_GB2312" w:cs="仿宋_GB2312"/>
          <w:b w:val="0"/>
          <w:bCs/>
          <w:color w:val="auto"/>
          <w:sz w:val="24"/>
          <w:highlight w:val="none"/>
        </w:rPr>
        <w:t>分包意向协议</w:t>
      </w:r>
      <w:r>
        <w:rPr>
          <w:rFonts w:hint="eastAsia" w:ascii="仿宋_GB2312" w:hAnsi="仿宋" w:eastAsia="仿宋_GB2312" w:cs="仿宋_GB2312"/>
          <w:b w:val="0"/>
          <w:bCs/>
          <w:color w:val="auto"/>
          <w:sz w:val="24"/>
          <w:highlight w:val="none"/>
          <w:lang w:eastAsia="zh-CN"/>
        </w:rPr>
        <w:t>（如果有）</w:t>
      </w:r>
      <w:r>
        <w:rPr>
          <w:rFonts w:hint="eastAsia" w:ascii="仿宋_GB2312" w:hAnsi="仿宋" w:eastAsia="仿宋_GB2312" w:cs="仿宋_GB2312"/>
          <w:b w:val="0"/>
          <w:bCs/>
          <w:color w:val="auto"/>
          <w:sz w:val="24"/>
          <w:highlight w:val="none"/>
        </w:rPr>
        <w:t>；</w:t>
      </w:r>
    </w:p>
    <w:p w14:paraId="764232FE">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rPr>
      </w:pPr>
      <w:r>
        <w:rPr>
          <w:rFonts w:hint="eastAsia" w:ascii="仿宋_GB2312" w:hAnsi="仿宋" w:eastAsia="仿宋_GB2312" w:cs="仿宋_GB2312"/>
          <w:b w:val="0"/>
          <w:bCs/>
          <w:color w:val="auto"/>
          <w:sz w:val="24"/>
          <w:highlight w:val="none"/>
        </w:rPr>
        <w:t>符合性审查资料；</w:t>
      </w:r>
    </w:p>
    <w:p w14:paraId="79F389BD">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rPr>
      </w:pPr>
      <w:r>
        <w:rPr>
          <w:rFonts w:hint="eastAsia" w:ascii="仿宋_GB2312" w:hAnsi="仿宋" w:eastAsia="仿宋_GB2312" w:cs="仿宋_GB2312"/>
          <w:b w:val="0"/>
          <w:bCs/>
          <w:color w:val="auto"/>
          <w:sz w:val="24"/>
          <w:highlight w:val="none"/>
        </w:rPr>
        <w:t>评标标准相应的商务技术资料；</w:t>
      </w:r>
    </w:p>
    <w:p w14:paraId="62C9BDDD">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rPr>
      </w:pPr>
      <w:r>
        <w:rPr>
          <w:rFonts w:hint="eastAsia" w:ascii="仿宋_GB2312" w:hAnsi="仿宋" w:eastAsia="仿宋_GB2312" w:cs="仿宋_GB2312"/>
          <w:b w:val="0"/>
          <w:bCs/>
          <w:color w:val="auto"/>
          <w:sz w:val="24"/>
          <w:highlight w:val="none"/>
          <w:lang w:eastAsia="zh-CN"/>
        </w:rPr>
        <w:t>标的清单；</w:t>
      </w:r>
    </w:p>
    <w:p w14:paraId="2F07C12A">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rPr>
      </w:pPr>
      <w:r>
        <w:rPr>
          <w:rFonts w:hint="eastAsia" w:ascii="仿宋_GB2312" w:hAnsi="仿宋" w:eastAsia="仿宋_GB2312" w:cs="仿宋_GB2312"/>
          <w:b w:val="0"/>
          <w:bCs/>
          <w:color w:val="auto"/>
          <w:sz w:val="24"/>
          <w:highlight w:val="none"/>
        </w:rPr>
        <w:t>商务技术偏离表；</w:t>
      </w:r>
    </w:p>
    <w:p w14:paraId="5344DFB2">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lang w:val="zh-CN"/>
        </w:rPr>
      </w:pPr>
      <w:r>
        <w:rPr>
          <w:rFonts w:hint="eastAsia" w:ascii="仿宋_GB2312" w:hAnsi="仿宋" w:eastAsia="仿宋_GB2312" w:cs="仿宋_GB2312"/>
          <w:b w:val="0"/>
          <w:bCs/>
          <w:color w:val="auto"/>
          <w:sz w:val="24"/>
          <w:highlight w:val="none"/>
          <w:lang w:val="zh-CN"/>
        </w:rPr>
        <w:t>政府采购供应商廉洁自律承诺书。</w:t>
      </w:r>
    </w:p>
    <w:p w14:paraId="1CAC969F">
      <w:pPr>
        <w:keepNext w:val="0"/>
        <w:keepLines w:val="0"/>
        <w:pageBreakBefore w:val="0"/>
        <w:widowControl w:val="0"/>
        <w:numPr>
          <w:ilvl w:val="1"/>
          <w:numId w:val="36"/>
        </w:numPr>
        <w:kinsoku/>
        <w:wordWrap/>
        <w:overflowPunct/>
        <w:topLinePunct w:val="0"/>
        <w:bidi w:val="0"/>
        <w:adjustRightInd w:val="0"/>
        <w:snapToGrid w:val="0"/>
        <w:spacing w:line="360" w:lineRule="exact"/>
        <w:ind w:left="850" w:leftChars="0" w:hanging="453" w:firstLineChars="0"/>
        <w:textAlignment w:val="auto"/>
        <w:outlineLvl w:val="9"/>
        <w:rPr>
          <w:rFonts w:hint="eastAsia" w:ascii="仿宋_GB2312" w:hAnsi="仿宋" w:eastAsia="仿宋_GB2312" w:cs="仿宋_GB2312"/>
          <w:b w:val="0"/>
          <w:bCs/>
          <w:color w:val="auto"/>
          <w:sz w:val="24"/>
          <w:highlight w:val="none"/>
          <w:lang w:val="zh-CN"/>
        </w:rPr>
      </w:pPr>
      <w:r>
        <w:rPr>
          <w:rFonts w:hint="eastAsia" w:ascii="仿宋_GB2312" w:hAnsi="仿宋" w:eastAsia="仿宋_GB2312" w:cs="仿宋_GB2312"/>
          <w:b w:val="0"/>
          <w:bCs/>
          <w:color w:val="auto"/>
          <w:sz w:val="24"/>
          <w:highlight w:val="none"/>
          <w:lang w:val="zh-CN"/>
        </w:rPr>
        <w:t xml:space="preserve">报价文件： </w:t>
      </w:r>
    </w:p>
    <w:p w14:paraId="33D7F602">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lang w:val="zh-CN"/>
        </w:rPr>
      </w:pPr>
      <w:r>
        <w:rPr>
          <w:rFonts w:hint="eastAsia" w:ascii="仿宋_GB2312" w:hAnsi="仿宋" w:eastAsia="仿宋_GB2312" w:cs="仿宋_GB2312"/>
          <w:b w:val="0"/>
          <w:bCs/>
          <w:color w:val="auto"/>
          <w:sz w:val="24"/>
          <w:highlight w:val="none"/>
          <w:lang w:val="zh-CN" w:eastAsia="zh-CN"/>
        </w:rPr>
        <w:t>初始报价一览表</w:t>
      </w:r>
      <w:r>
        <w:rPr>
          <w:rFonts w:hint="eastAsia" w:ascii="仿宋_GB2312" w:hAnsi="仿宋" w:eastAsia="仿宋_GB2312" w:cs="仿宋_GB2312"/>
          <w:b w:val="0"/>
          <w:bCs/>
          <w:color w:val="auto"/>
          <w:sz w:val="24"/>
          <w:highlight w:val="none"/>
          <w:lang w:val="zh-CN"/>
        </w:rPr>
        <w:t>；</w:t>
      </w:r>
    </w:p>
    <w:p w14:paraId="08AE4D82">
      <w:pPr>
        <w:keepNext w:val="0"/>
        <w:keepLines w:val="0"/>
        <w:pageBreakBefore w:val="0"/>
        <w:widowControl w:val="0"/>
        <w:numPr>
          <w:ilvl w:val="2"/>
          <w:numId w:val="36"/>
        </w:numPr>
        <w:kinsoku/>
        <w:wordWrap/>
        <w:overflowPunct/>
        <w:topLinePunct w:val="0"/>
        <w:bidi w:val="0"/>
        <w:adjustRightInd w:val="0"/>
        <w:snapToGrid w:val="0"/>
        <w:spacing w:line="360" w:lineRule="exact"/>
        <w:ind w:left="1508" w:leftChars="0" w:hanging="708" w:firstLineChars="0"/>
        <w:textAlignment w:val="auto"/>
        <w:outlineLvl w:val="9"/>
        <w:rPr>
          <w:rFonts w:hint="eastAsia" w:ascii="仿宋_GB2312" w:hAnsi="仿宋" w:eastAsia="仿宋_GB2312" w:cs="仿宋_GB2312"/>
          <w:b w:val="0"/>
          <w:bCs/>
          <w:color w:val="auto"/>
          <w:sz w:val="24"/>
          <w:highlight w:val="none"/>
          <w:lang w:val="zh-CN"/>
        </w:rPr>
      </w:pPr>
      <w:r>
        <w:rPr>
          <w:rFonts w:hint="eastAsia" w:ascii="仿宋_GB2312" w:hAnsi="仿宋" w:eastAsia="仿宋_GB2312" w:cs="仿宋_GB2312"/>
          <w:b w:val="0"/>
          <w:bCs/>
          <w:color w:val="auto"/>
          <w:sz w:val="24"/>
          <w:highlight w:val="none"/>
          <w:lang w:val="zh-CN"/>
        </w:rPr>
        <w:t>中小企业声明函</w:t>
      </w:r>
      <w:r>
        <w:rPr>
          <w:rFonts w:hint="eastAsia" w:ascii="仿宋_GB2312" w:hAnsi="仿宋" w:eastAsia="仿宋_GB2312" w:cs="仿宋_GB2312"/>
          <w:b w:val="0"/>
          <w:bCs/>
          <w:color w:val="auto"/>
          <w:sz w:val="24"/>
          <w:highlight w:val="none"/>
          <w:lang w:eastAsia="zh-CN"/>
        </w:rPr>
        <w:t>（如果有）</w:t>
      </w:r>
      <w:r>
        <w:rPr>
          <w:rFonts w:hint="eastAsia" w:ascii="仿宋_GB2312" w:hAnsi="仿宋" w:eastAsia="仿宋_GB2312" w:cs="仿宋_GB2312"/>
          <w:b w:val="0"/>
          <w:bCs/>
          <w:color w:val="auto"/>
          <w:sz w:val="24"/>
          <w:highlight w:val="none"/>
          <w:lang w:val="zh-CN"/>
        </w:rPr>
        <w:t>。</w:t>
      </w:r>
    </w:p>
    <w:p w14:paraId="076D1C84">
      <w:pPr>
        <w:keepNext w:val="0"/>
        <w:keepLines w:val="0"/>
        <w:pageBreakBefore w:val="0"/>
        <w:widowControl w:val="0"/>
        <w:kinsoku/>
        <w:wordWrap/>
        <w:overflowPunct/>
        <w:topLinePunct w:val="0"/>
        <w:autoSpaceDE/>
        <w:autoSpaceDN/>
        <w:bidi w:val="0"/>
        <w:adjustRightInd w:val="0"/>
        <w:snapToGrid w:val="0"/>
        <w:spacing w:line="360" w:lineRule="exact"/>
        <w:ind w:firstLine="420" w:firstLineChars="0"/>
        <w:textAlignment w:val="auto"/>
        <w:outlineLvl w:val="9"/>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我方承诺除商务技术偏离表列出的偏离外，我方响应</w:t>
      </w:r>
      <w:r>
        <w:rPr>
          <w:rFonts w:hint="eastAsia" w:ascii="仿宋_GB2312" w:hAnsi="仿宋" w:eastAsia="仿宋_GB2312" w:cs="仿宋_GB2312"/>
          <w:color w:val="auto"/>
          <w:sz w:val="24"/>
          <w:highlight w:val="none"/>
          <w:lang w:eastAsia="zh-CN"/>
        </w:rPr>
        <w:t>磋商</w:t>
      </w:r>
      <w:r>
        <w:rPr>
          <w:rFonts w:ascii="仿宋_GB2312" w:hAnsi="仿宋" w:eastAsia="仿宋_GB2312" w:cs="仿宋_GB2312"/>
          <w:color w:val="auto"/>
          <w:sz w:val="24"/>
          <w:highlight w:val="none"/>
        </w:rPr>
        <w:t>文件的全部要求。</w:t>
      </w:r>
    </w:p>
    <w:p w14:paraId="600ACAE7">
      <w:pPr>
        <w:keepNext w:val="0"/>
        <w:keepLines w:val="0"/>
        <w:pageBreakBefore w:val="0"/>
        <w:widowControl w:val="0"/>
        <w:numPr>
          <w:ilvl w:val="0"/>
          <w:numId w:val="35"/>
        </w:numPr>
        <w:kinsoku/>
        <w:wordWrap/>
        <w:overflowPunct/>
        <w:topLinePunct w:val="0"/>
        <w:bidi w:val="0"/>
        <w:adjustRightInd w:val="0"/>
        <w:snapToGrid w:val="0"/>
        <w:spacing w:line="3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如我方</w:t>
      </w:r>
      <w:r>
        <w:rPr>
          <w:rFonts w:hint="eastAsia" w:ascii="仿宋_GB2312" w:hAnsi="仿宋_GB2312" w:eastAsia="仿宋_GB2312" w:cs="仿宋_GB2312"/>
          <w:color w:val="auto"/>
          <w:sz w:val="24"/>
          <w:highlight w:val="none"/>
          <w:lang w:eastAsia="zh-CN"/>
        </w:rPr>
        <w:t>成交</w:t>
      </w:r>
      <w:r>
        <w:rPr>
          <w:rFonts w:hint="eastAsia" w:ascii="仿宋_GB2312" w:hAnsi="仿宋_GB2312" w:eastAsia="仿宋_GB2312" w:cs="仿宋_GB2312"/>
          <w:color w:val="auto"/>
          <w:sz w:val="24"/>
          <w:highlight w:val="none"/>
        </w:rPr>
        <w:t>，我方承诺：</w:t>
      </w:r>
    </w:p>
    <w:p w14:paraId="4B637625">
      <w:pPr>
        <w:keepNext w:val="0"/>
        <w:keepLines w:val="0"/>
        <w:pageBreakBefore w:val="0"/>
        <w:widowControl w:val="0"/>
        <w:numPr>
          <w:ilvl w:val="1"/>
          <w:numId w:val="37"/>
        </w:numPr>
        <w:kinsoku/>
        <w:wordWrap/>
        <w:overflowPunct/>
        <w:topLinePunct w:val="0"/>
        <w:bidi w:val="0"/>
        <w:adjustRightInd w:val="0"/>
        <w:snapToGrid w:val="0"/>
        <w:spacing w:line="360" w:lineRule="exact"/>
        <w:ind w:left="850" w:leftChars="0" w:hanging="430" w:firstLineChars="0"/>
        <w:textAlignment w:val="auto"/>
        <w:outlineLvl w:val="9"/>
        <w:rPr>
          <w:rFonts w:hint="eastAsia" w:ascii="仿宋_GB2312" w:hAnsi="仿宋" w:eastAsia="仿宋_GB2312" w:cs="仿宋_GB2312"/>
          <w:b w:val="0"/>
          <w:bCs/>
          <w:color w:val="auto"/>
          <w:sz w:val="24"/>
          <w:highlight w:val="none"/>
          <w:lang w:val="zh-CN"/>
        </w:rPr>
      </w:pPr>
      <w:r>
        <w:rPr>
          <w:rFonts w:hint="eastAsia" w:ascii="仿宋_GB2312" w:hAnsi="仿宋" w:eastAsia="仿宋_GB2312" w:cs="仿宋_GB2312"/>
          <w:b w:val="0"/>
          <w:bCs/>
          <w:color w:val="auto"/>
          <w:sz w:val="24"/>
          <w:highlight w:val="none"/>
          <w:lang w:val="zh-CN"/>
        </w:rPr>
        <w:t>在收到</w:t>
      </w:r>
      <w:r>
        <w:rPr>
          <w:rFonts w:hint="eastAsia" w:ascii="仿宋_GB2312" w:hAnsi="仿宋" w:eastAsia="仿宋_GB2312" w:cs="仿宋_GB2312"/>
          <w:b w:val="0"/>
          <w:bCs/>
          <w:color w:val="auto"/>
          <w:sz w:val="24"/>
          <w:highlight w:val="none"/>
          <w:lang w:val="zh-CN" w:eastAsia="zh-CN"/>
        </w:rPr>
        <w:t>成交</w:t>
      </w:r>
      <w:r>
        <w:rPr>
          <w:rFonts w:hint="eastAsia" w:ascii="仿宋_GB2312" w:hAnsi="仿宋" w:eastAsia="仿宋_GB2312" w:cs="仿宋_GB2312"/>
          <w:b w:val="0"/>
          <w:bCs/>
          <w:color w:val="auto"/>
          <w:sz w:val="24"/>
          <w:highlight w:val="none"/>
          <w:lang w:val="zh-CN"/>
        </w:rPr>
        <w:t>通知书后，在</w:t>
      </w:r>
      <w:r>
        <w:rPr>
          <w:rFonts w:hint="eastAsia" w:ascii="仿宋_GB2312" w:hAnsi="仿宋" w:eastAsia="仿宋_GB2312" w:cs="仿宋_GB2312"/>
          <w:b w:val="0"/>
          <w:bCs/>
          <w:color w:val="auto"/>
          <w:sz w:val="24"/>
          <w:highlight w:val="none"/>
          <w:lang w:val="zh-CN" w:eastAsia="zh-CN"/>
        </w:rPr>
        <w:t>成交</w:t>
      </w:r>
      <w:r>
        <w:rPr>
          <w:rFonts w:hint="eastAsia" w:ascii="仿宋_GB2312" w:hAnsi="仿宋" w:eastAsia="仿宋_GB2312" w:cs="仿宋_GB2312"/>
          <w:b w:val="0"/>
          <w:bCs/>
          <w:color w:val="auto"/>
          <w:sz w:val="24"/>
          <w:highlight w:val="none"/>
          <w:lang w:val="zh-CN"/>
        </w:rPr>
        <w:t xml:space="preserve">通知书规定的期限内与你方签订合同； </w:t>
      </w:r>
    </w:p>
    <w:p w14:paraId="0513EDCA">
      <w:pPr>
        <w:keepNext w:val="0"/>
        <w:keepLines w:val="0"/>
        <w:pageBreakBefore w:val="0"/>
        <w:widowControl w:val="0"/>
        <w:numPr>
          <w:ilvl w:val="1"/>
          <w:numId w:val="37"/>
        </w:numPr>
        <w:kinsoku/>
        <w:wordWrap/>
        <w:overflowPunct/>
        <w:topLinePunct w:val="0"/>
        <w:bidi w:val="0"/>
        <w:adjustRightInd w:val="0"/>
        <w:snapToGrid w:val="0"/>
        <w:spacing w:line="360" w:lineRule="exact"/>
        <w:ind w:left="850" w:leftChars="0" w:hanging="430" w:firstLineChars="0"/>
        <w:textAlignment w:val="auto"/>
        <w:outlineLvl w:val="9"/>
        <w:rPr>
          <w:rFonts w:hint="eastAsia" w:ascii="仿宋_GB2312" w:hAnsi="仿宋" w:eastAsia="仿宋_GB2312" w:cs="仿宋_GB2312"/>
          <w:b w:val="0"/>
          <w:bCs/>
          <w:color w:val="auto"/>
          <w:sz w:val="24"/>
          <w:highlight w:val="none"/>
          <w:lang w:val="zh-CN"/>
        </w:rPr>
      </w:pPr>
      <w:r>
        <w:rPr>
          <w:rFonts w:hint="eastAsia" w:ascii="仿宋_GB2312" w:hAnsi="仿宋" w:eastAsia="仿宋_GB2312" w:cs="仿宋_GB2312"/>
          <w:b w:val="0"/>
          <w:bCs/>
          <w:color w:val="auto"/>
          <w:sz w:val="24"/>
          <w:highlight w:val="none"/>
          <w:lang w:val="zh-CN"/>
        </w:rPr>
        <w:t xml:space="preserve">在签订合同时不向你方提出附加条件； </w:t>
      </w:r>
    </w:p>
    <w:p w14:paraId="3D546F7E">
      <w:pPr>
        <w:keepNext w:val="0"/>
        <w:keepLines w:val="0"/>
        <w:pageBreakBefore w:val="0"/>
        <w:widowControl w:val="0"/>
        <w:numPr>
          <w:ilvl w:val="1"/>
          <w:numId w:val="37"/>
        </w:numPr>
        <w:kinsoku/>
        <w:wordWrap/>
        <w:overflowPunct/>
        <w:topLinePunct w:val="0"/>
        <w:bidi w:val="0"/>
        <w:adjustRightInd w:val="0"/>
        <w:snapToGrid w:val="0"/>
        <w:spacing w:line="360" w:lineRule="exact"/>
        <w:ind w:left="850" w:leftChars="0" w:hanging="430" w:firstLineChars="0"/>
        <w:textAlignment w:val="auto"/>
        <w:outlineLvl w:val="9"/>
        <w:rPr>
          <w:rFonts w:hint="eastAsia" w:ascii="仿宋_GB2312" w:hAnsi="仿宋" w:eastAsia="仿宋_GB2312" w:cs="仿宋_GB2312"/>
          <w:b w:val="0"/>
          <w:bCs/>
          <w:color w:val="auto"/>
          <w:sz w:val="24"/>
          <w:highlight w:val="none"/>
          <w:lang w:val="zh-CN"/>
        </w:rPr>
      </w:pPr>
      <w:r>
        <w:rPr>
          <w:rFonts w:hint="eastAsia" w:ascii="仿宋_GB2312" w:hAnsi="仿宋" w:eastAsia="仿宋_GB2312" w:cs="仿宋_GB2312"/>
          <w:b w:val="0"/>
          <w:bCs/>
          <w:color w:val="auto"/>
          <w:sz w:val="24"/>
          <w:highlight w:val="none"/>
          <w:lang w:val="zh-CN"/>
        </w:rPr>
        <w:t>按照</w:t>
      </w:r>
      <w:r>
        <w:rPr>
          <w:rFonts w:hint="eastAsia" w:ascii="仿宋_GB2312" w:hAnsi="仿宋" w:eastAsia="仿宋_GB2312" w:cs="仿宋_GB2312"/>
          <w:b w:val="0"/>
          <w:bCs/>
          <w:color w:val="auto"/>
          <w:sz w:val="24"/>
          <w:highlight w:val="none"/>
          <w:lang w:val="zh-CN" w:eastAsia="zh-CN"/>
        </w:rPr>
        <w:t>磋商</w:t>
      </w:r>
      <w:r>
        <w:rPr>
          <w:rFonts w:hint="eastAsia" w:ascii="仿宋_GB2312" w:hAnsi="仿宋" w:eastAsia="仿宋_GB2312" w:cs="仿宋_GB2312"/>
          <w:b w:val="0"/>
          <w:bCs/>
          <w:color w:val="auto"/>
          <w:sz w:val="24"/>
          <w:highlight w:val="none"/>
          <w:lang w:val="zh-CN"/>
        </w:rPr>
        <w:t xml:space="preserve">文件要求提交履约保证金； </w:t>
      </w:r>
    </w:p>
    <w:p w14:paraId="79E5B15E">
      <w:pPr>
        <w:keepNext w:val="0"/>
        <w:keepLines w:val="0"/>
        <w:pageBreakBefore w:val="0"/>
        <w:widowControl w:val="0"/>
        <w:numPr>
          <w:ilvl w:val="1"/>
          <w:numId w:val="37"/>
        </w:numPr>
        <w:kinsoku/>
        <w:wordWrap/>
        <w:overflowPunct/>
        <w:topLinePunct w:val="0"/>
        <w:bidi w:val="0"/>
        <w:adjustRightInd w:val="0"/>
        <w:snapToGrid w:val="0"/>
        <w:spacing w:line="360" w:lineRule="exact"/>
        <w:ind w:left="850" w:leftChars="0" w:hanging="430" w:firstLineChars="0"/>
        <w:textAlignment w:val="auto"/>
        <w:outlineLvl w:val="9"/>
        <w:rPr>
          <w:rFonts w:hint="eastAsia" w:ascii="仿宋_GB2312" w:hAnsi="仿宋" w:eastAsia="仿宋_GB2312" w:cs="仿宋_GB2312"/>
          <w:b w:val="0"/>
          <w:bCs/>
          <w:color w:val="auto"/>
          <w:sz w:val="24"/>
          <w:highlight w:val="none"/>
          <w:lang w:val="zh-CN"/>
        </w:rPr>
      </w:pPr>
      <w:r>
        <w:rPr>
          <w:rFonts w:hint="eastAsia" w:ascii="仿宋_GB2312" w:hAnsi="仿宋" w:eastAsia="仿宋_GB2312" w:cs="仿宋_GB2312"/>
          <w:b w:val="0"/>
          <w:bCs/>
          <w:color w:val="auto"/>
          <w:sz w:val="24"/>
          <w:highlight w:val="none"/>
          <w:lang w:val="zh-CN"/>
        </w:rPr>
        <w:t xml:space="preserve">在合同约定的期限内完成合同规定的全部义务。 </w:t>
      </w:r>
    </w:p>
    <w:p w14:paraId="502FC778">
      <w:pPr>
        <w:keepNext w:val="0"/>
        <w:keepLines w:val="0"/>
        <w:pageBreakBefore w:val="0"/>
        <w:widowControl w:val="0"/>
        <w:numPr>
          <w:ilvl w:val="0"/>
          <w:numId w:val="35"/>
        </w:numPr>
        <w:kinsoku/>
        <w:wordWrap/>
        <w:overflowPunct/>
        <w:topLinePunct w:val="0"/>
        <w:bidi w:val="0"/>
        <w:adjustRightInd w:val="0"/>
        <w:snapToGrid w:val="0"/>
        <w:spacing w:line="360" w:lineRule="exact"/>
        <w:textAlignment w:val="auto"/>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其他补充说明: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w:t>
      </w:r>
    </w:p>
    <w:p w14:paraId="2A061AFE">
      <w:pPr>
        <w:keepNext w:val="0"/>
        <w:keepLines w:val="0"/>
        <w:pageBreakBefore w:val="0"/>
        <w:widowControl w:val="0"/>
        <w:kinsoku/>
        <w:wordWrap/>
        <w:overflowPunct/>
        <w:topLinePunct w:val="0"/>
        <w:autoSpaceDE w:val="0"/>
        <w:autoSpaceDN w:val="0"/>
        <w:bidi w:val="0"/>
        <w:adjustRightInd w:val="0"/>
        <w:snapToGrid w:val="0"/>
        <w:spacing w:line="360" w:lineRule="exact"/>
        <w:ind w:firstLine="3960" w:firstLineChars="1650"/>
        <w:textAlignment w:val="auto"/>
        <w:outlineLvl w:val="9"/>
        <w:rPr>
          <w:rFonts w:ascii="仿宋_GB2312" w:hAnsi="仿宋_GB2312" w:eastAsia="仿宋_GB2312" w:cs="仿宋_GB2312"/>
          <w:color w:val="auto"/>
          <w:kern w:val="0"/>
          <w:sz w:val="24"/>
          <w:highlight w:val="none"/>
          <w:lang w:val="zh-CN"/>
        </w:rPr>
      </w:pPr>
    </w:p>
    <w:p w14:paraId="79708616">
      <w:pPr>
        <w:pStyle w:val="59"/>
        <w:keepNext w:val="0"/>
        <w:keepLines w:val="0"/>
        <w:pageBreakBefore w:val="0"/>
        <w:kinsoku/>
        <w:wordWrap/>
        <w:overflowPunct/>
        <w:topLinePunct w:val="0"/>
        <w:bidi w:val="0"/>
        <w:textAlignment w:val="auto"/>
        <w:outlineLvl w:val="9"/>
        <w:rPr>
          <w:color w:val="auto"/>
          <w:highlight w:val="none"/>
          <w:lang w:val="zh-CN"/>
        </w:rPr>
      </w:pPr>
    </w:p>
    <w:p w14:paraId="5365C3BE">
      <w:pPr>
        <w:keepNext w:val="0"/>
        <w:keepLines w:val="0"/>
        <w:pageBreakBefore w:val="0"/>
        <w:widowControl w:val="0"/>
        <w:kinsoku/>
        <w:wordWrap/>
        <w:overflowPunct/>
        <w:topLinePunct w:val="0"/>
        <w:bidi w:val="0"/>
        <w:adjustRightInd w:val="0"/>
        <w:snapToGrid w:val="0"/>
        <w:spacing w:line="360" w:lineRule="exact"/>
        <w:ind w:firstLine="3600" w:firstLineChars="1500"/>
        <w:textAlignment w:val="auto"/>
        <w:outlineLvl w:val="9"/>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xml:space="preserve">供应商名称（电子签名）：                          </w:t>
      </w:r>
    </w:p>
    <w:p w14:paraId="681A954E">
      <w:pPr>
        <w:keepNext w:val="0"/>
        <w:keepLines w:val="0"/>
        <w:pageBreakBefore w:val="0"/>
        <w:widowControl w:val="0"/>
        <w:kinsoku/>
        <w:wordWrap/>
        <w:overflowPunct/>
        <w:topLinePunct w:val="0"/>
        <w:bidi w:val="0"/>
        <w:adjustRightInd w:val="0"/>
        <w:snapToGrid w:val="0"/>
        <w:spacing w:line="360" w:lineRule="exact"/>
        <w:jc w:val="center"/>
        <w:textAlignment w:val="auto"/>
        <w:outlineLvl w:val="9"/>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xml:space="preserve">     日期：  年   月   日</w:t>
      </w:r>
    </w:p>
    <w:p w14:paraId="1AEC3A28">
      <w:pPr>
        <w:keepNext w:val="0"/>
        <w:keepLines w:val="0"/>
        <w:pageBreakBefore w:val="0"/>
        <w:kinsoku/>
        <w:wordWrap/>
        <w:overflowPunct/>
        <w:topLinePunct w:val="0"/>
        <w:bidi w:val="0"/>
        <w:textAlignment w:val="auto"/>
        <w:outlineLvl w:val="9"/>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br w:type="page"/>
      </w:r>
    </w:p>
    <w:p w14:paraId="4CAAE596">
      <w:pPr>
        <w:keepNext w:val="0"/>
        <w:keepLines w:val="0"/>
        <w:pageBreakBefore w:val="0"/>
        <w:widowControl/>
        <w:kinsoku/>
        <w:wordWrap/>
        <w:overflowPunct/>
        <w:topLinePunct w:val="0"/>
        <w:bidi w:val="0"/>
        <w:adjustRightInd/>
        <w:jc w:val="left"/>
        <w:textAlignment w:val="auto"/>
        <w:outlineLvl w:val="9"/>
        <w:rPr>
          <w:rFonts w:ascii="仿宋_GB2312" w:hAnsi="仿宋_GB2312" w:eastAsia="仿宋_GB2312" w:cs="仿宋_GB2312"/>
          <w:b/>
          <w:color w:val="auto"/>
          <w:kern w:val="0"/>
          <w:sz w:val="32"/>
          <w:szCs w:val="32"/>
          <w:highlight w:val="none"/>
          <w:lang w:val="zh-CN"/>
        </w:rPr>
      </w:pPr>
    </w:p>
    <w:p w14:paraId="1D2E7C5B">
      <w:pPr>
        <w:keepNext w:val="0"/>
        <w:keepLines w:val="0"/>
        <w:pageBreakBefore w:val="0"/>
        <w:kinsoku/>
        <w:wordWrap/>
        <w:overflowPunct/>
        <w:topLinePunct w:val="0"/>
        <w:bidi w:val="0"/>
        <w:snapToGrid w:val="0"/>
        <w:spacing w:line="360" w:lineRule="auto"/>
        <w:jc w:val="center"/>
        <w:textAlignment w:val="auto"/>
        <w:outlineLvl w:val="9"/>
        <w:rPr>
          <w:rFonts w:hint="eastAsia"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二、授权委托书或法定代表人（单位负责人、自然人本人）身份证明</w:t>
      </w:r>
    </w:p>
    <w:p w14:paraId="1F2251F7">
      <w:pPr>
        <w:keepNext w:val="0"/>
        <w:keepLines w:val="0"/>
        <w:pageBreakBefore w:val="0"/>
        <w:kinsoku/>
        <w:wordWrap/>
        <w:overflowPunct/>
        <w:topLinePunct w:val="0"/>
        <w:bidi w:val="0"/>
        <w:snapToGrid w:val="0"/>
        <w:spacing w:line="360" w:lineRule="auto"/>
        <w:jc w:val="center"/>
        <w:textAlignment w:val="auto"/>
        <w:outlineLvl w:val="9"/>
        <w:rPr>
          <w:rFonts w:hint="eastAsia" w:ascii="仿宋_GB2312" w:hAnsi="仿宋_GB2312" w:eastAsia="仿宋_GB2312" w:cs="仿宋_GB2312"/>
          <w:color w:val="auto"/>
          <w:sz w:val="24"/>
          <w:highlight w:val="none"/>
        </w:rPr>
      </w:pPr>
      <w:r>
        <w:rPr>
          <w:rFonts w:hint="eastAsia" w:ascii="仿宋_GB2312" w:hAnsi="仿宋" w:eastAsia="仿宋_GB2312" w:cs="仿宋_GB2312"/>
          <w:b/>
          <w:color w:val="auto"/>
          <w:kern w:val="0"/>
          <w:sz w:val="32"/>
          <w:szCs w:val="32"/>
          <w:highlight w:val="none"/>
          <w:lang w:val="zh-CN"/>
        </w:rPr>
        <w:t>授权委托书（适用于非联合体响应）</w:t>
      </w:r>
    </w:p>
    <w:p w14:paraId="4AE54F27">
      <w:pPr>
        <w:keepNext w:val="0"/>
        <w:keepLines w:val="0"/>
        <w:pageBreakBefore w:val="0"/>
        <w:kinsoku/>
        <w:wordWrap/>
        <w:overflowPunct/>
        <w:topLinePunct w:val="0"/>
        <w:bidi w:val="0"/>
        <w:snapToGrid w:val="0"/>
        <w:spacing w:line="360" w:lineRule="auto"/>
        <w:textAlignment w:val="auto"/>
        <w:outlineLvl w:val="9"/>
        <w:rPr>
          <w:rFonts w:hint="eastAsia" w:ascii="仿宋_GB2312" w:hAnsi="仿宋" w:eastAsia="仿宋_GB2312" w:cs="仿宋_GB2312"/>
          <w:color w:val="auto"/>
          <w:sz w:val="24"/>
          <w:highlight w:val="none"/>
        </w:rPr>
      </w:pPr>
    </w:p>
    <w:p w14:paraId="7D94C8B6">
      <w:pPr>
        <w:keepNext w:val="0"/>
        <w:keepLines w:val="0"/>
        <w:pageBreakBefore w:val="0"/>
        <w:kinsoku/>
        <w:wordWrap/>
        <w:overflowPunct/>
        <w:topLinePunct w:val="0"/>
        <w:bidi w:val="0"/>
        <w:snapToGrid w:val="0"/>
        <w:spacing w:line="360" w:lineRule="auto"/>
        <w:textAlignment w:val="auto"/>
        <w:outlineLvl w:val="9"/>
        <w:rPr>
          <w:rFonts w:ascii="仿宋_GB2312" w:hAnsi="仿宋_GB2312"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sz w:val="24"/>
          <w:highlight w:val="none"/>
          <w:lang w:eastAsia="zh-CN"/>
        </w:rPr>
        <w:t>）</w:t>
      </w:r>
      <w:r>
        <w:rPr>
          <w:rFonts w:hint="eastAsia" w:ascii="仿宋_GB2312" w:hAnsi="仿宋_GB2312" w:eastAsia="仿宋_GB2312" w:cs="仿宋_GB2312"/>
          <w:color w:val="auto"/>
          <w:kern w:val="0"/>
          <w:sz w:val="24"/>
          <w:highlight w:val="none"/>
          <w:lang w:val="zh-CN"/>
        </w:rPr>
        <w:t>：</w:t>
      </w:r>
    </w:p>
    <w:p w14:paraId="200F7ED3">
      <w:pPr>
        <w:keepNext w:val="0"/>
        <w:keepLines w:val="0"/>
        <w:pageBreakBefore w:val="0"/>
        <w:kinsoku/>
        <w:wordWrap/>
        <w:overflowPunct/>
        <w:topLinePunct w:val="0"/>
        <w:bidi w:val="0"/>
        <w:snapToGrid w:val="0"/>
        <w:spacing w:line="360" w:lineRule="auto"/>
        <w:ind w:firstLine="576"/>
        <w:textAlignment w:val="auto"/>
        <w:outlineLvl w:val="9"/>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现</w:t>
      </w:r>
      <w:r>
        <w:rPr>
          <w:rFonts w:hint="eastAsia" w:ascii="仿宋_GB2312" w:hAnsi="仿宋" w:eastAsia="仿宋_GB2312" w:cs="仿宋_GB2312"/>
          <w:color w:val="auto"/>
          <w:kern w:val="0"/>
          <w:sz w:val="24"/>
          <w:highlight w:val="none"/>
          <w:lang w:val="zh-CN"/>
        </w:rPr>
        <w:t>委托</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（姓名）为我方代理人（身份证号码：</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，手机：</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），以我方名义处理</w:t>
      </w:r>
      <w:r>
        <w:rPr>
          <w:rFonts w:hint="eastAsia" w:ascii="仿宋_GB2312" w:hAnsi="仿宋" w:eastAsia="仿宋_GB2312" w:cs="仿宋_GB2312"/>
          <w:color w:val="auto"/>
          <w:sz w:val="24"/>
          <w:highlight w:val="none"/>
        </w:rPr>
        <w:t>（项目名称）【编号：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政府采购响应的一切事项，其法律后果由我方承担。</w:t>
      </w:r>
    </w:p>
    <w:p w14:paraId="047AA8AF">
      <w:pPr>
        <w:keepNext w:val="0"/>
        <w:keepLines w:val="0"/>
        <w:pageBreakBefore w:val="0"/>
        <w:kinsoku/>
        <w:wordWrap/>
        <w:overflowPunct/>
        <w:topLinePunct w:val="0"/>
        <w:bidi w:val="0"/>
        <w:snapToGrid w:val="0"/>
        <w:spacing w:line="360" w:lineRule="auto"/>
        <w:ind w:firstLine="480" w:firstLineChars="200"/>
        <w:textAlignment w:val="auto"/>
        <w:outlineLvl w:val="9"/>
        <w:rPr>
          <w:rFonts w:ascii="仿宋_GB2312" w:hAnsi="仿宋_GB2312"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委托期限</w:t>
      </w:r>
      <w:r>
        <w:rPr>
          <w:rFonts w:hint="eastAsia" w:ascii="仿宋_GB2312" w:hAnsi="仿宋" w:eastAsia="仿宋_GB2312" w:cs="仿宋_GB2312"/>
          <w:color w:val="auto"/>
          <w:kern w:val="0"/>
          <w:sz w:val="24"/>
          <w:highlight w:val="none"/>
        </w:rPr>
        <w:t>：</w:t>
      </w:r>
      <w:r>
        <w:rPr>
          <w:rFonts w:hint="eastAsia" w:ascii="仿宋_GB2312" w:hAnsi="仿宋" w:eastAsia="仿宋_GB2312" w:cs="仿宋_GB2312"/>
          <w:color w:val="auto"/>
          <w:kern w:val="0"/>
          <w:sz w:val="24"/>
          <w:highlight w:val="none"/>
          <w:lang w:val="zh-CN"/>
        </w:rPr>
        <w:t>自</w:t>
      </w:r>
      <w:r>
        <w:rPr>
          <w:rFonts w:ascii="仿宋_GB2312" w:hAnsi="仿宋" w:eastAsia="仿宋_GB2312" w:cs="仿宋_GB2312"/>
          <w:color w:val="auto"/>
          <w:kern w:val="0"/>
          <w:sz w:val="24"/>
          <w:highlight w:val="none"/>
          <w:u w:val="singl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u w:val="single"/>
        </w:rPr>
        <w:t xml:space="preserve"> </w:t>
      </w:r>
      <w:r>
        <w:rPr>
          <w:rFonts w:hint="eastAsia" w:ascii="仿宋_GB2312" w:hAnsi="仿宋" w:eastAsia="仿宋_GB2312" w:cs="仿宋_GB2312"/>
          <w:color w:val="auto"/>
          <w:kern w:val="0"/>
          <w:sz w:val="24"/>
          <w:highlight w:val="none"/>
          <w:u w:val="single"/>
          <w:lang w:val="en-US" w:eastAsia="zh-CN"/>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u w:val="single"/>
        </w:rPr>
        <w:t xml:space="preserve">  </w:t>
      </w:r>
      <w:r>
        <w:rPr>
          <w:rFonts w:hint="eastAsia" w:ascii="仿宋_GB2312" w:hAnsi="仿宋" w:eastAsia="仿宋_GB2312" w:cs="仿宋_GB2312"/>
          <w:color w:val="auto"/>
          <w:kern w:val="0"/>
          <w:sz w:val="24"/>
          <w:highlight w:val="none"/>
          <w:lang w:val="zh-CN"/>
        </w:rPr>
        <w:t>日起至</w:t>
      </w:r>
      <w:r>
        <w:rPr>
          <w:rFonts w:ascii="仿宋_GB2312" w:hAnsi="仿宋" w:eastAsia="仿宋_GB2312" w:cs="仿宋_GB2312"/>
          <w:color w:val="auto"/>
          <w:kern w:val="0"/>
          <w:sz w:val="24"/>
          <w:highlight w:val="none"/>
          <w:u w:val="singl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u w:val="singl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u w:val="single"/>
        </w:rPr>
        <w:t xml:space="preserve">  </w:t>
      </w:r>
      <w:r>
        <w:rPr>
          <w:rFonts w:hint="eastAsia" w:ascii="仿宋_GB2312" w:hAnsi="仿宋" w:eastAsia="仿宋_GB2312" w:cs="仿宋_GB2312"/>
          <w:color w:val="auto"/>
          <w:kern w:val="0"/>
          <w:sz w:val="24"/>
          <w:highlight w:val="none"/>
          <w:lang w:val="zh-CN"/>
        </w:rPr>
        <w:t>日止</w:t>
      </w:r>
      <w:r>
        <w:rPr>
          <w:rFonts w:hint="eastAsia" w:ascii="仿宋_GB2312" w:hAnsi="仿宋_GB2312" w:eastAsia="仿宋_GB2312" w:cs="仿宋_GB2312"/>
          <w:color w:val="auto"/>
          <w:kern w:val="0"/>
          <w:sz w:val="24"/>
          <w:highlight w:val="none"/>
          <w:lang w:val="zh-CN"/>
        </w:rPr>
        <w:t>。</w:t>
      </w:r>
    </w:p>
    <w:p w14:paraId="08C33F00">
      <w:pPr>
        <w:keepNext w:val="0"/>
        <w:keepLines w:val="0"/>
        <w:pageBreakBefore w:val="0"/>
        <w:kinsoku/>
        <w:wordWrap/>
        <w:overflowPunct/>
        <w:topLinePunct w:val="0"/>
        <w:bidi w:val="0"/>
        <w:snapToGrid w:val="0"/>
        <w:spacing w:line="360" w:lineRule="auto"/>
        <w:ind w:firstLine="480" w:firstLineChars="200"/>
        <w:textAlignment w:val="auto"/>
        <w:outlineLvl w:val="9"/>
        <w:rPr>
          <w:rFonts w:hint="eastAsia"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特此告知。</w:t>
      </w:r>
    </w:p>
    <w:p w14:paraId="767BCB53">
      <w:pPr>
        <w:pStyle w:val="22"/>
        <w:keepNext w:val="0"/>
        <w:keepLines w:val="0"/>
        <w:pageBreakBefore w:val="0"/>
        <w:kinsoku/>
        <w:wordWrap/>
        <w:overflowPunct/>
        <w:topLinePunct w:val="0"/>
        <w:bidi w:val="0"/>
        <w:textAlignment w:val="auto"/>
        <w:outlineLvl w:val="9"/>
        <w:rPr>
          <w:color w:val="auto"/>
          <w:highlight w:val="none"/>
        </w:rPr>
      </w:pPr>
    </w:p>
    <w:p w14:paraId="4A98C641">
      <w:pPr>
        <w:keepNext w:val="0"/>
        <w:keepLines w:val="0"/>
        <w:pageBreakBefore w:val="0"/>
        <w:kinsoku/>
        <w:wordWrap/>
        <w:overflowPunct/>
        <w:topLinePunct w:val="0"/>
        <w:bidi w:val="0"/>
        <w:snapToGrid w:val="0"/>
        <w:spacing w:line="360" w:lineRule="auto"/>
        <w:textAlignment w:val="auto"/>
        <w:outlineLvl w:val="9"/>
        <w:rPr>
          <w:rFonts w:ascii="仿宋_GB2312" w:hAnsi="仿宋"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 xml:space="preserve">                                                </w:t>
      </w:r>
      <w:r>
        <w:rPr>
          <w:rFonts w:hint="eastAsia" w:ascii="仿宋_GB2312" w:hAnsi="仿宋" w:eastAsia="仿宋_GB2312" w:cs="仿宋_GB2312"/>
          <w:color w:val="auto"/>
          <w:kern w:val="0"/>
          <w:sz w:val="24"/>
          <w:highlight w:val="none"/>
          <w:lang w:val="zh-CN"/>
        </w:rPr>
        <w:t>供应商名称(电子签名)：</w:t>
      </w:r>
    </w:p>
    <w:p w14:paraId="7663B1CA">
      <w:pPr>
        <w:keepNext w:val="0"/>
        <w:keepLines w:val="0"/>
        <w:pageBreakBefore w:val="0"/>
        <w:kinsoku/>
        <w:wordWrap/>
        <w:overflowPunct/>
        <w:topLinePunct w:val="0"/>
        <w:bidi w:val="0"/>
        <w:snapToGrid w:val="0"/>
        <w:spacing w:line="360" w:lineRule="auto"/>
        <w:textAlignment w:val="auto"/>
        <w:outlineLvl w:val="9"/>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 xml:space="preserve">                                                 签发日期：  年  月   日</w:t>
      </w:r>
    </w:p>
    <w:p w14:paraId="28581CE7">
      <w:pPr>
        <w:keepNext w:val="0"/>
        <w:keepLines w:val="0"/>
        <w:pageBreakBefore w:val="0"/>
        <w:kinsoku/>
        <w:wordWrap/>
        <w:overflowPunct/>
        <w:topLinePunct w:val="0"/>
        <w:bidi w:val="0"/>
        <w:snapToGrid w:val="0"/>
        <w:spacing w:line="360" w:lineRule="auto"/>
        <w:textAlignment w:val="auto"/>
        <w:outlineLvl w:val="9"/>
        <w:rPr>
          <w:rFonts w:ascii="仿宋_GB2312" w:hAnsi="仿宋_GB2312" w:eastAsia="仿宋_GB2312" w:cs="仿宋_GB2312"/>
          <w:color w:val="auto"/>
          <w:kern w:val="0"/>
          <w:sz w:val="24"/>
          <w:highlight w:val="none"/>
          <w:lang w:val="zh-CN"/>
        </w:rPr>
      </w:pPr>
    </w:p>
    <w:p w14:paraId="4D467C9E">
      <w:pPr>
        <w:keepNext w:val="0"/>
        <w:keepLines w:val="0"/>
        <w:pageBreakBefore w:val="0"/>
        <w:widowControl/>
        <w:kinsoku/>
        <w:wordWrap/>
        <w:overflowPunct/>
        <w:topLinePunct w:val="0"/>
        <w:bidi w:val="0"/>
        <w:adjustRightInd/>
        <w:jc w:val="center"/>
        <w:textAlignment w:val="auto"/>
        <w:outlineLvl w:val="9"/>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lang w:val="zh-CN"/>
        </w:rPr>
        <w:t>授权委托书（适用于联合体响应）</w:t>
      </w:r>
    </w:p>
    <w:p w14:paraId="7EA50EF6">
      <w:pPr>
        <w:keepNext w:val="0"/>
        <w:keepLines w:val="0"/>
        <w:pageBreakBefore w:val="0"/>
        <w:kinsoku/>
        <w:wordWrap/>
        <w:overflowPunct/>
        <w:topLinePunct w:val="0"/>
        <w:bidi w:val="0"/>
        <w:snapToGrid w:val="0"/>
        <w:spacing w:line="360" w:lineRule="auto"/>
        <w:textAlignment w:val="auto"/>
        <w:outlineLvl w:val="9"/>
        <w:rPr>
          <w:rFonts w:hint="eastAsia" w:ascii="仿宋_GB2312" w:hAnsi="仿宋" w:eastAsia="仿宋_GB2312" w:cs="仿宋_GB2312"/>
          <w:color w:val="auto"/>
          <w:sz w:val="24"/>
          <w:highlight w:val="none"/>
        </w:rPr>
      </w:pPr>
    </w:p>
    <w:p w14:paraId="00CEA519">
      <w:pPr>
        <w:keepNext w:val="0"/>
        <w:keepLines w:val="0"/>
        <w:pageBreakBefore w:val="0"/>
        <w:kinsoku/>
        <w:wordWrap/>
        <w:overflowPunct/>
        <w:topLinePunct w:val="0"/>
        <w:bidi w:val="0"/>
        <w:snapToGrid w:val="0"/>
        <w:spacing w:line="360" w:lineRule="auto"/>
        <w:textAlignment w:val="auto"/>
        <w:outlineLvl w:val="9"/>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14:paraId="659EAA75">
      <w:pPr>
        <w:keepNext w:val="0"/>
        <w:keepLines w:val="0"/>
        <w:pageBreakBefore w:val="0"/>
        <w:kinsoku/>
        <w:wordWrap/>
        <w:overflowPunct/>
        <w:topLinePunct w:val="0"/>
        <w:bidi w:val="0"/>
        <w:snapToGrid w:val="0"/>
        <w:spacing w:line="360" w:lineRule="auto"/>
        <w:ind w:firstLine="576"/>
        <w:textAlignment w:val="auto"/>
        <w:outlineLvl w:val="9"/>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现</w:t>
      </w:r>
      <w:r>
        <w:rPr>
          <w:rFonts w:hint="eastAsia" w:ascii="仿宋_GB2312" w:hAnsi="仿宋" w:eastAsia="仿宋_GB2312" w:cs="仿宋_GB2312"/>
          <w:color w:val="auto"/>
          <w:kern w:val="0"/>
          <w:sz w:val="24"/>
          <w:highlight w:val="none"/>
          <w:lang w:val="zh-CN"/>
        </w:rPr>
        <w:t>委托</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（姓名）为我方代理人（身份证号码：</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，手机：</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），以我方名义处理</w:t>
      </w:r>
      <w:r>
        <w:rPr>
          <w:rFonts w:hint="eastAsia" w:ascii="仿宋_GB2312" w:hAnsi="仿宋" w:eastAsia="仿宋_GB2312" w:cs="仿宋_GB2312"/>
          <w:color w:val="auto"/>
          <w:sz w:val="24"/>
          <w:highlight w:val="none"/>
        </w:rPr>
        <w:t>（项目名称）【编号：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政府采购响应的一切事项，其法律后果由我方承担。</w:t>
      </w:r>
    </w:p>
    <w:p w14:paraId="0473C615">
      <w:pPr>
        <w:keepNext w:val="0"/>
        <w:keepLines w:val="0"/>
        <w:pageBreakBefore w:val="0"/>
        <w:kinsoku/>
        <w:wordWrap/>
        <w:overflowPunct/>
        <w:topLinePunct w:val="0"/>
        <w:bidi w:val="0"/>
        <w:snapToGrid w:val="0"/>
        <w:spacing w:line="360" w:lineRule="auto"/>
        <w:textAlignment w:val="auto"/>
        <w:outlineLvl w:val="9"/>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本授权书有效期</w:t>
      </w:r>
      <w:r>
        <w:rPr>
          <w:rFonts w:hint="eastAsia" w:ascii="仿宋_GB2312" w:hAnsi="仿宋" w:eastAsia="仿宋_GB2312" w:cs="仿宋_GB2312"/>
          <w:color w:val="auto"/>
          <w:kern w:val="0"/>
          <w:sz w:val="24"/>
          <w:highlight w:val="none"/>
        </w:rPr>
        <w:t>：</w:t>
      </w:r>
      <w:r>
        <w:rPr>
          <w:rFonts w:hint="eastAsia" w:ascii="仿宋_GB2312" w:hAnsi="仿宋" w:eastAsia="仿宋_GB2312" w:cs="仿宋_GB2312"/>
          <w:color w:val="auto"/>
          <w:kern w:val="0"/>
          <w:sz w:val="24"/>
          <w:highlight w:val="none"/>
          <w:lang w:val="zh-CN"/>
        </w:rPr>
        <w:t>自</w:t>
      </w:r>
      <w:r>
        <w:rPr>
          <w:rFonts w:ascii="仿宋_GB2312" w:hAnsi="仿宋" w:eastAsia="仿宋_GB2312" w:cs="仿宋_GB2312"/>
          <w:color w:val="auto"/>
          <w:kern w:val="0"/>
          <w:sz w:val="24"/>
          <w:highlight w:val="none"/>
          <w:u w:val="singl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u w:val="single"/>
        </w:rPr>
        <w:t xml:space="preserve"> </w:t>
      </w:r>
      <w:r>
        <w:rPr>
          <w:rFonts w:hint="eastAsia" w:ascii="仿宋_GB2312" w:hAnsi="仿宋" w:eastAsia="仿宋_GB2312" w:cs="仿宋_GB2312"/>
          <w:color w:val="auto"/>
          <w:kern w:val="0"/>
          <w:sz w:val="24"/>
          <w:highlight w:val="none"/>
          <w:u w:val="single"/>
          <w:lang w:val="en-US" w:eastAsia="zh-CN"/>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u w:val="single"/>
        </w:rPr>
        <w:t xml:space="preserve">  </w:t>
      </w:r>
      <w:r>
        <w:rPr>
          <w:rFonts w:hint="eastAsia" w:ascii="仿宋_GB2312" w:hAnsi="仿宋" w:eastAsia="仿宋_GB2312" w:cs="仿宋_GB2312"/>
          <w:color w:val="auto"/>
          <w:kern w:val="0"/>
          <w:sz w:val="24"/>
          <w:highlight w:val="none"/>
          <w:lang w:val="zh-CN"/>
        </w:rPr>
        <w:t>日起至</w:t>
      </w:r>
      <w:r>
        <w:rPr>
          <w:rFonts w:ascii="仿宋_GB2312" w:hAnsi="仿宋" w:eastAsia="仿宋_GB2312" w:cs="仿宋_GB2312"/>
          <w:color w:val="auto"/>
          <w:kern w:val="0"/>
          <w:sz w:val="24"/>
          <w:highlight w:val="none"/>
          <w:u w:val="singl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u w:val="singl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u w:val="single"/>
        </w:rPr>
        <w:t xml:space="preserve">  </w:t>
      </w:r>
      <w:r>
        <w:rPr>
          <w:rFonts w:hint="eastAsia" w:ascii="仿宋_GB2312" w:hAnsi="仿宋" w:eastAsia="仿宋_GB2312" w:cs="仿宋_GB2312"/>
          <w:color w:val="auto"/>
          <w:kern w:val="0"/>
          <w:sz w:val="24"/>
          <w:highlight w:val="none"/>
          <w:lang w:val="zh-CN"/>
        </w:rPr>
        <w:t>日止。</w:t>
      </w:r>
    </w:p>
    <w:p w14:paraId="6B7E3104">
      <w:pPr>
        <w:keepNext w:val="0"/>
        <w:keepLines w:val="0"/>
        <w:pageBreakBefore w:val="0"/>
        <w:kinsoku/>
        <w:wordWrap/>
        <w:overflowPunct/>
        <w:topLinePunct w:val="0"/>
        <w:bidi w:val="0"/>
        <w:snapToGrid w:val="0"/>
        <w:spacing w:line="360" w:lineRule="auto"/>
        <w:textAlignment w:val="auto"/>
        <w:outlineLvl w:val="9"/>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特此告知。</w:t>
      </w:r>
    </w:p>
    <w:p w14:paraId="09969DBB">
      <w:pPr>
        <w:keepNext w:val="0"/>
        <w:keepLines w:val="0"/>
        <w:pageBreakBefore w:val="0"/>
        <w:kinsoku/>
        <w:wordWrap/>
        <w:overflowPunct/>
        <w:topLinePunct w:val="0"/>
        <w:bidi w:val="0"/>
        <w:textAlignment w:val="auto"/>
        <w:outlineLvl w:val="9"/>
        <w:rPr>
          <w:color w:val="auto"/>
          <w:highlight w:val="none"/>
        </w:rPr>
      </w:pPr>
    </w:p>
    <w:p w14:paraId="4FCC0A1D">
      <w:pPr>
        <w:keepNext w:val="0"/>
        <w:keepLines w:val="0"/>
        <w:pageBreakBefore w:val="0"/>
        <w:kinsoku/>
        <w:wordWrap/>
        <w:overflowPunct/>
        <w:topLinePunct w:val="0"/>
        <w:bidi w:val="0"/>
        <w:snapToGrid w:val="0"/>
        <w:spacing w:line="360" w:lineRule="auto"/>
        <w:textAlignment w:val="auto"/>
        <w:outlineLvl w:val="9"/>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14:paraId="573717D6">
      <w:pPr>
        <w:keepNext w:val="0"/>
        <w:keepLines w:val="0"/>
        <w:pageBreakBefore w:val="0"/>
        <w:kinsoku/>
        <w:wordWrap/>
        <w:overflowPunct/>
        <w:topLinePunct w:val="0"/>
        <w:bidi w:val="0"/>
        <w:snapToGrid w:val="0"/>
        <w:spacing w:line="360" w:lineRule="auto"/>
        <w:textAlignment w:val="auto"/>
        <w:outlineLvl w:val="9"/>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14:paraId="2D6F91D2">
      <w:pPr>
        <w:keepNext w:val="0"/>
        <w:keepLines w:val="0"/>
        <w:pageBreakBefore w:val="0"/>
        <w:kinsoku/>
        <w:wordWrap/>
        <w:overflowPunct/>
        <w:topLinePunct w:val="0"/>
        <w:bidi w:val="0"/>
        <w:snapToGrid w:val="0"/>
        <w:spacing w:line="360" w:lineRule="auto"/>
        <w:ind w:firstLine="5760" w:firstLineChars="2400"/>
        <w:textAlignment w:val="auto"/>
        <w:outlineLvl w:val="9"/>
        <w:rPr>
          <w:color w:val="auto"/>
          <w:highlight w:val="none"/>
        </w:rPr>
      </w:pPr>
      <w:r>
        <w:rPr>
          <w:rFonts w:hint="eastAsia" w:ascii="仿宋_GB2312" w:hAnsi="仿宋" w:eastAsia="仿宋_GB2312" w:cs="仿宋_GB2312"/>
          <w:color w:val="auto"/>
          <w:kern w:val="0"/>
          <w:sz w:val="24"/>
          <w:highlight w:val="none"/>
          <w:lang w:val="zh-CN"/>
        </w:rPr>
        <w:t>……</w:t>
      </w:r>
    </w:p>
    <w:p w14:paraId="596C92C8">
      <w:pPr>
        <w:keepNext w:val="0"/>
        <w:keepLines w:val="0"/>
        <w:pageBreakBefore w:val="0"/>
        <w:kinsoku/>
        <w:wordWrap/>
        <w:overflowPunct/>
        <w:topLinePunct w:val="0"/>
        <w:bidi w:val="0"/>
        <w:snapToGrid w:val="0"/>
        <w:spacing w:line="360" w:lineRule="auto"/>
        <w:jc w:val="center"/>
        <w:textAlignment w:val="auto"/>
        <w:outlineLvl w:val="9"/>
        <w:rPr>
          <w:rFonts w:hint="eastAsia" w:ascii="仿宋_GB2312" w:hAnsi="仿宋" w:eastAsia="仿宋_GB2312" w:cs="仿宋_GB2312"/>
          <w:b/>
          <w:color w:val="auto"/>
          <w:kern w:val="0"/>
          <w:sz w:val="32"/>
          <w:szCs w:val="32"/>
          <w:highlight w:val="none"/>
          <w:lang w:val="zh-CN"/>
        </w:rPr>
      </w:pPr>
      <w:r>
        <w:rPr>
          <w:rFonts w:ascii="仿宋_GB2312" w:hAnsi="仿宋" w:eastAsia="仿宋_GB2312" w:cs="仿宋_GB2312"/>
          <w:color w:val="auto"/>
          <w:kern w:val="0"/>
          <w:sz w:val="24"/>
          <w:highlight w:val="none"/>
          <w:lang w:val="zh-CN"/>
        </w:rPr>
        <w:t xml:space="preserve">                                               日期：  年  月   日</w:t>
      </w:r>
    </w:p>
    <w:p w14:paraId="3683B451">
      <w:pPr>
        <w:keepNext w:val="0"/>
        <w:keepLines w:val="0"/>
        <w:pageBreakBefore w:val="0"/>
        <w:kinsoku/>
        <w:wordWrap/>
        <w:overflowPunct/>
        <w:topLinePunct w:val="0"/>
        <w:bidi w:val="0"/>
        <w:textAlignment w:val="auto"/>
        <w:outlineLvl w:val="9"/>
        <w:rPr>
          <w:rFonts w:hint="eastAsia" w:ascii="仿宋_GB2312" w:hAnsi="仿宋_GB2312" w:eastAsia="仿宋_GB2312" w:cs="仿宋_GB2312"/>
          <w:b/>
          <w:bCs/>
          <w:color w:val="auto"/>
          <w:sz w:val="30"/>
          <w:szCs w:val="30"/>
          <w:highlight w:val="none"/>
        </w:rPr>
      </w:pPr>
      <w:r>
        <w:rPr>
          <w:rFonts w:hint="eastAsia" w:ascii="仿宋_GB2312" w:hAnsi="仿宋_GB2312" w:eastAsia="仿宋_GB2312" w:cs="仿宋_GB2312"/>
          <w:b/>
          <w:bCs/>
          <w:color w:val="auto"/>
          <w:sz w:val="30"/>
          <w:szCs w:val="30"/>
          <w:highlight w:val="none"/>
        </w:rPr>
        <w:br w:type="page"/>
      </w:r>
    </w:p>
    <w:p w14:paraId="64F76B49">
      <w:pPr>
        <w:keepNext w:val="0"/>
        <w:keepLines w:val="0"/>
        <w:pageBreakBefore w:val="0"/>
        <w:kinsoku/>
        <w:wordWrap/>
        <w:overflowPunct/>
        <w:topLinePunct w:val="0"/>
        <w:autoSpaceDE w:val="0"/>
        <w:autoSpaceDN w:val="0"/>
        <w:bidi w:val="0"/>
        <w:spacing w:line="360" w:lineRule="auto"/>
        <w:jc w:val="center"/>
        <w:textAlignment w:val="auto"/>
        <w:outlineLvl w:val="9"/>
        <w:rPr>
          <w:rFonts w:ascii="仿宋_GB2312" w:hAnsi="仿宋" w:eastAsia="仿宋_GB2312" w:cs="仿宋_GB2312"/>
          <w:b/>
          <w:color w:val="auto"/>
          <w:sz w:val="24"/>
          <w:highlight w:val="none"/>
        </w:rPr>
      </w:pPr>
      <w:r>
        <w:rPr>
          <w:rFonts w:hint="eastAsia" w:ascii="仿宋_GB2312" w:hAnsi="仿宋" w:eastAsia="仿宋_GB2312" w:cs="仿宋_GB2312"/>
          <w:b/>
          <w:color w:val="auto"/>
          <w:kern w:val="0"/>
          <w:sz w:val="32"/>
          <w:szCs w:val="32"/>
          <w:highlight w:val="none"/>
          <w:lang w:val="zh-CN"/>
        </w:rPr>
        <w:t>法定代表人、单位负责人或自然人本人</w:t>
      </w:r>
      <w:r>
        <w:rPr>
          <w:rFonts w:hint="eastAsia" w:ascii="仿宋_GB2312" w:hAnsi="仿宋" w:eastAsia="仿宋_GB2312" w:cs="仿宋_GB2312"/>
          <w:b/>
          <w:color w:val="auto"/>
          <w:sz w:val="30"/>
          <w:szCs w:val="30"/>
          <w:highlight w:val="none"/>
        </w:rPr>
        <w:t>的身份证明（适用于法定代表人、单位负责人或者自然人本人代表</w:t>
      </w:r>
      <w:r>
        <w:rPr>
          <w:rFonts w:hint="eastAsia" w:ascii="仿宋_GB2312" w:hAnsi="仿宋" w:eastAsia="仿宋_GB2312" w:cs="仿宋_GB2312"/>
          <w:b/>
          <w:color w:val="auto"/>
          <w:sz w:val="30"/>
          <w:szCs w:val="30"/>
          <w:highlight w:val="none"/>
          <w:lang w:eastAsia="zh-CN"/>
        </w:rPr>
        <w:t>供应商</w:t>
      </w:r>
      <w:r>
        <w:rPr>
          <w:rFonts w:hint="eastAsia" w:ascii="仿宋_GB2312" w:hAnsi="仿宋" w:eastAsia="仿宋_GB2312" w:cs="仿宋_GB2312"/>
          <w:b/>
          <w:color w:val="auto"/>
          <w:sz w:val="30"/>
          <w:szCs w:val="30"/>
          <w:highlight w:val="none"/>
        </w:rPr>
        <w:t>参加</w:t>
      </w:r>
      <w:r>
        <w:rPr>
          <w:rFonts w:hint="eastAsia" w:ascii="仿宋_GB2312" w:hAnsi="仿宋" w:eastAsia="仿宋_GB2312" w:cs="仿宋_GB2312"/>
          <w:b/>
          <w:color w:val="auto"/>
          <w:sz w:val="30"/>
          <w:szCs w:val="30"/>
          <w:highlight w:val="none"/>
          <w:lang w:eastAsia="zh-CN"/>
        </w:rPr>
        <w:t>响应</w:t>
      </w:r>
      <w:r>
        <w:rPr>
          <w:rFonts w:hint="eastAsia" w:ascii="仿宋_GB2312" w:hAnsi="仿宋" w:eastAsia="仿宋_GB2312" w:cs="仿宋_GB2312"/>
          <w:b/>
          <w:color w:val="auto"/>
          <w:sz w:val="30"/>
          <w:szCs w:val="30"/>
          <w:highlight w:val="none"/>
        </w:rPr>
        <w:t>）</w:t>
      </w:r>
    </w:p>
    <w:p w14:paraId="22FF6AB3">
      <w:pPr>
        <w:pStyle w:val="621"/>
        <w:keepNext w:val="0"/>
        <w:keepLines w:val="0"/>
        <w:pageBreakBefore w:val="0"/>
        <w:kinsoku/>
        <w:wordWrap/>
        <w:overflowPunct/>
        <w:topLinePunct w:val="0"/>
        <w:bidi w:val="0"/>
        <w:spacing w:line="360" w:lineRule="auto"/>
        <w:textAlignment w:val="auto"/>
        <w:outlineLvl w:val="9"/>
        <w:rPr>
          <w:rFonts w:ascii="仿宋_GB2312" w:hAnsi="仿宋" w:eastAsia="仿宋_GB2312"/>
          <w:bCs/>
          <w:color w:val="auto"/>
          <w:sz w:val="24"/>
          <w:highlight w:val="none"/>
        </w:rPr>
      </w:pPr>
      <w:r>
        <w:rPr>
          <w:rFonts w:hint="eastAsia" w:ascii="仿宋_GB2312" w:hAnsi="仿宋" w:eastAsia="仿宋_GB2312"/>
          <w:bCs/>
          <w:color w:val="auto"/>
          <w:sz w:val="24"/>
          <w:highlight w:val="none"/>
        </w:rPr>
        <w:t>身份证件扫描件：</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EB0A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EA50BF6">
            <w:pPr>
              <w:pStyle w:val="621"/>
              <w:keepNext w:val="0"/>
              <w:keepLines w:val="0"/>
              <w:pageBreakBefore w:val="0"/>
              <w:kinsoku/>
              <w:wordWrap/>
              <w:overflowPunct/>
              <w:topLinePunct w:val="0"/>
              <w:bidi w:val="0"/>
              <w:adjustRightInd w:val="0"/>
              <w:spacing w:line="360" w:lineRule="auto"/>
              <w:textAlignment w:val="auto"/>
              <w:outlineLvl w:val="9"/>
              <w:rPr>
                <w:rFonts w:ascii="仿宋_GB2312" w:hAnsi="仿宋" w:eastAsia="仿宋_GB2312"/>
                <w:bCs/>
                <w:color w:val="auto"/>
                <w:sz w:val="24"/>
                <w:highlight w:val="none"/>
              </w:rPr>
            </w:pPr>
            <w:r>
              <w:rPr>
                <w:rFonts w:hint="eastAsia" w:ascii="仿宋_GB2312" w:hAnsi="仿宋" w:eastAsia="仿宋_GB2312"/>
                <w:bCs/>
                <w:color w:val="auto"/>
                <w:sz w:val="24"/>
                <w:highlight w:val="none"/>
              </w:rPr>
              <w:t>正面：</w:t>
            </w:r>
            <w:r>
              <w:rPr>
                <w:rFonts w:ascii="仿宋_GB2312" w:hAnsi="仿宋" w:eastAsia="仿宋_GB2312"/>
                <w:bCs/>
                <w:color w:val="auto"/>
                <w:sz w:val="24"/>
                <w:highlight w:val="none"/>
              </w:rPr>
              <w:t xml:space="preserve">                                 </w:t>
            </w:r>
            <w:r>
              <w:rPr>
                <w:rFonts w:hint="eastAsia" w:ascii="仿宋_GB2312" w:hAnsi="仿宋" w:eastAsia="仿宋_GB2312"/>
                <w:bCs/>
                <w:color w:val="auto"/>
                <w:sz w:val="24"/>
                <w:highlight w:val="none"/>
              </w:rPr>
              <w:t>反面：</w:t>
            </w:r>
          </w:p>
          <w:p w14:paraId="41A8DDE7">
            <w:pPr>
              <w:pStyle w:val="621"/>
              <w:keepNext w:val="0"/>
              <w:keepLines w:val="0"/>
              <w:pageBreakBefore w:val="0"/>
              <w:kinsoku/>
              <w:wordWrap/>
              <w:overflowPunct/>
              <w:topLinePunct w:val="0"/>
              <w:bidi w:val="0"/>
              <w:adjustRightInd w:val="0"/>
              <w:spacing w:line="360" w:lineRule="auto"/>
              <w:textAlignment w:val="auto"/>
              <w:outlineLvl w:val="9"/>
              <w:rPr>
                <w:rFonts w:ascii="仿宋_GB2312" w:hAnsi="仿宋" w:eastAsia="仿宋_GB2312"/>
                <w:bCs/>
                <w:color w:val="auto"/>
                <w:sz w:val="24"/>
                <w:highlight w:val="none"/>
              </w:rPr>
            </w:pPr>
          </w:p>
        </w:tc>
      </w:tr>
    </w:tbl>
    <w:p w14:paraId="75C82925">
      <w:pPr>
        <w:keepNext w:val="0"/>
        <w:keepLines w:val="0"/>
        <w:pageBreakBefore w:val="0"/>
        <w:kinsoku/>
        <w:wordWrap/>
        <w:overflowPunct/>
        <w:topLinePunct w:val="0"/>
        <w:bidi w:val="0"/>
        <w:snapToGrid w:val="0"/>
        <w:spacing w:line="360" w:lineRule="auto"/>
        <w:ind w:firstLine="576"/>
        <w:jc w:val="center"/>
        <w:textAlignment w:val="auto"/>
        <w:outlineLvl w:val="9"/>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w:t>
      </w:r>
    </w:p>
    <w:p w14:paraId="7173E571">
      <w:pPr>
        <w:keepNext w:val="0"/>
        <w:keepLines w:val="0"/>
        <w:pageBreakBefore w:val="0"/>
        <w:kinsoku/>
        <w:wordWrap/>
        <w:overflowPunct/>
        <w:topLinePunct w:val="0"/>
        <w:bidi w:val="0"/>
        <w:snapToGrid w:val="0"/>
        <w:spacing w:line="360" w:lineRule="auto"/>
        <w:ind w:firstLine="576"/>
        <w:jc w:val="center"/>
        <w:textAlignment w:val="auto"/>
        <w:outlineLvl w:val="9"/>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w:t>
      </w:r>
      <w:r>
        <w:rPr>
          <w:rFonts w:hint="eastAsia" w:ascii="仿宋_GB2312" w:hAnsi="仿宋" w:eastAsia="仿宋_GB2312" w:cs="仿宋_GB2312"/>
          <w:color w:val="auto"/>
          <w:kern w:val="0"/>
          <w:sz w:val="24"/>
          <w:highlight w:val="none"/>
          <w:lang w:val="zh-CN"/>
        </w:rPr>
        <w:t>供应商</w:t>
      </w:r>
      <w:r>
        <w:rPr>
          <w:rFonts w:ascii="仿宋_GB2312" w:hAnsi="仿宋" w:eastAsia="仿宋_GB2312" w:cs="仿宋_GB2312"/>
          <w:color w:val="auto"/>
          <w:kern w:val="0"/>
          <w:sz w:val="24"/>
          <w:highlight w:val="none"/>
          <w:lang w:val="zh-CN"/>
        </w:rPr>
        <w:t xml:space="preserve">名称(电子签名)：                              </w:t>
      </w:r>
    </w:p>
    <w:p w14:paraId="116DB670">
      <w:pPr>
        <w:keepNext w:val="0"/>
        <w:keepLines w:val="0"/>
        <w:pageBreakBefore w:val="0"/>
        <w:kinsoku/>
        <w:wordWrap/>
        <w:overflowPunct/>
        <w:topLinePunct w:val="0"/>
        <w:bidi w:val="0"/>
        <w:spacing w:line="360" w:lineRule="auto"/>
        <w:jc w:val="center"/>
        <w:textAlignment w:val="auto"/>
        <w:outlineLvl w:val="9"/>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14:paraId="10C83711">
      <w:pPr>
        <w:pStyle w:val="22"/>
        <w:keepNext w:val="0"/>
        <w:keepLines w:val="0"/>
        <w:pageBreakBefore w:val="0"/>
        <w:kinsoku/>
        <w:wordWrap/>
        <w:overflowPunct/>
        <w:topLinePunct w:val="0"/>
        <w:bidi w:val="0"/>
        <w:textAlignment w:val="auto"/>
        <w:outlineLvl w:val="9"/>
        <w:rPr>
          <w:color w:val="auto"/>
          <w:highlight w:val="none"/>
        </w:rPr>
      </w:pPr>
    </w:p>
    <w:p w14:paraId="058189E5">
      <w:pPr>
        <w:keepNext w:val="0"/>
        <w:keepLines w:val="0"/>
        <w:pageBreakBefore w:val="0"/>
        <w:kinsoku/>
        <w:wordWrap/>
        <w:overflowPunct/>
        <w:topLinePunct w:val="0"/>
        <w:autoSpaceDE w:val="0"/>
        <w:autoSpaceDN w:val="0"/>
        <w:bidi w:val="0"/>
        <w:spacing w:line="360" w:lineRule="auto"/>
        <w:jc w:val="center"/>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b/>
          <w:color w:val="auto"/>
          <w:sz w:val="30"/>
          <w:szCs w:val="30"/>
          <w:highlight w:val="none"/>
        </w:rPr>
        <w:t>授权代表的身份证（复印件）</w:t>
      </w:r>
    </w:p>
    <w:p w14:paraId="56D00E9B">
      <w:pPr>
        <w:pStyle w:val="621"/>
        <w:keepNext w:val="0"/>
        <w:keepLines w:val="0"/>
        <w:pageBreakBefore w:val="0"/>
        <w:kinsoku/>
        <w:wordWrap/>
        <w:overflowPunct/>
        <w:topLinePunct w:val="0"/>
        <w:bidi w:val="0"/>
        <w:spacing w:line="360" w:lineRule="auto"/>
        <w:textAlignment w:val="auto"/>
        <w:outlineLvl w:val="9"/>
        <w:rPr>
          <w:rFonts w:ascii="仿宋_GB2312" w:eastAsia="仿宋_GB2312"/>
          <w:bCs/>
          <w:color w:val="auto"/>
          <w:sz w:val="24"/>
          <w:highlight w:val="none"/>
        </w:rPr>
      </w:pPr>
      <w:r>
        <w:rPr>
          <w:rFonts w:hint="eastAsia" w:ascii="仿宋_GB2312" w:eastAsia="仿宋_GB2312"/>
          <w:bCs/>
          <w:color w:val="auto"/>
          <w:sz w:val="24"/>
          <w:highlight w:val="none"/>
        </w:rPr>
        <w:t>授权代表身份证件扫描件：</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5A51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2" w:hRule="atLeast"/>
          <w:jc w:val="center"/>
        </w:trPr>
        <w:tc>
          <w:tcPr>
            <w:tcW w:w="9207" w:type="dxa"/>
            <w:shd w:val="clear" w:color="auto" w:fill="auto"/>
          </w:tcPr>
          <w:p w14:paraId="52C5A6C3">
            <w:pPr>
              <w:pStyle w:val="621"/>
              <w:keepNext w:val="0"/>
              <w:keepLines w:val="0"/>
              <w:pageBreakBefore w:val="0"/>
              <w:kinsoku/>
              <w:wordWrap/>
              <w:overflowPunct/>
              <w:topLinePunct w:val="0"/>
              <w:bidi w:val="0"/>
              <w:spacing w:line="360" w:lineRule="auto"/>
              <w:textAlignment w:val="auto"/>
              <w:outlineLvl w:val="9"/>
              <w:rPr>
                <w:rFonts w:ascii="仿宋_GB2312" w:eastAsia="仿宋_GB2312"/>
                <w:bCs/>
                <w:color w:val="auto"/>
                <w:sz w:val="24"/>
                <w:highlight w:val="none"/>
              </w:rPr>
            </w:pPr>
            <w:r>
              <w:rPr>
                <w:rFonts w:hint="eastAsia" w:ascii="仿宋_GB2312" w:eastAsia="仿宋_GB2312"/>
                <w:bCs/>
                <w:color w:val="auto"/>
                <w:sz w:val="24"/>
                <w:highlight w:val="none"/>
              </w:rPr>
              <w:t>正面：                                 反面：</w:t>
            </w:r>
          </w:p>
          <w:p w14:paraId="59539500">
            <w:pPr>
              <w:pStyle w:val="621"/>
              <w:keepNext w:val="0"/>
              <w:keepLines w:val="0"/>
              <w:pageBreakBefore w:val="0"/>
              <w:kinsoku/>
              <w:wordWrap/>
              <w:overflowPunct/>
              <w:topLinePunct w:val="0"/>
              <w:bidi w:val="0"/>
              <w:spacing w:line="360" w:lineRule="auto"/>
              <w:textAlignment w:val="auto"/>
              <w:outlineLvl w:val="9"/>
              <w:rPr>
                <w:rFonts w:ascii="仿宋_GB2312" w:eastAsia="仿宋_GB2312"/>
                <w:bCs/>
                <w:color w:val="auto"/>
                <w:sz w:val="24"/>
                <w:highlight w:val="none"/>
              </w:rPr>
            </w:pPr>
          </w:p>
        </w:tc>
      </w:tr>
    </w:tbl>
    <w:p w14:paraId="7B498AA6">
      <w:pPr>
        <w:keepNext w:val="0"/>
        <w:keepLines w:val="0"/>
        <w:pageBreakBefore w:val="0"/>
        <w:kinsoku/>
        <w:wordWrap/>
        <w:overflowPunct/>
        <w:topLinePunct w:val="0"/>
        <w:bidi w:val="0"/>
        <w:snapToGrid w:val="0"/>
        <w:spacing w:line="360" w:lineRule="auto"/>
        <w:ind w:firstLine="576"/>
        <w:jc w:val="center"/>
        <w:textAlignment w:val="auto"/>
        <w:outlineLvl w:val="9"/>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 xml:space="preserve">                供应商名称(电子签名)：                              </w:t>
      </w:r>
    </w:p>
    <w:p w14:paraId="7B435F2E">
      <w:pPr>
        <w:keepNext w:val="0"/>
        <w:keepLines w:val="0"/>
        <w:pageBreakBefore w:val="0"/>
        <w:kinsoku/>
        <w:wordWrap/>
        <w:overflowPunct/>
        <w:topLinePunct w:val="0"/>
        <w:bidi w:val="0"/>
        <w:spacing w:line="360" w:lineRule="auto"/>
        <w:jc w:val="center"/>
        <w:textAlignment w:val="auto"/>
        <w:outlineLvl w:val="9"/>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 xml:space="preserve">                   日期：  年  月</w:t>
      </w:r>
    </w:p>
    <w:p w14:paraId="0DAFCACA">
      <w:pPr>
        <w:keepNext w:val="0"/>
        <w:keepLines w:val="0"/>
        <w:pageBreakBefore w:val="0"/>
        <w:kinsoku/>
        <w:wordWrap/>
        <w:overflowPunct/>
        <w:topLinePunct w:val="0"/>
        <w:bidi w:val="0"/>
        <w:snapToGrid w:val="0"/>
        <w:spacing w:line="360" w:lineRule="auto"/>
        <w:ind w:firstLine="576"/>
        <w:jc w:val="center"/>
        <w:textAlignment w:val="auto"/>
        <w:outlineLvl w:val="9"/>
        <w:rPr>
          <w:rFonts w:ascii="仿宋_GB2312" w:hAnsi="仿宋_GB2312" w:eastAsia="仿宋_GB2312" w:cs="仿宋_GB2312"/>
          <w:color w:val="auto"/>
          <w:sz w:val="28"/>
          <w:szCs w:val="28"/>
          <w:highlight w:val="none"/>
        </w:rPr>
      </w:pPr>
    </w:p>
    <w:p w14:paraId="30E31C28">
      <w:pPr>
        <w:keepNext w:val="0"/>
        <w:keepLines w:val="0"/>
        <w:pageBreakBefore w:val="0"/>
        <w:widowControl/>
        <w:kinsoku/>
        <w:wordWrap/>
        <w:overflowPunct/>
        <w:topLinePunct w:val="0"/>
        <w:bidi w:val="0"/>
        <w:adjustRightInd/>
        <w:jc w:val="left"/>
        <w:textAlignment w:val="auto"/>
        <w:outlineLvl w:val="9"/>
        <w:rPr>
          <w:rFonts w:ascii="仿宋_GB2312" w:hAnsi="仿宋_GB2312" w:eastAsia="仿宋_GB2312" w:cs="仿宋_GB2312"/>
          <w:b/>
          <w:color w:val="auto"/>
          <w:kern w:val="0"/>
          <w:sz w:val="32"/>
          <w:szCs w:val="32"/>
          <w:highlight w:val="none"/>
          <w:lang w:val="zh-CN"/>
        </w:rPr>
      </w:pPr>
      <w:r>
        <w:rPr>
          <w:rFonts w:ascii="仿宋_GB2312" w:hAnsi="仿宋_GB2312" w:eastAsia="仿宋_GB2312" w:cs="仿宋_GB2312"/>
          <w:b/>
          <w:color w:val="auto"/>
          <w:kern w:val="0"/>
          <w:sz w:val="32"/>
          <w:szCs w:val="32"/>
          <w:highlight w:val="none"/>
          <w:lang w:val="zh-CN"/>
        </w:rPr>
        <w:br w:type="page"/>
      </w:r>
    </w:p>
    <w:p w14:paraId="362338FB">
      <w:pPr>
        <w:keepNext w:val="0"/>
        <w:keepLines w:val="0"/>
        <w:pageBreakBefore w:val="0"/>
        <w:kinsoku/>
        <w:wordWrap/>
        <w:overflowPunct/>
        <w:topLinePunct w:val="0"/>
        <w:bidi w:val="0"/>
        <w:textAlignment w:val="auto"/>
        <w:outlineLvl w:val="9"/>
        <w:rPr>
          <w:rFonts w:hint="eastAsia" w:ascii="仿宋_GB2312" w:hAnsi="仿宋" w:eastAsia="仿宋_GB2312" w:cs="仿宋_GB2312"/>
          <w:b/>
          <w:color w:val="auto"/>
          <w:kern w:val="0"/>
          <w:sz w:val="32"/>
          <w:szCs w:val="32"/>
          <w:highlight w:val="none"/>
          <w:lang w:val="zh-CN"/>
        </w:rPr>
      </w:pPr>
    </w:p>
    <w:p w14:paraId="64DA8F8D">
      <w:pPr>
        <w:keepNext w:val="0"/>
        <w:keepLines w:val="0"/>
        <w:pageBreakBefore w:val="0"/>
        <w:kinsoku/>
        <w:wordWrap/>
        <w:overflowPunct/>
        <w:topLinePunct w:val="0"/>
        <w:bidi w:val="0"/>
        <w:snapToGrid w:val="0"/>
        <w:spacing w:line="360" w:lineRule="auto"/>
        <w:jc w:val="center"/>
        <w:textAlignment w:val="auto"/>
        <w:outlineLvl w:val="9"/>
        <w:rPr>
          <w:rFonts w:hint="eastAsia"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三、分包意向协议（如果有）</w:t>
      </w:r>
    </w:p>
    <w:p w14:paraId="3CB8FF6F">
      <w:pPr>
        <w:keepNext w:val="0"/>
        <w:keepLines w:val="0"/>
        <w:pageBreakBefore w:val="0"/>
        <w:widowControl/>
        <w:kinsoku/>
        <w:wordWrap/>
        <w:overflowPunct/>
        <w:topLinePunct w:val="0"/>
        <w:bidi w:val="0"/>
        <w:spacing w:line="360" w:lineRule="auto"/>
        <w:ind w:firstLine="120" w:firstLineChars="50"/>
        <w:jc w:val="left"/>
        <w:textAlignment w:val="auto"/>
        <w:outlineLvl w:val="9"/>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lang w:eastAsia="zh-CN"/>
        </w:rPr>
        <w:t>成交</w:t>
      </w:r>
      <w:r>
        <w:rPr>
          <w:rFonts w:hint="eastAsia" w:ascii="仿宋_GB2312" w:hAnsi="仿宋" w:eastAsia="仿宋_GB2312" w:cs="仿宋_GB2312"/>
          <w:b/>
          <w:color w:val="auto"/>
          <w:sz w:val="24"/>
          <w:highlight w:val="none"/>
        </w:rPr>
        <w:t>后以分包方式履行合同的，提供分包意向协议</w:t>
      </w:r>
      <w:r>
        <w:rPr>
          <w:rFonts w:hint="eastAsia" w:ascii="仿宋_GB2312" w:hAnsi="仿宋" w:eastAsia="仿宋_GB2312" w:cs="仿宋_GB2312"/>
          <w:b/>
          <w:color w:val="auto"/>
          <w:sz w:val="24"/>
          <w:highlight w:val="none"/>
          <w:lang w:eastAsia="zh-CN"/>
        </w:rPr>
        <w:t>（附件</w:t>
      </w:r>
      <w:r>
        <w:rPr>
          <w:rFonts w:hint="eastAsia" w:ascii="仿宋_GB2312" w:hAnsi="仿宋" w:eastAsia="仿宋_GB2312" w:cs="仿宋_GB2312"/>
          <w:b/>
          <w:color w:val="auto"/>
          <w:sz w:val="24"/>
          <w:highlight w:val="none"/>
          <w:lang w:val="en-US" w:eastAsia="zh-CN"/>
        </w:rPr>
        <w:t>6）</w:t>
      </w:r>
      <w:r>
        <w:rPr>
          <w:rFonts w:hint="eastAsia" w:ascii="仿宋_GB2312" w:hAnsi="仿宋" w:eastAsia="仿宋_GB2312" w:cs="仿宋_GB2312"/>
          <w:b/>
          <w:color w:val="auto"/>
          <w:sz w:val="24"/>
          <w:highlight w:val="none"/>
        </w:rPr>
        <w:t>；采购人不同意分包或者</w:t>
      </w:r>
      <w:r>
        <w:rPr>
          <w:rFonts w:hint="eastAsia" w:ascii="仿宋_GB2312" w:hAnsi="仿宋" w:eastAsia="仿宋_GB2312" w:cs="仿宋_GB2312"/>
          <w:b/>
          <w:color w:val="auto"/>
          <w:sz w:val="24"/>
          <w:highlight w:val="none"/>
          <w:lang w:eastAsia="zh-CN"/>
        </w:rPr>
        <w:t>供应商成交</w:t>
      </w:r>
      <w:r>
        <w:rPr>
          <w:rFonts w:hint="eastAsia" w:ascii="仿宋_GB2312" w:hAnsi="仿宋" w:eastAsia="仿宋_GB2312" w:cs="仿宋_GB2312"/>
          <w:b/>
          <w:color w:val="auto"/>
          <w:sz w:val="24"/>
          <w:highlight w:val="none"/>
        </w:rPr>
        <w:t>后不以分包方式履行合同的，则不需要提供。</w:t>
      </w:r>
      <w:r>
        <w:rPr>
          <w:rFonts w:hint="eastAsia" w:ascii="仿宋_GB2312" w:hAnsi="仿宋" w:eastAsia="仿宋_GB2312" w:cs="仿宋_GB2312"/>
          <w:color w:val="auto"/>
          <w:sz w:val="24"/>
          <w:highlight w:val="none"/>
        </w:rPr>
        <w:t>）</w:t>
      </w:r>
    </w:p>
    <w:p w14:paraId="323860DB">
      <w:pPr>
        <w:keepNext w:val="0"/>
        <w:keepLines w:val="0"/>
        <w:pageBreakBefore w:val="0"/>
        <w:kinsoku/>
        <w:wordWrap/>
        <w:overflowPunct/>
        <w:topLinePunct w:val="0"/>
        <w:bidi w:val="0"/>
        <w:textAlignment w:val="auto"/>
        <w:outlineLvl w:val="9"/>
        <w:rPr>
          <w:rFonts w:hint="eastAsia" w:ascii="仿宋_GB2312" w:hAnsi="仿宋" w:eastAsia="仿宋_GB2312" w:cs="仿宋_GB2312"/>
          <w:b/>
          <w:color w:val="auto"/>
          <w:kern w:val="0"/>
          <w:sz w:val="32"/>
          <w:szCs w:val="32"/>
          <w:highlight w:val="none"/>
          <w:lang w:val="zh-CN"/>
        </w:rPr>
      </w:pPr>
    </w:p>
    <w:p w14:paraId="398FEDB3">
      <w:pPr>
        <w:keepNext w:val="0"/>
        <w:keepLines w:val="0"/>
        <w:pageBreakBefore w:val="0"/>
        <w:kinsoku/>
        <w:wordWrap/>
        <w:overflowPunct/>
        <w:topLinePunct w:val="0"/>
        <w:bidi w:val="0"/>
        <w:textAlignment w:val="auto"/>
        <w:outlineLvl w:val="9"/>
        <w:rPr>
          <w:rFonts w:hint="eastAsia"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br w:type="page"/>
      </w:r>
    </w:p>
    <w:p w14:paraId="1F80E941">
      <w:pPr>
        <w:keepNext w:val="0"/>
        <w:keepLines w:val="0"/>
        <w:pageBreakBefore w:val="0"/>
        <w:kinsoku/>
        <w:wordWrap/>
        <w:overflowPunct/>
        <w:topLinePunct w:val="0"/>
        <w:bidi w:val="0"/>
        <w:snapToGrid w:val="0"/>
        <w:spacing w:line="360" w:lineRule="auto"/>
        <w:jc w:val="center"/>
        <w:textAlignment w:val="auto"/>
        <w:outlineLvl w:val="9"/>
        <w:rPr>
          <w:rFonts w:hint="eastAsia"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四、符合性审查资料</w:t>
      </w:r>
    </w:p>
    <w:p w14:paraId="7532F886">
      <w:pPr>
        <w:keepNext w:val="0"/>
        <w:keepLines w:val="0"/>
        <w:pageBreakBefore w:val="0"/>
        <w:kinsoku/>
        <w:wordWrap/>
        <w:overflowPunct/>
        <w:topLinePunct w:val="0"/>
        <w:bidi w:val="0"/>
        <w:jc w:val="center"/>
        <w:textAlignment w:val="auto"/>
        <w:outlineLvl w:val="9"/>
        <w:rPr>
          <w:rFonts w:ascii="仿宋_GB2312" w:hAnsi="仿宋" w:eastAsia="仿宋_GB2312" w:cs="仿宋_GB2312"/>
          <w:b/>
          <w:color w:val="auto"/>
          <w:kern w:val="0"/>
          <w:sz w:val="32"/>
          <w:szCs w:val="32"/>
          <w:highlight w:val="none"/>
        </w:rPr>
      </w:pPr>
    </w:p>
    <w:tbl>
      <w:tblPr>
        <w:tblStyle w:val="60"/>
        <w:tblW w:w="91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245"/>
        <w:gridCol w:w="2551"/>
        <w:gridCol w:w="1672"/>
      </w:tblGrid>
      <w:tr w14:paraId="4B025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9936F3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 w:hAnsi="仿宋" w:eastAsia="仿宋"/>
                <w:b/>
                <w:color w:val="auto"/>
                <w:sz w:val="24"/>
                <w:highlight w:val="none"/>
              </w:rPr>
            </w:pPr>
            <w:r>
              <w:rPr>
                <w:rFonts w:hint="eastAsia" w:ascii="仿宋" w:hAnsi="仿宋" w:eastAsia="仿宋"/>
                <w:b/>
                <w:color w:val="auto"/>
                <w:sz w:val="24"/>
                <w:highlight w:val="none"/>
              </w:rPr>
              <w:t>序号</w:t>
            </w:r>
          </w:p>
        </w:tc>
        <w:tc>
          <w:tcPr>
            <w:tcW w:w="4245" w:type="dxa"/>
            <w:vAlign w:val="center"/>
          </w:tcPr>
          <w:p w14:paraId="3D0DFD3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 w:hAnsi="仿宋" w:eastAsia="仿宋"/>
                <w:b/>
                <w:color w:val="auto"/>
                <w:sz w:val="24"/>
                <w:highlight w:val="none"/>
              </w:rPr>
            </w:pPr>
            <w:r>
              <w:rPr>
                <w:rFonts w:hint="eastAsia" w:ascii="仿宋" w:hAnsi="仿宋" w:eastAsia="仿宋"/>
                <w:b/>
                <w:color w:val="auto"/>
                <w:sz w:val="24"/>
                <w:highlight w:val="none"/>
              </w:rPr>
              <w:t>实质性要求</w:t>
            </w:r>
          </w:p>
        </w:tc>
        <w:tc>
          <w:tcPr>
            <w:tcW w:w="2551" w:type="dxa"/>
            <w:vAlign w:val="center"/>
          </w:tcPr>
          <w:p w14:paraId="15B82E4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 w:hAnsi="仿宋" w:eastAsia="仿宋"/>
                <w:b/>
                <w:color w:val="auto"/>
                <w:sz w:val="24"/>
                <w:highlight w:val="none"/>
              </w:rPr>
            </w:pPr>
            <w:r>
              <w:rPr>
                <w:rFonts w:hint="eastAsia" w:ascii="仿宋" w:hAnsi="仿宋" w:eastAsia="仿宋"/>
                <w:b/>
                <w:color w:val="auto"/>
                <w:sz w:val="24"/>
                <w:highlight w:val="none"/>
              </w:rPr>
              <w:t>需要提供的符合性审查资料</w:t>
            </w:r>
          </w:p>
        </w:tc>
        <w:tc>
          <w:tcPr>
            <w:tcW w:w="1672" w:type="dxa"/>
            <w:vAlign w:val="center"/>
          </w:tcPr>
          <w:p w14:paraId="364F486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 w:hAnsi="仿宋" w:eastAsia="仿宋"/>
                <w:b/>
                <w:color w:val="auto"/>
                <w:sz w:val="24"/>
                <w:highlight w:val="none"/>
              </w:rPr>
            </w:pPr>
            <w:r>
              <w:rPr>
                <w:rFonts w:hint="eastAsia" w:ascii="仿宋" w:hAnsi="仿宋" w:eastAsia="仿宋"/>
                <w:b/>
                <w:color w:val="auto"/>
                <w:sz w:val="24"/>
                <w:highlight w:val="none"/>
                <w:lang w:eastAsia="zh-CN"/>
              </w:rPr>
              <w:t>响应</w:t>
            </w:r>
            <w:r>
              <w:rPr>
                <w:rFonts w:hint="eastAsia" w:ascii="仿宋" w:hAnsi="仿宋" w:eastAsia="仿宋"/>
                <w:b/>
                <w:color w:val="auto"/>
                <w:sz w:val="24"/>
                <w:highlight w:val="none"/>
              </w:rPr>
              <w:t>文件中的页码位置</w:t>
            </w:r>
          </w:p>
        </w:tc>
      </w:tr>
      <w:tr w14:paraId="1918E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1E26C7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eastAsia" w:ascii="仿宋" w:hAnsi="仿宋" w:eastAsia="仿宋" w:cs="Times New Roman"/>
                <w:b w:val="0"/>
                <w:bCs/>
                <w:color w:val="auto"/>
                <w:sz w:val="24"/>
                <w:highlight w:val="none"/>
              </w:rPr>
            </w:pPr>
            <w:r>
              <w:rPr>
                <w:rFonts w:hint="eastAsia" w:ascii="仿宋" w:hAnsi="仿宋" w:eastAsia="仿宋" w:cs="Times New Roman"/>
                <w:b w:val="0"/>
                <w:bCs/>
                <w:color w:val="auto"/>
                <w:sz w:val="24"/>
                <w:highlight w:val="none"/>
              </w:rPr>
              <w:t>1</w:t>
            </w:r>
          </w:p>
        </w:tc>
        <w:tc>
          <w:tcPr>
            <w:tcW w:w="4245" w:type="dxa"/>
            <w:vAlign w:val="center"/>
          </w:tcPr>
          <w:p w14:paraId="223BAE82">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lang w:eastAsia="zh-CN"/>
              </w:rPr>
              <w:t>响应</w:t>
            </w:r>
            <w:r>
              <w:rPr>
                <w:rFonts w:hint="eastAsia" w:ascii="仿宋_GB2312" w:hAnsi="仿宋" w:eastAsia="仿宋_GB2312" w:cs="仿宋_GB2312"/>
                <w:color w:val="auto"/>
                <w:sz w:val="24"/>
                <w:highlight w:val="none"/>
              </w:rPr>
              <w:t>文件按照</w:t>
            </w:r>
            <w:r>
              <w:rPr>
                <w:rFonts w:hint="eastAsia" w:ascii="仿宋_GB2312" w:hAnsi="仿宋" w:eastAsia="仿宋_GB2312" w:cs="仿宋_GB2312"/>
                <w:color w:val="auto"/>
                <w:sz w:val="24"/>
                <w:highlight w:val="none"/>
                <w:lang w:eastAsia="zh-CN"/>
              </w:rPr>
              <w:t>磋商</w:t>
            </w:r>
            <w:r>
              <w:rPr>
                <w:rFonts w:hint="eastAsia" w:ascii="仿宋_GB2312" w:hAnsi="仿宋" w:eastAsia="仿宋_GB2312" w:cs="仿宋_GB2312"/>
                <w:color w:val="auto"/>
                <w:sz w:val="24"/>
                <w:highlight w:val="none"/>
              </w:rPr>
              <w:t>文件要求签署、盖章。</w:t>
            </w:r>
          </w:p>
        </w:tc>
        <w:tc>
          <w:tcPr>
            <w:tcW w:w="2551" w:type="dxa"/>
            <w:vAlign w:val="center"/>
          </w:tcPr>
          <w:p w14:paraId="1CE7C3AB">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ascii="仿宋" w:hAnsi="仿宋" w:eastAsia="仿宋"/>
                <w:color w:val="auto"/>
                <w:sz w:val="24"/>
                <w:highlight w:val="none"/>
              </w:rPr>
            </w:pPr>
            <w:r>
              <w:rPr>
                <w:rFonts w:hint="eastAsia" w:ascii="仿宋" w:hAnsi="仿宋" w:eastAsia="仿宋"/>
                <w:color w:val="auto"/>
                <w:sz w:val="24"/>
                <w:highlight w:val="none"/>
              </w:rPr>
              <w:t>需要使用电子签名或者签字盖章的</w:t>
            </w:r>
            <w:r>
              <w:rPr>
                <w:rFonts w:hint="eastAsia" w:ascii="仿宋" w:hAnsi="仿宋" w:eastAsia="仿宋"/>
                <w:color w:val="auto"/>
                <w:sz w:val="24"/>
                <w:highlight w:val="none"/>
                <w:lang w:eastAsia="zh-CN"/>
              </w:rPr>
              <w:t>响应</w:t>
            </w:r>
            <w:r>
              <w:rPr>
                <w:rFonts w:hint="eastAsia" w:ascii="仿宋" w:hAnsi="仿宋" w:eastAsia="仿宋"/>
                <w:color w:val="auto"/>
                <w:sz w:val="24"/>
                <w:highlight w:val="none"/>
              </w:rPr>
              <w:t>文件的组成部分</w:t>
            </w:r>
          </w:p>
        </w:tc>
        <w:tc>
          <w:tcPr>
            <w:tcW w:w="1672" w:type="dxa"/>
            <w:vAlign w:val="center"/>
          </w:tcPr>
          <w:p w14:paraId="1BC51FEC">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ascii="仿宋" w:hAnsi="仿宋" w:eastAsia="仿宋" w:cs="仿宋_GB2312"/>
                <w:color w:val="auto"/>
                <w:sz w:val="24"/>
                <w:highlight w:val="none"/>
              </w:rPr>
            </w:pPr>
            <w:r>
              <w:rPr>
                <w:rFonts w:hint="eastAsia" w:ascii="仿宋" w:hAnsi="仿宋" w:eastAsia="仿宋" w:cs="仿宋_GB2312"/>
                <w:color w:val="auto"/>
                <w:sz w:val="24"/>
                <w:highlight w:val="none"/>
              </w:rPr>
              <w:t>见</w:t>
            </w:r>
            <w:r>
              <w:rPr>
                <w:rFonts w:hint="eastAsia" w:ascii="仿宋" w:hAnsi="仿宋" w:eastAsia="仿宋" w:cs="仿宋_GB2312"/>
                <w:color w:val="auto"/>
                <w:sz w:val="24"/>
                <w:highlight w:val="none"/>
                <w:lang w:eastAsia="zh-CN"/>
              </w:rPr>
              <w:t>响应</w:t>
            </w:r>
            <w:r>
              <w:rPr>
                <w:rFonts w:hint="eastAsia" w:ascii="仿宋" w:hAnsi="仿宋" w:eastAsia="仿宋" w:cs="仿宋_GB2312"/>
                <w:color w:val="auto"/>
                <w:sz w:val="24"/>
                <w:highlight w:val="none"/>
              </w:rPr>
              <w:t>文件</w:t>
            </w:r>
          </w:p>
          <w:p w14:paraId="1A14C1A7">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color w:val="auto"/>
                <w:highlight w:val="none"/>
              </w:rPr>
            </w:pPr>
            <w:r>
              <w:rPr>
                <w:rFonts w:hint="eastAsia" w:ascii="仿宋" w:eastAsia="仿宋" w:cs="仿宋_GB2312"/>
                <w:color w:val="auto"/>
                <w:sz w:val="24"/>
                <w:highlight w:val="none"/>
              </w:rPr>
              <w:t>第</w:t>
            </w:r>
            <w:r>
              <w:rPr>
                <w:rFonts w:ascii="仿宋" w:eastAsia="仿宋" w:cs="仿宋_GB2312"/>
                <w:color w:val="auto"/>
                <w:sz w:val="24"/>
                <w:highlight w:val="none"/>
                <w:u w:val="single"/>
              </w:rPr>
              <w:t xml:space="preserve">  </w:t>
            </w:r>
            <w:r>
              <w:rPr>
                <w:rFonts w:hint="eastAsia" w:ascii="仿宋" w:eastAsia="仿宋" w:cs="仿宋_GB2312"/>
                <w:color w:val="auto"/>
                <w:sz w:val="24"/>
                <w:highlight w:val="none"/>
              </w:rPr>
              <w:t>页</w:t>
            </w:r>
          </w:p>
        </w:tc>
      </w:tr>
      <w:tr w14:paraId="5F450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C271BF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eastAsia" w:ascii="仿宋" w:hAnsi="仿宋" w:eastAsia="仿宋" w:cs="Times New Roman"/>
                <w:b w:val="0"/>
                <w:bCs/>
                <w:color w:val="auto"/>
                <w:sz w:val="24"/>
                <w:highlight w:val="none"/>
                <w:lang w:eastAsia="zh-CN"/>
              </w:rPr>
            </w:pPr>
            <w:r>
              <w:rPr>
                <w:rFonts w:hint="eastAsia" w:ascii="仿宋" w:hAnsi="仿宋" w:eastAsia="仿宋" w:cs="Times New Roman"/>
                <w:b w:val="0"/>
                <w:bCs/>
                <w:color w:val="auto"/>
                <w:sz w:val="24"/>
                <w:highlight w:val="none"/>
                <w:lang w:val="en-US" w:eastAsia="zh-CN"/>
              </w:rPr>
              <w:t>2</w:t>
            </w:r>
          </w:p>
        </w:tc>
        <w:tc>
          <w:tcPr>
            <w:tcW w:w="4245" w:type="dxa"/>
            <w:vAlign w:val="center"/>
          </w:tcPr>
          <w:p w14:paraId="2BEE33D9">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ascii="仿宋_GB2312" w:hAnsi="仿宋" w:eastAsia="仿宋_GB2312" w:cs="仿宋_GB2312"/>
                <w:color w:val="auto"/>
                <w:sz w:val="24"/>
                <w:highlight w:val="none"/>
              </w:rPr>
            </w:pPr>
            <w:r>
              <w:rPr>
                <w:rFonts w:hint="eastAsia" w:ascii="仿宋_GB2312" w:hAnsi="仿宋" w:eastAsia="仿宋_GB2312"/>
                <w:color w:val="auto"/>
                <w:sz w:val="24"/>
                <w:highlight w:val="none"/>
                <w:lang w:eastAsia="zh-CN"/>
              </w:rPr>
              <w:t>响应</w:t>
            </w:r>
            <w:r>
              <w:rPr>
                <w:rFonts w:hint="eastAsia" w:ascii="仿宋_GB2312" w:hAnsi="仿宋" w:eastAsia="仿宋_GB2312"/>
                <w:color w:val="auto"/>
                <w:sz w:val="24"/>
                <w:highlight w:val="none"/>
              </w:rPr>
              <w:t>文件中承诺的</w:t>
            </w:r>
            <w:r>
              <w:rPr>
                <w:rFonts w:hint="eastAsia" w:ascii="仿宋_GB2312" w:hAnsi="仿宋" w:eastAsia="仿宋_GB2312"/>
                <w:color w:val="auto"/>
                <w:sz w:val="24"/>
                <w:highlight w:val="none"/>
                <w:lang w:eastAsia="zh-CN"/>
              </w:rPr>
              <w:t>响应</w:t>
            </w:r>
            <w:r>
              <w:rPr>
                <w:rFonts w:hint="eastAsia" w:ascii="仿宋_GB2312" w:hAnsi="仿宋" w:eastAsia="仿宋_GB2312"/>
                <w:color w:val="auto"/>
                <w:sz w:val="24"/>
                <w:highlight w:val="none"/>
              </w:rPr>
              <w:t>有效期不少于</w:t>
            </w:r>
            <w:r>
              <w:rPr>
                <w:rFonts w:hint="eastAsia" w:ascii="仿宋_GB2312" w:hAnsi="仿宋" w:eastAsia="仿宋_GB2312"/>
                <w:color w:val="auto"/>
                <w:sz w:val="24"/>
                <w:highlight w:val="none"/>
                <w:lang w:eastAsia="zh-CN"/>
              </w:rPr>
              <w:t>磋商</w:t>
            </w:r>
            <w:r>
              <w:rPr>
                <w:rFonts w:hint="eastAsia" w:ascii="仿宋_GB2312" w:hAnsi="仿宋" w:eastAsia="仿宋_GB2312"/>
                <w:color w:val="auto"/>
                <w:sz w:val="24"/>
                <w:highlight w:val="none"/>
              </w:rPr>
              <w:t>文件中载明的</w:t>
            </w:r>
            <w:r>
              <w:rPr>
                <w:rFonts w:hint="eastAsia" w:ascii="仿宋_GB2312" w:hAnsi="仿宋" w:eastAsia="仿宋_GB2312"/>
                <w:color w:val="auto"/>
                <w:sz w:val="24"/>
                <w:highlight w:val="none"/>
                <w:lang w:eastAsia="zh-CN"/>
              </w:rPr>
              <w:t>响应</w:t>
            </w:r>
            <w:r>
              <w:rPr>
                <w:rFonts w:hint="eastAsia" w:ascii="仿宋_GB2312" w:hAnsi="仿宋" w:eastAsia="仿宋_GB2312"/>
                <w:color w:val="auto"/>
                <w:sz w:val="24"/>
                <w:highlight w:val="none"/>
              </w:rPr>
              <w:t>有效期。</w:t>
            </w:r>
          </w:p>
        </w:tc>
        <w:tc>
          <w:tcPr>
            <w:tcW w:w="2551" w:type="dxa"/>
            <w:vAlign w:val="center"/>
          </w:tcPr>
          <w:p w14:paraId="02FD5EEC">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ascii="仿宋" w:hAnsi="仿宋" w:eastAsia="仿宋"/>
                <w:color w:val="auto"/>
                <w:sz w:val="24"/>
                <w:highlight w:val="none"/>
              </w:rPr>
            </w:pPr>
            <w:r>
              <w:rPr>
                <w:rFonts w:hint="eastAsia" w:ascii="仿宋" w:hAnsi="仿宋" w:eastAsia="仿宋"/>
                <w:color w:val="auto"/>
                <w:sz w:val="24"/>
                <w:highlight w:val="none"/>
                <w:lang w:eastAsia="zh-CN"/>
              </w:rPr>
              <w:t>响应</w:t>
            </w:r>
            <w:r>
              <w:rPr>
                <w:rFonts w:hint="eastAsia" w:ascii="仿宋" w:hAnsi="仿宋" w:eastAsia="仿宋"/>
                <w:color w:val="auto"/>
                <w:sz w:val="24"/>
                <w:highlight w:val="none"/>
              </w:rPr>
              <w:t>函</w:t>
            </w:r>
          </w:p>
        </w:tc>
        <w:tc>
          <w:tcPr>
            <w:tcW w:w="1672" w:type="dxa"/>
            <w:vAlign w:val="center"/>
          </w:tcPr>
          <w:p w14:paraId="3A64A66C">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ascii="仿宋" w:hAnsi="仿宋" w:eastAsia="仿宋" w:cs="仿宋_GB2312"/>
                <w:color w:val="auto"/>
                <w:sz w:val="24"/>
                <w:highlight w:val="none"/>
              </w:rPr>
            </w:pPr>
            <w:r>
              <w:rPr>
                <w:rFonts w:hint="eastAsia" w:ascii="仿宋" w:hAnsi="仿宋" w:eastAsia="仿宋" w:cs="仿宋_GB2312"/>
                <w:color w:val="auto"/>
                <w:sz w:val="24"/>
                <w:highlight w:val="none"/>
              </w:rPr>
              <w:t>见</w:t>
            </w:r>
            <w:r>
              <w:rPr>
                <w:rFonts w:hint="eastAsia" w:ascii="仿宋" w:hAnsi="仿宋" w:eastAsia="仿宋" w:cs="仿宋_GB2312"/>
                <w:color w:val="auto"/>
                <w:sz w:val="24"/>
                <w:highlight w:val="none"/>
                <w:lang w:eastAsia="zh-CN"/>
              </w:rPr>
              <w:t>响应</w:t>
            </w:r>
            <w:r>
              <w:rPr>
                <w:rFonts w:hint="eastAsia" w:ascii="仿宋" w:hAnsi="仿宋" w:eastAsia="仿宋" w:cs="仿宋_GB2312"/>
                <w:color w:val="auto"/>
                <w:sz w:val="24"/>
                <w:highlight w:val="none"/>
              </w:rPr>
              <w:t>文件</w:t>
            </w:r>
          </w:p>
          <w:p w14:paraId="01A2975D">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color w:val="auto"/>
                <w:highlight w:val="none"/>
              </w:rPr>
            </w:pPr>
            <w:r>
              <w:rPr>
                <w:rFonts w:hint="eastAsia" w:ascii="仿宋" w:eastAsia="仿宋" w:cs="仿宋_GB2312"/>
                <w:color w:val="auto"/>
                <w:sz w:val="24"/>
                <w:highlight w:val="none"/>
              </w:rPr>
              <w:t>第</w:t>
            </w:r>
            <w:r>
              <w:rPr>
                <w:rFonts w:ascii="仿宋" w:eastAsia="仿宋" w:cs="仿宋_GB2312"/>
                <w:color w:val="auto"/>
                <w:sz w:val="24"/>
                <w:highlight w:val="none"/>
                <w:u w:val="single"/>
              </w:rPr>
              <w:t xml:space="preserve">  </w:t>
            </w:r>
            <w:r>
              <w:rPr>
                <w:rFonts w:hint="eastAsia" w:ascii="仿宋" w:eastAsia="仿宋" w:cs="仿宋_GB2312"/>
                <w:color w:val="auto"/>
                <w:sz w:val="24"/>
                <w:highlight w:val="none"/>
              </w:rPr>
              <w:t>页</w:t>
            </w:r>
          </w:p>
        </w:tc>
      </w:tr>
      <w:tr w14:paraId="0FAEF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278C35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eastAsia" w:ascii="仿宋" w:hAnsi="仿宋" w:eastAsia="仿宋" w:cs="Times New Roman"/>
                <w:b w:val="0"/>
                <w:bCs/>
                <w:color w:val="auto"/>
                <w:sz w:val="24"/>
                <w:highlight w:val="none"/>
                <w:lang w:eastAsia="zh-CN"/>
              </w:rPr>
            </w:pPr>
            <w:r>
              <w:rPr>
                <w:rFonts w:hint="eastAsia" w:ascii="仿宋" w:hAnsi="仿宋" w:eastAsia="仿宋" w:cs="Times New Roman"/>
                <w:b w:val="0"/>
                <w:bCs/>
                <w:color w:val="auto"/>
                <w:sz w:val="24"/>
                <w:highlight w:val="none"/>
                <w:lang w:val="en-US" w:eastAsia="zh-CN"/>
              </w:rPr>
              <w:t>3</w:t>
            </w:r>
          </w:p>
        </w:tc>
        <w:tc>
          <w:tcPr>
            <w:tcW w:w="4245" w:type="dxa"/>
            <w:vAlign w:val="center"/>
          </w:tcPr>
          <w:p w14:paraId="663460A8">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ascii="仿宋_GB2312" w:hAnsi="仿宋" w:eastAsia="仿宋_GB2312"/>
                <w:color w:val="auto"/>
                <w:sz w:val="24"/>
                <w:highlight w:val="none"/>
              </w:rPr>
            </w:pPr>
            <w:r>
              <w:rPr>
                <w:rFonts w:hint="eastAsia" w:ascii="仿宋_GB2312" w:hAnsi="仿宋" w:eastAsia="仿宋_GB2312"/>
                <w:color w:val="auto"/>
                <w:sz w:val="24"/>
                <w:highlight w:val="none"/>
                <w:lang w:eastAsia="zh-CN"/>
              </w:rPr>
              <w:t>响应</w:t>
            </w:r>
            <w:r>
              <w:rPr>
                <w:rFonts w:hint="eastAsia" w:ascii="仿宋_GB2312" w:hAnsi="仿宋" w:eastAsia="仿宋_GB2312"/>
                <w:color w:val="auto"/>
                <w:sz w:val="24"/>
                <w:highlight w:val="none"/>
              </w:rPr>
              <w:t>文件满足</w:t>
            </w:r>
            <w:r>
              <w:rPr>
                <w:rFonts w:hint="eastAsia" w:ascii="仿宋_GB2312" w:hAnsi="仿宋" w:eastAsia="仿宋_GB2312"/>
                <w:color w:val="auto"/>
                <w:sz w:val="24"/>
                <w:highlight w:val="none"/>
                <w:lang w:eastAsia="zh-CN"/>
              </w:rPr>
              <w:t>磋商</w:t>
            </w:r>
            <w:r>
              <w:rPr>
                <w:rFonts w:hint="eastAsia" w:ascii="仿宋_GB2312" w:hAnsi="仿宋" w:eastAsia="仿宋_GB2312"/>
                <w:color w:val="auto"/>
                <w:sz w:val="24"/>
                <w:highlight w:val="none"/>
              </w:rPr>
              <w:t>文件的其它实质性要求。</w:t>
            </w:r>
          </w:p>
        </w:tc>
        <w:tc>
          <w:tcPr>
            <w:tcW w:w="2551" w:type="dxa"/>
            <w:vAlign w:val="center"/>
          </w:tcPr>
          <w:p w14:paraId="63CB5E47">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ascii="仿宋" w:hAnsi="仿宋" w:eastAsia="仿宋"/>
                <w:color w:val="auto"/>
                <w:sz w:val="24"/>
                <w:highlight w:val="none"/>
              </w:rPr>
            </w:pPr>
            <w:r>
              <w:rPr>
                <w:rFonts w:hint="eastAsia" w:ascii="仿宋_GB2312" w:hAnsi="仿宋" w:eastAsia="仿宋_GB2312" w:cs="仿宋_GB2312"/>
                <w:color w:val="auto"/>
                <w:kern w:val="0"/>
                <w:sz w:val="24"/>
                <w:highlight w:val="none"/>
                <w:lang w:eastAsia="zh-CN"/>
              </w:rPr>
              <w:t>磋商</w:t>
            </w:r>
            <w:r>
              <w:rPr>
                <w:rFonts w:hint="eastAsia" w:ascii="仿宋_GB2312" w:hAnsi="仿宋" w:eastAsia="仿宋_GB2312" w:cs="仿宋_GB2312"/>
                <w:color w:val="auto"/>
                <w:kern w:val="0"/>
                <w:sz w:val="24"/>
                <w:highlight w:val="none"/>
              </w:rPr>
              <w:t>文件其它实质性要求相应的材料（“▲”</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rPr>
              <w:t>系指实质性要求条款，</w:t>
            </w:r>
            <w:r>
              <w:rPr>
                <w:rFonts w:hint="eastAsia" w:ascii="仿宋_GB2312" w:hAnsi="仿宋" w:eastAsia="仿宋_GB2312" w:cs="仿宋_GB2312"/>
                <w:color w:val="auto"/>
                <w:kern w:val="0"/>
                <w:sz w:val="24"/>
                <w:highlight w:val="none"/>
                <w:lang w:eastAsia="zh-CN"/>
              </w:rPr>
              <w:t>磋商</w:t>
            </w:r>
            <w:r>
              <w:rPr>
                <w:rFonts w:hint="eastAsia" w:ascii="仿宋_GB2312" w:hAnsi="仿宋" w:eastAsia="仿宋_GB2312" w:cs="仿宋_GB2312"/>
                <w:color w:val="auto"/>
                <w:kern w:val="0"/>
                <w:sz w:val="24"/>
                <w:highlight w:val="none"/>
              </w:rPr>
              <w:t>文件无其它实质性要求的，无需提供）</w:t>
            </w:r>
          </w:p>
        </w:tc>
        <w:tc>
          <w:tcPr>
            <w:tcW w:w="1672" w:type="dxa"/>
            <w:vAlign w:val="center"/>
          </w:tcPr>
          <w:p w14:paraId="09A180BA">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ascii="仿宋" w:hAnsi="仿宋" w:eastAsia="仿宋" w:cs="仿宋_GB2312"/>
                <w:color w:val="auto"/>
                <w:sz w:val="24"/>
                <w:highlight w:val="none"/>
              </w:rPr>
            </w:pPr>
            <w:r>
              <w:rPr>
                <w:rFonts w:hint="eastAsia" w:ascii="仿宋" w:hAnsi="仿宋" w:eastAsia="仿宋" w:cs="仿宋_GB2312"/>
                <w:color w:val="auto"/>
                <w:sz w:val="24"/>
                <w:highlight w:val="none"/>
              </w:rPr>
              <w:t>见</w:t>
            </w:r>
            <w:r>
              <w:rPr>
                <w:rFonts w:hint="eastAsia" w:ascii="仿宋" w:hAnsi="仿宋" w:eastAsia="仿宋" w:cs="仿宋_GB2312"/>
                <w:color w:val="auto"/>
                <w:sz w:val="24"/>
                <w:highlight w:val="none"/>
                <w:lang w:eastAsia="zh-CN"/>
              </w:rPr>
              <w:t>响应</w:t>
            </w:r>
            <w:r>
              <w:rPr>
                <w:rFonts w:hint="eastAsia" w:ascii="仿宋" w:hAnsi="仿宋" w:eastAsia="仿宋" w:cs="仿宋_GB2312"/>
                <w:color w:val="auto"/>
                <w:sz w:val="24"/>
                <w:highlight w:val="none"/>
              </w:rPr>
              <w:t>文件</w:t>
            </w:r>
          </w:p>
          <w:p w14:paraId="15D17AC4">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color w:val="auto"/>
                <w:highlight w:val="none"/>
              </w:rPr>
            </w:pPr>
            <w:r>
              <w:rPr>
                <w:rFonts w:hint="eastAsia" w:ascii="仿宋" w:eastAsia="仿宋" w:cs="仿宋_GB2312"/>
                <w:color w:val="auto"/>
                <w:sz w:val="24"/>
                <w:highlight w:val="none"/>
              </w:rPr>
              <w:t>第</w:t>
            </w:r>
            <w:r>
              <w:rPr>
                <w:rFonts w:ascii="仿宋" w:eastAsia="仿宋" w:cs="仿宋_GB2312"/>
                <w:color w:val="auto"/>
                <w:sz w:val="24"/>
                <w:highlight w:val="none"/>
                <w:u w:val="single"/>
              </w:rPr>
              <w:t xml:space="preserve">  </w:t>
            </w:r>
            <w:r>
              <w:rPr>
                <w:rFonts w:hint="eastAsia" w:ascii="仿宋" w:eastAsia="仿宋" w:cs="仿宋_GB2312"/>
                <w:color w:val="auto"/>
                <w:sz w:val="24"/>
                <w:highlight w:val="none"/>
              </w:rPr>
              <w:t>页</w:t>
            </w:r>
          </w:p>
        </w:tc>
      </w:tr>
      <w:tr w14:paraId="0253B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876B77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eastAsia" w:ascii="仿宋" w:hAnsi="仿宋" w:eastAsia="仿宋" w:cs="Times New Roman"/>
                <w:b w:val="0"/>
                <w:bCs/>
                <w:color w:val="auto"/>
                <w:sz w:val="24"/>
                <w:highlight w:val="none"/>
                <w:lang w:val="en-US" w:eastAsia="zh-CN"/>
              </w:rPr>
            </w:pPr>
          </w:p>
        </w:tc>
        <w:tc>
          <w:tcPr>
            <w:tcW w:w="4245" w:type="dxa"/>
            <w:vAlign w:val="center"/>
          </w:tcPr>
          <w:p w14:paraId="7350EE24">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hint="eastAsia" w:ascii="仿宋_GB2312" w:hAnsi="仿宋" w:eastAsia="仿宋_GB2312"/>
                <w:color w:val="auto"/>
                <w:sz w:val="24"/>
                <w:highlight w:val="none"/>
                <w:lang w:eastAsia="zh-CN"/>
              </w:rPr>
            </w:pPr>
            <w:r>
              <w:rPr>
                <w:rFonts w:hint="eastAsia" w:ascii="仿宋" w:hAnsi="仿宋" w:eastAsia="仿宋" w:cs="仿宋"/>
                <w:bCs/>
                <w:color w:val="auto"/>
                <w:sz w:val="24"/>
                <w:szCs w:val="22"/>
                <w:highlight w:val="none"/>
                <w:shd w:val="clear" w:color="auto" w:fill="auto"/>
                <w:lang w:val="en-US" w:eastAsia="zh-CN"/>
              </w:rPr>
              <w:t>至磋商响应截止日当天，供应商如仍有代理原告并以采购人为被告的案件或类似情形的，鉴于存在利益冲突，应回避</w:t>
            </w:r>
            <w:r>
              <w:rPr>
                <w:rFonts w:hint="eastAsia" w:ascii="仿宋" w:hAnsi="仿宋" w:eastAsia="仿宋" w:cs="仿宋"/>
                <w:color w:val="auto"/>
                <w:sz w:val="24"/>
                <w:highlight w:val="none"/>
                <w:lang w:val="en-US" w:eastAsia="zh-CN"/>
              </w:rPr>
              <w:t>，不得参与本项目磋商响应。磋商响应文件中提供承诺，明确“</w:t>
            </w:r>
            <w:r>
              <w:rPr>
                <w:rFonts w:hint="eastAsia" w:ascii="仿宋" w:hAnsi="仿宋" w:eastAsia="仿宋" w:cs="仿宋"/>
                <w:bCs/>
                <w:color w:val="auto"/>
                <w:sz w:val="24"/>
                <w:szCs w:val="22"/>
                <w:highlight w:val="none"/>
                <w:shd w:val="clear" w:color="auto" w:fill="auto"/>
                <w:lang w:val="en-US" w:eastAsia="zh-CN"/>
              </w:rPr>
              <w:t>至磋商响应截止日当天，供应商没有代理原告并以采购人为被告的案件或类似情形的</w:t>
            </w:r>
            <w:r>
              <w:rPr>
                <w:rFonts w:hint="eastAsia" w:ascii="仿宋" w:hAnsi="仿宋" w:eastAsia="仿宋" w:cs="仿宋"/>
                <w:color w:val="auto"/>
                <w:sz w:val="24"/>
                <w:highlight w:val="none"/>
                <w:lang w:val="en-US" w:eastAsia="zh-CN"/>
              </w:rPr>
              <w:t>”。</w:t>
            </w:r>
          </w:p>
        </w:tc>
        <w:tc>
          <w:tcPr>
            <w:tcW w:w="2551" w:type="dxa"/>
            <w:vAlign w:val="center"/>
          </w:tcPr>
          <w:p w14:paraId="730BFAA7">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hint="default" w:ascii="仿宋_GB2312" w:hAnsi="仿宋" w:eastAsia="仿宋_GB2312" w:cs="仿宋_GB2312"/>
                <w:color w:val="auto"/>
                <w:kern w:val="0"/>
                <w:sz w:val="24"/>
                <w:highlight w:val="none"/>
                <w:lang w:val="en-US" w:eastAsia="zh-CN"/>
              </w:rPr>
            </w:pPr>
            <w:r>
              <w:rPr>
                <w:rFonts w:hint="eastAsia" w:ascii="仿宋_GB2312" w:hAnsi="仿宋" w:eastAsia="仿宋_GB2312" w:cs="仿宋_GB2312"/>
                <w:color w:val="auto"/>
                <w:kern w:val="0"/>
                <w:sz w:val="24"/>
                <w:highlight w:val="none"/>
                <w:lang w:val="en-US" w:eastAsia="zh-CN"/>
              </w:rPr>
              <w:t>提供承诺函：</w:t>
            </w:r>
            <w:r>
              <w:rPr>
                <w:rFonts w:hint="eastAsia" w:ascii="仿宋" w:hAnsi="仿宋" w:eastAsia="仿宋" w:cs="仿宋"/>
                <w:bCs/>
                <w:color w:val="auto"/>
                <w:sz w:val="24"/>
                <w:szCs w:val="22"/>
                <w:highlight w:val="none"/>
                <w:shd w:val="clear" w:color="auto" w:fill="auto"/>
                <w:lang w:val="en-US" w:eastAsia="zh-CN"/>
              </w:rPr>
              <w:t>至磋商响应截止日当天，供应商没有代理原告并以采购人为被告的案件或类似情形的</w:t>
            </w:r>
          </w:p>
        </w:tc>
        <w:tc>
          <w:tcPr>
            <w:tcW w:w="1672" w:type="dxa"/>
            <w:vAlign w:val="center"/>
          </w:tcPr>
          <w:p w14:paraId="311D06E7">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hint="eastAsia" w:ascii="仿宋" w:eastAsia="仿宋" w:cs="仿宋_GB2312"/>
                <w:color w:val="auto"/>
                <w:sz w:val="24"/>
                <w:highlight w:val="none"/>
              </w:rPr>
            </w:pPr>
            <w:r>
              <w:rPr>
                <w:rFonts w:hint="eastAsia" w:ascii="仿宋" w:hAnsi="仿宋" w:eastAsia="仿宋" w:cs="仿宋_GB2312"/>
                <w:color w:val="auto"/>
                <w:sz w:val="24"/>
                <w:highlight w:val="none"/>
              </w:rPr>
              <w:t>见</w:t>
            </w:r>
            <w:r>
              <w:rPr>
                <w:rFonts w:hint="eastAsia" w:ascii="仿宋" w:hAnsi="仿宋" w:eastAsia="仿宋" w:cs="仿宋_GB2312"/>
                <w:color w:val="auto"/>
                <w:sz w:val="24"/>
                <w:highlight w:val="none"/>
                <w:lang w:val="en-US" w:eastAsia="zh-CN"/>
              </w:rPr>
              <w:t>商务技术</w:t>
            </w:r>
            <w:r>
              <w:rPr>
                <w:rFonts w:hint="eastAsia" w:ascii="仿宋" w:hAnsi="仿宋" w:eastAsia="仿宋" w:cs="仿宋_GB2312"/>
                <w:color w:val="auto"/>
                <w:sz w:val="24"/>
                <w:highlight w:val="none"/>
                <w:lang w:eastAsia="zh-CN"/>
              </w:rPr>
              <w:t>响应</w:t>
            </w:r>
            <w:r>
              <w:rPr>
                <w:rFonts w:hint="eastAsia" w:ascii="仿宋" w:hAnsi="仿宋" w:eastAsia="仿宋" w:cs="仿宋_GB2312"/>
                <w:color w:val="auto"/>
                <w:sz w:val="24"/>
                <w:highlight w:val="none"/>
              </w:rPr>
              <w:t>文件</w:t>
            </w:r>
            <w:r>
              <w:rPr>
                <w:rFonts w:hint="eastAsia" w:ascii="仿宋" w:eastAsia="仿宋" w:cs="仿宋_GB2312"/>
                <w:color w:val="auto"/>
                <w:sz w:val="24"/>
                <w:highlight w:val="none"/>
              </w:rPr>
              <w:t>第</w:t>
            </w:r>
            <w:r>
              <w:rPr>
                <w:rFonts w:ascii="仿宋" w:eastAsia="仿宋" w:cs="仿宋_GB2312"/>
                <w:color w:val="auto"/>
                <w:sz w:val="24"/>
                <w:highlight w:val="none"/>
                <w:u w:val="single"/>
              </w:rPr>
              <w:t xml:space="preserve">  </w:t>
            </w:r>
            <w:r>
              <w:rPr>
                <w:rFonts w:hint="eastAsia" w:ascii="仿宋" w:eastAsia="仿宋" w:cs="仿宋_GB2312"/>
                <w:color w:val="auto"/>
                <w:sz w:val="24"/>
                <w:highlight w:val="none"/>
              </w:rPr>
              <w:t>页</w:t>
            </w:r>
          </w:p>
        </w:tc>
      </w:tr>
      <w:tr w14:paraId="27126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1EB4F8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eastAsia" w:ascii="仿宋" w:hAnsi="仿宋" w:eastAsia="仿宋" w:cs="Times New Roman"/>
                <w:b w:val="0"/>
                <w:bCs/>
                <w:color w:val="auto"/>
                <w:sz w:val="24"/>
                <w:highlight w:val="none"/>
                <w:lang w:val="en-US" w:eastAsia="zh-CN"/>
              </w:rPr>
            </w:pPr>
          </w:p>
        </w:tc>
        <w:tc>
          <w:tcPr>
            <w:tcW w:w="4245" w:type="dxa"/>
            <w:vAlign w:val="center"/>
          </w:tcPr>
          <w:p w14:paraId="73D57D74">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hint="eastAsia" w:ascii="仿宋" w:hAnsi="仿宋" w:eastAsia="仿宋" w:cs="仿宋"/>
                <w:bCs/>
                <w:color w:val="auto"/>
                <w:sz w:val="24"/>
                <w:szCs w:val="22"/>
                <w:highlight w:val="none"/>
                <w:shd w:val="clear" w:color="auto" w:fill="auto"/>
                <w:lang w:val="en-US" w:eastAsia="zh-CN"/>
              </w:rPr>
            </w:pPr>
            <w:r>
              <w:rPr>
                <w:rFonts w:hint="eastAsia" w:ascii="仿宋" w:hAnsi="仿宋" w:eastAsia="仿宋" w:cs="仿宋"/>
                <w:bCs/>
                <w:color w:val="auto"/>
                <w:sz w:val="24"/>
                <w:szCs w:val="22"/>
                <w:highlight w:val="none"/>
                <w:shd w:val="clear" w:color="auto" w:fill="auto"/>
                <w:lang w:val="en-US" w:eastAsia="zh-CN"/>
              </w:rPr>
              <w:t>案件最高限价均为7000元/件。综合单价超过最高限价的，将作无效标处理。</w:t>
            </w:r>
          </w:p>
        </w:tc>
        <w:tc>
          <w:tcPr>
            <w:tcW w:w="2551" w:type="dxa"/>
            <w:vAlign w:val="center"/>
          </w:tcPr>
          <w:p w14:paraId="3EC5B103">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hint="eastAsia" w:ascii="仿宋_GB2312" w:hAnsi="仿宋" w:eastAsia="仿宋_GB2312" w:cs="仿宋_GB2312"/>
                <w:color w:val="auto"/>
                <w:kern w:val="0"/>
                <w:sz w:val="24"/>
                <w:highlight w:val="none"/>
                <w:lang w:val="en-US" w:eastAsia="zh-CN"/>
              </w:rPr>
            </w:pPr>
            <w:r>
              <w:rPr>
                <w:rFonts w:hint="eastAsia" w:ascii="仿宋_GB2312" w:hAnsi="仿宋" w:eastAsia="仿宋_GB2312" w:cs="仿宋_GB2312"/>
                <w:color w:val="auto"/>
                <w:kern w:val="0"/>
                <w:sz w:val="24"/>
                <w:highlight w:val="none"/>
                <w:lang w:val="en-US" w:eastAsia="zh-CN"/>
              </w:rPr>
              <w:t>（报价文件价格）</w:t>
            </w:r>
          </w:p>
        </w:tc>
        <w:tc>
          <w:tcPr>
            <w:tcW w:w="1672" w:type="dxa"/>
            <w:vAlign w:val="center"/>
          </w:tcPr>
          <w:p w14:paraId="1D8306F6">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outlineLvl w:val="9"/>
              <w:rPr>
                <w:rFonts w:hint="eastAsia" w:ascii="仿宋" w:eastAsia="仿宋" w:cs="仿宋_GB2312"/>
                <w:color w:val="auto"/>
                <w:sz w:val="24"/>
                <w:highlight w:val="none"/>
              </w:rPr>
            </w:pPr>
            <w:r>
              <w:rPr>
                <w:rFonts w:hint="eastAsia" w:ascii="仿宋" w:hAnsi="仿宋" w:eastAsia="仿宋" w:cs="仿宋_GB2312"/>
                <w:color w:val="auto"/>
                <w:sz w:val="24"/>
                <w:highlight w:val="none"/>
              </w:rPr>
              <w:t>见</w:t>
            </w:r>
            <w:r>
              <w:rPr>
                <w:rFonts w:hint="eastAsia" w:ascii="仿宋" w:hAnsi="仿宋" w:eastAsia="仿宋" w:cs="仿宋_GB2312"/>
                <w:color w:val="auto"/>
                <w:sz w:val="24"/>
                <w:highlight w:val="none"/>
                <w:lang w:val="en-US" w:eastAsia="zh-CN"/>
              </w:rPr>
              <w:t>报价</w:t>
            </w:r>
            <w:r>
              <w:rPr>
                <w:rFonts w:hint="eastAsia" w:ascii="仿宋" w:hAnsi="仿宋" w:eastAsia="仿宋" w:cs="仿宋_GB2312"/>
                <w:color w:val="auto"/>
                <w:sz w:val="24"/>
                <w:highlight w:val="none"/>
                <w:lang w:eastAsia="zh-CN"/>
              </w:rPr>
              <w:t>响应</w:t>
            </w:r>
            <w:r>
              <w:rPr>
                <w:rFonts w:hint="eastAsia" w:ascii="仿宋" w:hAnsi="仿宋" w:eastAsia="仿宋" w:cs="仿宋_GB2312"/>
                <w:color w:val="auto"/>
                <w:sz w:val="24"/>
                <w:highlight w:val="none"/>
              </w:rPr>
              <w:t>文件</w:t>
            </w:r>
            <w:r>
              <w:rPr>
                <w:rFonts w:hint="eastAsia" w:ascii="仿宋" w:eastAsia="仿宋" w:cs="仿宋_GB2312"/>
                <w:color w:val="auto"/>
                <w:sz w:val="24"/>
                <w:highlight w:val="none"/>
              </w:rPr>
              <w:t>第</w:t>
            </w:r>
            <w:r>
              <w:rPr>
                <w:rFonts w:ascii="仿宋" w:eastAsia="仿宋" w:cs="仿宋_GB2312"/>
                <w:color w:val="auto"/>
                <w:sz w:val="24"/>
                <w:highlight w:val="none"/>
                <w:u w:val="single"/>
              </w:rPr>
              <w:t xml:space="preserve">  </w:t>
            </w:r>
            <w:r>
              <w:rPr>
                <w:rFonts w:hint="eastAsia" w:ascii="仿宋" w:eastAsia="仿宋" w:cs="仿宋_GB2312"/>
                <w:color w:val="auto"/>
                <w:sz w:val="24"/>
                <w:highlight w:val="none"/>
              </w:rPr>
              <w:t>页</w:t>
            </w:r>
          </w:p>
        </w:tc>
      </w:tr>
    </w:tbl>
    <w:p w14:paraId="34735F73">
      <w:pPr>
        <w:keepNext w:val="0"/>
        <w:keepLines w:val="0"/>
        <w:pageBreakBefore w:val="0"/>
        <w:kinsoku/>
        <w:wordWrap/>
        <w:overflowPunct/>
        <w:topLinePunct w:val="0"/>
        <w:bidi w:val="0"/>
        <w:jc w:val="center"/>
        <w:textAlignment w:val="auto"/>
        <w:outlineLvl w:val="9"/>
        <w:rPr>
          <w:rFonts w:ascii="仿宋_GB2312" w:hAnsi="仿宋" w:eastAsia="仿宋_GB2312" w:cs="仿宋_GB2312"/>
          <w:b/>
          <w:color w:val="auto"/>
          <w:kern w:val="0"/>
          <w:sz w:val="32"/>
          <w:szCs w:val="32"/>
          <w:highlight w:val="none"/>
        </w:rPr>
      </w:pPr>
    </w:p>
    <w:p w14:paraId="4E7C739B">
      <w:pPr>
        <w:keepNext w:val="0"/>
        <w:keepLines w:val="0"/>
        <w:pageBreakBefore w:val="0"/>
        <w:kinsoku/>
        <w:wordWrap/>
        <w:overflowPunct/>
        <w:topLinePunct w:val="0"/>
        <w:bidi w:val="0"/>
        <w:jc w:val="center"/>
        <w:textAlignment w:val="auto"/>
        <w:outlineLvl w:val="9"/>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t xml:space="preserve">            </w:t>
      </w:r>
    </w:p>
    <w:p w14:paraId="27EDA1E3">
      <w:pPr>
        <w:keepNext w:val="0"/>
        <w:keepLines w:val="0"/>
        <w:pageBreakBefore w:val="0"/>
        <w:kinsoku/>
        <w:wordWrap/>
        <w:overflowPunct/>
        <w:topLinePunct w:val="0"/>
        <w:bidi w:val="0"/>
        <w:jc w:val="center"/>
        <w:textAlignment w:val="auto"/>
        <w:outlineLvl w:val="9"/>
        <w:rPr>
          <w:rFonts w:ascii="仿宋_GB2312" w:hAnsi="仿宋" w:eastAsia="仿宋_GB2312" w:cs="仿宋_GB2312"/>
          <w:b/>
          <w:color w:val="auto"/>
          <w:kern w:val="0"/>
          <w:sz w:val="32"/>
          <w:szCs w:val="32"/>
          <w:highlight w:val="none"/>
        </w:rPr>
      </w:pPr>
    </w:p>
    <w:p w14:paraId="3FBC36D1">
      <w:pPr>
        <w:keepNext w:val="0"/>
        <w:keepLines w:val="0"/>
        <w:pageBreakBefore w:val="0"/>
        <w:kinsoku/>
        <w:wordWrap/>
        <w:overflowPunct/>
        <w:topLinePunct w:val="0"/>
        <w:bidi w:val="0"/>
        <w:jc w:val="center"/>
        <w:textAlignment w:val="auto"/>
        <w:outlineLvl w:val="9"/>
        <w:rPr>
          <w:rFonts w:ascii="仿宋_GB2312" w:hAnsi="仿宋" w:eastAsia="仿宋_GB2312" w:cs="仿宋_GB2312"/>
          <w:b/>
          <w:color w:val="auto"/>
          <w:kern w:val="0"/>
          <w:sz w:val="32"/>
          <w:szCs w:val="32"/>
          <w:highlight w:val="none"/>
        </w:rPr>
      </w:pPr>
    </w:p>
    <w:p w14:paraId="4CCD2312">
      <w:pPr>
        <w:keepNext w:val="0"/>
        <w:keepLines w:val="0"/>
        <w:pageBreakBefore w:val="0"/>
        <w:kinsoku/>
        <w:wordWrap/>
        <w:overflowPunct/>
        <w:topLinePunct w:val="0"/>
        <w:bidi w:val="0"/>
        <w:jc w:val="center"/>
        <w:textAlignment w:val="auto"/>
        <w:outlineLvl w:val="9"/>
        <w:rPr>
          <w:rFonts w:ascii="仿宋_GB2312" w:hAnsi="仿宋" w:eastAsia="仿宋_GB2312" w:cs="仿宋_GB2312"/>
          <w:b/>
          <w:color w:val="auto"/>
          <w:kern w:val="0"/>
          <w:sz w:val="32"/>
          <w:szCs w:val="32"/>
          <w:highlight w:val="none"/>
        </w:rPr>
      </w:pPr>
    </w:p>
    <w:p w14:paraId="3BA04001">
      <w:pPr>
        <w:keepNext w:val="0"/>
        <w:keepLines w:val="0"/>
        <w:pageBreakBefore w:val="0"/>
        <w:kinsoku/>
        <w:wordWrap/>
        <w:overflowPunct/>
        <w:topLinePunct w:val="0"/>
        <w:bidi w:val="0"/>
        <w:jc w:val="center"/>
        <w:textAlignment w:val="auto"/>
        <w:outlineLvl w:val="9"/>
        <w:rPr>
          <w:rFonts w:ascii="仿宋_GB2312" w:hAnsi="仿宋" w:eastAsia="仿宋_GB2312" w:cs="仿宋_GB2312"/>
          <w:b/>
          <w:color w:val="auto"/>
          <w:kern w:val="0"/>
          <w:sz w:val="32"/>
          <w:szCs w:val="32"/>
          <w:highlight w:val="none"/>
        </w:rPr>
      </w:pPr>
    </w:p>
    <w:p w14:paraId="74BDD0C0">
      <w:pPr>
        <w:keepNext w:val="0"/>
        <w:keepLines w:val="0"/>
        <w:pageBreakBefore w:val="0"/>
        <w:kinsoku/>
        <w:wordWrap/>
        <w:overflowPunct/>
        <w:topLinePunct w:val="0"/>
        <w:bidi w:val="0"/>
        <w:jc w:val="center"/>
        <w:textAlignment w:val="auto"/>
        <w:outlineLvl w:val="9"/>
        <w:rPr>
          <w:rFonts w:ascii="仿宋_GB2312" w:hAnsi="仿宋" w:eastAsia="仿宋_GB2312" w:cs="仿宋_GB2312"/>
          <w:b/>
          <w:color w:val="auto"/>
          <w:kern w:val="0"/>
          <w:sz w:val="32"/>
          <w:szCs w:val="32"/>
          <w:highlight w:val="none"/>
        </w:rPr>
      </w:pPr>
    </w:p>
    <w:p w14:paraId="3F957243">
      <w:pPr>
        <w:keepNext w:val="0"/>
        <w:keepLines w:val="0"/>
        <w:pageBreakBefore w:val="0"/>
        <w:kinsoku/>
        <w:wordWrap/>
        <w:overflowPunct/>
        <w:topLinePunct w:val="0"/>
        <w:bidi w:val="0"/>
        <w:jc w:val="center"/>
        <w:textAlignment w:val="auto"/>
        <w:outlineLvl w:val="9"/>
        <w:rPr>
          <w:rFonts w:ascii="仿宋_GB2312" w:hAnsi="仿宋" w:eastAsia="仿宋_GB2312" w:cs="仿宋_GB2312"/>
          <w:b/>
          <w:color w:val="auto"/>
          <w:kern w:val="0"/>
          <w:sz w:val="32"/>
          <w:szCs w:val="32"/>
          <w:highlight w:val="none"/>
        </w:rPr>
      </w:pPr>
    </w:p>
    <w:p w14:paraId="2AEA14EF">
      <w:pPr>
        <w:keepNext w:val="0"/>
        <w:keepLines w:val="0"/>
        <w:pageBreakBefore w:val="0"/>
        <w:kinsoku/>
        <w:wordWrap/>
        <w:overflowPunct/>
        <w:topLinePunct w:val="0"/>
        <w:bidi w:val="0"/>
        <w:jc w:val="center"/>
        <w:textAlignment w:val="auto"/>
        <w:outlineLvl w:val="9"/>
        <w:rPr>
          <w:rFonts w:ascii="仿宋_GB2312" w:hAnsi="仿宋" w:eastAsia="仿宋_GB2312" w:cs="仿宋_GB2312"/>
          <w:b/>
          <w:color w:val="auto"/>
          <w:kern w:val="0"/>
          <w:sz w:val="32"/>
          <w:szCs w:val="32"/>
          <w:highlight w:val="none"/>
        </w:rPr>
      </w:pPr>
    </w:p>
    <w:p w14:paraId="1EE1F04D">
      <w:pPr>
        <w:keepNext w:val="0"/>
        <w:keepLines w:val="0"/>
        <w:pageBreakBefore w:val="0"/>
        <w:kinsoku/>
        <w:wordWrap/>
        <w:overflowPunct/>
        <w:topLinePunct w:val="0"/>
        <w:bidi w:val="0"/>
        <w:jc w:val="center"/>
        <w:textAlignment w:val="auto"/>
        <w:outlineLvl w:val="9"/>
        <w:rPr>
          <w:rFonts w:ascii="仿宋_GB2312" w:hAnsi="仿宋" w:eastAsia="仿宋_GB2312" w:cs="仿宋_GB2312"/>
          <w:b/>
          <w:color w:val="auto"/>
          <w:kern w:val="0"/>
          <w:sz w:val="32"/>
          <w:szCs w:val="32"/>
          <w:highlight w:val="none"/>
        </w:rPr>
      </w:pPr>
    </w:p>
    <w:p w14:paraId="519A6712">
      <w:pPr>
        <w:keepNext w:val="0"/>
        <w:keepLines w:val="0"/>
        <w:pageBreakBefore w:val="0"/>
        <w:kinsoku/>
        <w:wordWrap/>
        <w:overflowPunct/>
        <w:topLinePunct w:val="0"/>
        <w:bidi w:val="0"/>
        <w:textAlignment w:val="auto"/>
        <w:outlineLvl w:val="9"/>
        <w:rPr>
          <w:rFonts w:hint="eastAsia"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br w:type="page"/>
      </w:r>
    </w:p>
    <w:p w14:paraId="40DDB9DC">
      <w:pPr>
        <w:keepNext w:val="0"/>
        <w:keepLines w:val="0"/>
        <w:pageBreakBefore w:val="0"/>
        <w:kinsoku/>
        <w:wordWrap/>
        <w:overflowPunct/>
        <w:topLinePunct w:val="0"/>
        <w:bidi w:val="0"/>
        <w:snapToGrid w:val="0"/>
        <w:spacing w:line="360" w:lineRule="auto"/>
        <w:jc w:val="center"/>
        <w:textAlignment w:val="auto"/>
        <w:outlineLvl w:val="9"/>
        <w:rPr>
          <w:rFonts w:hint="eastAsia"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五、评标标准相应的商务技术资料</w:t>
      </w:r>
    </w:p>
    <w:p w14:paraId="482BBDB9">
      <w:pPr>
        <w:keepNext w:val="0"/>
        <w:keepLines w:val="0"/>
        <w:pageBreakBefore w:val="0"/>
        <w:kinsoku/>
        <w:wordWrap/>
        <w:overflowPunct/>
        <w:topLinePunct w:val="0"/>
        <w:bidi w:val="0"/>
        <w:snapToGrid w:val="0"/>
        <w:spacing w:line="360" w:lineRule="auto"/>
        <w:jc w:val="left"/>
        <w:textAlignment w:val="auto"/>
        <w:outlineLvl w:val="9"/>
        <w:rPr>
          <w:rFonts w:hint="eastAsia" w:ascii="仿宋_GB2312" w:hAnsi="仿宋" w:eastAsia="仿宋_GB2312" w:cs="仿宋_GB2312"/>
          <w:b/>
          <w:color w:val="auto"/>
          <w:sz w:val="24"/>
          <w:highlight w:val="none"/>
        </w:rPr>
      </w:pPr>
    </w:p>
    <w:p w14:paraId="4FDF3175">
      <w:pPr>
        <w:keepNext w:val="0"/>
        <w:keepLines w:val="0"/>
        <w:pageBreakBefore w:val="0"/>
        <w:kinsoku/>
        <w:wordWrap/>
        <w:overflowPunct/>
        <w:topLinePunct w:val="0"/>
        <w:bidi w:val="0"/>
        <w:snapToGrid w:val="0"/>
        <w:spacing w:line="360" w:lineRule="auto"/>
        <w:jc w:val="left"/>
        <w:textAlignment w:val="auto"/>
        <w:outlineLvl w:val="9"/>
        <w:rPr>
          <w:rFonts w:hint="eastAsia"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（按</w:t>
      </w:r>
      <w:r>
        <w:rPr>
          <w:rFonts w:hint="eastAsia" w:ascii="仿宋_GB2312" w:hAnsi="仿宋" w:eastAsia="仿宋_GB2312" w:cs="仿宋_GB2312"/>
          <w:b/>
          <w:color w:val="auto"/>
          <w:sz w:val="24"/>
          <w:highlight w:val="none"/>
          <w:lang w:eastAsia="zh-CN"/>
        </w:rPr>
        <w:t>磋商</w:t>
      </w:r>
      <w:r>
        <w:rPr>
          <w:rFonts w:hint="eastAsia" w:ascii="仿宋_GB2312" w:hAnsi="仿宋" w:eastAsia="仿宋_GB2312" w:cs="仿宋_GB2312"/>
          <w:b/>
          <w:color w:val="auto"/>
          <w:sz w:val="24"/>
          <w:highlight w:val="none"/>
        </w:rPr>
        <w:t>文件第</w:t>
      </w:r>
      <w:r>
        <w:rPr>
          <w:rFonts w:hint="eastAsia" w:ascii="仿宋_GB2312" w:hAnsi="仿宋" w:eastAsia="仿宋_GB2312" w:cs="仿宋_GB2312"/>
          <w:b/>
          <w:color w:val="auto"/>
          <w:sz w:val="24"/>
          <w:highlight w:val="none"/>
          <w:lang w:eastAsia="zh-CN"/>
        </w:rPr>
        <w:t>五</w:t>
      </w:r>
      <w:r>
        <w:rPr>
          <w:rFonts w:hint="eastAsia" w:ascii="仿宋_GB2312" w:hAnsi="仿宋" w:eastAsia="仿宋_GB2312" w:cs="仿宋_GB2312"/>
          <w:b/>
          <w:color w:val="auto"/>
          <w:sz w:val="24"/>
          <w:highlight w:val="none"/>
        </w:rPr>
        <w:t>部分评标办法前附表中“</w:t>
      </w:r>
      <w:r>
        <w:rPr>
          <w:rFonts w:hint="eastAsia" w:ascii="仿宋_GB2312" w:hAnsi="仿宋" w:eastAsia="仿宋_GB2312" w:cs="仿宋_GB2312"/>
          <w:b/>
          <w:color w:val="auto"/>
          <w:sz w:val="24"/>
          <w:highlight w:val="none"/>
          <w:lang w:eastAsia="zh-CN"/>
        </w:rPr>
        <w:t>响应</w:t>
      </w:r>
      <w:r>
        <w:rPr>
          <w:rFonts w:hint="eastAsia" w:ascii="仿宋_GB2312" w:hAnsi="仿宋" w:eastAsia="仿宋_GB2312" w:cs="仿宋_GB2312"/>
          <w:b/>
          <w:color w:val="auto"/>
          <w:sz w:val="24"/>
          <w:highlight w:val="none"/>
        </w:rPr>
        <w:t>文件中评标标准相应的商务技术资料目录”提供资料）</w:t>
      </w:r>
    </w:p>
    <w:p w14:paraId="0F342B0F">
      <w:pPr>
        <w:rPr>
          <w:rFonts w:hint="eastAsia"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br w:type="page"/>
      </w:r>
    </w:p>
    <w:p w14:paraId="21F58366">
      <w:pPr>
        <w:keepNext w:val="0"/>
        <w:keepLines w:val="0"/>
        <w:pageBreakBefore w:val="0"/>
        <w:kinsoku/>
        <w:wordWrap/>
        <w:overflowPunct/>
        <w:topLinePunct w:val="0"/>
        <w:bidi w:val="0"/>
        <w:snapToGrid w:val="0"/>
        <w:spacing w:line="360" w:lineRule="auto"/>
        <w:jc w:val="left"/>
        <w:textAlignment w:val="auto"/>
        <w:outlineLvl w:val="9"/>
        <w:rPr>
          <w:rFonts w:hint="eastAsia" w:ascii="仿宋_GB2312" w:hAnsi="仿宋" w:eastAsia="仿宋_GB2312" w:cs="仿宋_GB2312"/>
          <w:b/>
          <w:color w:val="auto"/>
          <w:sz w:val="24"/>
          <w:highlight w:val="none"/>
          <w:lang w:val="en-US" w:eastAsia="zh-CN"/>
        </w:rPr>
      </w:pPr>
      <w:r>
        <w:rPr>
          <w:rFonts w:hint="eastAsia" w:ascii="仿宋_GB2312" w:hAnsi="仿宋" w:eastAsia="仿宋_GB2312" w:cs="仿宋_GB2312"/>
          <w:b/>
          <w:color w:val="auto"/>
          <w:sz w:val="24"/>
          <w:highlight w:val="none"/>
          <w:lang w:val="en-US" w:eastAsia="zh-CN"/>
        </w:rPr>
        <w:t>5-1参考表格1</w:t>
      </w:r>
    </w:p>
    <w:p w14:paraId="6B005A7C">
      <w:pPr>
        <w:autoSpaceDE w:val="0"/>
        <w:autoSpaceDN w:val="0"/>
        <w:adjustRightInd w:val="0"/>
        <w:ind w:left="540" w:firstLine="30"/>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供应商</w:t>
      </w:r>
      <w:r>
        <w:rPr>
          <w:rFonts w:hint="eastAsia" w:ascii="仿宋" w:hAnsi="仿宋" w:eastAsia="仿宋" w:cs="仿宋"/>
          <w:b/>
          <w:color w:val="auto"/>
          <w:sz w:val="28"/>
          <w:szCs w:val="28"/>
          <w:highlight w:val="none"/>
        </w:rPr>
        <w:t>业绩一览表</w:t>
      </w:r>
    </w:p>
    <w:p w14:paraId="7FCD1FDE">
      <w:pPr>
        <w:autoSpaceDE w:val="0"/>
        <w:autoSpaceDN w:val="0"/>
        <w:adjustRightInd w:val="0"/>
        <w:ind w:left="540" w:firstLine="30"/>
        <w:jc w:val="center"/>
        <w:rPr>
          <w:rFonts w:hint="eastAsia" w:ascii="宋体" w:hAnsi="宋体"/>
          <w:b/>
          <w:color w:val="auto"/>
          <w:sz w:val="28"/>
          <w:szCs w:val="28"/>
          <w:highlight w:val="none"/>
        </w:rPr>
      </w:pPr>
    </w:p>
    <w:tbl>
      <w:tblPr>
        <w:tblStyle w:val="60"/>
        <w:tblW w:w="967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1"/>
        <w:gridCol w:w="2325"/>
        <w:gridCol w:w="2636"/>
        <w:gridCol w:w="1365"/>
        <w:gridCol w:w="1560"/>
        <w:gridCol w:w="1200"/>
      </w:tblGrid>
      <w:tr w14:paraId="5C6DA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591" w:type="dxa"/>
            <w:tcBorders>
              <w:top w:val="single" w:color="auto" w:sz="4" w:space="0"/>
              <w:left w:val="single" w:color="auto" w:sz="4" w:space="0"/>
              <w:bottom w:val="single" w:color="auto" w:sz="4" w:space="0"/>
              <w:right w:val="single" w:color="auto" w:sz="4" w:space="0"/>
            </w:tcBorders>
            <w:noWrap w:val="0"/>
            <w:vAlign w:val="center"/>
          </w:tcPr>
          <w:p w14:paraId="67F64627">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序号</w:t>
            </w:r>
          </w:p>
        </w:tc>
        <w:tc>
          <w:tcPr>
            <w:tcW w:w="2325" w:type="dxa"/>
            <w:tcBorders>
              <w:top w:val="single" w:color="auto" w:sz="4" w:space="0"/>
              <w:left w:val="single" w:color="auto" w:sz="4" w:space="0"/>
              <w:bottom w:val="single" w:color="auto" w:sz="4" w:space="0"/>
              <w:right w:val="single" w:color="auto" w:sz="4" w:space="0"/>
            </w:tcBorders>
            <w:noWrap w:val="0"/>
            <w:vAlign w:val="center"/>
          </w:tcPr>
          <w:p w14:paraId="20356C81">
            <w:pPr>
              <w:autoSpaceDE w:val="0"/>
              <w:autoSpaceDN w:val="0"/>
              <w:adjustRightInd w:val="0"/>
              <w:spacing w:line="360" w:lineRule="auto"/>
              <w:jc w:val="center"/>
              <w:rPr>
                <w:rFonts w:hint="eastAsia" w:ascii="仿宋" w:hAnsi="仿宋" w:eastAsia="仿宋" w:cs="仿宋"/>
                <w:color w:val="auto"/>
                <w:sz w:val="21"/>
                <w:szCs w:val="21"/>
                <w:highlight w:val="none"/>
                <w:lang w:val="zh-CN" w:eastAsia="zh-CN"/>
              </w:rPr>
            </w:pPr>
            <w:r>
              <w:rPr>
                <w:rFonts w:hint="eastAsia" w:ascii="仿宋" w:hAnsi="仿宋" w:eastAsia="仿宋" w:cs="仿宋"/>
                <w:color w:val="auto"/>
                <w:sz w:val="21"/>
                <w:szCs w:val="21"/>
                <w:highlight w:val="none"/>
                <w:lang w:val="en-US" w:eastAsia="zh-CN"/>
              </w:rPr>
              <w:t>委托单位</w:t>
            </w:r>
          </w:p>
        </w:tc>
        <w:tc>
          <w:tcPr>
            <w:tcW w:w="2636" w:type="dxa"/>
            <w:tcBorders>
              <w:top w:val="single" w:color="auto" w:sz="4" w:space="0"/>
              <w:left w:val="single" w:color="auto" w:sz="4" w:space="0"/>
              <w:bottom w:val="single" w:color="auto" w:sz="4" w:space="0"/>
              <w:right w:val="single" w:color="auto" w:sz="4" w:space="0"/>
            </w:tcBorders>
            <w:noWrap w:val="0"/>
            <w:vAlign w:val="center"/>
          </w:tcPr>
          <w:p w14:paraId="77D0B866">
            <w:pPr>
              <w:autoSpaceDE w:val="0"/>
              <w:autoSpaceDN w:val="0"/>
              <w:adjustRightInd w:val="0"/>
              <w:spacing w:line="360" w:lineRule="auto"/>
              <w:jc w:val="center"/>
              <w:rPr>
                <w:rFonts w:hint="eastAsia" w:ascii="仿宋" w:hAnsi="仿宋" w:eastAsia="仿宋" w:cs="仿宋"/>
                <w:color w:val="auto"/>
                <w:sz w:val="21"/>
                <w:szCs w:val="21"/>
                <w:highlight w:val="none"/>
                <w:lang w:val="zh-CN" w:eastAsia="zh-CN"/>
              </w:rPr>
            </w:pPr>
            <w:r>
              <w:rPr>
                <w:rFonts w:hint="eastAsia" w:ascii="仿宋" w:hAnsi="仿宋" w:eastAsia="仿宋" w:cs="仿宋"/>
                <w:color w:val="auto"/>
                <w:sz w:val="21"/>
                <w:szCs w:val="21"/>
                <w:highlight w:val="none"/>
                <w:lang w:val="en-US" w:eastAsia="zh-CN"/>
              </w:rPr>
              <w:t>项目内容</w:t>
            </w:r>
          </w:p>
        </w:tc>
        <w:tc>
          <w:tcPr>
            <w:tcW w:w="1365" w:type="dxa"/>
            <w:tcBorders>
              <w:top w:val="single" w:color="auto" w:sz="4" w:space="0"/>
              <w:left w:val="single" w:color="auto" w:sz="4" w:space="0"/>
              <w:bottom w:val="single" w:color="auto" w:sz="4" w:space="0"/>
              <w:right w:val="single" w:color="auto" w:sz="4" w:space="0"/>
            </w:tcBorders>
            <w:noWrap w:val="0"/>
            <w:vAlign w:val="center"/>
          </w:tcPr>
          <w:p w14:paraId="64A2777F">
            <w:pPr>
              <w:autoSpaceDE w:val="0"/>
              <w:autoSpaceDN w:val="0"/>
              <w:adjustRightInd w:val="0"/>
              <w:spacing w:line="360" w:lineRule="auto"/>
              <w:jc w:val="cente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实施时间</w:t>
            </w:r>
          </w:p>
        </w:tc>
        <w:tc>
          <w:tcPr>
            <w:tcW w:w="1560" w:type="dxa"/>
            <w:tcBorders>
              <w:top w:val="single" w:color="auto" w:sz="4" w:space="0"/>
              <w:left w:val="single" w:color="auto" w:sz="4" w:space="0"/>
              <w:bottom w:val="single" w:color="auto" w:sz="4" w:space="0"/>
              <w:right w:val="single" w:color="auto" w:sz="4" w:space="0"/>
            </w:tcBorders>
            <w:noWrap w:val="0"/>
            <w:vAlign w:val="center"/>
          </w:tcPr>
          <w:p w14:paraId="798AD8A7">
            <w:pPr>
              <w:widowControl/>
              <w:spacing w:line="360" w:lineRule="auto"/>
              <w:jc w:val="cente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en-US" w:eastAsia="zh-CN"/>
              </w:rPr>
              <w:t>甲方</w:t>
            </w:r>
          </w:p>
          <w:p w14:paraId="7B8533C4">
            <w:pPr>
              <w:autoSpaceDE w:val="0"/>
              <w:autoSpaceDN w:val="0"/>
              <w:adjustRightInd w:val="0"/>
              <w:spacing w:line="360" w:lineRule="auto"/>
              <w:jc w:val="cente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联系人及电话</w:t>
            </w:r>
          </w:p>
        </w:tc>
        <w:tc>
          <w:tcPr>
            <w:tcW w:w="1200" w:type="dxa"/>
            <w:tcBorders>
              <w:top w:val="single" w:color="auto" w:sz="4" w:space="0"/>
              <w:left w:val="single" w:color="auto" w:sz="4" w:space="0"/>
              <w:bottom w:val="single" w:color="auto" w:sz="4" w:space="0"/>
              <w:right w:val="single" w:color="auto" w:sz="4" w:space="0"/>
            </w:tcBorders>
            <w:noWrap w:val="0"/>
            <w:vAlign w:val="center"/>
          </w:tcPr>
          <w:p w14:paraId="5E8B128A">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证明材料所在页码</w:t>
            </w:r>
          </w:p>
        </w:tc>
      </w:tr>
      <w:tr w14:paraId="54D58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591" w:type="dxa"/>
            <w:tcBorders>
              <w:top w:val="single" w:color="auto" w:sz="4" w:space="0"/>
              <w:left w:val="single" w:color="auto" w:sz="4" w:space="0"/>
              <w:bottom w:val="single" w:color="auto" w:sz="4" w:space="0"/>
              <w:right w:val="single" w:color="auto" w:sz="4" w:space="0"/>
            </w:tcBorders>
            <w:noWrap w:val="0"/>
            <w:vAlign w:val="center"/>
          </w:tcPr>
          <w:p w14:paraId="0384FC8F">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c>
          <w:tcPr>
            <w:tcW w:w="2325" w:type="dxa"/>
            <w:tcBorders>
              <w:top w:val="single" w:color="auto" w:sz="4" w:space="0"/>
              <w:left w:val="single" w:color="auto" w:sz="4" w:space="0"/>
              <w:bottom w:val="single" w:color="auto" w:sz="4" w:space="0"/>
              <w:right w:val="single" w:color="auto" w:sz="4" w:space="0"/>
            </w:tcBorders>
            <w:noWrap w:val="0"/>
            <w:vAlign w:val="center"/>
          </w:tcPr>
          <w:p w14:paraId="662F116C">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c>
          <w:tcPr>
            <w:tcW w:w="2636" w:type="dxa"/>
            <w:tcBorders>
              <w:top w:val="single" w:color="auto" w:sz="4" w:space="0"/>
              <w:left w:val="single" w:color="auto" w:sz="4" w:space="0"/>
              <w:bottom w:val="single" w:color="auto" w:sz="4" w:space="0"/>
              <w:right w:val="single" w:color="auto" w:sz="4" w:space="0"/>
            </w:tcBorders>
            <w:noWrap w:val="0"/>
            <w:vAlign w:val="center"/>
          </w:tcPr>
          <w:p w14:paraId="0469E688">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14:paraId="498DA016">
            <w:pPr>
              <w:autoSpaceDE w:val="0"/>
              <w:autoSpaceDN w:val="0"/>
              <w:adjustRightInd w:val="0"/>
              <w:spacing w:line="360" w:lineRule="auto"/>
              <w:jc w:val="center"/>
              <w:rPr>
                <w:rFonts w:hint="eastAsia" w:ascii="仿宋" w:hAnsi="仿宋" w:eastAsia="仿宋" w:cs="仿宋"/>
                <w:color w:val="auto"/>
                <w:sz w:val="21"/>
                <w:szCs w:val="21"/>
                <w:highlight w:val="none"/>
                <w:lang w:val="zh-CN"/>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14:paraId="593C58C0">
            <w:pPr>
              <w:autoSpaceDE w:val="0"/>
              <w:autoSpaceDN w:val="0"/>
              <w:adjustRightInd w:val="0"/>
              <w:spacing w:line="360" w:lineRule="auto"/>
              <w:jc w:val="center"/>
              <w:rPr>
                <w:rFonts w:hint="eastAsia" w:ascii="仿宋" w:hAnsi="仿宋" w:eastAsia="仿宋" w:cs="仿宋"/>
                <w:color w:val="auto"/>
                <w:sz w:val="21"/>
                <w:szCs w:val="21"/>
                <w:highlight w:val="none"/>
                <w:lang w:val="zh-CN"/>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54325871">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r>
      <w:tr w14:paraId="7BE82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591" w:type="dxa"/>
            <w:tcBorders>
              <w:top w:val="single" w:color="auto" w:sz="4" w:space="0"/>
              <w:left w:val="single" w:color="auto" w:sz="4" w:space="0"/>
              <w:bottom w:val="single" w:color="auto" w:sz="4" w:space="0"/>
              <w:right w:val="single" w:color="auto" w:sz="4" w:space="0"/>
            </w:tcBorders>
            <w:noWrap w:val="0"/>
            <w:vAlign w:val="center"/>
          </w:tcPr>
          <w:p w14:paraId="7CB2E064">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c>
          <w:tcPr>
            <w:tcW w:w="2325" w:type="dxa"/>
            <w:tcBorders>
              <w:top w:val="single" w:color="auto" w:sz="4" w:space="0"/>
              <w:left w:val="single" w:color="auto" w:sz="4" w:space="0"/>
              <w:bottom w:val="single" w:color="auto" w:sz="4" w:space="0"/>
              <w:right w:val="single" w:color="auto" w:sz="4" w:space="0"/>
            </w:tcBorders>
            <w:noWrap w:val="0"/>
            <w:vAlign w:val="center"/>
          </w:tcPr>
          <w:p w14:paraId="4776FF59">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c>
          <w:tcPr>
            <w:tcW w:w="2636" w:type="dxa"/>
            <w:tcBorders>
              <w:top w:val="single" w:color="auto" w:sz="4" w:space="0"/>
              <w:left w:val="single" w:color="auto" w:sz="4" w:space="0"/>
              <w:bottom w:val="single" w:color="auto" w:sz="4" w:space="0"/>
              <w:right w:val="single" w:color="auto" w:sz="4" w:space="0"/>
            </w:tcBorders>
            <w:noWrap w:val="0"/>
            <w:vAlign w:val="center"/>
          </w:tcPr>
          <w:p w14:paraId="3C91DD68">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14:paraId="085F49D1">
            <w:pPr>
              <w:autoSpaceDE w:val="0"/>
              <w:autoSpaceDN w:val="0"/>
              <w:adjustRightInd w:val="0"/>
              <w:spacing w:line="360" w:lineRule="auto"/>
              <w:jc w:val="center"/>
              <w:rPr>
                <w:rFonts w:hint="eastAsia" w:ascii="仿宋" w:hAnsi="仿宋" w:eastAsia="仿宋" w:cs="仿宋"/>
                <w:color w:val="auto"/>
                <w:sz w:val="21"/>
                <w:szCs w:val="21"/>
                <w:highlight w:val="none"/>
                <w:lang w:val="zh-CN"/>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14:paraId="107926F3">
            <w:pPr>
              <w:autoSpaceDE w:val="0"/>
              <w:autoSpaceDN w:val="0"/>
              <w:adjustRightInd w:val="0"/>
              <w:spacing w:line="360" w:lineRule="auto"/>
              <w:jc w:val="center"/>
              <w:rPr>
                <w:rFonts w:hint="eastAsia" w:ascii="仿宋" w:hAnsi="仿宋" w:eastAsia="仿宋" w:cs="仿宋"/>
                <w:color w:val="auto"/>
                <w:sz w:val="21"/>
                <w:szCs w:val="21"/>
                <w:highlight w:val="none"/>
                <w:lang w:val="zh-CN"/>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4C341E09">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r>
      <w:tr w14:paraId="406E2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591" w:type="dxa"/>
            <w:tcBorders>
              <w:top w:val="single" w:color="auto" w:sz="4" w:space="0"/>
              <w:left w:val="single" w:color="auto" w:sz="4" w:space="0"/>
              <w:bottom w:val="single" w:color="auto" w:sz="4" w:space="0"/>
              <w:right w:val="single" w:color="auto" w:sz="4" w:space="0"/>
            </w:tcBorders>
            <w:noWrap w:val="0"/>
            <w:vAlign w:val="center"/>
          </w:tcPr>
          <w:p w14:paraId="7B20075D">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c>
          <w:tcPr>
            <w:tcW w:w="2325" w:type="dxa"/>
            <w:tcBorders>
              <w:top w:val="single" w:color="auto" w:sz="4" w:space="0"/>
              <w:left w:val="single" w:color="auto" w:sz="4" w:space="0"/>
              <w:bottom w:val="single" w:color="auto" w:sz="4" w:space="0"/>
              <w:right w:val="single" w:color="auto" w:sz="4" w:space="0"/>
            </w:tcBorders>
            <w:noWrap w:val="0"/>
            <w:vAlign w:val="center"/>
          </w:tcPr>
          <w:p w14:paraId="2BDD89E7">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c>
          <w:tcPr>
            <w:tcW w:w="2636" w:type="dxa"/>
            <w:tcBorders>
              <w:top w:val="single" w:color="auto" w:sz="4" w:space="0"/>
              <w:left w:val="single" w:color="auto" w:sz="4" w:space="0"/>
              <w:bottom w:val="single" w:color="auto" w:sz="4" w:space="0"/>
              <w:right w:val="single" w:color="auto" w:sz="4" w:space="0"/>
            </w:tcBorders>
            <w:noWrap w:val="0"/>
            <w:vAlign w:val="center"/>
          </w:tcPr>
          <w:p w14:paraId="416B5CDF">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14:paraId="55FF3512">
            <w:pPr>
              <w:autoSpaceDE w:val="0"/>
              <w:autoSpaceDN w:val="0"/>
              <w:adjustRightInd w:val="0"/>
              <w:spacing w:line="360" w:lineRule="auto"/>
              <w:jc w:val="center"/>
              <w:rPr>
                <w:rFonts w:hint="eastAsia" w:ascii="仿宋" w:hAnsi="仿宋" w:eastAsia="仿宋" w:cs="仿宋"/>
                <w:color w:val="auto"/>
                <w:sz w:val="21"/>
                <w:szCs w:val="21"/>
                <w:highlight w:val="none"/>
                <w:lang w:val="zh-CN"/>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14:paraId="650F284F">
            <w:pPr>
              <w:autoSpaceDE w:val="0"/>
              <w:autoSpaceDN w:val="0"/>
              <w:adjustRightInd w:val="0"/>
              <w:spacing w:line="360" w:lineRule="auto"/>
              <w:jc w:val="center"/>
              <w:rPr>
                <w:rFonts w:hint="eastAsia" w:ascii="仿宋" w:hAnsi="仿宋" w:eastAsia="仿宋" w:cs="仿宋"/>
                <w:color w:val="auto"/>
                <w:sz w:val="21"/>
                <w:szCs w:val="21"/>
                <w:highlight w:val="none"/>
                <w:lang w:val="zh-CN"/>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71649EDB">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r>
      <w:tr w14:paraId="7442C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591" w:type="dxa"/>
            <w:tcBorders>
              <w:top w:val="single" w:color="auto" w:sz="4" w:space="0"/>
              <w:left w:val="single" w:color="auto" w:sz="4" w:space="0"/>
              <w:bottom w:val="single" w:color="auto" w:sz="4" w:space="0"/>
              <w:right w:val="single" w:color="auto" w:sz="4" w:space="0"/>
            </w:tcBorders>
            <w:noWrap w:val="0"/>
            <w:vAlign w:val="center"/>
          </w:tcPr>
          <w:p w14:paraId="087DB5BD">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c>
          <w:tcPr>
            <w:tcW w:w="2325" w:type="dxa"/>
            <w:tcBorders>
              <w:top w:val="single" w:color="auto" w:sz="4" w:space="0"/>
              <w:left w:val="single" w:color="auto" w:sz="4" w:space="0"/>
              <w:bottom w:val="single" w:color="auto" w:sz="4" w:space="0"/>
              <w:right w:val="single" w:color="auto" w:sz="4" w:space="0"/>
            </w:tcBorders>
            <w:noWrap w:val="0"/>
            <w:vAlign w:val="center"/>
          </w:tcPr>
          <w:p w14:paraId="630F6858">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c>
          <w:tcPr>
            <w:tcW w:w="2636" w:type="dxa"/>
            <w:tcBorders>
              <w:top w:val="single" w:color="auto" w:sz="4" w:space="0"/>
              <w:left w:val="single" w:color="auto" w:sz="4" w:space="0"/>
              <w:bottom w:val="single" w:color="auto" w:sz="4" w:space="0"/>
              <w:right w:val="single" w:color="auto" w:sz="4" w:space="0"/>
            </w:tcBorders>
            <w:noWrap w:val="0"/>
            <w:vAlign w:val="center"/>
          </w:tcPr>
          <w:p w14:paraId="142E1209">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14:paraId="6D874087">
            <w:pPr>
              <w:autoSpaceDE w:val="0"/>
              <w:autoSpaceDN w:val="0"/>
              <w:adjustRightInd w:val="0"/>
              <w:spacing w:line="360" w:lineRule="auto"/>
              <w:jc w:val="center"/>
              <w:rPr>
                <w:rFonts w:hint="eastAsia" w:ascii="仿宋" w:hAnsi="仿宋" w:eastAsia="仿宋" w:cs="仿宋"/>
                <w:color w:val="auto"/>
                <w:sz w:val="21"/>
                <w:szCs w:val="21"/>
                <w:highlight w:val="none"/>
                <w:lang w:val="zh-CN"/>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14:paraId="6857BC2E">
            <w:pPr>
              <w:autoSpaceDE w:val="0"/>
              <w:autoSpaceDN w:val="0"/>
              <w:adjustRightInd w:val="0"/>
              <w:spacing w:line="360" w:lineRule="auto"/>
              <w:jc w:val="center"/>
              <w:rPr>
                <w:rFonts w:hint="eastAsia" w:ascii="仿宋" w:hAnsi="仿宋" w:eastAsia="仿宋" w:cs="仿宋"/>
                <w:color w:val="auto"/>
                <w:sz w:val="21"/>
                <w:szCs w:val="21"/>
                <w:highlight w:val="none"/>
                <w:lang w:val="zh-CN"/>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7BCD40B3">
            <w:pPr>
              <w:autoSpaceDE w:val="0"/>
              <w:autoSpaceDN w:val="0"/>
              <w:adjustRightInd w:val="0"/>
              <w:spacing w:line="360" w:lineRule="auto"/>
              <w:jc w:val="center"/>
              <w:rPr>
                <w:rFonts w:hint="eastAsia" w:ascii="仿宋" w:hAnsi="仿宋" w:eastAsia="仿宋" w:cs="仿宋"/>
                <w:color w:val="auto"/>
                <w:sz w:val="21"/>
                <w:szCs w:val="21"/>
                <w:highlight w:val="none"/>
                <w:lang w:val="en-US" w:eastAsia="zh-CN"/>
              </w:rPr>
            </w:pPr>
          </w:p>
        </w:tc>
      </w:tr>
    </w:tbl>
    <w:p w14:paraId="5A6A43F1">
      <w:pPr>
        <w:rPr>
          <w:rFonts w:hint="default" w:ascii="仿宋_GB2312" w:hAnsi="仿宋" w:eastAsia="仿宋_GB2312" w:cs="仿宋_GB2312"/>
          <w:b/>
          <w:color w:val="auto"/>
          <w:sz w:val="24"/>
          <w:highlight w:val="none"/>
          <w:lang w:val="en-US" w:eastAsia="zh-CN"/>
        </w:rPr>
      </w:pPr>
      <w:r>
        <w:rPr>
          <w:rFonts w:hint="default" w:ascii="仿宋_GB2312" w:hAnsi="仿宋" w:eastAsia="仿宋_GB2312" w:cs="仿宋_GB2312"/>
          <w:b/>
          <w:color w:val="auto"/>
          <w:sz w:val="24"/>
          <w:highlight w:val="none"/>
          <w:lang w:val="en-US" w:eastAsia="zh-CN"/>
        </w:rPr>
        <w:br w:type="page"/>
      </w:r>
    </w:p>
    <w:p w14:paraId="5F5035C7">
      <w:pPr>
        <w:keepNext w:val="0"/>
        <w:keepLines w:val="0"/>
        <w:pageBreakBefore w:val="0"/>
        <w:kinsoku/>
        <w:wordWrap/>
        <w:overflowPunct/>
        <w:topLinePunct w:val="0"/>
        <w:bidi w:val="0"/>
        <w:snapToGrid w:val="0"/>
        <w:spacing w:line="360" w:lineRule="auto"/>
        <w:jc w:val="left"/>
        <w:textAlignment w:val="auto"/>
        <w:outlineLvl w:val="9"/>
        <w:rPr>
          <w:rFonts w:hint="eastAsia" w:ascii="仿宋_GB2312" w:hAnsi="仿宋" w:eastAsia="仿宋_GB2312" w:cs="仿宋_GB2312"/>
          <w:b/>
          <w:color w:val="auto"/>
          <w:sz w:val="24"/>
          <w:highlight w:val="none"/>
          <w:lang w:val="en-US" w:eastAsia="zh-CN"/>
        </w:rPr>
      </w:pPr>
      <w:r>
        <w:rPr>
          <w:rFonts w:hint="eastAsia" w:ascii="仿宋_GB2312" w:hAnsi="仿宋" w:eastAsia="仿宋_GB2312" w:cs="仿宋_GB2312"/>
          <w:b/>
          <w:color w:val="auto"/>
          <w:sz w:val="24"/>
          <w:highlight w:val="none"/>
          <w:lang w:val="en-US" w:eastAsia="zh-CN"/>
        </w:rPr>
        <w:t>5-2参考表格2</w:t>
      </w:r>
    </w:p>
    <w:p w14:paraId="04EDBE6B">
      <w:pPr>
        <w:autoSpaceDE w:val="0"/>
        <w:autoSpaceDN w:val="0"/>
        <w:adjustRightInd w:val="0"/>
        <w:ind w:left="540" w:firstLine="30"/>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项目负责人</w:t>
      </w:r>
      <w:r>
        <w:rPr>
          <w:rFonts w:hint="eastAsia" w:ascii="仿宋" w:hAnsi="仿宋" w:eastAsia="仿宋" w:cs="仿宋"/>
          <w:b/>
          <w:color w:val="auto"/>
          <w:sz w:val="28"/>
          <w:szCs w:val="28"/>
          <w:highlight w:val="none"/>
        </w:rPr>
        <w:t>业绩一览表</w:t>
      </w:r>
    </w:p>
    <w:p w14:paraId="46EAC25A">
      <w:pPr>
        <w:autoSpaceDE w:val="0"/>
        <w:autoSpaceDN w:val="0"/>
        <w:adjustRightInd w:val="0"/>
        <w:ind w:left="540" w:firstLine="30"/>
        <w:jc w:val="center"/>
        <w:rPr>
          <w:rFonts w:hint="eastAsia" w:ascii="宋体" w:hAnsi="宋体"/>
          <w:b/>
          <w:color w:val="auto"/>
          <w:sz w:val="28"/>
          <w:szCs w:val="28"/>
          <w:highlight w:val="none"/>
        </w:rPr>
      </w:pPr>
    </w:p>
    <w:tbl>
      <w:tblPr>
        <w:tblStyle w:val="60"/>
        <w:tblW w:w="1015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1"/>
        <w:gridCol w:w="2325"/>
        <w:gridCol w:w="2636"/>
        <w:gridCol w:w="1365"/>
        <w:gridCol w:w="1035"/>
        <w:gridCol w:w="1007"/>
        <w:gridCol w:w="1200"/>
      </w:tblGrid>
      <w:tr w14:paraId="4D77B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591" w:type="dxa"/>
            <w:tcBorders>
              <w:top w:val="single" w:color="auto" w:sz="4" w:space="0"/>
              <w:left w:val="single" w:color="auto" w:sz="4" w:space="0"/>
              <w:bottom w:val="single" w:color="auto" w:sz="4" w:space="0"/>
              <w:right w:val="single" w:color="auto" w:sz="4" w:space="0"/>
            </w:tcBorders>
            <w:noWrap w:val="0"/>
            <w:vAlign w:val="center"/>
          </w:tcPr>
          <w:p w14:paraId="4B4CB835">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序号</w:t>
            </w:r>
          </w:p>
        </w:tc>
        <w:tc>
          <w:tcPr>
            <w:tcW w:w="2325" w:type="dxa"/>
            <w:tcBorders>
              <w:top w:val="single" w:color="auto" w:sz="4" w:space="0"/>
              <w:left w:val="single" w:color="auto" w:sz="4" w:space="0"/>
              <w:bottom w:val="single" w:color="auto" w:sz="4" w:space="0"/>
              <w:right w:val="single" w:color="auto" w:sz="4" w:space="0"/>
            </w:tcBorders>
            <w:noWrap w:val="0"/>
            <w:vAlign w:val="center"/>
          </w:tcPr>
          <w:p w14:paraId="435193D3">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eastAsia="zh-CN"/>
              </w:rPr>
            </w:pPr>
            <w:r>
              <w:rPr>
                <w:rFonts w:hint="eastAsia" w:ascii="仿宋" w:hAnsi="仿宋" w:eastAsia="仿宋" w:cs="仿宋"/>
                <w:color w:val="auto"/>
                <w:sz w:val="21"/>
                <w:szCs w:val="21"/>
                <w:highlight w:val="none"/>
                <w:lang w:val="en-US" w:eastAsia="zh-CN"/>
              </w:rPr>
              <w:t>委托单位</w:t>
            </w:r>
          </w:p>
        </w:tc>
        <w:tc>
          <w:tcPr>
            <w:tcW w:w="2636" w:type="dxa"/>
            <w:tcBorders>
              <w:top w:val="single" w:color="auto" w:sz="4" w:space="0"/>
              <w:left w:val="single" w:color="auto" w:sz="4" w:space="0"/>
              <w:bottom w:val="single" w:color="auto" w:sz="4" w:space="0"/>
              <w:right w:val="single" w:color="auto" w:sz="4" w:space="0"/>
            </w:tcBorders>
            <w:noWrap w:val="0"/>
            <w:vAlign w:val="center"/>
          </w:tcPr>
          <w:p w14:paraId="57416378">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eastAsia="zh-CN"/>
              </w:rPr>
            </w:pPr>
            <w:r>
              <w:rPr>
                <w:rFonts w:hint="eastAsia" w:ascii="仿宋" w:hAnsi="仿宋" w:eastAsia="仿宋" w:cs="仿宋"/>
                <w:color w:val="auto"/>
                <w:sz w:val="21"/>
                <w:szCs w:val="21"/>
                <w:highlight w:val="none"/>
                <w:lang w:val="en-US" w:eastAsia="zh-CN"/>
              </w:rPr>
              <w:t>项目内容</w:t>
            </w:r>
          </w:p>
        </w:tc>
        <w:tc>
          <w:tcPr>
            <w:tcW w:w="1365" w:type="dxa"/>
            <w:tcBorders>
              <w:top w:val="single" w:color="auto" w:sz="4" w:space="0"/>
              <w:left w:val="single" w:color="auto" w:sz="4" w:space="0"/>
              <w:bottom w:val="single" w:color="auto" w:sz="4" w:space="0"/>
              <w:right w:val="single" w:color="auto" w:sz="4" w:space="0"/>
            </w:tcBorders>
            <w:noWrap w:val="0"/>
            <w:vAlign w:val="center"/>
          </w:tcPr>
          <w:p w14:paraId="1FAA0118">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实施时间</w:t>
            </w:r>
          </w:p>
        </w:tc>
        <w:tc>
          <w:tcPr>
            <w:tcW w:w="1035" w:type="dxa"/>
            <w:tcBorders>
              <w:top w:val="single" w:color="auto" w:sz="4" w:space="0"/>
              <w:left w:val="single" w:color="auto" w:sz="4" w:space="0"/>
              <w:bottom w:val="single" w:color="auto" w:sz="4" w:space="0"/>
              <w:right w:val="single" w:color="auto" w:sz="4" w:space="0"/>
            </w:tcBorders>
            <w:noWrap w:val="0"/>
            <w:vAlign w:val="center"/>
          </w:tcPr>
          <w:p w14:paraId="7D7636DC">
            <w:pPr>
              <w:keepNext w:val="0"/>
              <w:keepLines w:val="0"/>
              <w:pageBreakBefore w:val="0"/>
              <w:widowControl/>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en-US" w:eastAsia="zh-CN"/>
              </w:rPr>
              <w:t>甲方</w:t>
            </w:r>
          </w:p>
          <w:p w14:paraId="2B2BC158">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联系人及电话</w:t>
            </w:r>
          </w:p>
        </w:tc>
        <w:tc>
          <w:tcPr>
            <w:tcW w:w="1007" w:type="dxa"/>
            <w:tcBorders>
              <w:top w:val="single" w:color="auto" w:sz="4" w:space="0"/>
              <w:left w:val="single" w:color="auto" w:sz="4" w:space="0"/>
              <w:bottom w:val="single" w:color="auto" w:sz="4" w:space="0"/>
              <w:right w:val="single" w:color="auto" w:sz="4" w:space="0"/>
            </w:tcBorders>
            <w:noWrap w:val="0"/>
            <w:vAlign w:val="center"/>
          </w:tcPr>
          <w:p w14:paraId="208067FF">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合同材料所在页码</w:t>
            </w:r>
          </w:p>
        </w:tc>
        <w:tc>
          <w:tcPr>
            <w:tcW w:w="1200" w:type="dxa"/>
            <w:tcBorders>
              <w:top w:val="single" w:color="auto" w:sz="4" w:space="0"/>
              <w:left w:val="single" w:color="auto" w:sz="4" w:space="0"/>
              <w:bottom w:val="single" w:color="auto" w:sz="4" w:space="0"/>
              <w:right w:val="single" w:color="auto" w:sz="4" w:space="0"/>
            </w:tcBorders>
            <w:noWrap w:val="0"/>
            <w:vAlign w:val="center"/>
          </w:tcPr>
          <w:p w14:paraId="2F65FFA7">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佐证材料所在页码（合同中已经可以证明的，无需提供，用“/”）</w:t>
            </w:r>
          </w:p>
        </w:tc>
      </w:tr>
      <w:tr w14:paraId="0E0DA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591" w:type="dxa"/>
            <w:tcBorders>
              <w:top w:val="single" w:color="auto" w:sz="4" w:space="0"/>
              <w:left w:val="single" w:color="auto" w:sz="4" w:space="0"/>
              <w:bottom w:val="single" w:color="auto" w:sz="4" w:space="0"/>
              <w:right w:val="single" w:color="auto" w:sz="4" w:space="0"/>
            </w:tcBorders>
            <w:noWrap w:val="0"/>
            <w:vAlign w:val="center"/>
          </w:tcPr>
          <w:p w14:paraId="43660D20">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2325" w:type="dxa"/>
            <w:tcBorders>
              <w:top w:val="single" w:color="auto" w:sz="4" w:space="0"/>
              <w:left w:val="single" w:color="auto" w:sz="4" w:space="0"/>
              <w:bottom w:val="single" w:color="auto" w:sz="4" w:space="0"/>
              <w:right w:val="single" w:color="auto" w:sz="4" w:space="0"/>
            </w:tcBorders>
            <w:noWrap w:val="0"/>
            <w:vAlign w:val="center"/>
          </w:tcPr>
          <w:p w14:paraId="4B5DF593">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2636" w:type="dxa"/>
            <w:tcBorders>
              <w:top w:val="single" w:color="auto" w:sz="4" w:space="0"/>
              <w:left w:val="single" w:color="auto" w:sz="4" w:space="0"/>
              <w:bottom w:val="single" w:color="auto" w:sz="4" w:space="0"/>
              <w:right w:val="single" w:color="auto" w:sz="4" w:space="0"/>
            </w:tcBorders>
            <w:noWrap w:val="0"/>
            <w:vAlign w:val="center"/>
          </w:tcPr>
          <w:p w14:paraId="31A1A246">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14:paraId="399E006F">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p>
        </w:tc>
        <w:tc>
          <w:tcPr>
            <w:tcW w:w="1035" w:type="dxa"/>
            <w:tcBorders>
              <w:top w:val="single" w:color="auto" w:sz="4" w:space="0"/>
              <w:left w:val="single" w:color="auto" w:sz="4" w:space="0"/>
              <w:bottom w:val="single" w:color="auto" w:sz="4" w:space="0"/>
              <w:right w:val="single" w:color="auto" w:sz="4" w:space="0"/>
            </w:tcBorders>
            <w:noWrap w:val="0"/>
            <w:vAlign w:val="center"/>
          </w:tcPr>
          <w:p w14:paraId="5837E195">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p>
        </w:tc>
        <w:tc>
          <w:tcPr>
            <w:tcW w:w="1007" w:type="dxa"/>
            <w:tcBorders>
              <w:top w:val="single" w:color="auto" w:sz="4" w:space="0"/>
              <w:left w:val="single" w:color="auto" w:sz="4" w:space="0"/>
              <w:bottom w:val="single" w:color="auto" w:sz="4" w:space="0"/>
              <w:right w:val="single" w:color="auto" w:sz="4" w:space="0"/>
            </w:tcBorders>
            <w:noWrap w:val="0"/>
            <w:vAlign w:val="center"/>
          </w:tcPr>
          <w:p w14:paraId="18FBD92A">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65997442">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r>
      <w:tr w14:paraId="11718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591" w:type="dxa"/>
            <w:tcBorders>
              <w:top w:val="single" w:color="auto" w:sz="4" w:space="0"/>
              <w:left w:val="single" w:color="auto" w:sz="4" w:space="0"/>
              <w:bottom w:val="single" w:color="auto" w:sz="4" w:space="0"/>
              <w:right w:val="single" w:color="auto" w:sz="4" w:space="0"/>
            </w:tcBorders>
            <w:noWrap w:val="0"/>
            <w:vAlign w:val="center"/>
          </w:tcPr>
          <w:p w14:paraId="2781DB5B">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2325" w:type="dxa"/>
            <w:tcBorders>
              <w:top w:val="single" w:color="auto" w:sz="4" w:space="0"/>
              <w:left w:val="single" w:color="auto" w:sz="4" w:space="0"/>
              <w:bottom w:val="single" w:color="auto" w:sz="4" w:space="0"/>
              <w:right w:val="single" w:color="auto" w:sz="4" w:space="0"/>
            </w:tcBorders>
            <w:noWrap w:val="0"/>
            <w:vAlign w:val="center"/>
          </w:tcPr>
          <w:p w14:paraId="597E73AC">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2636" w:type="dxa"/>
            <w:tcBorders>
              <w:top w:val="single" w:color="auto" w:sz="4" w:space="0"/>
              <w:left w:val="single" w:color="auto" w:sz="4" w:space="0"/>
              <w:bottom w:val="single" w:color="auto" w:sz="4" w:space="0"/>
              <w:right w:val="single" w:color="auto" w:sz="4" w:space="0"/>
            </w:tcBorders>
            <w:noWrap w:val="0"/>
            <w:vAlign w:val="center"/>
          </w:tcPr>
          <w:p w14:paraId="39BCDCF2">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14:paraId="312EAD41">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p>
        </w:tc>
        <w:tc>
          <w:tcPr>
            <w:tcW w:w="1035" w:type="dxa"/>
            <w:tcBorders>
              <w:top w:val="single" w:color="auto" w:sz="4" w:space="0"/>
              <w:left w:val="single" w:color="auto" w:sz="4" w:space="0"/>
              <w:bottom w:val="single" w:color="auto" w:sz="4" w:space="0"/>
              <w:right w:val="single" w:color="auto" w:sz="4" w:space="0"/>
            </w:tcBorders>
            <w:noWrap w:val="0"/>
            <w:vAlign w:val="center"/>
          </w:tcPr>
          <w:p w14:paraId="3B6B5D82">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p>
        </w:tc>
        <w:tc>
          <w:tcPr>
            <w:tcW w:w="1007" w:type="dxa"/>
            <w:tcBorders>
              <w:top w:val="single" w:color="auto" w:sz="4" w:space="0"/>
              <w:left w:val="single" w:color="auto" w:sz="4" w:space="0"/>
              <w:bottom w:val="single" w:color="auto" w:sz="4" w:space="0"/>
              <w:right w:val="single" w:color="auto" w:sz="4" w:space="0"/>
            </w:tcBorders>
            <w:noWrap w:val="0"/>
            <w:vAlign w:val="center"/>
          </w:tcPr>
          <w:p w14:paraId="4371336D">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23EDF5A2">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r>
      <w:tr w14:paraId="0FC46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591" w:type="dxa"/>
            <w:tcBorders>
              <w:top w:val="single" w:color="auto" w:sz="4" w:space="0"/>
              <w:left w:val="single" w:color="auto" w:sz="4" w:space="0"/>
              <w:bottom w:val="single" w:color="auto" w:sz="4" w:space="0"/>
              <w:right w:val="single" w:color="auto" w:sz="4" w:space="0"/>
            </w:tcBorders>
            <w:noWrap w:val="0"/>
            <w:vAlign w:val="center"/>
          </w:tcPr>
          <w:p w14:paraId="6FA4962E">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2325" w:type="dxa"/>
            <w:tcBorders>
              <w:top w:val="single" w:color="auto" w:sz="4" w:space="0"/>
              <w:left w:val="single" w:color="auto" w:sz="4" w:space="0"/>
              <w:bottom w:val="single" w:color="auto" w:sz="4" w:space="0"/>
              <w:right w:val="single" w:color="auto" w:sz="4" w:space="0"/>
            </w:tcBorders>
            <w:noWrap w:val="0"/>
            <w:vAlign w:val="center"/>
          </w:tcPr>
          <w:p w14:paraId="7C248BA2">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2636" w:type="dxa"/>
            <w:tcBorders>
              <w:top w:val="single" w:color="auto" w:sz="4" w:space="0"/>
              <w:left w:val="single" w:color="auto" w:sz="4" w:space="0"/>
              <w:bottom w:val="single" w:color="auto" w:sz="4" w:space="0"/>
              <w:right w:val="single" w:color="auto" w:sz="4" w:space="0"/>
            </w:tcBorders>
            <w:noWrap w:val="0"/>
            <w:vAlign w:val="center"/>
          </w:tcPr>
          <w:p w14:paraId="36DFDF51">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14:paraId="25EF17CA">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p>
        </w:tc>
        <w:tc>
          <w:tcPr>
            <w:tcW w:w="1035" w:type="dxa"/>
            <w:tcBorders>
              <w:top w:val="single" w:color="auto" w:sz="4" w:space="0"/>
              <w:left w:val="single" w:color="auto" w:sz="4" w:space="0"/>
              <w:bottom w:val="single" w:color="auto" w:sz="4" w:space="0"/>
              <w:right w:val="single" w:color="auto" w:sz="4" w:space="0"/>
            </w:tcBorders>
            <w:noWrap w:val="0"/>
            <w:vAlign w:val="center"/>
          </w:tcPr>
          <w:p w14:paraId="40D7A2F0">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p>
        </w:tc>
        <w:tc>
          <w:tcPr>
            <w:tcW w:w="1007" w:type="dxa"/>
            <w:tcBorders>
              <w:top w:val="single" w:color="auto" w:sz="4" w:space="0"/>
              <w:left w:val="single" w:color="auto" w:sz="4" w:space="0"/>
              <w:bottom w:val="single" w:color="auto" w:sz="4" w:space="0"/>
              <w:right w:val="single" w:color="auto" w:sz="4" w:space="0"/>
            </w:tcBorders>
            <w:noWrap w:val="0"/>
            <w:vAlign w:val="center"/>
          </w:tcPr>
          <w:p w14:paraId="27C34E02">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7B6C6BFE">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r>
      <w:tr w14:paraId="22D7A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591" w:type="dxa"/>
            <w:tcBorders>
              <w:top w:val="single" w:color="auto" w:sz="4" w:space="0"/>
              <w:left w:val="single" w:color="auto" w:sz="4" w:space="0"/>
              <w:bottom w:val="single" w:color="auto" w:sz="4" w:space="0"/>
              <w:right w:val="single" w:color="auto" w:sz="4" w:space="0"/>
            </w:tcBorders>
            <w:noWrap w:val="0"/>
            <w:vAlign w:val="center"/>
          </w:tcPr>
          <w:p w14:paraId="312F7FD9">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2325" w:type="dxa"/>
            <w:tcBorders>
              <w:top w:val="single" w:color="auto" w:sz="4" w:space="0"/>
              <w:left w:val="single" w:color="auto" w:sz="4" w:space="0"/>
              <w:bottom w:val="single" w:color="auto" w:sz="4" w:space="0"/>
              <w:right w:val="single" w:color="auto" w:sz="4" w:space="0"/>
            </w:tcBorders>
            <w:noWrap w:val="0"/>
            <w:vAlign w:val="center"/>
          </w:tcPr>
          <w:p w14:paraId="3685366C">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2636" w:type="dxa"/>
            <w:tcBorders>
              <w:top w:val="single" w:color="auto" w:sz="4" w:space="0"/>
              <w:left w:val="single" w:color="auto" w:sz="4" w:space="0"/>
              <w:bottom w:val="single" w:color="auto" w:sz="4" w:space="0"/>
              <w:right w:val="single" w:color="auto" w:sz="4" w:space="0"/>
            </w:tcBorders>
            <w:noWrap w:val="0"/>
            <w:vAlign w:val="center"/>
          </w:tcPr>
          <w:p w14:paraId="0E919661">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14:paraId="0FF12733">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p>
        </w:tc>
        <w:tc>
          <w:tcPr>
            <w:tcW w:w="1035" w:type="dxa"/>
            <w:tcBorders>
              <w:top w:val="single" w:color="auto" w:sz="4" w:space="0"/>
              <w:left w:val="single" w:color="auto" w:sz="4" w:space="0"/>
              <w:bottom w:val="single" w:color="auto" w:sz="4" w:space="0"/>
              <w:right w:val="single" w:color="auto" w:sz="4" w:space="0"/>
            </w:tcBorders>
            <w:noWrap w:val="0"/>
            <w:vAlign w:val="center"/>
          </w:tcPr>
          <w:p w14:paraId="0E693501">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p>
        </w:tc>
        <w:tc>
          <w:tcPr>
            <w:tcW w:w="1007" w:type="dxa"/>
            <w:tcBorders>
              <w:top w:val="single" w:color="auto" w:sz="4" w:space="0"/>
              <w:left w:val="single" w:color="auto" w:sz="4" w:space="0"/>
              <w:bottom w:val="single" w:color="auto" w:sz="4" w:space="0"/>
              <w:right w:val="single" w:color="auto" w:sz="4" w:space="0"/>
            </w:tcBorders>
            <w:noWrap w:val="0"/>
            <w:vAlign w:val="center"/>
          </w:tcPr>
          <w:p w14:paraId="4705AE2B">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2BB45736">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r>
      <w:tr w14:paraId="7632A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591" w:type="dxa"/>
            <w:tcBorders>
              <w:top w:val="single" w:color="auto" w:sz="4" w:space="0"/>
              <w:left w:val="single" w:color="auto" w:sz="4" w:space="0"/>
              <w:bottom w:val="single" w:color="auto" w:sz="4" w:space="0"/>
              <w:right w:val="single" w:color="auto" w:sz="4" w:space="0"/>
            </w:tcBorders>
            <w:noWrap w:val="0"/>
            <w:vAlign w:val="center"/>
          </w:tcPr>
          <w:p w14:paraId="2641F136">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2325" w:type="dxa"/>
            <w:tcBorders>
              <w:top w:val="single" w:color="auto" w:sz="4" w:space="0"/>
              <w:left w:val="single" w:color="auto" w:sz="4" w:space="0"/>
              <w:bottom w:val="single" w:color="auto" w:sz="4" w:space="0"/>
              <w:right w:val="single" w:color="auto" w:sz="4" w:space="0"/>
            </w:tcBorders>
            <w:noWrap w:val="0"/>
            <w:vAlign w:val="center"/>
          </w:tcPr>
          <w:p w14:paraId="6E3FA6A6">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2636" w:type="dxa"/>
            <w:tcBorders>
              <w:top w:val="single" w:color="auto" w:sz="4" w:space="0"/>
              <w:left w:val="single" w:color="auto" w:sz="4" w:space="0"/>
              <w:bottom w:val="single" w:color="auto" w:sz="4" w:space="0"/>
              <w:right w:val="single" w:color="auto" w:sz="4" w:space="0"/>
            </w:tcBorders>
            <w:noWrap w:val="0"/>
            <w:vAlign w:val="center"/>
          </w:tcPr>
          <w:p w14:paraId="30AAF158">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14:paraId="27ADEB67">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p>
        </w:tc>
        <w:tc>
          <w:tcPr>
            <w:tcW w:w="1035" w:type="dxa"/>
            <w:tcBorders>
              <w:top w:val="single" w:color="auto" w:sz="4" w:space="0"/>
              <w:left w:val="single" w:color="auto" w:sz="4" w:space="0"/>
              <w:bottom w:val="single" w:color="auto" w:sz="4" w:space="0"/>
              <w:right w:val="single" w:color="auto" w:sz="4" w:space="0"/>
            </w:tcBorders>
            <w:noWrap w:val="0"/>
            <w:vAlign w:val="center"/>
          </w:tcPr>
          <w:p w14:paraId="6B615318">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zh-CN"/>
              </w:rPr>
            </w:pPr>
          </w:p>
        </w:tc>
        <w:tc>
          <w:tcPr>
            <w:tcW w:w="1007" w:type="dxa"/>
            <w:tcBorders>
              <w:top w:val="single" w:color="auto" w:sz="4" w:space="0"/>
              <w:left w:val="single" w:color="auto" w:sz="4" w:space="0"/>
              <w:bottom w:val="single" w:color="auto" w:sz="4" w:space="0"/>
              <w:right w:val="single" w:color="auto" w:sz="4" w:space="0"/>
            </w:tcBorders>
            <w:noWrap w:val="0"/>
            <w:vAlign w:val="center"/>
          </w:tcPr>
          <w:p w14:paraId="498E442B">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14:paraId="55B4B508">
            <w:pPr>
              <w:keepNext w:val="0"/>
              <w:keepLines w:val="0"/>
              <w:pageBreakBefore w:val="0"/>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sz w:val="21"/>
                <w:szCs w:val="21"/>
                <w:highlight w:val="none"/>
                <w:lang w:val="en-US" w:eastAsia="zh-CN"/>
              </w:rPr>
            </w:pPr>
          </w:p>
        </w:tc>
      </w:tr>
    </w:tbl>
    <w:p w14:paraId="0ADE5923">
      <w:pPr>
        <w:keepNext w:val="0"/>
        <w:keepLines w:val="0"/>
        <w:pageBreakBefore w:val="0"/>
        <w:kinsoku/>
        <w:wordWrap/>
        <w:overflowPunct/>
        <w:topLinePunct w:val="0"/>
        <w:bidi w:val="0"/>
        <w:snapToGrid w:val="0"/>
        <w:spacing w:line="360" w:lineRule="auto"/>
        <w:jc w:val="left"/>
        <w:textAlignment w:val="auto"/>
        <w:outlineLvl w:val="9"/>
        <w:rPr>
          <w:rFonts w:hint="default" w:ascii="仿宋_GB2312" w:hAnsi="仿宋" w:eastAsia="仿宋_GB2312" w:cs="仿宋_GB2312"/>
          <w:b/>
          <w:color w:val="auto"/>
          <w:sz w:val="24"/>
          <w:highlight w:val="none"/>
          <w:lang w:val="en-US" w:eastAsia="zh-CN"/>
        </w:rPr>
      </w:pPr>
    </w:p>
    <w:p w14:paraId="012E4FB3">
      <w:pPr>
        <w:rPr>
          <w:rFonts w:hint="default" w:ascii="仿宋_GB2312" w:hAnsi="仿宋" w:eastAsia="仿宋_GB2312" w:cs="仿宋_GB2312"/>
          <w:b/>
          <w:color w:val="auto"/>
          <w:sz w:val="24"/>
          <w:highlight w:val="none"/>
          <w:lang w:val="en-US" w:eastAsia="zh-CN"/>
        </w:rPr>
        <w:sectPr>
          <w:headerReference r:id="rId8" w:type="first"/>
          <w:footerReference r:id="rId11" w:type="first"/>
          <w:headerReference r:id="rId7" w:type="default"/>
          <w:footerReference r:id="rId9" w:type="default"/>
          <w:footerReference r:id="rId10" w:type="even"/>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61D583A3">
      <w:pPr>
        <w:keepNext w:val="0"/>
        <w:keepLines w:val="0"/>
        <w:pageBreakBefore w:val="0"/>
        <w:kinsoku/>
        <w:wordWrap/>
        <w:overflowPunct/>
        <w:topLinePunct w:val="0"/>
        <w:bidi w:val="0"/>
        <w:snapToGrid w:val="0"/>
        <w:spacing w:line="360" w:lineRule="auto"/>
        <w:jc w:val="left"/>
        <w:textAlignment w:val="auto"/>
        <w:outlineLvl w:val="9"/>
        <w:rPr>
          <w:rFonts w:hint="default" w:ascii="仿宋_GB2312" w:hAnsi="仿宋" w:eastAsia="仿宋_GB2312" w:cs="仿宋_GB2312"/>
          <w:b/>
          <w:color w:val="auto"/>
          <w:sz w:val="24"/>
          <w:highlight w:val="none"/>
          <w:lang w:val="en-US" w:eastAsia="zh-CN"/>
        </w:rPr>
      </w:pPr>
      <w:r>
        <w:rPr>
          <w:rFonts w:hint="eastAsia" w:ascii="仿宋_GB2312" w:hAnsi="仿宋" w:eastAsia="仿宋_GB2312" w:cs="仿宋_GB2312"/>
          <w:b/>
          <w:color w:val="auto"/>
          <w:sz w:val="24"/>
          <w:highlight w:val="none"/>
          <w:lang w:val="en-US" w:eastAsia="zh-CN"/>
        </w:rPr>
        <w:t>5-3参考表格3</w:t>
      </w:r>
    </w:p>
    <w:p w14:paraId="04CB52F2">
      <w:pPr>
        <w:keepNext w:val="0"/>
        <w:keepLines w:val="0"/>
        <w:pageBreakBefore w:val="0"/>
        <w:kinsoku/>
        <w:wordWrap/>
        <w:overflowPunct/>
        <w:topLinePunct w:val="0"/>
        <w:bidi w:val="0"/>
        <w:textAlignment w:val="auto"/>
        <w:outlineLvl w:val="9"/>
        <w:rPr>
          <w:rFonts w:hint="eastAsia" w:ascii="仿宋" w:hAnsi="仿宋" w:eastAsia="仿宋" w:cs="仿宋"/>
          <w:b/>
          <w:color w:val="auto"/>
          <w:kern w:val="0"/>
          <w:sz w:val="32"/>
          <w:szCs w:val="32"/>
          <w:highlight w:val="none"/>
          <w:lang w:val="zh-CN"/>
        </w:rPr>
      </w:pPr>
    </w:p>
    <w:p w14:paraId="239E5D3C">
      <w:pPr>
        <w:pStyle w:val="32"/>
        <w:snapToGrid w:val="0"/>
        <w:spacing w:line="360" w:lineRule="auto"/>
        <w:jc w:val="center"/>
        <w:rPr>
          <w:rFonts w:hint="eastAsia" w:ascii="仿宋" w:hAnsi="仿宋" w:eastAsia="仿宋" w:cs="仿宋"/>
          <w:b/>
          <w:snapToGrid w:val="0"/>
          <w:color w:val="auto"/>
          <w:kern w:val="0"/>
          <w:sz w:val="28"/>
          <w:szCs w:val="28"/>
          <w:highlight w:val="none"/>
        </w:rPr>
      </w:pPr>
      <w:r>
        <w:rPr>
          <w:rFonts w:hint="eastAsia" w:ascii="仿宋" w:hAnsi="仿宋" w:eastAsia="仿宋" w:cs="仿宋"/>
          <w:b/>
          <w:snapToGrid w:val="0"/>
          <w:color w:val="auto"/>
          <w:kern w:val="0"/>
          <w:sz w:val="28"/>
          <w:szCs w:val="28"/>
          <w:highlight w:val="none"/>
        </w:rPr>
        <w:t>拟派项目团队配备情况表</w:t>
      </w:r>
    </w:p>
    <w:tbl>
      <w:tblPr>
        <w:tblStyle w:val="60"/>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636"/>
        <w:gridCol w:w="636"/>
        <w:gridCol w:w="1686"/>
        <w:gridCol w:w="1963"/>
        <w:gridCol w:w="1200"/>
        <w:gridCol w:w="1103"/>
        <w:gridCol w:w="1961"/>
      </w:tblGrid>
      <w:tr w14:paraId="5D4C68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0" w:type="auto"/>
            <w:tcBorders>
              <w:tl2br w:val="nil"/>
              <w:tr2bl w:val="nil"/>
            </w:tcBorders>
            <w:noWrap w:val="0"/>
            <w:vAlign w:val="center"/>
          </w:tcPr>
          <w:p w14:paraId="4FADB37C">
            <w:pPr>
              <w:autoSpaceDE w:val="0"/>
              <w:autoSpaceDN w:val="0"/>
              <w:adjustRightIn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0" w:type="auto"/>
            <w:tcBorders>
              <w:tl2br w:val="nil"/>
              <w:tr2bl w:val="nil"/>
            </w:tcBorders>
            <w:noWrap w:val="0"/>
            <w:vAlign w:val="center"/>
          </w:tcPr>
          <w:p w14:paraId="436D619D">
            <w:pPr>
              <w:autoSpaceDE w:val="0"/>
              <w:autoSpaceDN w:val="0"/>
              <w:adjustRightInd w:val="0"/>
              <w:jc w:val="center"/>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姓名</w:t>
            </w:r>
          </w:p>
        </w:tc>
        <w:tc>
          <w:tcPr>
            <w:tcW w:w="0" w:type="auto"/>
            <w:tcBorders>
              <w:tl2br w:val="nil"/>
              <w:tr2bl w:val="nil"/>
            </w:tcBorders>
            <w:noWrap w:val="0"/>
            <w:vAlign w:val="center"/>
          </w:tcPr>
          <w:p w14:paraId="39BD239C">
            <w:pPr>
              <w:autoSpaceDE w:val="0"/>
              <w:autoSpaceDN w:val="0"/>
              <w:adjustRightIn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rPr>
              <w:t>本项目拟任岗位</w:t>
            </w:r>
          </w:p>
        </w:tc>
        <w:tc>
          <w:tcPr>
            <w:tcW w:w="1963" w:type="dxa"/>
            <w:tcBorders>
              <w:tl2br w:val="nil"/>
              <w:tr2bl w:val="nil"/>
            </w:tcBorders>
            <w:noWrap w:val="0"/>
            <w:vAlign w:val="center"/>
          </w:tcPr>
          <w:p w14:paraId="07EC4F0A">
            <w:pPr>
              <w:autoSpaceDE w:val="0"/>
              <w:autoSpaceDN w:val="0"/>
              <w:adjustRightInd w:val="0"/>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身份证号码</w:t>
            </w:r>
          </w:p>
        </w:tc>
        <w:tc>
          <w:tcPr>
            <w:tcW w:w="1200" w:type="dxa"/>
            <w:tcBorders>
              <w:tl2br w:val="nil"/>
              <w:tr2bl w:val="nil"/>
            </w:tcBorders>
            <w:noWrap w:val="0"/>
            <w:vAlign w:val="center"/>
          </w:tcPr>
          <w:p w14:paraId="6AD22327">
            <w:pPr>
              <w:autoSpaceDE w:val="0"/>
              <w:autoSpaceDN w:val="0"/>
              <w:adjustRightInd w:val="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联系方式</w:t>
            </w:r>
          </w:p>
        </w:tc>
        <w:tc>
          <w:tcPr>
            <w:tcW w:w="1103" w:type="dxa"/>
            <w:tcBorders>
              <w:tl2br w:val="nil"/>
              <w:tr2bl w:val="nil"/>
            </w:tcBorders>
            <w:noWrap w:val="0"/>
            <w:vAlign w:val="center"/>
          </w:tcPr>
          <w:p w14:paraId="372B9D18">
            <w:pPr>
              <w:autoSpaceDE w:val="0"/>
              <w:autoSpaceDN w:val="0"/>
              <w:adjustRightIn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执业</w:t>
            </w:r>
            <w:r>
              <w:rPr>
                <w:rFonts w:hint="eastAsia" w:ascii="仿宋" w:hAnsi="仿宋" w:eastAsia="仿宋" w:cs="仿宋"/>
                <w:color w:val="auto"/>
                <w:szCs w:val="21"/>
                <w:highlight w:val="none"/>
                <w:lang w:val="zh-CN"/>
              </w:rPr>
              <w:t>年限</w:t>
            </w:r>
          </w:p>
        </w:tc>
        <w:tc>
          <w:tcPr>
            <w:tcW w:w="1961" w:type="dxa"/>
            <w:tcBorders>
              <w:tl2br w:val="nil"/>
              <w:tr2bl w:val="nil"/>
            </w:tcBorders>
            <w:noWrap w:val="0"/>
            <w:vAlign w:val="center"/>
          </w:tcPr>
          <w:p w14:paraId="4ADFD7BC">
            <w:pPr>
              <w:autoSpaceDE w:val="0"/>
              <w:autoSpaceDN w:val="0"/>
              <w:adjustRightInd w:val="0"/>
              <w:jc w:val="center"/>
              <w:rPr>
                <w:rFonts w:hint="eastAsia" w:ascii="仿宋" w:hAnsi="仿宋" w:eastAsia="仿宋" w:cs="仿宋"/>
                <w:color w:val="auto"/>
                <w:szCs w:val="21"/>
                <w:highlight w:val="none"/>
                <w:lang w:val="zh-CN"/>
              </w:rPr>
            </w:pPr>
            <w:r>
              <w:rPr>
                <w:rFonts w:hint="eastAsia" w:ascii="仿宋" w:hAnsi="仿宋" w:eastAsia="仿宋" w:cs="仿宋"/>
                <w:color w:val="auto"/>
                <w:sz w:val="21"/>
                <w:szCs w:val="21"/>
                <w:highlight w:val="none"/>
                <w:lang w:val="en-US" w:eastAsia="zh-CN"/>
              </w:rPr>
              <w:t>证明材料所在页码</w:t>
            </w:r>
          </w:p>
        </w:tc>
      </w:tr>
      <w:tr w14:paraId="7102A2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4B67E9E2">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4A582987">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0FC3C8C2">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3D4C7105">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7EB0C391">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1E6E9600">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18DA673D">
            <w:pPr>
              <w:autoSpaceDE w:val="0"/>
              <w:autoSpaceDN w:val="0"/>
              <w:adjustRightInd w:val="0"/>
              <w:rPr>
                <w:rFonts w:hint="eastAsia" w:ascii="仿宋" w:hAnsi="仿宋" w:eastAsia="仿宋" w:cs="仿宋"/>
                <w:color w:val="auto"/>
                <w:szCs w:val="21"/>
                <w:highlight w:val="none"/>
              </w:rPr>
            </w:pPr>
          </w:p>
        </w:tc>
      </w:tr>
      <w:tr w14:paraId="3BF74B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2BC9B3EF">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4B8AD7E3">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7FFB0E17">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7DBA4234">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27573289">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417A98F0">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4A862A3B">
            <w:pPr>
              <w:autoSpaceDE w:val="0"/>
              <w:autoSpaceDN w:val="0"/>
              <w:adjustRightInd w:val="0"/>
              <w:ind w:left="5250"/>
              <w:rPr>
                <w:rFonts w:hint="eastAsia" w:ascii="仿宋" w:hAnsi="仿宋" w:eastAsia="仿宋" w:cs="仿宋"/>
                <w:color w:val="auto"/>
                <w:szCs w:val="21"/>
                <w:highlight w:val="none"/>
              </w:rPr>
            </w:pPr>
          </w:p>
        </w:tc>
      </w:tr>
      <w:tr w14:paraId="5D2C3E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59B15D50">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43CCF144">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274BCEBD">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4EB8A509">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4359BE81">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0B8885DC">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65AD3646">
            <w:pPr>
              <w:autoSpaceDE w:val="0"/>
              <w:autoSpaceDN w:val="0"/>
              <w:adjustRightInd w:val="0"/>
              <w:rPr>
                <w:rFonts w:hint="eastAsia" w:ascii="仿宋" w:hAnsi="仿宋" w:eastAsia="仿宋" w:cs="仿宋"/>
                <w:color w:val="auto"/>
                <w:szCs w:val="21"/>
                <w:highlight w:val="none"/>
              </w:rPr>
            </w:pPr>
          </w:p>
        </w:tc>
      </w:tr>
      <w:tr w14:paraId="6270AC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3E48FE4A">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579182A7">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0FB96EF9">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7D3A3C3B">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00ADCA4E">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359F2E1C">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6A6B67DA">
            <w:pPr>
              <w:autoSpaceDE w:val="0"/>
              <w:autoSpaceDN w:val="0"/>
              <w:adjustRightInd w:val="0"/>
              <w:rPr>
                <w:rFonts w:hint="eastAsia" w:ascii="仿宋" w:hAnsi="仿宋" w:eastAsia="仿宋" w:cs="仿宋"/>
                <w:color w:val="auto"/>
                <w:szCs w:val="21"/>
                <w:highlight w:val="none"/>
              </w:rPr>
            </w:pPr>
          </w:p>
        </w:tc>
      </w:tr>
      <w:tr w14:paraId="14C137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0ADED478">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0A29810D">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5A382B31">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0B9573E5">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1DD1F69D">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61A5E1C4">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59AC6107">
            <w:pPr>
              <w:autoSpaceDE w:val="0"/>
              <w:autoSpaceDN w:val="0"/>
              <w:adjustRightInd w:val="0"/>
              <w:rPr>
                <w:rFonts w:hint="eastAsia" w:ascii="仿宋" w:hAnsi="仿宋" w:eastAsia="仿宋" w:cs="仿宋"/>
                <w:color w:val="auto"/>
                <w:szCs w:val="21"/>
                <w:highlight w:val="none"/>
              </w:rPr>
            </w:pPr>
          </w:p>
        </w:tc>
      </w:tr>
      <w:tr w14:paraId="5232F3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7385C09E">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17F12CF0">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6471160A">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3EF32715">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60D82DED">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507D809D">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5CE580FE">
            <w:pPr>
              <w:autoSpaceDE w:val="0"/>
              <w:autoSpaceDN w:val="0"/>
              <w:adjustRightInd w:val="0"/>
              <w:rPr>
                <w:rFonts w:hint="eastAsia" w:ascii="仿宋" w:hAnsi="仿宋" w:eastAsia="仿宋" w:cs="仿宋"/>
                <w:color w:val="auto"/>
                <w:szCs w:val="21"/>
                <w:highlight w:val="none"/>
              </w:rPr>
            </w:pPr>
          </w:p>
        </w:tc>
      </w:tr>
      <w:tr w14:paraId="4B2D76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4612E464">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6C4C129B">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2E2B5C0C">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7F69E51E">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7C6BC5C4">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586FCEC3">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4450FD2B">
            <w:pPr>
              <w:autoSpaceDE w:val="0"/>
              <w:autoSpaceDN w:val="0"/>
              <w:adjustRightInd w:val="0"/>
              <w:rPr>
                <w:rFonts w:hint="eastAsia" w:ascii="仿宋" w:hAnsi="仿宋" w:eastAsia="仿宋" w:cs="仿宋"/>
                <w:color w:val="auto"/>
                <w:szCs w:val="21"/>
                <w:highlight w:val="none"/>
              </w:rPr>
            </w:pPr>
          </w:p>
        </w:tc>
      </w:tr>
      <w:tr w14:paraId="4D23EE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124C78DE">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409E7D0B">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5A56E249">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214654DD">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5C4E0EE3">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76AA74F7">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0B6FC161">
            <w:pPr>
              <w:autoSpaceDE w:val="0"/>
              <w:autoSpaceDN w:val="0"/>
              <w:adjustRightInd w:val="0"/>
              <w:rPr>
                <w:rFonts w:hint="eastAsia" w:ascii="仿宋" w:hAnsi="仿宋" w:eastAsia="仿宋" w:cs="仿宋"/>
                <w:color w:val="auto"/>
                <w:szCs w:val="21"/>
                <w:highlight w:val="none"/>
              </w:rPr>
            </w:pPr>
          </w:p>
        </w:tc>
      </w:tr>
      <w:tr w14:paraId="397786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7B0868DA">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15FFC115">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7A8A5872">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5D1CC8CE">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4E2306F4">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3FA8FA8C">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3E73ED08">
            <w:pPr>
              <w:autoSpaceDE w:val="0"/>
              <w:autoSpaceDN w:val="0"/>
              <w:adjustRightInd w:val="0"/>
              <w:rPr>
                <w:rFonts w:hint="eastAsia" w:ascii="仿宋" w:hAnsi="仿宋" w:eastAsia="仿宋" w:cs="仿宋"/>
                <w:color w:val="auto"/>
                <w:szCs w:val="21"/>
                <w:highlight w:val="none"/>
              </w:rPr>
            </w:pPr>
          </w:p>
        </w:tc>
      </w:tr>
      <w:tr w14:paraId="0B22EE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59AB9403">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0B81DFC4">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03151656">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1428924B">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69105989">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4D3DDB69">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776AC025">
            <w:pPr>
              <w:autoSpaceDE w:val="0"/>
              <w:autoSpaceDN w:val="0"/>
              <w:adjustRightInd w:val="0"/>
              <w:rPr>
                <w:rFonts w:hint="eastAsia" w:ascii="仿宋" w:hAnsi="仿宋" w:eastAsia="仿宋" w:cs="仿宋"/>
                <w:color w:val="auto"/>
                <w:szCs w:val="21"/>
                <w:highlight w:val="none"/>
              </w:rPr>
            </w:pPr>
          </w:p>
        </w:tc>
      </w:tr>
      <w:tr w14:paraId="4508F2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650167F1">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20852F4E">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19CB8DB6">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603D11D0">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451DE6F1">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242DBDA5">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0CB28EBB">
            <w:pPr>
              <w:autoSpaceDE w:val="0"/>
              <w:autoSpaceDN w:val="0"/>
              <w:adjustRightInd w:val="0"/>
              <w:rPr>
                <w:rFonts w:hint="eastAsia" w:ascii="仿宋" w:hAnsi="仿宋" w:eastAsia="仿宋" w:cs="仿宋"/>
                <w:color w:val="auto"/>
                <w:szCs w:val="21"/>
                <w:highlight w:val="none"/>
              </w:rPr>
            </w:pPr>
          </w:p>
        </w:tc>
      </w:tr>
      <w:tr w14:paraId="02E63E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51C6950E">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7E3241D0">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70F91980">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22BA812E">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121287D1">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4FF8CCC0">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18982B36">
            <w:pPr>
              <w:autoSpaceDE w:val="0"/>
              <w:autoSpaceDN w:val="0"/>
              <w:adjustRightInd w:val="0"/>
              <w:rPr>
                <w:rFonts w:hint="eastAsia" w:ascii="仿宋" w:hAnsi="仿宋" w:eastAsia="仿宋" w:cs="仿宋"/>
                <w:color w:val="auto"/>
                <w:szCs w:val="21"/>
                <w:highlight w:val="none"/>
              </w:rPr>
            </w:pPr>
          </w:p>
        </w:tc>
      </w:tr>
      <w:tr w14:paraId="147803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6F31ECD9">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1A3DF4FD">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4B5FEBEC">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57393D2B">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4DE685CC">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6CAC1A21">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3456BE60">
            <w:pPr>
              <w:autoSpaceDE w:val="0"/>
              <w:autoSpaceDN w:val="0"/>
              <w:adjustRightInd w:val="0"/>
              <w:rPr>
                <w:rFonts w:hint="eastAsia" w:ascii="仿宋" w:hAnsi="仿宋" w:eastAsia="仿宋" w:cs="仿宋"/>
                <w:color w:val="auto"/>
                <w:szCs w:val="21"/>
                <w:highlight w:val="none"/>
              </w:rPr>
            </w:pPr>
          </w:p>
        </w:tc>
      </w:tr>
      <w:tr w14:paraId="6239DC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4368CFF2">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0BE50ACA">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0BDE050F">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05BF0178">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354374CC">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59AD8471">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29A2EFEB">
            <w:pPr>
              <w:autoSpaceDE w:val="0"/>
              <w:autoSpaceDN w:val="0"/>
              <w:adjustRightInd w:val="0"/>
              <w:rPr>
                <w:rFonts w:hint="eastAsia" w:ascii="仿宋" w:hAnsi="仿宋" w:eastAsia="仿宋" w:cs="仿宋"/>
                <w:color w:val="auto"/>
                <w:szCs w:val="21"/>
                <w:highlight w:val="none"/>
              </w:rPr>
            </w:pPr>
          </w:p>
        </w:tc>
      </w:tr>
      <w:tr w14:paraId="2116C9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45F7391F">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6F0EC4C5">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2208ACC1">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6543C678">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527C2B6A">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219C7E67">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7C6992E9">
            <w:pPr>
              <w:autoSpaceDE w:val="0"/>
              <w:autoSpaceDN w:val="0"/>
              <w:adjustRightInd w:val="0"/>
              <w:rPr>
                <w:rFonts w:hint="eastAsia" w:ascii="仿宋" w:hAnsi="仿宋" w:eastAsia="仿宋" w:cs="仿宋"/>
                <w:color w:val="auto"/>
                <w:szCs w:val="21"/>
                <w:highlight w:val="none"/>
              </w:rPr>
            </w:pPr>
          </w:p>
        </w:tc>
      </w:tr>
      <w:tr w14:paraId="5FE24C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7CDF8179">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top"/>
          </w:tcPr>
          <w:p w14:paraId="387FEF07">
            <w:pPr>
              <w:autoSpaceDE w:val="0"/>
              <w:autoSpaceDN w:val="0"/>
              <w:adjustRightInd w:val="0"/>
              <w:rPr>
                <w:rFonts w:hint="eastAsia" w:ascii="仿宋" w:hAnsi="仿宋" w:eastAsia="仿宋" w:cs="仿宋"/>
                <w:color w:val="auto"/>
                <w:szCs w:val="21"/>
                <w:highlight w:val="none"/>
              </w:rPr>
            </w:pPr>
          </w:p>
        </w:tc>
        <w:tc>
          <w:tcPr>
            <w:tcW w:w="0" w:type="auto"/>
            <w:tcBorders>
              <w:tl2br w:val="nil"/>
              <w:tr2bl w:val="nil"/>
            </w:tcBorders>
            <w:noWrap w:val="0"/>
            <w:vAlign w:val="center"/>
          </w:tcPr>
          <w:p w14:paraId="5212DCDA">
            <w:pPr>
              <w:autoSpaceDE w:val="0"/>
              <w:autoSpaceDN w:val="0"/>
              <w:adjustRightInd w:val="0"/>
              <w:rPr>
                <w:rFonts w:hint="eastAsia" w:ascii="仿宋" w:hAnsi="仿宋" w:eastAsia="仿宋" w:cs="仿宋"/>
                <w:color w:val="auto"/>
                <w:szCs w:val="21"/>
                <w:highlight w:val="none"/>
              </w:rPr>
            </w:pPr>
          </w:p>
        </w:tc>
        <w:tc>
          <w:tcPr>
            <w:tcW w:w="1963" w:type="dxa"/>
            <w:tcBorders>
              <w:tl2br w:val="nil"/>
              <w:tr2bl w:val="nil"/>
            </w:tcBorders>
            <w:noWrap w:val="0"/>
            <w:vAlign w:val="center"/>
          </w:tcPr>
          <w:p w14:paraId="30A03853">
            <w:pPr>
              <w:autoSpaceDE w:val="0"/>
              <w:autoSpaceDN w:val="0"/>
              <w:adjustRightInd w:val="0"/>
              <w:rPr>
                <w:rFonts w:hint="eastAsia" w:ascii="仿宋" w:hAnsi="仿宋" w:eastAsia="仿宋" w:cs="仿宋"/>
                <w:color w:val="auto"/>
                <w:szCs w:val="21"/>
                <w:highlight w:val="none"/>
              </w:rPr>
            </w:pPr>
          </w:p>
        </w:tc>
        <w:tc>
          <w:tcPr>
            <w:tcW w:w="1200" w:type="dxa"/>
            <w:tcBorders>
              <w:tl2br w:val="nil"/>
              <w:tr2bl w:val="nil"/>
            </w:tcBorders>
            <w:noWrap w:val="0"/>
            <w:vAlign w:val="center"/>
          </w:tcPr>
          <w:p w14:paraId="51FCAC99">
            <w:pPr>
              <w:autoSpaceDE w:val="0"/>
              <w:autoSpaceDN w:val="0"/>
              <w:adjustRightInd w:val="0"/>
              <w:rPr>
                <w:rFonts w:hint="eastAsia" w:ascii="仿宋" w:hAnsi="仿宋" w:eastAsia="仿宋" w:cs="仿宋"/>
                <w:color w:val="auto"/>
                <w:szCs w:val="21"/>
                <w:highlight w:val="none"/>
              </w:rPr>
            </w:pPr>
          </w:p>
        </w:tc>
        <w:tc>
          <w:tcPr>
            <w:tcW w:w="1103" w:type="dxa"/>
            <w:tcBorders>
              <w:tl2br w:val="nil"/>
              <w:tr2bl w:val="nil"/>
            </w:tcBorders>
            <w:noWrap w:val="0"/>
            <w:vAlign w:val="center"/>
          </w:tcPr>
          <w:p w14:paraId="6F58D2ED">
            <w:pPr>
              <w:autoSpaceDE w:val="0"/>
              <w:autoSpaceDN w:val="0"/>
              <w:adjustRightInd w:val="0"/>
              <w:rPr>
                <w:rFonts w:hint="eastAsia" w:ascii="仿宋" w:hAnsi="仿宋" w:eastAsia="仿宋" w:cs="仿宋"/>
                <w:color w:val="auto"/>
                <w:szCs w:val="21"/>
                <w:highlight w:val="none"/>
              </w:rPr>
            </w:pPr>
          </w:p>
        </w:tc>
        <w:tc>
          <w:tcPr>
            <w:tcW w:w="1961" w:type="dxa"/>
            <w:tcBorders>
              <w:tl2br w:val="nil"/>
              <w:tr2bl w:val="nil"/>
            </w:tcBorders>
            <w:noWrap w:val="0"/>
            <w:vAlign w:val="center"/>
          </w:tcPr>
          <w:p w14:paraId="2D31FE52">
            <w:pPr>
              <w:autoSpaceDE w:val="0"/>
              <w:autoSpaceDN w:val="0"/>
              <w:adjustRightInd w:val="0"/>
              <w:rPr>
                <w:rFonts w:hint="eastAsia" w:ascii="仿宋" w:hAnsi="仿宋" w:eastAsia="仿宋" w:cs="仿宋"/>
                <w:color w:val="auto"/>
                <w:szCs w:val="21"/>
                <w:highlight w:val="none"/>
              </w:rPr>
            </w:pPr>
          </w:p>
        </w:tc>
      </w:tr>
    </w:tbl>
    <w:p w14:paraId="6256FFD2">
      <w:pPr>
        <w:rPr>
          <w:rFonts w:hint="default" w:ascii="仿宋_GB2312" w:hAnsi="仿宋" w:eastAsia="仿宋_GB2312" w:cs="仿宋_GB2312"/>
          <w:b/>
          <w:color w:val="auto"/>
          <w:sz w:val="24"/>
          <w:highlight w:val="none"/>
          <w:lang w:val="en-US" w:eastAsia="zh-CN"/>
        </w:rPr>
        <w:sectPr>
          <w:pgSz w:w="11906" w:h="16838"/>
          <w:pgMar w:top="1174" w:right="1418" w:bottom="1151"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5CCA4593">
      <w:pPr>
        <w:keepNext w:val="0"/>
        <w:keepLines w:val="0"/>
        <w:pageBreakBefore w:val="0"/>
        <w:kinsoku/>
        <w:wordWrap/>
        <w:overflowPunct/>
        <w:topLinePunct w:val="0"/>
        <w:bidi w:val="0"/>
        <w:snapToGrid w:val="0"/>
        <w:spacing w:line="360" w:lineRule="auto"/>
        <w:jc w:val="left"/>
        <w:textAlignment w:val="auto"/>
        <w:outlineLvl w:val="9"/>
        <w:rPr>
          <w:rFonts w:hint="default" w:ascii="仿宋_GB2312" w:hAnsi="仿宋" w:eastAsia="仿宋_GB2312" w:cs="仿宋_GB2312"/>
          <w:b/>
          <w:color w:val="auto"/>
          <w:sz w:val="24"/>
          <w:highlight w:val="none"/>
          <w:lang w:val="en-US" w:eastAsia="zh-CN"/>
        </w:rPr>
      </w:pPr>
      <w:r>
        <w:rPr>
          <w:rFonts w:hint="eastAsia" w:ascii="仿宋_GB2312" w:hAnsi="仿宋" w:eastAsia="仿宋_GB2312" w:cs="仿宋_GB2312"/>
          <w:b/>
          <w:color w:val="auto"/>
          <w:sz w:val="24"/>
          <w:highlight w:val="none"/>
          <w:lang w:val="en-US" w:eastAsia="zh-CN"/>
        </w:rPr>
        <w:t>5-4参考表格4</w:t>
      </w:r>
    </w:p>
    <w:p w14:paraId="0B49072C">
      <w:pPr>
        <w:keepNext w:val="0"/>
        <w:keepLines w:val="0"/>
        <w:pageBreakBefore w:val="0"/>
        <w:kinsoku/>
        <w:wordWrap/>
        <w:overflowPunct/>
        <w:topLinePunct w:val="0"/>
        <w:bidi w:val="0"/>
        <w:textAlignment w:val="auto"/>
        <w:outlineLvl w:val="9"/>
        <w:rPr>
          <w:rFonts w:hint="eastAsia" w:ascii="仿宋" w:hAnsi="仿宋" w:eastAsia="仿宋" w:cs="仿宋"/>
          <w:b/>
          <w:color w:val="auto"/>
          <w:kern w:val="0"/>
          <w:sz w:val="32"/>
          <w:szCs w:val="32"/>
          <w:highlight w:val="none"/>
          <w:lang w:val="zh-CN"/>
        </w:rPr>
      </w:pPr>
    </w:p>
    <w:p w14:paraId="335CFED2">
      <w:pPr>
        <w:pStyle w:val="32"/>
        <w:snapToGrid w:val="0"/>
        <w:spacing w:line="360" w:lineRule="auto"/>
        <w:jc w:val="center"/>
        <w:rPr>
          <w:rFonts w:hint="eastAsia" w:ascii="仿宋" w:hAnsi="仿宋" w:eastAsia="仿宋" w:cs="仿宋"/>
          <w:b/>
          <w:snapToGrid w:val="0"/>
          <w:color w:val="auto"/>
          <w:kern w:val="0"/>
          <w:sz w:val="28"/>
          <w:szCs w:val="28"/>
          <w:highlight w:val="none"/>
        </w:rPr>
      </w:pPr>
      <w:r>
        <w:rPr>
          <w:rFonts w:hint="eastAsia" w:ascii="仿宋" w:hAnsi="仿宋" w:eastAsia="仿宋" w:cs="仿宋"/>
          <w:b/>
          <w:snapToGrid w:val="0"/>
          <w:color w:val="auto"/>
          <w:kern w:val="0"/>
          <w:sz w:val="28"/>
          <w:szCs w:val="28"/>
          <w:highlight w:val="none"/>
          <w:lang w:val="en-US" w:eastAsia="zh-CN"/>
        </w:rPr>
        <w:t>专业覆盖范围</w:t>
      </w:r>
      <w:r>
        <w:rPr>
          <w:rFonts w:hint="eastAsia" w:ascii="仿宋" w:hAnsi="仿宋" w:eastAsia="仿宋" w:cs="仿宋"/>
          <w:b/>
          <w:snapToGrid w:val="0"/>
          <w:color w:val="auto"/>
          <w:kern w:val="0"/>
          <w:sz w:val="28"/>
          <w:szCs w:val="28"/>
          <w:highlight w:val="none"/>
        </w:rPr>
        <w:t>情况表</w:t>
      </w:r>
    </w:p>
    <w:tbl>
      <w:tblPr>
        <w:tblStyle w:val="60"/>
        <w:tblW w:w="9327"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616"/>
        <w:gridCol w:w="2367"/>
        <w:gridCol w:w="2804"/>
        <w:gridCol w:w="1440"/>
        <w:gridCol w:w="1040"/>
        <w:gridCol w:w="1060"/>
      </w:tblGrid>
      <w:tr w14:paraId="43F8F4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0" w:type="auto"/>
            <w:tcBorders>
              <w:tl2br w:val="nil"/>
              <w:tr2bl w:val="nil"/>
            </w:tcBorders>
            <w:noWrap w:val="0"/>
            <w:vAlign w:val="center"/>
          </w:tcPr>
          <w:p w14:paraId="5F6E4A2D">
            <w:pPr>
              <w:autoSpaceDE w:val="0"/>
              <w:autoSpaceDN w:val="0"/>
              <w:adjustRightInd w:val="0"/>
              <w:jc w:val="center"/>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rPr>
              <w:t>序号</w:t>
            </w:r>
          </w:p>
        </w:tc>
        <w:tc>
          <w:tcPr>
            <w:tcW w:w="2367" w:type="dxa"/>
            <w:tcBorders>
              <w:tl2br w:val="nil"/>
              <w:tr2bl w:val="nil"/>
            </w:tcBorders>
            <w:noWrap w:val="0"/>
            <w:vAlign w:val="center"/>
          </w:tcPr>
          <w:p w14:paraId="465CE016">
            <w:pPr>
              <w:autoSpaceDE w:val="0"/>
              <w:autoSpaceDN w:val="0"/>
              <w:adjustRightInd w:val="0"/>
              <w:jc w:val="center"/>
              <w:rPr>
                <w:rFonts w:hint="eastAsia" w:ascii="仿宋" w:hAnsi="仿宋" w:eastAsia="仿宋" w:cs="仿宋"/>
                <w:color w:val="auto"/>
                <w:sz w:val="20"/>
                <w:szCs w:val="20"/>
                <w:highlight w:val="none"/>
                <w:lang w:eastAsia="zh-CN"/>
              </w:rPr>
            </w:pPr>
            <w:r>
              <w:rPr>
                <w:rFonts w:hint="eastAsia" w:ascii="仿宋" w:hAnsi="仿宋" w:eastAsia="仿宋" w:cs="仿宋"/>
                <w:color w:val="auto"/>
                <w:sz w:val="20"/>
                <w:szCs w:val="20"/>
                <w:highlight w:val="none"/>
                <w:lang w:val="en-US" w:eastAsia="zh-CN"/>
              </w:rPr>
              <w:t>内容</w:t>
            </w:r>
          </w:p>
        </w:tc>
        <w:tc>
          <w:tcPr>
            <w:tcW w:w="2804" w:type="dxa"/>
            <w:tcBorders>
              <w:tl2br w:val="nil"/>
              <w:tr2bl w:val="nil"/>
            </w:tcBorders>
            <w:noWrap w:val="0"/>
            <w:vAlign w:val="center"/>
          </w:tcPr>
          <w:p w14:paraId="5AF23425">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证明材料类型（具体案件的合同或者判决书，或者甲方第三方证明等作为证明材料）</w:t>
            </w:r>
          </w:p>
        </w:tc>
        <w:tc>
          <w:tcPr>
            <w:tcW w:w="1440" w:type="dxa"/>
            <w:tcBorders>
              <w:tl2br w:val="nil"/>
              <w:tr2bl w:val="nil"/>
            </w:tcBorders>
            <w:noWrap w:val="0"/>
            <w:vAlign w:val="center"/>
          </w:tcPr>
          <w:p w14:paraId="10B5FED5">
            <w:pPr>
              <w:keepNext w:val="0"/>
              <w:keepLines w:val="0"/>
              <w:pageBreakBefore w:val="0"/>
              <w:widowControl/>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0"/>
                <w:szCs w:val="20"/>
                <w:highlight w:val="none"/>
                <w:lang w:val="zh-CN"/>
              </w:rPr>
            </w:pPr>
            <w:r>
              <w:rPr>
                <w:rFonts w:hint="eastAsia" w:ascii="仿宋" w:hAnsi="仿宋" w:eastAsia="仿宋" w:cs="仿宋"/>
                <w:color w:val="auto"/>
                <w:sz w:val="20"/>
                <w:szCs w:val="20"/>
                <w:highlight w:val="none"/>
                <w:lang w:val="en-US" w:eastAsia="zh-CN"/>
              </w:rPr>
              <w:t>甲方</w:t>
            </w:r>
          </w:p>
          <w:p w14:paraId="0B69844B">
            <w:pPr>
              <w:autoSpaceDE w:val="0"/>
              <w:autoSpaceDN w:val="0"/>
              <w:adjustRightInd w:val="0"/>
              <w:jc w:val="center"/>
              <w:rPr>
                <w:rFonts w:hint="eastAsia" w:ascii="仿宋" w:hAnsi="仿宋" w:eastAsia="仿宋" w:cs="仿宋"/>
                <w:color w:val="auto"/>
                <w:sz w:val="20"/>
                <w:szCs w:val="20"/>
                <w:highlight w:val="none"/>
                <w:lang w:eastAsia="zh-CN"/>
              </w:rPr>
            </w:pPr>
            <w:r>
              <w:rPr>
                <w:rFonts w:hint="eastAsia" w:ascii="仿宋" w:hAnsi="仿宋" w:eastAsia="仿宋" w:cs="仿宋"/>
                <w:color w:val="auto"/>
                <w:sz w:val="20"/>
                <w:szCs w:val="20"/>
                <w:highlight w:val="none"/>
                <w:lang w:val="zh-CN"/>
              </w:rPr>
              <w:t>联系人及电话</w:t>
            </w:r>
          </w:p>
        </w:tc>
        <w:tc>
          <w:tcPr>
            <w:tcW w:w="1040" w:type="dxa"/>
            <w:tcBorders>
              <w:tl2br w:val="nil"/>
              <w:tr2bl w:val="nil"/>
            </w:tcBorders>
            <w:noWrap w:val="0"/>
            <w:vAlign w:val="center"/>
          </w:tcPr>
          <w:p w14:paraId="6384C9B5">
            <w:pPr>
              <w:autoSpaceDE w:val="0"/>
              <w:autoSpaceDN w:val="0"/>
              <w:adjustRightInd w:val="0"/>
              <w:jc w:val="center"/>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lang w:val="en-US" w:eastAsia="zh-CN"/>
              </w:rPr>
              <w:t>供应商参与人员</w:t>
            </w:r>
          </w:p>
        </w:tc>
        <w:tc>
          <w:tcPr>
            <w:tcW w:w="1060" w:type="dxa"/>
            <w:tcBorders>
              <w:tl2br w:val="nil"/>
              <w:tr2bl w:val="nil"/>
            </w:tcBorders>
            <w:noWrap w:val="0"/>
            <w:vAlign w:val="center"/>
          </w:tcPr>
          <w:p w14:paraId="002BEBF9">
            <w:pPr>
              <w:autoSpaceDE w:val="0"/>
              <w:autoSpaceDN w:val="0"/>
              <w:adjustRightInd w:val="0"/>
              <w:jc w:val="center"/>
              <w:rPr>
                <w:rFonts w:hint="eastAsia" w:ascii="仿宋" w:hAnsi="仿宋" w:eastAsia="仿宋" w:cs="仿宋"/>
                <w:color w:val="auto"/>
                <w:sz w:val="20"/>
                <w:szCs w:val="20"/>
                <w:highlight w:val="none"/>
                <w:lang w:val="zh-CN"/>
              </w:rPr>
            </w:pPr>
            <w:r>
              <w:rPr>
                <w:rFonts w:hint="eastAsia" w:ascii="仿宋" w:hAnsi="仿宋" w:eastAsia="仿宋" w:cs="仿宋"/>
                <w:color w:val="auto"/>
                <w:sz w:val="20"/>
                <w:szCs w:val="20"/>
                <w:highlight w:val="none"/>
                <w:lang w:val="en-US" w:eastAsia="zh-CN"/>
              </w:rPr>
              <w:t>证明材料所在页码</w:t>
            </w:r>
          </w:p>
        </w:tc>
      </w:tr>
      <w:tr w14:paraId="665DB4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33C516EB">
            <w:pPr>
              <w:autoSpaceDE w:val="0"/>
              <w:autoSpaceDN w:val="0"/>
              <w:adjustRightInd w:val="0"/>
              <w:jc w:val="center"/>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1</w:t>
            </w:r>
          </w:p>
        </w:tc>
        <w:tc>
          <w:tcPr>
            <w:tcW w:w="2367" w:type="dxa"/>
            <w:tcBorders>
              <w:tl2br w:val="nil"/>
              <w:tr2bl w:val="nil"/>
            </w:tcBorders>
            <w:noWrap w:val="0"/>
            <w:vAlign w:val="center"/>
          </w:tcPr>
          <w:p w14:paraId="5FE52E98">
            <w:pPr>
              <w:autoSpaceDE w:val="0"/>
              <w:autoSpaceDN w:val="0"/>
              <w:adjustRightInd w:val="0"/>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lang w:val="en-US" w:eastAsia="zh-CN"/>
              </w:rPr>
              <w:t>复议机关法律顾问方面内容</w:t>
            </w:r>
          </w:p>
        </w:tc>
        <w:tc>
          <w:tcPr>
            <w:tcW w:w="2804" w:type="dxa"/>
            <w:tcBorders>
              <w:tl2br w:val="nil"/>
              <w:tr2bl w:val="nil"/>
            </w:tcBorders>
            <w:noWrap w:val="0"/>
            <w:vAlign w:val="center"/>
          </w:tcPr>
          <w:p w14:paraId="600F1861">
            <w:pPr>
              <w:autoSpaceDE w:val="0"/>
              <w:autoSpaceDN w:val="0"/>
              <w:adjustRightInd w:val="0"/>
              <w:jc w:val="center"/>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1440" w:type="dxa"/>
            <w:tcBorders>
              <w:tl2br w:val="nil"/>
              <w:tr2bl w:val="nil"/>
            </w:tcBorders>
            <w:noWrap w:val="0"/>
            <w:vAlign w:val="center"/>
          </w:tcPr>
          <w:p w14:paraId="0C258271">
            <w:pPr>
              <w:autoSpaceDE w:val="0"/>
              <w:autoSpaceDN w:val="0"/>
              <w:adjustRightInd w:val="0"/>
              <w:jc w:val="center"/>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1040" w:type="dxa"/>
            <w:tcBorders>
              <w:tl2br w:val="nil"/>
              <w:tr2bl w:val="nil"/>
            </w:tcBorders>
            <w:noWrap w:val="0"/>
            <w:vAlign w:val="center"/>
          </w:tcPr>
          <w:p w14:paraId="781CDE0B">
            <w:pPr>
              <w:autoSpaceDE w:val="0"/>
              <w:autoSpaceDN w:val="0"/>
              <w:adjustRightInd w:val="0"/>
              <w:jc w:val="center"/>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1060" w:type="dxa"/>
            <w:tcBorders>
              <w:tl2br w:val="nil"/>
              <w:tr2bl w:val="nil"/>
            </w:tcBorders>
            <w:noWrap w:val="0"/>
            <w:vAlign w:val="center"/>
          </w:tcPr>
          <w:p w14:paraId="23F1E7EE">
            <w:pPr>
              <w:autoSpaceDE w:val="0"/>
              <w:autoSpaceDN w:val="0"/>
              <w:adjustRightInd w:val="0"/>
              <w:jc w:val="center"/>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r>
      <w:tr w14:paraId="18436C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0205221B">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1.1</w:t>
            </w:r>
          </w:p>
        </w:tc>
        <w:tc>
          <w:tcPr>
            <w:tcW w:w="2367" w:type="dxa"/>
            <w:tcBorders>
              <w:tl2br w:val="nil"/>
              <w:tr2bl w:val="nil"/>
            </w:tcBorders>
            <w:noWrap w:val="0"/>
            <w:vAlign w:val="center"/>
          </w:tcPr>
          <w:p w14:paraId="110973D6">
            <w:pPr>
              <w:autoSpaceDE w:val="0"/>
              <w:autoSpaceDN w:val="0"/>
              <w:adjustRightInd w:val="0"/>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6534FDDF">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28347EED">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281FCA6F">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632ABDF0">
            <w:pPr>
              <w:autoSpaceDE w:val="0"/>
              <w:autoSpaceDN w:val="0"/>
              <w:adjustRightInd w:val="0"/>
              <w:rPr>
                <w:rFonts w:hint="eastAsia" w:ascii="仿宋" w:hAnsi="仿宋" w:eastAsia="仿宋" w:cs="仿宋"/>
                <w:color w:val="auto"/>
                <w:sz w:val="20"/>
                <w:szCs w:val="20"/>
                <w:highlight w:val="none"/>
              </w:rPr>
            </w:pPr>
          </w:p>
        </w:tc>
      </w:tr>
      <w:tr w14:paraId="7F6DFB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23FDE10F">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1.2</w:t>
            </w:r>
          </w:p>
        </w:tc>
        <w:tc>
          <w:tcPr>
            <w:tcW w:w="2367" w:type="dxa"/>
            <w:tcBorders>
              <w:tl2br w:val="nil"/>
              <w:tr2bl w:val="nil"/>
            </w:tcBorders>
            <w:noWrap w:val="0"/>
            <w:vAlign w:val="center"/>
          </w:tcPr>
          <w:p w14:paraId="46E82566">
            <w:pPr>
              <w:autoSpaceDE w:val="0"/>
              <w:autoSpaceDN w:val="0"/>
              <w:adjustRightInd w:val="0"/>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2D8A5D20">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73EB6D17">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49A88087">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086F965E">
            <w:pPr>
              <w:autoSpaceDE w:val="0"/>
              <w:autoSpaceDN w:val="0"/>
              <w:adjustRightInd w:val="0"/>
              <w:rPr>
                <w:rFonts w:hint="eastAsia" w:ascii="仿宋" w:hAnsi="仿宋" w:eastAsia="仿宋" w:cs="仿宋"/>
                <w:color w:val="auto"/>
                <w:sz w:val="20"/>
                <w:szCs w:val="20"/>
                <w:highlight w:val="none"/>
              </w:rPr>
            </w:pPr>
          </w:p>
        </w:tc>
      </w:tr>
      <w:tr w14:paraId="70332A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6834F7AD">
            <w:pPr>
              <w:autoSpaceDE w:val="0"/>
              <w:autoSpaceDN w:val="0"/>
              <w:adjustRightInd w:val="0"/>
              <w:jc w:val="center"/>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2</w:t>
            </w:r>
          </w:p>
        </w:tc>
        <w:tc>
          <w:tcPr>
            <w:tcW w:w="2367" w:type="dxa"/>
            <w:tcBorders>
              <w:tl2br w:val="nil"/>
              <w:tr2bl w:val="nil"/>
            </w:tcBorders>
            <w:noWrap w:val="0"/>
            <w:vAlign w:val="center"/>
          </w:tcPr>
          <w:p w14:paraId="67D98C97">
            <w:pPr>
              <w:autoSpaceDE w:val="0"/>
              <w:autoSpaceDN w:val="0"/>
              <w:adjustRightInd w:val="0"/>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lang w:val="en-US" w:eastAsia="zh-CN"/>
              </w:rPr>
              <w:t>被行政复议以及行政应诉法律顾问方面内容</w:t>
            </w:r>
          </w:p>
        </w:tc>
        <w:tc>
          <w:tcPr>
            <w:tcW w:w="2804" w:type="dxa"/>
            <w:tcBorders>
              <w:tl2br w:val="nil"/>
              <w:tr2bl w:val="nil"/>
            </w:tcBorders>
            <w:shd w:val="clear" w:color="auto" w:fill="auto"/>
            <w:noWrap w:val="0"/>
            <w:vAlign w:val="center"/>
          </w:tcPr>
          <w:p w14:paraId="2386E4C2">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440" w:type="dxa"/>
            <w:tcBorders>
              <w:tl2br w:val="nil"/>
              <w:tr2bl w:val="nil"/>
            </w:tcBorders>
            <w:shd w:val="clear" w:color="auto" w:fill="auto"/>
            <w:noWrap w:val="0"/>
            <w:vAlign w:val="center"/>
          </w:tcPr>
          <w:p w14:paraId="3AA547F7">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040" w:type="dxa"/>
            <w:tcBorders>
              <w:tl2br w:val="nil"/>
              <w:tr2bl w:val="nil"/>
            </w:tcBorders>
            <w:shd w:val="clear" w:color="auto" w:fill="auto"/>
            <w:noWrap w:val="0"/>
            <w:vAlign w:val="center"/>
          </w:tcPr>
          <w:p w14:paraId="5986BEE2">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060" w:type="dxa"/>
            <w:tcBorders>
              <w:tl2br w:val="nil"/>
              <w:tr2bl w:val="nil"/>
            </w:tcBorders>
            <w:shd w:val="clear" w:color="auto" w:fill="auto"/>
            <w:noWrap w:val="0"/>
            <w:vAlign w:val="center"/>
          </w:tcPr>
          <w:p w14:paraId="6D82FBDE">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r>
      <w:tr w14:paraId="4D6372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2A355B99">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2.1</w:t>
            </w:r>
          </w:p>
        </w:tc>
        <w:tc>
          <w:tcPr>
            <w:tcW w:w="2367" w:type="dxa"/>
            <w:tcBorders>
              <w:tl2br w:val="nil"/>
              <w:tr2bl w:val="nil"/>
            </w:tcBorders>
            <w:noWrap w:val="0"/>
            <w:vAlign w:val="center"/>
          </w:tcPr>
          <w:p w14:paraId="4CC995AA">
            <w:pPr>
              <w:autoSpaceDE w:val="0"/>
              <w:autoSpaceDN w:val="0"/>
              <w:adjustRightInd w:val="0"/>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061AEA97">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094F505A">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3E94F59C">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619E6F82">
            <w:pPr>
              <w:autoSpaceDE w:val="0"/>
              <w:autoSpaceDN w:val="0"/>
              <w:adjustRightInd w:val="0"/>
              <w:ind w:left="5250"/>
              <w:rPr>
                <w:rFonts w:hint="eastAsia" w:ascii="仿宋" w:hAnsi="仿宋" w:eastAsia="仿宋" w:cs="仿宋"/>
                <w:color w:val="auto"/>
                <w:sz w:val="20"/>
                <w:szCs w:val="20"/>
                <w:highlight w:val="none"/>
              </w:rPr>
            </w:pPr>
          </w:p>
        </w:tc>
      </w:tr>
      <w:tr w14:paraId="3AB030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2E28CE4A">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2.2</w:t>
            </w:r>
          </w:p>
        </w:tc>
        <w:tc>
          <w:tcPr>
            <w:tcW w:w="2367" w:type="dxa"/>
            <w:tcBorders>
              <w:tl2br w:val="nil"/>
              <w:tr2bl w:val="nil"/>
            </w:tcBorders>
            <w:noWrap w:val="0"/>
            <w:vAlign w:val="center"/>
          </w:tcPr>
          <w:p w14:paraId="3F2208AD">
            <w:pPr>
              <w:autoSpaceDE w:val="0"/>
              <w:autoSpaceDN w:val="0"/>
              <w:adjustRightInd w:val="0"/>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079E47D0">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7602E3CF">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16DBCF00">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1674FE15">
            <w:pPr>
              <w:autoSpaceDE w:val="0"/>
              <w:autoSpaceDN w:val="0"/>
              <w:adjustRightInd w:val="0"/>
              <w:ind w:left="5250"/>
              <w:rPr>
                <w:rFonts w:hint="eastAsia" w:ascii="仿宋" w:hAnsi="仿宋" w:eastAsia="仿宋" w:cs="仿宋"/>
                <w:color w:val="auto"/>
                <w:sz w:val="20"/>
                <w:szCs w:val="20"/>
                <w:highlight w:val="none"/>
              </w:rPr>
            </w:pPr>
          </w:p>
        </w:tc>
      </w:tr>
      <w:tr w14:paraId="100231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53B71EC4">
            <w:pPr>
              <w:autoSpaceDE w:val="0"/>
              <w:autoSpaceDN w:val="0"/>
              <w:adjustRightInd w:val="0"/>
              <w:jc w:val="center"/>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3</w:t>
            </w:r>
          </w:p>
        </w:tc>
        <w:tc>
          <w:tcPr>
            <w:tcW w:w="2367" w:type="dxa"/>
            <w:tcBorders>
              <w:tl2br w:val="nil"/>
              <w:tr2bl w:val="nil"/>
            </w:tcBorders>
            <w:noWrap w:val="0"/>
            <w:vAlign w:val="center"/>
          </w:tcPr>
          <w:p w14:paraId="369A491B">
            <w:pPr>
              <w:autoSpaceDE w:val="0"/>
              <w:autoSpaceDN w:val="0"/>
              <w:adjustRightInd w:val="0"/>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lang w:val="en-US" w:eastAsia="zh-CN"/>
              </w:rPr>
              <w:t>国家赔偿方面内容</w:t>
            </w:r>
          </w:p>
        </w:tc>
        <w:tc>
          <w:tcPr>
            <w:tcW w:w="2804" w:type="dxa"/>
            <w:tcBorders>
              <w:tl2br w:val="nil"/>
              <w:tr2bl w:val="nil"/>
            </w:tcBorders>
            <w:shd w:val="clear" w:color="auto" w:fill="auto"/>
            <w:noWrap w:val="0"/>
            <w:vAlign w:val="center"/>
          </w:tcPr>
          <w:p w14:paraId="502A03FE">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440" w:type="dxa"/>
            <w:tcBorders>
              <w:tl2br w:val="nil"/>
              <w:tr2bl w:val="nil"/>
            </w:tcBorders>
            <w:shd w:val="clear" w:color="auto" w:fill="auto"/>
            <w:noWrap w:val="0"/>
            <w:vAlign w:val="center"/>
          </w:tcPr>
          <w:p w14:paraId="1B61439E">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040" w:type="dxa"/>
            <w:tcBorders>
              <w:tl2br w:val="nil"/>
              <w:tr2bl w:val="nil"/>
            </w:tcBorders>
            <w:shd w:val="clear" w:color="auto" w:fill="auto"/>
            <w:noWrap w:val="0"/>
            <w:vAlign w:val="center"/>
          </w:tcPr>
          <w:p w14:paraId="4EC60F6B">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060" w:type="dxa"/>
            <w:tcBorders>
              <w:tl2br w:val="nil"/>
              <w:tr2bl w:val="nil"/>
            </w:tcBorders>
            <w:shd w:val="clear" w:color="auto" w:fill="auto"/>
            <w:noWrap w:val="0"/>
            <w:vAlign w:val="center"/>
          </w:tcPr>
          <w:p w14:paraId="1AEC3AA0">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r>
      <w:tr w14:paraId="53FCC4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39A2184B">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3.1</w:t>
            </w:r>
          </w:p>
        </w:tc>
        <w:tc>
          <w:tcPr>
            <w:tcW w:w="2367" w:type="dxa"/>
            <w:tcBorders>
              <w:tl2br w:val="nil"/>
              <w:tr2bl w:val="nil"/>
            </w:tcBorders>
            <w:noWrap w:val="0"/>
            <w:vAlign w:val="center"/>
          </w:tcPr>
          <w:p w14:paraId="5DE60411">
            <w:pPr>
              <w:autoSpaceDE w:val="0"/>
              <w:autoSpaceDN w:val="0"/>
              <w:adjustRightInd w:val="0"/>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1D4173F9">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47BCC65E">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75E5B86F">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3A540FB6">
            <w:pPr>
              <w:autoSpaceDE w:val="0"/>
              <w:autoSpaceDN w:val="0"/>
              <w:adjustRightInd w:val="0"/>
              <w:rPr>
                <w:rFonts w:hint="eastAsia" w:ascii="仿宋" w:hAnsi="仿宋" w:eastAsia="仿宋" w:cs="仿宋"/>
                <w:color w:val="auto"/>
                <w:sz w:val="20"/>
                <w:szCs w:val="20"/>
                <w:highlight w:val="none"/>
              </w:rPr>
            </w:pPr>
          </w:p>
        </w:tc>
      </w:tr>
      <w:tr w14:paraId="23015A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7868DB25">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3.2</w:t>
            </w:r>
          </w:p>
        </w:tc>
        <w:tc>
          <w:tcPr>
            <w:tcW w:w="2367" w:type="dxa"/>
            <w:tcBorders>
              <w:tl2br w:val="nil"/>
              <w:tr2bl w:val="nil"/>
            </w:tcBorders>
            <w:noWrap w:val="0"/>
            <w:vAlign w:val="center"/>
          </w:tcPr>
          <w:p w14:paraId="172553B8">
            <w:pPr>
              <w:autoSpaceDE w:val="0"/>
              <w:autoSpaceDN w:val="0"/>
              <w:adjustRightInd w:val="0"/>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585A2F79">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2F94D2A6">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7D7DF02A">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27694E48">
            <w:pPr>
              <w:autoSpaceDE w:val="0"/>
              <w:autoSpaceDN w:val="0"/>
              <w:adjustRightInd w:val="0"/>
              <w:rPr>
                <w:rFonts w:hint="eastAsia" w:ascii="仿宋" w:hAnsi="仿宋" w:eastAsia="仿宋" w:cs="仿宋"/>
                <w:color w:val="auto"/>
                <w:sz w:val="20"/>
                <w:szCs w:val="20"/>
                <w:highlight w:val="none"/>
              </w:rPr>
            </w:pPr>
          </w:p>
        </w:tc>
      </w:tr>
      <w:tr w14:paraId="583BC3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0FE67089">
            <w:pPr>
              <w:autoSpaceDE w:val="0"/>
              <w:autoSpaceDN w:val="0"/>
              <w:adjustRightInd w:val="0"/>
              <w:jc w:val="center"/>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4</w:t>
            </w:r>
          </w:p>
        </w:tc>
        <w:tc>
          <w:tcPr>
            <w:tcW w:w="2367" w:type="dxa"/>
            <w:tcBorders>
              <w:tl2br w:val="nil"/>
              <w:tr2bl w:val="nil"/>
            </w:tcBorders>
            <w:noWrap w:val="0"/>
            <w:vAlign w:val="center"/>
          </w:tcPr>
          <w:p w14:paraId="18880522">
            <w:pPr>
              <w:autoSpaceDE w:val="0"/>
              <w:autoSpaceDN w:val="0"/>
              <w:adjustRightInd w:val="0"/>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lang w:val="en-US" w:eastAsia="zh-CN"/>
              </w:rPr>
              <w:t>拆迁安置方面内容</w:t>
            </w:r>
          </w:p>
        </w:tc>
        <w:tc>
          <w:tcPr>
            <w:tcW w:w="2804" w:type="dxa"/>
            <w:tcBorders>
              <w:tl2br w:val="nil"/>
              <w:tr2bl w:val="nil"/>
            </w:tcBorders>
            <w:shd w:val="clear" w:color="auto" w:fill="auto"/>
            <w:noWrap w:val="0"/>
            <w:vAlign w:val="center"/>
          </w:tcPr>
          <w:p w14:paraId="3FED176B">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440" w:type="dxa"/>
            <w:tcBorders>
              <w:tl2br w:val="nil"/>
              <w:tr2bl w:val="nil"/>
            </w:tcBorders>
            <w:shd w:val="clear" w:color="auto" w:fill="auto"/>
            <w:noWrap w:val="0"/>
            <w:vAlign w:val="center"/>
          </w:tcPr>
          <w:p w14:paraId="0EDF28FE">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040" w:type="dxa"/>
            <w:tcBorders>
              <w:tl2br w:val="nil"/>
              <w:tr2bl w:val="nil"/>
            </w:tcBorders>
            <w:shd w:val="clear" w:color="auto" w:fill="auto"/>
            <w:noWrap w:val="0"/>
            <w:vAlign w:val="center"/>
          </w:tcPr>
          <w:p w14:paraId="0A8DE5C9">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060" w:type="dxa"/>
            <w:tcBorders>
              <w:tl2br w:val="nil"/>
              <w:tr2bl w:val="nil"/>
            </w:tcBorders>
            <w:shd w:val="clear" w:color="auto" w:fill="auto"/>
            <w:noWrap w:val="0"/>
            <w:vAlign w:val="center"/>
          </w:tcPr>
          <w:p w14:paraId="75D1924D">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r>
      <w:tr w14:paraId="1FBA45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7AB41D77">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4.1</w:t>
            </w:r>
          </w:p>
        </w:tc>
        <w:tc>
          <w:tcPr>
            <w:tcW w:w="2367" w:type="dxa"/>
            <w:tcBorders>
              <w:tl2br w:val="nil"/>
              <w:tr2bl w:val="nil"/>
            </w:tcBorders>
            <w:noWrap w:val="0"/>
            <w:vAlign w:val="center"/>
          </w:tcPr>
          <w:p w14:paraId="416091C1">
            <w:pPr>
              <w:autoSpaceDE w:val="0"/>
              <w:autoSpaceDN w:val="0"/>
              <w:adjustRightInd w:val="0"/>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3982FF18">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77920EC9">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42FAAB00">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5D853594">
            <w:pPr>
              <w:autoSpaceDE w:val="0"/>
              <w:autoSpaceDN w:val="0"/>
              <w:adjustRightInd w:val="0"/>
              <w:rPr>
                <w:rFonts w:hint="eastAsia" w:ascii="仿宋" w:hAnsi="仿宋" w:eastAsia="仿宋" w:cs="仿宋"/>
                <w:color w:val="auto"/>
                <w:sz w:val="20"/>
                <w:szCs w:val="20"/>
                <w:highlight w:val="none"/>
              </w:rPr>
            </w:pPr>
          </w:p>
        </w:tc>
      </w:tr>
      <w:tr w14:paraId="482F9B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405FE29A">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4.2</w:t>
            </w:r>
          </w:p>
        </w:tc>
        <w:tc>
          <w:tcPr>
            <w:tcW w:w="2367" w:type="dxa"/>
            <w:tcBorders>
              <w:tl2br w:val="nil"/>
              <w:tr2bl w:val="nil"/>
            </w:tcBorders>
            <w:noWrap w:val="0"/>
            <w:vAlign w:val="center"/>
          </w:tcPr>
          <w:p w14:paraId="230D2BFD">
            <w:pPr>
              <w:autoSpaceDE w:val="0"/>
              <w:autoSpaceDN w:val="0"/>
              <w:adjustRightInd w:val="0"/>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5F19CAD4">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36FFF068">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1F0974EF">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7B9F57AD">
            <w:pPr>
              <w:autoSpaceDE w:val="0"/>
              <w:autoSpaceDN w:val="0"/>
              <w:adjustRightInd w:val="0"/>
              <w:rPr>
                <w:rFonts w:hint="eastAsia" w:ascii="仿宋" w:hAnsi="仿宋" w:eastAsia="仿宋" w:cs="仿宋"/>
                <w:color w:val="auto"/>
                <w:sz w:val="20"/>
                <w:szCs w:val="20"/>
                <w:highlight w:val="none"/>
              </w:rPr>
            </w:pPr>
          </w:p>
        </w:tc>
      </w:tr>
      <w:tr w14:paraId="41D1FF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1C819C99">
            <w:pPr>
              <w:autoSpaceDE w:val="0"/>
              <w:autoSpaceDN w:val="0"/>
              <w:adjustRightInd w:val="0"/>
              <w:jc w:val="center"/>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5</w:t>
            </w:r>
          </w:p>
        </w:tc>
        <w:tc>
          <w:tcPr>
            <w:tcW w:w="2367" w:type="dxa"/>
            <w:tcBorders>
              <w:tl2br w:val="nil"/>
              <w:tr2bl w:val="nil"/>
            </w:tcBorders>
            <w:noWrap w:val="0"/>
            <w:vAlign w:val="center"/>
          </w:tcPr>
          <w:p w14:paraId="19DD7CE4">
            <w:pPr>
              <w:autoSpaceDE w:val="0"/>
              <w:autoSpaceDN w:val="0"/>
              <w:adjustRightInd w:val="0"/>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lang w:val="en-US" w:eastAsia="zh-CN"/>
              </w:rPr>
              <w:t>违章建筑拆除方面内容</w:t>
            </w:r>
          </w:p>
        </w:tc>
        <w:tc>
          <w:tcPr>
            <w:tcW w:w="2804" w:type="dxa"/>
            <w:tcBorders>
              <w:tl2br w:val="nil"/>
              <w:tr2bl w:val="nil"/>
            </w:tcBorders>
            <w:shd w:val="clear" w:color="auto" w:fill="auto"/>
            <w:noWrap w:val="0"/>
            <w:vAlign w:val="center"/>
          </w:tcPr>
          <w:p w14:paraId="3B926FFB">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440" w:type="dxa"/>
            <w:tcBorders>
              <w:tl2br w:val="nil"/>
              <w:tr2bl w:val="nil"/>
            </w:tcBorders>
            <w:shd w:val="clear" w:color="auto" w:fill="auto"/>
            <w:noWrap w:val="0"/>
            <w:vAlign w:val="center"/>
          </w:tcPr>
          <w:p w14:paraId="71E2AD62">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040" w:type="dxa"/>
            <w:tcBorders>
              <w:tl2br w:val="nil"/>
              <w:tr2bl w:val="nil"/>
            </w:tcBorders>
            <w:shd w:val="clear" w:color="auto" w:fill="auto"/>
            <w:noWrap w:val="0"/>
            <w:vAlign w:val="center"/>
          </w:tcPr>
          <w:p w14:paraId="06590DEB">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060" w:type="dxa"/>
            <w:tcBorders>
              <w:tl2br w:val="nil"/>
              <w:tr2bl w:val="nil"/>
            </w:tcBorders>
            <w:shd w:val="clear" w:color="auto" w:fill="auto"/>
            <w:noWrap w:val="0"/>
            <w:vAlign w:val="center"/>
          </w:tcPr>
          <w:p w14:paraId="3DCBBFF4">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r>
      <w:tr w14:paraId="57D983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598A791A">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5.1</w:t>
            </w:r>
          </w:p>
        </w:tc>
        <w:tc>
          <w:tcPr>
            <w:tcW w:w="2367" w:type="dxa"/>
            <w:tcBorders>
              <w:tl2br w:val="nil"/>
              <w:tr2bl w:val="nil"/>
            </w:tcBorders>
            <w:noWrap w:val="0"/>
            <w:vAlign w:val="center"/>
          </w:tcPr>
          <w:p w14:paraId="16F4226E">
            <w:pPr>
              <w:autoSpaceDE w:val="0"/>
              <w:autoSpaceDN w:val="0"/>
              <w:adjustRightInd w:val="0"/>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49B85D0C">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56A0E203">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6C7DFCE5">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5C8E079C">
            <w:pPr>
              <w:autoSpaceDE w:val="0"/>
              <w:autoSpaceDN w:val="0"/>
              <w:adjustRightInd w:val="0"/>
              <w:rPr>
                <w:rFonts w:hint="eastAsia" w:ascii="仿宋" w:hAnsi="仿宋" w:eastAsia="仿宋" w:cs="仿宋"/>
                <w:color w:val="auto"/>
                <w:sz w:val="20"/>
                <w:szCs w:val="20"/>
                <w:highlight w:val="none"/>
              </w:rPr>
            </w:pPr>
          </w:p>
        </w:tc>
      </w:tr>
      <w:tr w14:paraId="1CC074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58CA796F">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5.2</w:t>
            </w:r>
          </w:p>
        </w:tc>
        <w:tc>
          <w:tcPr>
            <w:tcW w:w="2367" w:type="dxa"/>
            <w:tcBorders>
              <w:tl2br w:val="nil"/>
              <w:tr2bl w:val="nil"/>
            </w:tcBorders>
            <w:noWrap w:val="0"/>
            <w:vAlign w:val="center"/>
          </w:tcPr>
          <w:p w14:paraId="333B3D1D">
            <w:pPr>
              <w:autoSpaceDE w:val="0"/>
              <w:autoSpaceDN w:val="0"/>
              <w:adjustRightInd w:val="0"/>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4DA3FBB3">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7F7C40C5">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6B0418F3">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772324C9">
            <w:pPr>
              <w:autoSpaceDE w:val="0"/>
              <w:autoSpaceDN w:val="0"/>
              <w:adjustRightInd w:val="0"/>
              <w:rPr>
                <w:rFonts w:hint="eastAsia" w:ascii="仿宋" w:hAnsi="仿宋" w:eastAsia="仿宋" w:cs="仿宋"/>
                <w:color w:val="auto"/>
                <w:sz w:val="20"/>
                <w:szCs w:val="20"/>
                <w:highlight w:val="none"/>
              </w:rPr>
            </w:pPr>
          </w:p>
        </w:tc>
      </w:tr>
      <w:tr w14:paraId="612149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36F70A9C">
            <w:pPr>
              <w:autoSpaceDE w:val="0"/>
              <w:autoSpaceDN w:val="0"/>
              <w:adjustRightInd w:val="0"/>
              <w:jc w:val="center"/>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6</w:t>
            </w:r>
          </w:p>
        </w:tc>
        <w:tc>
          <w:tcPr>
            <w:tcW w:w="2367" w:type="dxa"/>
            <w:tcBorders>
              <w:tl2br w:val="nil"/>
              <w:tr2bl w:val="nil"/>
            </w:tcBorders>
            <w:noWrap w:val="0"/>
            <w:vAlign w:val="center"/>
          </w:tcPr>
          <w:p w14:paraId="01FAAA36">
            <w:pPr>
              <w:autoSpaceDE w:val="0"/>
              <w:autoSpaceDN w:val="0"/>
              <w:adjustRightInd w:val="0"/>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lang w:val="en-US" w:eastAsia="zh-CN"/>
              </w:rPr>
              <w:t>政府信息公开方面内容</w:t>
            </w:r>
          </w:p>
        </w:tc>
        <w:tc>
          <w:tcPr>
            <w:tcW w:w="2804" w:type="dxa"/>
            <w:tcBorders>
              <w:tl2br w:val="nil"/>
              <w:tr2bl w:val="nil"/>
            </w:tcBorders>
            <w:shd w:val="clear" w:color="auto" w:fill="auto"/>
            <w:noWrap w:val="0"/>
            <w:vAlign w:val="center"/>
          </w:tcPr>
          <w:p w14:paraId="5BC3F1E4">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440" w:type="dxa"/>
            <w:tcBorders>
              <w:tl2br w:val="nil"/>
              <w:tr2bl w:val="nil"/>
            </w:tcBorders>
            <w:shd w:val="clear" w:color="auto" w:fill="auto"/>
            <w:noWrap w:val="0"/>
            <w:vAlign w:val="center"/>
          </w:tcPr>
          <w:p w14:paraId="0C5C02A7">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040" w:type="dxa"/>
            <w:tcBorders>
              <w:tl2br w:val="nil"/>
              <w:tr2bl w:val="nil"/>
            </w:tcBorders>
            <w:shd w:val="clear" w:color="auto" w:fill="auto"/>
            <w:noWrap w:val="0"/>
            <w:vAlign w:val="center"/>
          </w:tcPr>
          <w:p w14:paraId="78FF9F31">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060" w:type="dxa"/>
            <w:tcBorders>
              <w:tl2br w:val="nil"/>
              <w:tr2bl w:val="nil"/>
            </w:tcBorders>
            <w:shd w:val="clear" w:color="auto" w:fill="auto"/>
            <w:noWrap w:val="0"/>
            <w:vAlign w:val="center"/>
          </w:tcPr>
          <w:p w14:paraId="68DEF329">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r>
      <w:tr w14:paraId="58B274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46764EEF">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6.1</w:t>
            </w:r>
          </w:p>
        </w:tc>
        <w:tc>
          <w:tcPr>
            <w:tcW w:w="2367" w:type="dxa"/>
            <w:tcBorders>
              <w:tl2br w:val="nil"/>
              <w:tr2bl w:val="nil"/>
            </w:tcBorders>
            <w:noWrap w:val="0"/>
            <w:vAlign w:val="center"/>
          </w:tcPr>
          <w:p w14:paraId="2CFE2A22">
            <w:pPr>
              <w:autoSpaceDE w:val="0"/>
              <w:autoSpaceDN w:val="0"/>
              <w:adjustRightInd w:val="0"/>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01ACBCD3">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58D4E8F6">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03877676">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7E5B5F30">
            <w:pPr>
              <w:autoSpaceDE w:val="0"/>
              <w:autoSpaceDN w:val="0"/>
              <w:adjustRightInd w:val="0"/>
              <w:rPr>
                <w:rFonts w:hint="eastAsia" w:ascii="仿宋" w:hAnsi="仿宋" w:eastAsia="仿宋" w:cs="仿宋"/>
                <w:color w:val="auto"/>
                <w:sz w:val="20"/>
                <w:szCs w:val="20"/>
                <w:highlight w:val="none"/>
              </w:rPr>
            </w:pPr>
          </w:p>
        </w:tc>
      </w:tr>
      <w:tr w14:paraId="1211D0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2E0EEE6F">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6.2</w:t>
            </w:r>
          </w:p>
        </w:tc>
        <w:tc>
          <w:tcPr>
            <w:tcW w:w="2367" w:type="dxa"/>
            <w:tcBorders>
              <w:tl2br w:val="nil"/>
              <w:tr2bl w:val="nil"/>
            </w:tcBorders>
            <w:noWrap w:val="0"/>
            <w:vAlign w:val="center"/>
          </w:tcPr>
          <w:p w14:paraId="093C7BBA">
            <w:pPr>
              <w:autoSpaceDE w:val="0"/>
              <w:autoSpaceDN w:val="0"/>
              <w:adjustRightInd w:val="0"/>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698C271E">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470A2586">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48DA88DE">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2B79D0B5">
            <w:pPr>
              <w:autoSpaceDE w:val="0"/>
              <w:autoSpaceDN w:val="0"/>
              <w:adjustRightInd w:val="0"/>
              <w:rPr>
                <w:rFonts w:hint="eastAsia" w:ascii="仿宋" w:hAnsi="仿宋" w:eastAsia="仿宋" w:cs="仿宋"/>
                <w:color w:val="auto"/>
                <w:sz w:val="20"/>
                <w:szCs w:val="20"/>
                <w:highlight w:val="none"/>
              </w:rPr>
            </w:pPr>
          </w:p>
        </w:tc>
      </w:tr>
      <w:tr w14:paraId="3C0E71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755650C1">
            <w:pPr>
              <w:autoSpaceDE w:val="0"/>
              <w:autoSpaceDN w:val="0"/>
              <w:adjustRightInd w:val="0"/>
              <w:jc w:val="center"/>
              <w:rPr>
                <w:rFonts w:hint="eastAsia"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7</w:t>
            </w:r>
          </w:p>
        </w:tc>
        <w:tc>
          <w:tcPr>
            <w:tcW w:w="2367" w:type="dxa"/>
            <w:tcBorders>
              <w:tl2br w:val="nil"/>
              <w:tr2bl w:val="nil"/>
            </w:tcBorders>
            <w:noWrap w:val="0"/>
            <w:vAlign w:val="center"/>
          </w:tcPr>
          <w:p w14:paraId="43DD6B82">
            <w:pPr>
              <w:autoSpaceDE w:val="0"/>
              <w:autoSpaceDN w:val="0"/>
              <w:adjustRightInd w:val="0"/>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lang w:val="en-US" w:eastAsia="zh-CN"/>
              </w:rPr>
              <w:t>工程建设方面内容</w:t>
            </w:r>
          </w:p>
        </w:tc>
        <w:tc>
          <w:tcPr>
            <w:tcW w:w="2804" w:type="dxa"/>
            <w:tcBorders>
              <w:tl2br w:val="nil"/>
              <w:tr2bl w:val="nil"/>
            </w:tcBorders>
            <w:shd w:val="clear" w:color="auto" w:fill="auto"/>
            <w:noWrap w:val="0"/>
            <w:vAlign w:val="center"/>
          </w:tcPr>
          <w:p w14:paraId="0A55210F">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440" w:type="dxa"/>
            <w:tcBorders>
              <w:tl2br w:val="nil"/>
              <w:tr2bl w:val="nil"/>
            </w:tcBorders>
            <w:shd w:val="clear" w:color="auto" w:fill="auto"/>
            <w:noWrap w:val="0"/>
            <w:vAlign w:val="center"/>
          </w:tcPr>
          <w:p w14:paraId="1466D3ED">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040" w:type="dxa"/>
            <w:tcBorders>
              <w:tl2br w:val="nil"/>
              <w:tr2bl w:val="nil"/>
            </w:tcBorders>
            <w:shd w:val="clear" w:color="auto" w:fill="auto"/>
            <w:noWrap w:val="0"/>
            <w:vAlign w:val="center"/>
          </w:tcPr>
          <w:p w14:paraId="7A269CD3">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c>
          <w:tcPr>
            <w:tcW w:w="1060" w:type="dxa"/>
            <w:tcBorders>
              <w:tl2br w:val="nil"/>
              <w:tr2bl w:val="nil"/>
            </w:tcBorders>
            <w:shd w:val="clear" w:color="auto" w:fill="auto"/>
            <w:noWrap w:val="0"/>
            <w:vAlign w:val="center"/>
          </w:tcPr>
          <w:p w14:paraId="56C669DB">
            <w:pPr>
              <w:autoSpaceDE w:val="0"/>
              <w:autoSpaceDN w:val="0"/>
              <w:adjustRightInd w:val="0"/>
              <w:jc w:val="center"/>
              <w:rPr>
                <w:rFonts w:hint="eastAsia" w:ascii="仿宋" w:hAnsi="仿宋" w:eastAsia="仿宋" w:cs="仿宋"/>
                <w:color w:val="auto"/>
                <w:kern w:val="2"/>
                <w:sz w:val="20"/>
                <w:szCs w:val="20"/>
                <w:highlight w:val="none"/>
                <w:lang w:val="en-US" w:eastAsia="zh-CN" w:bidi="ar-SA"/>
              </w:rPr>
            </w:pPr>
            <w:r>
              <w:rPr>
                <w:rFonts w:hint="eastAsia" w:ascii="仿宋" w:hAnsi="仿宋" w:eastAsia="仿宋" w:cs="仿宋"/>
                <w:color w:val="auto"/>
                <w:sz w:val="20"/>
                <w:szCs w:val="20"/>
                <w:highlight w:val="none"/>
                <w:lang w:val="en-US" w:eastAsia="zh-CN"/>
              </w:rPr>
              <w:t>/</w:t>
            </w:r>
          </w:p>
        </w:tc>
      </w:tr>
      <w:tr w14:paraId="79D977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5AFD8C37">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7.1</w:t>
            </w:r>
          </w:p>
        </w:tc>
        <w:tc>
          <w:tcPr>
            <w:tcW w:w="2367" w:type="dxa"/>
            <w:tcBorders>
              <w:tl2br w:val="nil"/>
              <w:tr2bl w:val="nil"/>
            </w:tcBorders>
            <w:noWrap w:val="0"/>
            <w:vAlign w:val="center"/>
          </w:tcPr>
          <w:p w14:paraId="2F5AD917">
            <w:pPr>
              <w:autoSpaceDE w:val="0"/>
              <w:autoSpaceDN w:val="0"/>
              <w:adjustRightInd w:val="0"/>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3E4F4D2F">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433E07E6">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6F4D606C">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1BEAE001">
            <w:pPr>
              <w:autoSpaceDE w:val="0"/>
              <w:autoSpaceDN w:val="0"/>
              <w:adjustRightInd w:val="0"/>
              <w:rPr>
                <w:rFonts w:hint="eastAsia" w:ascii="仿宋" w:hAnsi="仿宋" w:eastAsia="仿宋" w:cs="仿宋"/>
                <w:color w:val="auto"/>
                <w:sz w:val="20"/>
                <w:szCs w:val="20"/>
                <w:highlight w:val="none"/>
              </w:rPr>
            </w:pPr>
          </w:p>
        </w:tc>
      </w:tr>
      <w:tr w14:paraId="69C707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8" w:hRule="atLeast"/>
        </w:trPr>
        <w:tc>
          <w:tcPr>
            <w:tcW w:w="0" w:type="auto"/>
            <w:tcBorders>
              <w:tl2br w:val="nil"/>
              <w:tr2bl w:val="nil"/>
            </w:tcBorders>
            <w:noWrap w:val="0"/>
            <w:vAlign w:val="center"/>
          </w:tcPr>
          <w:p w14:paraId="4B739BFE">
            <w:pPr>
              <w:autoSpaceDE w:val="0"/>
              <w:autoSpaceDN w:val="0"/>
              <w:adjustRightInd w:val="0"/>
              <w:jc w:val="center"/>
              <w:rPr>
                <w:rFonts w:hint="default" w:ascii="仿宋" w:hAnsi="仿宋" w:eastAsia="仿宋" w:cs="仿宋"/>
                <w:color w:val="auto"/>
                <w:sz w:val="20"/>
                <w:szCs w:val="20"/>
                <w:highlight w:val="none"/>
                <w:lang w:val="en-US" w:eastAsia="zh-CN"/>
              </w:rPr>
            </w:pPr>
            <w:r>
              <w:rPr>
                <w:rFonts w:hint="eastAsia" w:ascii="仿宋" w:hAnsi="仿宋" w:eastAsia="仿宋" w:cs="仿宋"/>
                <w:color w:val="auto"/>
                <w:sz w:val="20"/>
                <w:szCs w:val="20"/>
                <w:highlight w:val="none"/>
                <w:lang w:val="en-US" w:eastAsia="zh-CN"/>
              </w:rPr>
              <w:t>7.2</w:t>
            </w:r>
          </w:p>
        </w:tc>
        <w:tc>
          <w:tcPr>
            <w:tcW w:w="2367" w:type="dxa"/>
            <w:tcBorders>
              <w:tl2br w:val="nil"/>
              <w:tr2bl w:val="nil"/>
            </w:tcBorders>
            <w:noWrap w:val="0"/>
            <w:vAlign w:val="center"/>
          </w:tcPr>
          <w:p w14:paraId="68D43E9C">
            <w:pPr>
              <w:autoSpaceDE w:val="0"/>
              <w:autoSpaceDN w:val="0"/>
              <w:adjustRightInd w:val="0"/>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lang w:val="en-US" w:eastAsia="zh-CN"/>
              </w:rPr>
              <w:t>……</w:t>
            </w:r>
          </w:p>
        </w:tc>
        <w:tc>
          <w:tcPr>
            <w:tcW w:w="2804" w:type="dxa"/>
            <w:tcBorders>
              <w:tl2br w:val="nil"/>
              <w:tr2bl w:val="nil"/>
            </w:tcBorders>
            <w:noWrap w:val="0"/>
            <w:vAlign w:val="center"/>
          </w:tcPr>
          <w:p w14:paraId="0DD71163">
            <w:pPr>
              <w:autoSpaceDE w:val="0"/>
              <w:autoSpaceDN w:val="0"/>
              <w:adjustRightInd w:val="0"/>
              <w:rPr>
                <w:rFonts w:hint="eastAsia" w:ascii="仿宋" w:hAnsi="仿宋" w:eastAsia="仿宋" w:cs="仿宋"/>
                <w:color w:val="auto"/>
                <w:sz w:val="20"/>
                <w:szCs w:val="20"/>
                <w:highlight w:val="none"/>
              </w:rPr>
            </w:pPr>
          </w:p>
        </w:tc>
        <w:tc>
          <w:tcPr>
            <w:tcW w:w="1440" w:type="dxa"/>
            <w:tcBorders>
              <w:tl2br w:val="nil"/>
              <w:tr2bl w:val="nil"/>
            </w:tcBorders>
            <w:noWrap w:val="0"/>
            <w:vAlign w:val="center"/>
          </w:tcPr>
          <w:p w14:paraId="475944FE">
            <w:pPr>
              <w:autoSpaceDE w:val="0"/>
              <w:autoSpaceDN w:val="0"/>
              <w:adjustRightInd w:val="0"/>
              <w:rPr>
                <w:rFonts w:hint="eastAsia" w:ascii="仿宋" w:hAnsi="仿宋" w:eastAsia="仿宋" w:cs="仿宋"/>
                <w:color w:val="auto"/>
                <w:sz w:val="20"/>
                <w:szCs w:val="20"/>
                <w:highlight w:val="none"/>
              </w:rPr>
            </w:pPr>
          </w:p>
        </w:tc>
        <w:tc>
          <w:tcPr>
            <w:tcW w:w="1040" w:type="dxa"/>
            <w:tcBorders>
              <w:tl2br w:val="nil"/>
              <w:tr2bl w:val="nil"/>
            </w:tcBorders>
            <w:noWrap w:val="0"/>
            <w:vAlign w:val="center"/>
          </w:tcPr>
          <w:p w14:paraId="5D3ADA67">
            <w:pPr>
              <w:autoSpaceDE w:val="0"/>
              <w:autoSpaceDN w:val="0"/>
              <w:adjustRightInd w:val="0"/>
              <w:rPr>
                <w:rFonts w:hint="eastAsia" w:ascii="仿宋" w:hAnsi="仿宋" w:eastAsia="仿宋" w:cs="仿宋"/>
                <w:color w:val="auto"/>
                <w:sz w:val="20"/>
                <w:szCs w:val="20"/>
                <w:highlight w:val="none"/>
              </w:rPr>
            </w:pPr>
          </w:p>
        </w:tc>
        <w:tc>
          <w:tcPr>
            <w:tcW w:w="1060" w:type="dxa"/>
            <w:tcBorders>
              <w:tl2br w:val="nil"/>
              <w:tr2bl w:val="nil"/>
            </w:tcBorders>
            <w:noWrap w:val="0"/>
            <w:vAlign w:val="center"/>
          </w:tcPr>
          <w:p w14:paraId="659818FA">
            <w:pPr>
              <w:autoSpaceDE w:val="0"/>
              <w:autoSpaceDN w:val="0"/>
              <w:adjustRightInd w:val="0"/>
              <w:rPr>
                <w:rFonts w:hint="eastAsia" w:ascii="仿宋" w:hAnsi="仿宋" w:eastAsia="仿宋" w:cs="仿宋"/>
                <w:color w:val="auto"/>
                <w:sz w:val="20"/>
                <w:szCs w:val="20"/>
                <w:highlight w:val="none"/>
              </w:rPr>
            </w:pPr>
          </w:p>
        </w:tc>
      </w:tr>
    </w:tbl>
    <w:p w14:paraId="07E5ACB1">
      <w:pPr>
        <w:rPr>
          <w:rFonts w:hint="default" w:ascii="仿宋_GB2312" w:hAnsi="仿宋" w:eastAsia="仿宋_GB2312" w:cs="仿宋_GB2312"/>
          <w:b/>
          <w:color w:val="auto"/>
          <w:sz w:val="24"/>
          <w:highlight w:val="none"/>
          <w:lang w:val="en-US" w:eastAsia="zh-CN"/>
        </w:rPr>
        <w:sectPr>
          <w:pgSz w:w="11906" w:h="16838"/>
          <w:pgMar w:top="1174" w:right="1418" w:bottom="1151"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58004C76">
      <w:pPr>
        <w:keepNext w:val="0"/>
        <w:keepLines w:val="0"/>
        <w:pageBreakBefore w:val="0"/>
        <w:kinsoku/>
        <w:wordWrap/>
        <w:overflowPunct/>
        <w:topLinePunct w:val="0"/>
        <w:bidi w:val="0"/>
        <w:snapToGrid w:val="0"/>
        <w:spacing w:line="360" w:lineRule="auto"/>
        <w:jc w:val="center"/>
        <w:textAlignment w:val="auto"/>
        <w:outlineLvl w:val="9"/>
        <w:rPr>
          <w:rFonts w:hint="eastAsia"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六、标的清单</w:t>
      </w:r>
    </w:p>
    <w:tbl>
      <w:tblPr>
        <w:tblStyle w:val="60"/>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5A946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2AF2BB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3A4F6C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1A869DA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2E1C19E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4BB483F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13AA4F0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1B72216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r>
              <w:rPr>
                <w:rFonts w:hint="eastAsia" w:ascii="仿宋" w:hAnsi="仿宋" w:eastAsia="仿宋" w:cs="仿宋"/>
                <w:b/>
                <w:color w:val="auto"/>
                <w:sz w:val="24"/>
                <w:highlight w:val="none"/>
                <w:lang w:eastAsia="zh-CN"/>
              </w:rPr>
              <w:t>（如果有）</w:t>
            </w:r>
          </w:p>
        </w:tc>
      </w:tr>
      <w:tr w14:paraId="2A49F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E80933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16FBAD8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杭州市上城区人民政府复议应诉类法律服务</w:t>
            </w:r>
          </w:p>
        </w:tc>
        <w:tc>
          <w:tcPr>
            <w:tcW w:w="1114" w:type="dxa"/>
            <w:tcBorders>
              <w:top w:val="single" w:color="auto" w:sz="4" w:space="0"/>
              <w:left w:val="single" w:color="auto" w:sz="4" w:space="0"/>
              <w:bottom w:val="single" w:color="auto" w:sz="4" w:space="0"/>
              <w:right w:val="single" w:color="auto" w:sz="4" w:space="0"/>
            </w:tcBorders>
            <w:vAlign w:val="center"/>
          </w:tcPr>
          <w:p w14:paraId="5A94D3B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0CB6F6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CA651F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0758D97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B37436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r>
      <w:tr w14:paraId="3FA2C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5AD147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08C3ED8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917395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2FE4CB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19B56C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EC0C51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0B72DB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r>
      <w:tr w14:paraId="6DF65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DABCF3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34FE6A2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C0FEE9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93E90B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F966D0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F22551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31507A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color w:val="auto"/>
                <w:sz w:val="24"/>
                <w:highlight w:val="none"/>
              </w:rPr>
            </w:pPr>
          </w:p>
        </w:tc>
      </w:tr>
    </w:tbl>
    <w:p w14:paraId="249C9F93">
      <w:pPr>
        <w:spacing w:line="360" w:lineRule="auto"/>
        <w:ind w:right="420"/>
        <w:rPr>
          <w:rFonts w:hint="eastAsia" w:ascii="宋体" w:hAnsi="宋体" w:eastAsia="宋体" w:cs="宋体"/>
          <w:color w:val="auto"/>
          <w:sz w:val="24"/>
          <w:highlight w:val="none"/>
        </w:rPr>
      </w:pPr>
      <w:r>
        <w:rPr>
          <w:rFonts w:hint="eastAsia" w:ascii="仿宋" w:hAnsi="仿宋" w:eastAsia="仿宋" w:cs="仿宋"/>
          <w:color w:val="auto"/>
          <w:sz w:val="24"/>
          <w:highlight w:val="none"/>
        </w:rPr>
        <w:t>注：按本格式和要求提供。</w:t>
      </w:r>
    </w:p>
    <w:p w14:paraId="23B7F82B">
      <w:pPr>
        <w:pStyle w:val="59"/>
        <w:ind w:left="0" w:leftChars="0" w:firstLine="0" w:firstLineChars="0"/>
        <w:rPr>
          <w:rFonts w:hint="eastAsia" w:ascii="宋体" w:hAnsi="宋体" w:eastAsia="宋体" w:cs="宋体"/>
          <w:color w:val="auto"/>
          <w:sz w:val="24"/>
          <w:highlight w:val="none"/>
        </w:rPr>
      </w:pPr>
    </w:p>
    <w:p w14:paraId="147335BA">
      <w:pPr>
        <w:autoSpaceDE w:val="0"/>
        <w:autoSpaceDN w:val="0"/>
        <w:spacing w:line="360" w:lineRule="auto"/>
        <w:ind w:firstLine="4560" w:firstLineChars="190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供应商名称（</w:t>
      </w:r>
      <w:r>
        <w:rPr>
          <w:rFonts w:hint="eastAsia" w:ascii="仿宋_GB2312" w:hAnsi="仿宋" w:eastAsia="仿宋_GB2312" w:cs="仿宋_GB2312"/>
          <w:color w:val="auto"/>
          <w:kern w:val="0"/>
          <w:sz w:val="24"/>
          <w:highlight w:val="none"/>
          <w:lang w:val="zh-CN"/>
        </w:rPr>
        <w:t>电子签名</w:t>
      </w:r>
      <w:r>
        <w:rPr>
          <w:rFonts w:hint="eastAsia" w:ascii="仿宋_GB2312" w:hAnsi="仿宋_GB2312" w:eastAsia="仿宋_GB2312" w:cs="仿宋_GB2312"/>
          <w:color w:val="auto"/>
          <w:kern w:val="0"/>
          <w:sz w:val="24"/>
          <w:highlight w:val="none"/>
        </w:rPr>
        <w:t xml:space="preserve">）：                       </w:t>
      </w:r>
    </w:p>
    <w:p w14:paraId="55ADB25E">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kern w:val="0"/>
          <w:sz w:val="24"/>
          <w:highlight w:val="none"/>
        </w:rPr>
        <w:t xml:space="preserve">                                      日期：  年  月   日</w:t>
      </w:r>
    </w:p>
    <w:p w14:paraId="6FB9F619">
      <w:pPr>
        <w:pStyle w:val="59"/>
        <w:ind w:left="0" w:leftChars="0" w:firstLine="0" w:firstLineChars="0"/>
        <w:rPr>
          <w:rFonts w:hint="eastAsia" w:ascii="宋体" w:hAnsi="宋体" w:eastAsia="宋体" w:cs="宋体"/>
          <w:color w:val="auto"/>
          <w:sz w:val="24"/>
          <w:highlight w:val="none"/>
        </w:rPr>
      </w:pPr>
    </w:p>
    <w:p w14:paraId="1B12FC51">
      <w:pPr>
        <w:pStyle w:val="59"/>
        <w:rPr>
          <w:rFonts w:hint="eastAsia"/>
          <w:color w:val="auto"/>
          <w:highlight w:val="none"/>
        </w:rPr>
      </w:pPr>
    </w:p>
    <w:p w14:paraId="43238BA2">
      <w:pPr>
        <w:rPr>
          <w:rFonts w:hint="eastAsia" w:ascii="仿宋_GB2312" w:hAnsi="仿宋" w:eastAsia="仿宋_GB2312" w:cs="仿宋_GB2312"/>
          <w:b/>
          <w:color w:val="auto"/>
          <w:kern w:val="0"/>
          <w:sz w:val="32"/>
          <w:szCs w:val="32"/>
          <w:highlight w:val="none"/>
          <w:lang w:val="zh-CN"/>
        </w:rPr>
      </w:pPr>
    </w:p>
    <w:p w14:paraId="71F30676">
      <w:pPr>
        <w:keepNext w:val="0"/>
        <w:keepLines w:val="0"/>
        <w:pageBreakBefore w:val="0"/>
        <w:widowControl w:val="0"/>
        <w:kinsoku/>
        <w:wordWrap/>
        <w:overflowPunct/>
        <w:topLinePunct w:val="0"/>
        <w:bidi w:val="0"/>
        <w:adjustRightInd w:val="0"/>
        <w:snapToGrid w:val="0"/>
        <w:spacing w:line="360" w:lineRule="auto"/>
        <w:jc w:val="center"/>
        <w:textAlignment w:val="auto"/>
        <w:outlineLvl w:val="9"/>
        <w:rPr>
          <w:rFonts w:hint="eastAsia"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七、商务技术偏离表</w:t>
      </w:r>
    </w:p>
    <w:p w14:paraId="7D9EA58D">
      <w:pPr>
        <w:keepNext w:val="0"/>
        <w:keepLines w:val="0"/>
        <w:pageBreakBefore w:val="0"/>
        <w:widowControl w:val="0"/>
        <w:kinsoku/>
        <w:wordWrap/>
        <w:overflowPunct/>
        <w:topLinePunct w:val="0"/>
        <w:bidi w:val="0"/>
        <w:adjustRightInd w:val="0"/>
        <w:jc w:val="center"/>
        <w:textAlignment w:val="auto"/>
        <w:outlineLvl w:val="9"/>
        <w:rPr>
          <w:rFonts w:hint="eastAsia" w:ascii="仿宋_GB2312" w:hAnsi="仿宋" w:eastAsia="仿宋_GB2312"/>
          <w:b/>
          <w:bCs/>
          <w:color w:val="auto"/>
          <w:sz w:val="24"/>
          <w:highlight w:val="none"/>
        </w:rPr>
      </w:pPr>
    </w:p>
    <w:tbl>
      <w:tblPr>
        <w:tblStyle w:val="6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56D0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239F2F1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序号</w:t>
            </w:r>
          </w:p>
        </w:tc>
        <w:tc>
          <w:tcPr>
            <w:tcW w:w="3683" w:type="dxa"/>
            <w:vAlign w:val="center"/>
          </w:tcPr>
          <w:p w14:paraId="37AE592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b/>
                <w:bCs/>
                <w:color w:val="auto"/>
                <w:sz w:val="24"/>
                <w:highlight w:val="none"/>
              </w:rPr>
            </w:pPr>
            <w:r>
              <w:rPr>
                <w:rFonts w:hint="eastAsia" w:ascii="仿宋_GB2312" w:hAnsi="仿宋" w:eastAsia="仿宋_GB2312"/>
                <w:b/>
                <w:bCs/>
                <w:color w:val="auto"/>
                <w:sz w:val="24"/>
                <w:highlight w:val="none"/>
                <w:lang w:eastAsia="zh-CN"/>
              </w:rPr>
              <w:t>磋商</w:t>
            </w:r>
            <w:r>
              <w:rPr>
                <w:rFonts w:hint="eastAsia" w:ascii="仿宋_GB2312" w:hAnsi="仿宋" w:eastAsia="仿宋_GB2312"/>
                <w:b/>
                <w:bCs/>
                <w:color w:val="auto"/>
                <w:sz w:val="24"/>
                <w:highlight w:val="none"/>
              </w:rPr>
              <w:t>文件章节及具体内容</w:t>
            </w:r>
          </w:p>
        </w:tc>
        <w:tc>
          <w:tcPr>
            <w:tcW w:w="3546" w:type="dxa"/>
            <w:vAlign w:val="center"/>
          </w:tcPr>
          <w:p w14:paraId="40FC86F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b/>
                <w:bCs/>
                <w:color w:val="auto"/>
                <w:sz w:val="24"/>
                <w:highlight w:val="none"/>
              </w:rPr>
            </w:pPr>
            <w:r>
              <w:rPr>
                <w:rFonts w:hint="eastAsia" w:ascii="仿宋_GB2312" w:hAnsi="仿宋" w:eastAsia="仿宋_GB2312"/>
                <w:b/>
                <w:bCs/>
                <w:color w:val="auto"/>
                <w:sz w:val="24"/>
                <w:highlight w:val="none"/>
                <w:lang w:eastAsia="zh-CN"/>
              </w:rPr>
              <w:t>响应</w:t>
            </w:r>
            <w:r>
              <w:rPr>
                <w:rFonts w:hint="eastAsia" w:ascii="仿宋_GB2312" w:hAnsi="仿宋" w:eastAsia="仿宋_GB2312"/>
                <w:b/>
                <w:bCs/>
                <w:color w:val="auto"/>
                <w:sz w:val="24"/>
                <w:highlight w:val="none"/>
              </w:rPr>
              <w:t>文件章节及具体内容</w:t>
            </w:r>
          </w:p>
        </w:tc>
        <w:tc>
          <w:tcPr>
            <w:tcW w:w="1276" w:type="dxa"/>
            <w:vAlign w:val="center"/>
          </w:tcPr>
          <w:p w14:paraId="6403D88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偏离说明</w:t>
            </w:r>
          </w:p>
        </w:tc>
      </w:tr>
      <w:tr w14:paraId="4885F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76AFE83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1</w:t>
            </w:r>
          </w:p>
        </w:tc>
        <w:tc>
          <w:tcPr>
            <w:tcW w:w="3683" w:type="dxa"/>
            <w:vAlign w:val="center"/>
          </w:tcPr>
          <w:p w14:paraId="30E27DE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cs="仿宋_GB2312"/>
                <w:b/>
                <w:color w:val="auto"/>
                <w:kern w:val="0"/>
                <w:sz w:val="32"/>
                <w:szCs w:val="32"/>
                <w:highlight w:val="none"/>
              </w:rPr>
            </w:pPr>
          </w:p>
        </w:tc>
        <w:tc>
          <w:tcPr>
            <w:tcW w:w="3546" w:type="dxa"/>
            <w:vAlign w:val="center"/>
          </w:tcPr>
          <w:p w14:paraId="2480FDB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cs="仿宋_GB2312"/>
                <w:b/>
                <w:color w:val="auto"/>
                <w:kern w:val="0"/>
                <w:sz w:val="32"/>
                <w:szCs w:val="32"/>
                <w:highlight w:val="none"/>
              </w:rPr>
            </w:pPr>
          </w:p>
        </w:tc>
        <w:tc>
          <w:tcPr>
            <w:tcW w:w="1276" w:type="dxa"/>
            <w:vAlign w:val="center"/>
          </w:tcPr>
          <w:p w14:paraId="46182C4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cs="仿宋_GB2312"/>
                <w:b/>
                <w:color w:val="auto"/>
                <w:kern w:val="0"/>
                <w:sz w:val="32"/>
                <w:szCs w:val="32"/>
                <w:highlight w:val="none"/>
              </w:rPr>
            </w:pPr>
          </w:p>
        </w:tc>
      </w:tr>
      <w:tr w14:paraId="71B6B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3BA4266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2</w:t>
            </w:r>
          </w:p>
        </w:tc>
        <w:tc>
          <w:tcPr>
            <w:tcW w:w="3683" w:type="dxa"/>
            <w:vAlign w:val="center"/>
          </w:tcPr>
          <w:p w14:paraId="0B1D60B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cs="仿宋_GB2312"/>
                <w:b/>
                <w:color w:val="auto"/>
                <w:kern w:val="0"/>
                <w:sz w:val="32"/>
                <w:szCs w:val="32"/>
                <w:highlight w:val="none"/>
              </w:rPr>
            </w:pPr>
          </w:p>
        </w:tc>
        <w:tc>
          <w:tcPr>
            <w:tcW w:w="3546" w:type="dxa"/>
            <w:vAlign w:val="center"/>
          </w:tcPr>
          <w:p w14:paraId="3186093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cs="仿宋_GB2312"/>
                <w:b/>
                <w:color w:val="auto"/>
                <w:kern w:val="0"/>
                <w:sz w:val="32"/>
                <w:szCs w:val="32"/>
                <w:highlight w:val="none"/>
              </w:rPr>
            </w:pPr>
          </w:p>
        </w:tc>
        <w:tc>
          <w:tcPr>
            <w:tcW w:w="1276" w:type="dxa"/>
            <w:vAlign w:val="center"/>
          </w:tcPr>
          <w:p w14:paraId="51EB9E5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cs="仿宋_GB2312"/>
                <w:b/>
                <w:color w:val="auto"/>
                <w:kern w:val="0"/>
                <w:sz w:val="32"/>
                <w:szCs w:val="32"/>
                <w:highlight w:val="none"/>
              </w:rPr>
            </w:pPr>
          </w:p>
        </w:tc>
      </w:tr>
      <w:tr w14:paraId="0B3BA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59" w:type="dxa"/>
            <w:vAlign w:val="center"/>
          </w:tcPr>
          <w:p w14:paraId="58C4389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w:t>
            </w:r>
          </w:p>
        </w:tc>
        <w:tc>
          <w:tcPr>
            <w:tcW w:w="3683" w:type="dxa"/>
            <w:vAlign w:val="center"/>
          </w:tcPr>
          <w:p w14:paraId="6D9C107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cs="仿宋_GB2312"/>
                <w:b/>
                <w:color w:val="auto"/>
                <w:kern w:val="0"/>
                <w:sz w:val="32"/>
                <w:szCs w:val="32"/>
                <w:highlight w:val="none"/>
              </w:rPr>
            </w:pPr>
          </w:p>
        </w:tc>
        <w:tc>
          <w:tcPr>
            <w:tcW w:w="3546" w:type="dxa"/>
            <w:vAlign w:val="center"/>
          </w:tcPr>
          <w:p w14:paraId="29C51B1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cs="仿宋_GB2312"/>
                <w:b/>
                <w:color w:val="auto"/>
                <w:kern w:val="0"/>
                <w:sz w:val="32"/>
                <w:szCs w:val="32"/>
                <w:highlight w:val="none"/>
              </w:rPr>
            </w:pPr>
          </w:p>
        </w:tc>
        <w:tc>
          <w:tcPr>
            <w:tcW w:w="1276" w:type="dxa"/>
            <w:vAlign w:val="center"/>
          </w:tcPr>
          <w:p w14:paraId="2F1256F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ascii="仿宋_GB2312" w:hAnsi="仿宋" w:eastAsia="仿宋_GB2312" w:cs="仿宋_GB2312"/>
                <w:b/>
                <w:color w:val="auto"/>
                <w:kern w:val="0"/>
                <w:sz w:val="32"/>
                <w:szCs w:val="32"/>
                <w:highlight w:val="none"/>
              </w:rPr>
            </w:pPr>
          </w:p>
        </w:tc>
      </w:tr>
    </w:tbl>
    <w:p w14:paraId="2721F05D">
      <w:pPr>
        <w:keepNext w:val="0"/>
        <w:keepLines w:val="0"/>
        <w:pageBreakBefore w:val="0"/>
        <w:widowControl w:val="0"/>
        <w:kinsoku/>
        <w:wordWrap/>
        <w:overflowPunct/>
        <w:topLinePunct w:val="0"/>
        <w:bidi w:val="0"/>
        <w:adjustRightInd w:val="0"/>
        <w:jc w:val="left"/>
        <w:textAlignment w:val="auto"/>
        <w:outlineLvl w:val="9"/>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eastAsia="zh-CN"/>
        </w:rPr>
        <w:t>供应商</w:t>
      </w:r>
      <w:r>
        <w:rPr>
          <w:rFonts w:hint="eastAsia" w:ascii="仿宋_GB2312" w:hAnsi="仿宋" w:eastAsia="仿宋_GB2312" w:cs="仿宋_GB2312"/>
          <w:color w:val="auto"/>
          <w:kern w:val="0"/>
          <w:sz w:val="24"/>
          <w:highlight w:val="none"/>
        </w:rPr>
        <w:t>保证：除商务技术偏离表列出的偏离外，</w:t>
      </w:r>
      <w:r>
        <w:rPr>
          <w:rFonts w:hint="eastAsia" w:ascii="仿宋_GB2312" w:hAnsi="仿宋" w:eastAsia="仿宋_GB2312" w:cs="仿宋_GB2312"/>
          <w:color w:val="auto"/>
          <w:kern w:val="0"/>
          <w:sz w:val="24"/>
          <w:highlight w:val="none"/>
          <w:lang w:eastAsia="zh-CN"/>
        </w:rPr>
        <w:t>供应商</w:t>
      </w:r>
      <w:r>
        <w:rPr>
          <w:rFonts w:hint="eastAsia" w:ascii="仿宋_GB2312" w:hAnsi="仿宋" w:eastAsia="仿宋_GB2312" w:cs="仿宋_GB2312"/>
          <w:color w:val="auto"/>
          <w:kern w:val="0"/>
          <w:sz w:val="24"/>
          <w:highlight w:val="none"/>
        </w:rPr>
        <w:t>响应</w:t>
      </w:r>
      <w:r>
        <w:rPr>
          <w:rFonts w:hint="eastAsia" w:ascii="仿宋_GB2312" w:hAnsi="仿宋" w:eastAsia="仿宋_GB2312" w:cs="仿宋_GB2312"/>
          <w:color w:val="auto"/>
          <w:kern w:val="0"/>
          <w:sz w:val="24"/>
          <w:highlight w:val="none"/>
          <w:lang w:eastAsia="zh-CN"/>
        </w:rPr>
        <w:t>磋商</w:t>
      </w:r>
      <w:r>
        <w:rPr>
          <w:rFonts w:hint="eastAsia" w:ascii="仿宋_GB2312" w:hAnsi="仿宋" w:eastAsia="仿宋_GB2312" w:cs="仿宋_GB2312"/>
          <w:color w:val="auto"/>
          <w:kern w:val="0"/>
          <w:sz w:val="24"/>
          <w:highlight w:val="none"/>
        </w:rPr>
        <w:t>文件的全部要求</w:t>
      </w:r>
    </w:p>
    <w:p w14:paraId="7A520942">
      <w:pPr>
        <w:keepNext w:val="0"/>
        <w:keepLines w:val="0"/>
        <w:pageBreakBefore w:val="0"/>
        <w:widowControl w:val="0"/>
        <w:kinsoku/>
        <w:wordWrap/>
        <w:overflowPunct/>
        <w:topLinePunct w:val="0"/>
        <w:autoSpaceDE w:val="0"/>
        <w:autoSpaceDN w:val="0"/>
        <w:bidi w:val="0"/>
        <w:adjustRightInd w:val="0"/>
        <w:spacing w:line="360" w:lineRule="auto"/>
        <w:textAlignment w:val="auto"/>
        <w:outlineLvl w:val="9"/>
        <w:rPr>
          <w:rFonts w:ascii="仿宋_GB2312" w:hAnsi="仿宋_GB2312" w:eastAsia="仿宋_GB2312" w:cs="仿宋_GB2312"/>
          <w:color w:val="auto"/>
          <w:kern w:val="0"/>
          <w:sz w:val="24"/>
          <w:highlight w:val="none"/>
        </w:rPr>
      </w:pPr>
    </w:p>
    <w:p w14:paraId="06485821">
      <w:pPr>
        <w:keepNext w:val="0"/>
        <w:keepLines w:val="0"/>
        <w:pageBreakBefore w:val="0"/>
        <w:widowControl w:val="0"/>
        <w:kinsoku/>
        <w:wordWrap/>
        <w:overflowPunct/>
        <w:topLinePunct w:val="0"/>
        <w:autoSpaceDE w:val="0"/>
        <w:autoSpaceDN w:val="0"/>
        <w:bidi w:val="0"/>
        <w:adjustRightInd w:val="0"/>
        <w:spacing w:line="360" w:lineRule="auto"/>
        <w:ind w:firstLine="4560" w:firstLineChars="1900"/>
        <w:textAlignment w:val="auto"/>
        <w:outlineLvl w:val="9"/>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供应商名称（</w:t>
      </w:r>
      <w:r>
        <w:rPr>
          <w:rFonts w:hint="eastAsia" w:ascii="仿宋_GB2312" w:hAnsi="仿宋" w:eastAsia="仿宋_GB2312" w:cs="仿宋_GB2312"/>
          <w:color w:val="auto"/>
          <w:kern w:val="0"/>
          <w:sz w:val="24"/>
          <w:highlight w:val="none"/>
          <w:lang w:val="zh-CN"/>
        </w:rPr>
        <w:t>电子签名</w:t>
      </w:r>
      <w:r>
        <w:rPr>
          <w:rFonts w:hint="eastAsia" w:ascii="仿宋_GB2312" w:hAnsi="仿宋_GB2312" w:eastAsia="仿宋_GB2312" w:cs="仿宋_GB2312"/>
          <w:color w:val="auto"/>
          <w:kern w:val="0"/>
          <w:sz w:val="24"/>
          <w:highlight w:val="none"/>
        </w:rPr>
        <w:t xml:space="preserve">）：                       </w:t>
      </w:r>
    </w:p>
    <w:p w14:paraId="3ECF2C33">
      <w:pPr>
        <w:keepNext w:val="0"/>
        <w:keepLines w:val="0"/>
        <w:pageBreakBefore w:val="0"/>
        <w:widowControl w:val="0"/>
        <w:kinsoku/>
        <w:wordWrap/>
        <w:overflowPunct/>
        <w:topLinePunct w:val="0"/>
        <w:bidi w:val="0"/>
        <w:adjustRightInd w:val="0"/>
        <w:spacing w:line="360" w:lineRule="auto"/>
        <w:textAlignment w:val="auto"/>
        <w:outlineLvl w:val="9"/>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kern w:val="0"/>
          <w:sz w:val="24"/>
          <w:highlight w:val="none"/>
        </w:rPr>
        <w:t xml:space="preserve">                                      日期：  年  月   日</w:t>
      </w:r>
    </w:p>
    <w:p w14:paraId="5F5EF857">
      <w:pPr>
        <w:keepNext w:val="0"/>
        <w:keepLines w:val="0"/>
        <w:pageBreakBefore w:val="0"/>
        <w:widowControl w:val="0"/>
        <w:kinsoku/>
        <w:wordWrap/>
        <w:overflowPunct/>
        <w:topLinePunct w:val="0"/>
        <w:bidi w:val="0"/>
        <w:adjustRightInd w:val="0"/>
        <w:spacing w:line="360" w:lineRule="auto"/>
        <w:jc w:val="center"/>
        <w:textAlignment w:val="auto"/>
        <w:outlineLvl w:val="9"/>
        <w:rPr>
          <w:rFonts w:ascii="仿宋_GB2312" w:hAnsi="仿宋_GB2312" w:eastAsia="仿宋_GB2312" w:cs="仿宋_GB2312"/>
          <w:b/>
          <w:bCs/>
          <w:color w:val="auto"/>
          <w:sz w:val="32"/>
          <w:szCs w:val="32"/>
          <w:highlight w:val="none"/>
        </w:rPr>
      </w:pPr>
    </w:p>
    <w:p w14:paraId="54298AEB">
      <w:pPr>
        <w:keepNext w:val="0"/>
        <w:keepLines w:val="0"/>
        <w:pageBreakBefore w:val="0"/>
        <w:widowControl w:val="0"/>
        <w:tabs>
          <w:tab w:val="left" w:pos="2790"/>
          <w:tab w:val="left" w:pos="4230"/>
        </w:tabs>
        <w:kinsoku/>
        <w:wordWrap/>
        <w:overflowPunct/>
        <w:topLinePunct w:val="0"/>
        <w:autoSpaceDE w:val="0"/>
        <w:autoSpaceDN w:val="0"/>
        <w:bidi w:val="0"/>
        <w:adjustRightInd w:val="0"/>
        <w:spacing w:line="360" w:lineRule="auto"/>
        <w:ind w:right="1400"/>
        <w:jc w:val="center"/>
        <w:textAlignment w:val="auto"/>
        <w:outlineLvl w:val="9"/>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 xml:space="preserve">       </w:t>
      </w:r>
    </w:p>
    <w:p w14:paraId="69EEF20B">
      <w:pPr>
        <w:keepNext w:val="0"/>
        <w:keepLines w:val="0"/>
        <w:pageBreakBefore w:val="0"/>
        <w:widowControl w:val="0"/>
        <w:kinsoku/>
        <w:wordWrap/>
        <w:overflowPunct/>
        <w:topLinePunct w:val="0"/>
        <w:bidi w:val="0"/>
        <w:adjustRightInd w:val="0"/>
        <w:textAlignment w:val="auto"/>
        <w:outlineLvl w:val="9"/>
        <w:rPr>
          <w:rFonts w:hint="eastAsia"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br w:type="page"/>
      </w:r>
    </w:p>
    <w:p w14:paraId="2946E0E9">
      <w:pPr>
        <w:keepNext w:val="0"/>
        <w:keepLines w:val="0"/>
        <w:pageBreakBefore w:val="0"/>
        <w:widowControl w:val="0"/>
        <w:kinsoku/>
        <w:wordWrap/>
        <w:overflowPunct/>
        <w:topLinePunct w:val="0"/>
        <w:bidi w:val="0"/>
        <w:adjustRightInd w:val="0"/>
        <w:snapToGrid w:val="0"/>
        <w:spacing w:line="360" w:lineRule="auto"/>
        <w:jc w:val="center"/>
        <w:textAlignment w:val="auto"/>
        <w:outlineLvl w:val="9"/>
        <w:rPr>
          <w:rFonts w:hint="eastAsia"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八、政府采购供应商廉洁自律承诺书</w:t>
      </w:r>
    </w:p>
    <w:p w14:paraId="2692C596">
      <w:pPr>
        <w:snapToGrid w:val="0"/>
        <w:spacing w:line="360" w:lineRule="auto"/>
        <w:rPr>
          <w:rFonts w:ascii="仿宋_GB2312" w:hAnsi="仿宋" w:eastAsia="仿宋_GB2312" w:cs="仿宋_GB2312"/>
          <w:color w:val="auto"/>
          <w:sz w:val="24"/>
          <w:highlight w:val="none"/>
        </w:rPr>
      </w:pPr>
    </w:p>
    <w:p w14:paraId="0744B70C">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u w:val="single"/>
        </w:rPr>
        <w:t>（采购人）、（采购代理机构）</w:t>
      </w:r>
      <w:r>
        <w:rPr>
          <w:rFonts w:hint="eastAsia" w:ascii="仿宋_GB2312" w:hAnsi="仿宋" w:eastAsia="仿宋_GB2312" w:cs="仿宋_GB2312"/>
          <w:color w:val="auto"/>
          <w:kern w:val="0"/>
          <w:sz w:val="24"/>
          <w:highlight w:val="none"/>
          <w:lang w:val="zh-CN"/>
        </w:rPr>
        <w:t>：</w:t>
      </w:r>
    </w:p>
    <w:p w14:paraId="19D246E9">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我单位响应你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项目采购要求参加响应。在这次响应过程中和成交后，我们将严格遵守国家法律法规要求，并郑重承诺：</w:t>
      </w:r>
    </w:p>
    <w:p w14:paraId="64A824A9">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一、不向项目有关人员及部门赠送礼金礼物、有价证券、回扣以及中介费、介绍费、咨询费等好处费；</w:t>
      </w:r>
      <w:r>
        <w:rPr>
          <w:rFonts w:ascii="仿宋_GB2312" w:hAnsi="仿宋_GB2312" w:eastAsia="仿宋_GB2312" w:cs="仿宋_GB2312"/>
          <w:color w:val="auto"/>
          <w:kern w:val="0"/>
          <w:sz w:val="24"/>
          <w:highlight w:val="none"/>
          <w:lang w:val="zh-CN"/>
        </w:rPr>
        <w:t xml:space="preserve"> </w:t>
      </w:r>
    </w:p>
    <w:p w14:paraId="00464485">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二、不为项目有关人员及部门报销应由你方单位或个人支付的费用；</w:t>
      </w:r>
      <w:r>
        <w:rPr>
          <w:rFonts w:ascii="仿宋_GB2312" w:hAnsi="仿宋_GB2312" w:eastAsia="仿宋_GB2312" w:cs="仿宋_GB2312"/>
          <w:color w:val="auto"/>
          <w:kern w:val="0"/>
          <w:sz w:val="24"/>
          <w:highlight w:val="none"/>
          <w:lang w:val="zh-CN"/>
        </w:rPr>
        <w:t xml:space="preserve"> </w:t>
      </w:r>
    </w:p>
    <w:p w14:paraId="1F2401D2">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三、不向项目有关人员及部门提供有可能影响公正的宴请和健身娱乐等活动；</w:t>
      </w:r>
      <w:r>
        <w:rPr>
          <w:rFonts w:ascii="仿宋_GB2312" w:hAnsi="仿宋_GB2312" w:eastAsia="仿宋_GB2312" w:cs="仿宋_GB2312"/>
          <w:color w:val="auto"/>
          <w:kern w:val="0"/>
          <w:sz w:val="24"/>
          <w:highlight w:val="none"/>
          <w:lang w:val="zh-CN"/>
        </w:rPr>
        <w:t xml:space="preserve"> </w:t>
      </w:r>
    </w:p>
    <w:p w14:paraId="695E7EA4">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四、不为项目有关人员及部门出国（境）、旅游等提供方便；</w:t>
      </w:r>
    </w:p>
    <w:p w14:paraId="3C6922B1">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五、不为项目有关人员个人装修住房、婚丧嫁娶、配偶子女工作安排等提供好处；</w:t>
      </w:r>
    </w:p>
    <w:p w14:paraId="46F40F17">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六、严格遵守《</w:t>
      </w:r>
      <w:r>
        <w:rPr>
          <w:rFonts w:hint="eastAsia" w:ascii="仿宋_GB2312" w:hAnsi="楷体" w:eastAsia="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政府采购法》《</w:t>
      </w:r>
      <w:r>
        <w:rPr>
          <w:rFonts w:hint="eastAsia" w:ascii="仿宋_GB2312" w:hAnsi="楷体" w:eastAsia="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招标投标法》</w:t>
      </w:r>
      <w:r>
        <w:rPr>
          <w:rFonts w:hint="eastAsia" w:ascii="仿宋_GB2312" w:hAnsi="楷体" w:eastAsia="仿宋_GB2312"/>
          <w:color w:val="auto"/>
          <w:sz w:val="24"/>
          <w:highlight w:val="none"/>
          <w:lang w:val="zh-CN"/>
        </w:rPr>
        <w:t>《中华人民共和国民法典》</w:t>
      </w:r>
      <w:r>
        <w:rPr>
          <w:rFonts w:hint="eastAsia" w:ascii="仿宋_GB2312" w:hAnsi="仿宋_GB2312" w:eastAsia="仿宋_GB2312" w:cs="仿宋_GB2312"/>
          <w:color w:val="auto"/>
          <w:kern w:val="0"/>
          <w:sz w:val="24"/>
          <w:highlight w:val="none"/>
          <w:lang w:val="zh-CN"/>
        </w:rPr>
        <w:t>等法律法规，诚实守信，合法经营，坚决抵制各种违法违纪行为。</w:t>
      </w:r>
      <w:r>
        <w:rPr>
          <w:rFonts w:ascii="仿宋_GB2312" w:hAnsi="仿宋_GB2312" w:eastAsia="仿宋_GB2312" w:cs="仿宋_GB2312"/>
          <w:color w:val="auto"/>
          <w:kern w:val="0"/>
          <w:sz w:val="24"/>
          <w:highlight w:val="none"/>
          <w:lang w:val="zh-CN"/>
        </w:rPr>
        <w:t xml:space="preserve"> </w:t>
      </w:r>
    </w:p>
    <w:p w14:paraId="73294EB4">
      <w:pPr>
        <w:keepNext w:val="0"/>
        <w:keepLines w:val="0"/>
        <w:pageBreakBefore w:val="0"/>
        <w:widowControl w:val="0"/>
        <w:kinsoku/>
        <w:wordWrap/>
        <w:overflowPunct/>
        <w:topLinePunct w:val="0"/>
        <w:autoSpaceDE w:val="0"/>
        <w:autoSpaceDN w:val="0"/>
        <w:bidi w:val="0"/>
        <w:adjustRightInd w:val="0"/>
        <w:snapToGrid/>
        <w:spacing w:line="360" w:lineRule="auto"/>
        <w:ind w:left="0" w:leftChars="0" w:firstLine="480" w:firstLineChars="200"/>
        <w:jc w:val="left"/>
        <w:textAlignment w:val="auto"/>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如违反上述承诺，你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有权立即取消我单位响应、成交或在建项目的建设资格，有权拒绝我单位在一定时期内进入你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进行项目建设或其他经营活动，并通报</w:t>
      </w:r>
      <w:r>
        <w:rPr>
          <w:rFonts w:hint="eastAsia" w:ascii="仿宋_GB2312" w:hAnsi="仿宋_GB2312" w:eastAsia="仿宋_GB2312" w:cs="仿宋_GB2312"/>
          <w:color w:val="auto"/>
          <w:kern w:val="0"/>
          <w:sz w:val="24"/>
          <w:highlight w:val="none"/>
          <w:lang w:val="en-US" w:eastAsia="zh-CN"/>
        </w:rPr>
        <w:t>监管部门</w:t>
      </w:r>
      <w:r>
        <w:rPr>
          <w:rFonts w:hint="eastAsia" w:ascii="仿宋_GB2312" w:hAnsi="仿宋_GB2312" w:eastAsia="仿宋_GB2312" w:cs="仿宋_GB2312"/>
          <w:color w:val="auto"/>
          <w:kern w:val="0"/>
          <w:sz w:val="24"/>
          <w:highlight w:val="none"/>
          <w:lang w:val="zh-CN"/>
        </w:rPr>
        <w:t>。由此引起的相应损失均由我单位承担。</w:t>
      </w:r>
    </w:p>
    <w:p w14:paraId="71F57001">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14:paraId="68D004D7">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14:paraId="5E8EB496">
      <w:pPr>
        <w:autoSpaceDE w:val="0"/>
        <w:autoSpaceDN w:val="0"/>
        <w:spacing w:line="360" w:lineRule="auto"/>
        <w:ind w:firstLine="5040" w:firstLineChars="2100"/>
        <w:jc w:val="left"/>
        <w:rPr>
          <w:rFonts w:ascii="仿宋_GB2312" w:hAnsi="仿宋"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供应商</w:t>
      </w:r>
      <w:r>
        <w:rPr>
          <w:rFonts w:hint="eastAsia" w:ascii="仿宋_GB2312" w:hAnsi="仿宋" w:eastAsia="仿宋_GB2312" w:cs="仿宋_GB2312"/>
          <w:color w:val="auto"/>
          <w:kern w:val="0"/>
          <w:sz w:val="24"/>
          <w:highlight w:val="none"/>
          <w:lang w:val="zh-CN"/>
        </w:rPr>
        <w:t>名称（电子签名）：</w:t>
      </w:r>
    </w:p>
    <w:p w14:paraId="0F56F869">
      <w:pPr>
        <w:autoSpaceDE w:val="0"/>
        <w:autoSpaceDN w:val="0"/>
        <w:spacing w:line="360" w:lineRule="auto"/>
        <w:ind w:right="960"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日期：  年  月   日</w:t>
      </w:r>
    </w:p>
    <w:p w14:paraId="7A7F4435">
      <w:pPr>
        <w:tabs>
          <w:tab w:val="left" w:pos="0"/>
        </w:tabs>
        <w:autoSpaceDE w:val="0"/>
        <w:autoSpaceDN w:val="0"/>
        <w:spacing w:line="360" w:lineRule="auto"/>
        <w:ind w:firstLine="2409" w:firstLineChars="800"/>
        <w:rPr>
          <w:rFonts w:ascii="仿宋_GB2312" w:hAnsi="仿宋" w:eastAsia="仿宋_GB2312" w:cs="仿宋_GB2312"/>
          <w:b/>
          <w:bCs/>
          <w:color w:val="auto"/>
          <w:sz w:val="30"/>
          <w:szCs w:val="30"/>
          <w:highlight w:val="none"/>
        </w:rPr>
      </w:pPr>
    </w:p>
    <w:p w14:paraId="1304F9F3">
      <w:pPr>
        <w:tabs>
          <w:tab w:val="left" w:pos="0"/>
        </w:tabs>
        <w:autoSpaceDE w:val="0"/>
        <w:autoSpaceDN w:val="0"/>
        <w:spacing w:line="360" w:lineRule="auto"/>
        <w:ind w:firstLine="2409" w:firstLineChars="800"/>
        <w:rPr>
          <w:rFonts w:ascii="仿宋_GB2312" w:hAnsi="仿宋" w:eastAsia="仿宋_GB2312" w:cs="仿宋_GB2312"/>
          <w:b/>
          <w:bCs/>
          <w:color w:val="auto"/>
          <w:sz w:val="30"/>
          <w:szCs w:val="30"/>
          <w:highlight w:val="none"/>
        </w:rPr>
      </w:pPr>
    </w:p>
    <w:p w14:paraId="12639A34">
      <w:pPr>
        <w:tabs>
          <w:tab w:val="left" w:pos="0"/>
        </w:tabs>
        <w:autoSpaceDE w:val="0"/>
        <w:autoSpaceDN w:val="0"/>
        <w:spacing w:line="360" w:lineRule="auto"/>
        <w:jc w:val="center"/>
        <w:rPr>
          <w:rFonts w:ascii="仿宋_GB2312" w:hAnsi="仿宋" w:eastAsia="仿宋_GB2312" w:cs="仿宋_GB2312"/>
          <w:b/>
          <w:bCs/>
          <w:color w:val="auto"/>
          <w:sz w:val="30"/>
          <w:szCs w:val="30"/>
          <w:highlight w:val="none"/>
        </w:rPr>
      </w:pPr>
    </w:p>
    <w:p w14:paraId="1EA3254B">
      <w:pPr>
        <w:widowControl/>
        <w:adjustRightInd/>
        <w:jc w:val="left"/>
        <w:rPr>
          <w:rFonts w:ascii="仿宋_GB2312" w:hAnsi="仿宋" w:eastAsia="仿宋_GB2312" w:cs="仿宋_GB2312"/>
          <w:b/>
          <w:bCs/>
          <w:color w:val="auto"/>
          <w:sz w:val="30"/>
          <w:szCs w:val="30"/>
          <w:highlight w:val="none"/>
        </w:rPr>
      </w:pPr>
      <w:r>
        <w:rPr>
          <w:rFonts w:ascii="仿宋_GB2312" w:hAnsi="仿宋" w:eastAsia="仿宋_GB2312" w:cs="仿宋_GB2312"/>
          <w:b/>
          <w:bCs/>
          <w:color w:val="auto"/>
          <w:sz w:val="30"/>
          <w:szCs w:val="30"/>
          <w:highlight w:val="none"/>
        </w:rPr>
        <w:br w:type="page"/>
      </w:r>
    </w:p>
    <w:p w14:paraId="51C1630A">
      <w:pPr>
        <w:spacing w:line="360" w:lineRule="auto"/>
        <w:jc w:val="center"/>
        <w:outlineLvl w:val="1"/>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6D8F9A7A">
      <w:pPr>
        <w:bidi w:val="0"/>
        <w:jc w:val="center"/>
        <w:rPr>
          <w:rFonts w:hint="eastAsia" w:ascii="仿宋" w:hAnsi="仿宋" w:eastAsia="仿宋" w:cs="仿宋"/>
          <w:b/>
          <w:bCs/>
          <w:color w:val="auto"/>
          <w:sz w:val="28"/>
          <w:szCs w:val="28"/>
          <w:highlight w:val="none"/>
        </w:rPr>
      </w:pPr>
    </w:p>
    <w:p w14:paraId="364ACEE8">
      <w:pPr>
        <w:bidi w:val="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目录</w:t>
      </w:r>
    </w:p>
    <w:p w14:paraId="2C059444">
      <w:pPr>
        <w:bidi w:val="0"/>
        <w:rPr>
          <w:color w:val="auto"/>
          <w:highlight w:val="none"/>
        </w:rPr>
      </w:pPr>
    </w:p>
    <w:p w14:paraId="4B245DC8">
      <w:pPr>
        <w:numPr>
          <w:ilvl w:val="0"/>
          <w:numId w:val="38"/>
        </w:numPr>
        <w:snapToGrid w:val="0"/>
        <w:spacing w:line="360" w:lineRule="auto"/>
        <w:ind w:left="425" w:leftChars="0" w:hanging="5" w:firstLineChars="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lang w:eastAsia="zh-CN"/>
        </w:rPr>
        <w:t>初始报价一览表</w:t>
      </w:r>
      <w:r>
        <w:rPr>
          <w:rFonts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lang w:eastAsia="zh-CN"/>
        </w:rPr>
        <w:t>…………</w:t>
      </w:r>
      <w:r>
        <w:rPr>
          <w:rFonts w:hint="eastAsia" w:ascii="仿宋_GB2312" w:hAnsi="仿宋" w:eastAsia="仿宋_GB2312" w:cs="仿宋_GB2312"/>
          <w:color w:val="auto"/>
          <w:sz w:val="24"/>
          <w:highlight w:val="none"/>
        </w:rPr>
        <w:t>…………（页码）</w:t>
      </w:r>
    </w:p>
    <w:p w14:paraId="3794B0CF">
      <w:pPr>
        <w:numPr>
          <w:ilvl w:val="0"/>
          <w:numId w:val="38"/>
        </w:numPr>
        <w:snapToGrid w:val="0"/>
        <w:spacing w:line="360" w:lineRule="auto"/>
        <w:ind w:left="425" w:leftChars="0" w:hanging="5" w:firstLineChars="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中小企业声明函……</w:t>
      </w:r>
      <w:r>
        <w:rPr>
          <w:rFonts w:hint="eastAsia" w:ascii="仿宋_GB2312" w:hAnsi="仿宋" w:eastAsia="仿宋_GB2312" w:cs="仿宋_GB2312"/>
          <w:color w:val="auto"/>
          <w:sz w:val="24"/>
          <w:highlight w:val="none"/>
        </w:rPr>
        <w:t>…………………………………………………………（页码）</w:t>
      </w:r>
    </w:p>
    <w:p w14:paraId="2E9444CC">
      <w:pPr>
        <w:snapToGrid w:val="0"/>
        <w:spacing w:line="360" w:lineRule="auto"/>
        <w:ind w:right="480"/>
        <w:jc w:val="center"/>
        <w:rPr>
          <w:rFonts w:ascii="仿宋_GB2312" w:hAnsi="仿宋" w:eastAsia="仿宋_GB2312" w:cs="仿宋_GB2312"/>
          <w:b/>
          <w:color w:val="auto"/>
          <w:kern w:val="0"/>
          <w:sz w:val="32"/>
          <w:szCs w:val="32"/>
          <w:highlight w:val="none"/>
        </w:rPr>
      </w:pPr>
    </w:p>
    <w:p w14:paraId="7DA45B5D">
      <w:pPr>
        <w:snapToGrid w:val="0"/>
        <w:spacing w:line="360" w:lineRule="auto"/>
        <w:jc w:val="center"/>
        <w:outlineLvl w:val="0"/>
        <w:rPr>
          <w:rFonts w:ascii="仿宋_GB2312" w:hAnsi="仿宋_GB2312" w:eastAsia="仿宋_GB2312" w:cs="仿宋_GB2312"/>
          <w:b/>
          <w:color w:val="auto"/>
          <w:sz w:val="36"/>
          <w:szCs w:val="36"/>
          <w:highlight w:val="none"/>
        </w:rPr>
        <w:sectPr>
          <w:pgSz w:w="11906" w:h="16838"/>
          <w:pgMar w:top="1174" w:right="1418" w:bottom="1151"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r>
        <w:rPr>
          <w:rFonts w:ascii="仿宋_GB2312" w:hAnsi="仿宋_GB2312" w:eastAsia="仿宋_GB2312" w:cs="仿宋_GB2312"/>
          <w:b/>
          <w:color w:val="auto"/>
          <w:sz w:val="36"/>
          <w:szCs w:val="36"/>
          <w:highlight w:val="none"/>
        </w:rPr>
        <w:br w:type="page"/>
      </w:r>
    </w:p>
    <w:p w14:paraId="78FB099B">
      <w:pPr>
        <w:keepNext w:val="0"/>
        <w:keepLines w:val="0"/>
        <w:pageBreakBefore w:val="0"/>
        <w:kinsoku/>
        <w:wordWrap/>
        <w:overflowPunct/>
        <w:topLinePunct w:val="0"/>
        <w:bidi w:val="0"/>
        <w:snapToGrid w:val="0"/>
        <w:spacing w:line="360" w:lineRule="auto"/>
        <w:jc w:val="center"/>
        <w:textAlignment w:val="auto"/>
        <w:outlineLvl w:val="9"/>
        <w:rPr>
          <w:rFonts w:hint="eastAsia"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一、</w:t>
      </w:r>
      <w:r>
        <w:rPr>
          <w:rFonts w:hint="eastAsia" w:ascii="仿宋_GB2312" w:hAnsi="仿宋" w:eastAsia="仿宋_GB2312" w:cs="仿宋_GB2312"/>
          <w:b/>
          <w:color w:val="auto"/>
          <w:kern w:val="0"/>
          <w:sz w:val="32"/>
          <w:szCs w:val="32"/>
          <w:highlight w:val="none"/>
          <w:lang w:eastAsia="zh-CN"/>
        </w:rPr>
        <w:t>初始报价一览表</w:t>
      </w:r>
    </w:p>
    <w:p w14:paraId="5D70CE17">
      <w:pPr>
        <w:keepNext w:val="0"/>
        <w:keepLines w:val="0"/>
        <w:pageBreakBefore w:val="0"/>
        <w:kinsoku/>
        <w:wordWrap/>
        <w:overflowPunct/>
        <w:topLinePunct w:val="0"/>
        <w:bidi w:val="0"/>
        <w:snapToGrid w:val="0"/>
        <w:spacing w:line="360" w:lineRule="auto"/>
        <w:textAlignment w:val="auto"/>
        <w:outlineLvl w:val="9"/>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u w:val="single"/>
        </w:rPr>
        <w:t>（采购人）、（采购代理机构）</w:t>
      </w:r>
      <w:r>
        <w:rPr>
          <w:rFonts w:hint="eastAsia" w:ascii="仿宋_GB2312" w:hAnsi="仿宋" w:eastAsia="仿宋_GB2312" w:cs="仿宋_GB2312"/>
          <w:color w:val="auto"/>
          <w:kern w:val="0"/>
          <w:sz w:val="24"/>
          <w:highlight w:val="none"/>
          <w:lang w:val="zh-CN"/>
        </w:rPr>
        <w:t>：</w:t>
      </w:r>
    </w:p>
    <w:p w14:paraId="02EA96C4">
      <w:pPr>
        <w:keepNext w:val="0"/>
        <w:keepLines w:val="0"/>
        <w:pageBreakBefore w:val="0"/>
        <w:kinsoku/>
        <w:wordWrap/>
        <w:overflowPunct/>
        <w:topLinePunct w:val="0"/>
        <w:bidi w:val="0"/>
        <w:snapToGrid w:val="0"/>
        <w:spacing w:line="360" w:lineRule="auto"/>
        <w:ind w:firstLine="482"/>
        <w:textAlignment w:val="auto"/>
        <w:outlineLvl w:val="9"/>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按你方磋商文件要求，我们，本响应文件签字方，谨此向你方发出要约如下：如你方接受本响应，我方承诺按照如下初始报价一览表的价格完成</w:t>
      </w:r>
      <w:r>
        <w:rPr>
          <w:rFonts w:hint="eastAsia" w:ascii="仿宋_GB2312" w:hAnsi="仿宋" w:eastAsia="仿宋_GB2312" w:cs="仿宋_GB2312"/>
          <w:color w:val="auto"/>
          <w:sz w:val="24"/>
          <w:highlight w:val="none"/>
        </w:rPr>
        <w:t>（项目名称）</w:t>
      </w:r>
      <w:r>
        <w:rPr>
          <w:rFonts w:hint="eastAsia" w:ascii="仿宋_GB2312" w:hAnsi="仿宋" w:eastAsia="仿宋_GB2312" w:cs="仿宋_GB2312"/>
          <w:color w:val="auto"/>
          <w:kern w:val="0"/>
          <w:sz w:val="24"/>
          <w:highlight w:val="none"/>
          <w:lang w:val="zh-CN"/>
        </w:rPr>
        <w:t>【编号：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】的实施</w:t>
      </w:r>
      <w:r>
        <w:rPr>
          <w:rFonts w:hint="eastAsia" w:ascii="仿宋_GB2312" w:hAnsi="仿宋" w:eastAsia="仿宋_GB2312" w:cs="仿宋_GB2312"/>
          <w:color w:val="auto"/>
          <w:kern w:val="0"/>
          <w:sz w:val="24"/>
          <w:highlight w:val="none"/>
          <w:lang w:val="zh-CN"/>
        </w:rPr>
        <w:t>。</w:t>
      </w:r>
    </w:p>
    <w:p w14:paraId="68935032">
      <w:pPr>
        <w:keepNext w:val="0"/>
        <w:keepLines w:val="0"/>
        <w:pageBreakBefore w:val="0"/>
        <w:kinsoku/>
        <w:wordWrap/>
        <w:overflowPunct/>
        <w:topLinePunct w:val="0"/>
        <w:bidi w:val="0"/>
        <w:spacing w:line="360" w:lineRule="auto"/>
        <w:jc w:val="center"/>
        <w:textAlignment w:val="auto"/>
        <w:outlineLvl w:val="9"/>
        <w:rPr>
          <w:rFonts w:hint="eastAsia"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初始报价一览表</w:t>
      </w:r>
    </w:p>
    <w:p w14:paraId="3BB249FC">
      <w:pPr>
        <w:pStyle w:val="24"/>
        <w:keepNext w:val="0"/>
        <w:keepLines w:val="0"/>
        <w:pageBreakBefore w:val="0"/>
        <w:kinsoku/>
        <w:wordWrap/>
        <w:overflowPunct/>
        <w:topLinePunct w:val="0"/>
        <w:bidi w:val="0"/>
        <w:textAlignment w:val="auto"/>
        <w:outlineLvl w:val="9"/>
        <w:rPr>
          <w:rFonts w:hint="eastAsia" w:ascii="仿宋_GB2312" w:hAnsi="仿宋" w:eastAsia="仿宋_GB2312" w:cs="仿宋_GB2312"/>
          <w:b/>
          <w:color w:val="auto"/>
          <w:kern w:val="0"/>
          <w:sz w:val="24"/>
          <w:highlight w:val="none"/>
          <w:lang w:val="zh-CN"/>
        </w:rPr>
      </w:pPr>
    </w:p>
    <w:tbl>
      <w:tblPr>
        <w:tblStyle w:val="60"/>
        <w:tblW w:w="88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64"/>
        <w:gridCol w:w="2877"/>
      </w:tblGrid>
      <w:tr w14:paraId="5129F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5964" w:type="dxa"/>
            <w:tcBorders>
              <w:top w:val="single" w:color="auto" w:sz="4" w:space="0"/>
              <w:left w:val="single" w:color="auto" w:sz="4" w:space="0"/>
              <w:bottom w:val="single" w:color="auto" w:sz="4" w:space="0"/>
              <w:right w:val="single" w:color="auto" w:sz="4" w:space="0"/>
            </w:tcBorders>
            <w:noWrap w:val="0"/>
            <w:vAlign w:val="center"/>
          </w:tcPr>
          <w:p w14:paraId="6EA033FE">
            <w:pPr>
              <w:keepNext w:val="0"/>
              <w:keepLines w:val="0"/>
              <w:pageBreakBefore w:val="0"/>
              <w:kinsoku/>
              <w:wordWrap/>
              <w:overflowPunct/>
              <w:topLinePunct w:val="0"/>
              <w:bidi w:val="0"/>
              <w:adjustRightInd w:val="0"/>
              <w:snapToGrid w:val="0"/>
              <w:jc w:val="center"/>
              <w:textAlignment w:val="auto"/>
              <w:outlineLvl w:val="9"/>
              <w:rPr>
                <w:rFonts w:hint="eastAsia" w:ascii="仿宋" w:hAnsi="仿宋" w:eastAsia="仿宋" w:cs="仿宋"/>
                <w:color w:val="auto"/>
                <w:sz w:val="24"/>
                <w:szCs w:val="24"/>
                <w:highlight w:val="none"/>
                <w:shd w:val="clear" w:color="auto" w:fill="auto"/>
              </w:rPr>
            </w:pPr>
            <w:r>
              <w:rPr>
                <w:rFonts w:hint="eastAsia" w:ascii="仿宋" w:hAnsi="仿宋" w:eastAsia="仿宋" w:cs="仿宋"/>
                <w:snapToGrid w:val="0"/>
                <w:color w:val="auto"/>
                <w:kern w:val="0"/>
                <w:sz w:val="24"/>
                <w:szCs w:val="24"/>
                <w:highlight w:val="none"/>
                <w:shd w:val="clear" w:color="auto" w:fill="auto"/>
                <w:lang w:val="en-US" w:eastAsia="zh-CN"/>
              </w:rPr>
              <w:t>内容</w:t>
            </w:r>
          </w:p>
        </w:tc>
        <w:tc>
          <w:tcPr>
            <w:tcW w:w="2877" w:type="dxa"/>
            <w:tcBorders>
              <w:top w:val="single" w:color="auto" w:sz="4" w:space="0"/>
              <w:left w:val="single" w:color="auto" w:sz="4" w:space="0"/>
              <w:bottom w:val="single" w:color="auto" w:sz="4" w:space="0"/>
              <w:right w:val="single" w:color="auto" w:sz="4" w:space="0"/>
            </w:tcBorders>
            <w:noWrap w:val="0"/>
            <w:vAlign w:val="center"/>
          </w:tcPr>
          <w:p w14:paraId="382A43B6">
            <w:pPr>
              <w:keepNext w:val="0"/>
              <w:keepLines w:val="0"/>
              <w:pageBreakBefore w:val="0"/>
              <w:kinsoku/>
              <w:wordWrap/>
              <w:overflowPunct/>
              <w:topLinePunct w:val="0"/>
              <w:bidi w:val="0"/>
              <w:adjustRightInd w:val="0"/>
              <w:snapToGrid w:val="0"/>
              <w:jc w:val="center"/>
              <w:textAlignment w:val="auto"/>
              <w:outlineLvl w:val="9"/>
              <w:rPr>
                <w:rFonts w:hint="eastAsia" w:ascii="仿宋" w:hAnsi="仿宋" w:eastAsia="仿宋" w:cs="仿宋"/>
                <w:color w:val="auto"/>
                <w:sz w:val="24"/>
                <w:szCs w:val="24"/>
                <w:highlight w:val="none"/>
                <w:shd w:val="clear" w:color="auto" w:fill="auto"/>
              </w:rPr>
            </w:pPr>
            <w:r>
              <w:rPr>
                <w:rFonts w:hint="eastAsia" w:ascii="仿宋" w:hAnsi="仿宋" w:eastAsia="仿宋" w:cs="仿宋"/>
                <w:snapToGrid w:val="0"/>
                <w:color w:val="auto"/>
                <w:kern w:val="0"/>
                <w:sz w:val="24"/>
                <w:szCs w:val="24"/>
                <w:highlight w:val="none"/>
                <w:shd w:val="clear" w:color="auto" w:fill="auto"/>
                <w:lang w:val="en-US" w:eastAsia="zh-CN"/>
              </w:rPr>
              <w:t>报价</w:t>
            </w:r>
          </w:p>
        </w:tc>
      </w:tr>
      <w:tr w14:paraId="425B5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5964" w:type="dxa"/>
            <w:tcBorders>
              <w:top w:val="single" w:color="auto" w:sz="4" w:space="0"/>
              <w:left w:val="single" w:color="auto" w:sz="4" w:space="0"/>
              <w:right w:val="single" w:color="auto" w:sz="4" w:space="0"/>
            </w:tcBorders>
            <w:noWrap w:val="0"/>
            <w:vAlign w:val="center"/>
          </w:tcPr>
          <w:p w14:paraId="306F1FAF">
            <w:pPr>
              <w:keepNext w:val="0"/>
              <w:keepLines w:val="0"/>
              <w:pageBreakBefore w:val="0"/>
              <w:kinsoku/>
              <w:wordWrap/>
              <w:overflowPunct/>
              <w:topLinePunct w:val="0"/>
              <w:bidi w:val="0"/>
              <w:adjustRightInd w:val="0"/>
              <w:snapToGrid w:val="0"/>
              <w:jc w:val="center"/>
              <w:textAlignment w:val="auto"/>
              <w:outlineLvl w:val="9"/>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杭州市上城区人民政府复议应诉类法律服务</w:t>
            </w:r>
          </w:p>
        </w:tc>
        <w:tc>
          <w:tcPr>
            <w:tcW w:w="2877" w:type="dxa"/>
            <w:tcBorders>
              <w:top w:val="single" w:color="auto" w:sz="4" w:space="0"/>
              <w:left w:val="single" w:color="auto" w:sz="4" w:space="0"/>
              <w:bottom w:val="single" w:color="auto" w:sz="4" w:space="0"/>
              <w:right w:val="single" w:color="auto" w:sz="4" w:space="0"/>
            </w:tcBorders>
            <w:noWrap w:val="0"/>
            <w:vAlign w:val="center"/>
          </w:tcPr>
          <w:p w14:paraId="127BAA76">
            <w:pPr>
              <w:keepNext w:val="0"/>
              <w:keepLines w:val="0"/>
              <w:pageBreakBefore w:val="0"/>
              <w:kinsoku/>
              <w:wordWrap/>
              <w:overflowPunct/>
              <w:topLinePunct w:val="0"/>
              <w:bidi w:val="0"/>
              <w:adjustRightInd w:val="0"/>
              <w:snapToGrid w:val="0"/>
              <w:jc w:val="center"/>
              <w:textAlignment w:val="auto"/>
              <w:outlineLvl w:val="9"/>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u w:val="single"/>
                <w:shd w:val="clear" w:color="auto" w:fill="auto"/>
                <w:lang w:val="en-US" w:eastAsia="zh-CN"/>
              </w:rPr>
              <w:t xml:space="preserve">        （元/件）</w:t>
            </w:r>
          </w:p>
        </w:tc>
      </w:tr>
    </w:tbl>
    <w:p w14:paraId="26598A2D">
      <w:pPr>
        <w:keepNext w:val="0"/>
        <w:keepLines w:val="0"/>
        <w:pageBreakBefore w:val="0"/>
        <w:widowControl w:val="0"/>
        <w:kinsoku/>
        <w:wordWrap/>
        <w:overflowPunct/>
        <w:topLinePunct w:val="0"/>
        <w:autoSpaceDE/>
        <w:autoSpaceDN/>
        <w:bidi w:val="0"/>
        <w:adjustRightInd w:val="0"/>
        <w:snapToGrid w:val="0"/>
        <w:spacing w:line="360" w:lineRule="auto"/>
        <w:ind w:left="480"/>
        <w:textAlignment w:val="auto"/>
        <w:outlineLvl w:val="9"/>
        <w:rPr>
          <w:rFonts w:ascii="仿宋_GB2312" w:hAnsi="仿宋" w:eastAsia="仿宋_GB2312" w:cs="仿宋_GB2312"/>
          <w:b/>
          <w:color w:val="auto"/>
          <w:kern w:val="0"/>
          <w:sz w:val="21"/>
          <w:szCs w:val="21"/>
          <w:highlight w:val="none"/>
          <w:lang w:val="zh-CN"/>
        </w:rPr>
      </w:pPr>
      <w:r>
        <w:rPr>
          <w:rFonts w:hint="eastAsia" w:ascii="仿宋_GB2312" w:hAnsi="仿宋" w:eastAsia="仿宋_GB2312" w:cs="仿宋_GB2312"/>
          <w:b/>
          <w:color w:val="auto"/>
          <w:kern w:val="0"/>
          <w:sz w:val="21"/>
          <w:szCs w:val="21"/>
          <w:highlight w:val="none"/>
          <w:lang w:val="zh-CN"/>
        </w:rPr>
        <w:t>注：</w:t>
      </w:r>
    </w:p>
    <w:p w14:paraId="404222D6">
      <w:pPr>
        <w:keepNext w:val="0"/>
        <w:keepLines w:val="0"/>
        <w:pageBreakBefore w:val="0"/>
        <w:widowControl w:val="0"/>
        <w:kinsoku/>
        <w:wordWrap/>
        <w:overflowPunct/>
        <w:topLinePunct w:val="0"/>
        <w:autoSpaceDE/>
        <w:autoSpaceDN/>
        <w:bidi w:val="0"/>
        <w:adjustRightInd w:val="0"/>
        <w:snapToGrid w:val="0"/>
        <w:spacing w:line="360" w:lineRule="auto"/>
        <w:ind w:left="-2" w:leftChars="-1" w:firstLine="420" w:firstLineChars="200"/>
        <w:textAlignment w:val="auto"/>
        <w:outlineLvl w:val="9"/>
        <w:rPr>
          <w:rFonts w:ascii="仿宋_GB2312" w:hAnsi="仿宋" w:eastAsia="仿宋_GB2312" w:cs="仿宋_GB2312"/>
          <w:color w:val="auto"/>
          <w:kern w:val="0"/>
          <w:sz w:val="21"/>
          <w:szCs w:val="21"/>
          <w:highlight w:val="none"/>
          <w:lang w:val="zh-CN"/>
        </w:rPr>
      </w:pPr>
      <w:r>
        <w:rPr>
          <w:rFonts w:ascii="仿宋_GB2312" w:hAnsi="仿宋" w:eastAsia="仿宋_GB2312" w:cs="仿宋_GB2312"/>
          <w:color w:val="auto"/>
          <w:kern w:val="0"/>
          <w:sz w:val="21"/>
          <w:szCs w:val="21"/>
          <w:highlight w:val="none"/>
          <w:lang w:val="zh-CN"/>
        </w:rPr>
        <w:t>1、</w:t>
      </w:r>
      <w:r>
        <w:rPr>
          <w:rFonts w:hint="eastAsia" w:ascii="仿宋_GB2312" w:hAnsi="仿宋" w:eastAsia="仿宋_GB2312" w:cs="仿宋_GB2312"/>
          <w:color w:val="auto"/>
          <w:kern w:val="0"/>
          <w:sz w:val="21"/>
          <w:szCs w:val="21"/>
          <w:highlight w:val="none"/>
          <w:lang w:val="zh-CN"/>
        </w:rPr>
        <w:t>供应商需按本表格式填写。</w:t>
      </w:r>
    </w:p>
    <w:p w14:paraId="2F370F03">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outlineLvl w:val="9"/>
        <w:rPr>
          <w:rFonts w:ascii="仿宋_GB2312" w:hAnsi="仿宋" w:eastAsia="仿宋_GB2312" w:cs="仿宋_GB2312"/>
          <w:color w:val="auto"/>
          <w:kern w:val="0"/>
          <w:sz w:val="21"/>
          <w:szCs w:val="21"/>
          <w:highlight w:val="none"/>
          <w:lang w:val="zh-CN"/>
        </w:rPr>
      </w:pPr>
      <w:r>
        <w:rPr>
          <w:rFonts w:ascii="仿宋_GB2312" w:hAnsi="仿宋" w:eastAsia="仿宋_GB2312" w:cs="仿宋_GB2312"/>
          <w:color w:val="auto"/>
          <w:kern w:val="0"/>
          <w:sz w:val="21"/>
          <w:szCs w:val="21"/>
          <w:highlight w:val="none"/>
          <w:lang w:val="zh-CN"/>
        </w:rPr>
        <w:t>2、有关本项目实施所涉及的一切费用均计入报价。</w:t>
      </w:r>
      <w:r>
        <w:rPr>
          <w:rFonts w:hint="eastAsia" w:ascii="仿宋_GB2312" w:hAnsi="仿宋" w:eastAsia="仿宋_GB2312" w:cs="仿宋_GB2312"/>
          <w:b/>
          <w:color w:val="auto"/>
          <w:kern w:val="0"/>
          <w:sz w:val="21"/>
          <w:szCs w:val="21"/>
          <w:highlight w:val="none"/>
          <w:lang w:val="zh-CN"/>
        </w:rPr>
        <w:t>采购人将以合同形式有偿取得服务，不接受供应商给予的赠品、回扣或者与采购无关的其他商品、服务</w:t>
      </w:r>
      <w:r>
        <w:rPr>
          <w:rFonts w:hint="eastAsia" w:ascii="仿宋_GB2312" w:hAnsi="仿宋" w:eastAsia="仿宋_GB2312" w:cs="仿宋_GB2312"/>
          <w:color w:val="auto"/>
          <w:kern w:val="0"/>
          <w:sz w:val="21"/>
          <w:szCs w:val="21"/>
          <w:highlight w:val="none"/>
          <w:lang w:val="zh-CN"/>
        </w:rPr>
        <w:t>，</w:t>
      </w:r>
      <w:r>
        <w:rPr>
          <w:rFonts w:hint="eastAsia" w:ascii="仿宋_GB2312" w:hAnsi="仿宋" w:eastAsia="仿宋_GB2312" w:cs="仿宋_GB2312"/>
          <w:b/>
          <w:color w:val="auto"/>
          <w:kern w:val="0"/>
          <w:sz w:val="21"/>
          <w:szCs w:val="21"/>
          <w:highlight w:val="none"/>
          <w:lang w:val="zh-CN"/>
        </w:rPr>
        <w:t>不得出现“</w:t>
      </w:r>
      <w:r>
        <w:rPr>
          <w:rFonts w:ascii="仿宋_GB2312" w:hAnsi="仿宋" w:eastAsia="仿宋_GB2312" w:cs="仿宋_GB2312"/>
          <w:b/>
          <w:color w:val="auto"/>
          <w:kern w:val="0"/>
          <w:sz w:val="21"/>
          <w:szCs w:val="21"/>
          <w:highlight w:val="none"/>
          <w:lang w:val="zh-CN"/>
        </w:rPr>
        <w:t>0元”“免费赠送”等形式的无偿报价</w:t>
      </w:r>
      <w:r>
        <w:rPr>
          <w:rFonts w:hint="eastAsia" w:ascii="仿宋_GB2312" w:hAnsi="仿宋" w:eastAsia="仿宋_GB2312" w:cs="仿宋_GB2312"/>
          <w:b/>
          <w:color w:val="auto"/>
          <w:kern w:val="0"/>
          <w:sz w:val="21"/>
          <w:szCs w:val="21"/>
          <w:highlight w:val="none"/>
          <w:lang w:val="zh-CN"/>
        </w:rPr>
        <w:t>，</w:t>
      </w:r>
      <w:r>
        <w:rPr>
          <w:rFonts w:hint="eastAsia" w:ascii="仿宋_GB2312" w:hAnsi="仿宋" w:eastAsia="仿宋_GB2312" w:cs="仿宋_GB2312"/>
          <w:b/>
          <w:color w:val="auto"/>
          <w:kern w:val="0"/>
          <w:sz w:val="21"/>
          <w:szCs w:val="21"/>
          <w:highlight w:val="none"/>
        </w:rPr>
        <w:t>否则视为</w:t>
      </w:r>
      <w:r>
        <w:rPr>
          <w:rFonts w:hint="eastAsia" w:ascii="仿宋_GB2312" w:hAnsi="仿宋" w:eastAsia="仿宋_GB2312"/>
          <w:b/>
          <w:color w:val="auto"/>
          <w:sz w:val="21"/>
          <w:szCs w:val="21"/>
          <w:highlight w:val="none"/>
          <w:lang w:eastAsia="zh-CN"/>
        </w:rPr>
        <w:t>响应</w:t>
      </w:r>
      <w:r>
        <w:rPr>
          <w:rFonts w:hint="eastAsia" w:ascii="仿宋_GB2312" w:hAnsi="仿宋" w:eastAsia="仿宋_GB2312"/>
          <w:b/>
          <w:color w:val="auto"/>
          <w:sz w:val="21"/>
          <w:szCs w:val="21"/>
          <w:highlight w:val="none"/>
        </w:rPr>
        <w:t>文件含有采购人不能接受的附加条件的，</w:t>
      </w:r>
      <w:r>
        <w:rPr>
          <w:rFonts w:hint="eastAsia" w:ascii="仿宋_GB2312" w:hAnsi="仿宋" w:eastAsia="仿宋_GB2312"/>
          <w:b/>
          <w:color w:val="auto"/>
          <w:sz w:val="21"/>
          <w:szCs w:val="21"/>
          <w:highlight w:val="none"/>
          <w:lang w:eastAsia="zh-CN"/>
        </w:rPr>
        <w:t>响应</w:t>
      </w:r>
      <w:r>
        <w:rPr>
          <w:rFonts w:hint="eastAsia" w:ascii="仿宋_GB2312" w:hAnsi="仿宋" w:eastAsia="仿宋_GB2312"/>
          <w:b/>
          <w:color w:val="auto"/>
          <w:sz w:val="21"/>
          <w:szCs w:val="21"/>
          <w:highlight w:val="none"/>
        </w:rPr>
        <w:t>无效</w:t>
      </w:r>
      <w:r>
        <w:rPr>
          <w:rFonts w:hint="eastAsia" w:ascii="仿宋_GB2312" w:hAnsi="仿宋" w:eastAsia="仿宋_GB2312" w:cs="仿宋_GB2312"/>
          <w:b/>
          <w:color w:val="auto"/>
          <w:kern w:val="0"/>
          <w:sz w:val="21"/>
          <w:szCs w:val="21"/>
          <w:highlight w:val="none"/>
          <w:lang w:val="zh-CN"/>
        </w:rPr>
        <w:t>。</w:t>
      </w:r>
    </w:p>
    <w:p w14:paraId="14A752EA">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outlineLvl w:val="9"/>
        <w:rPr>
          <w:rFonts w:ascii="仿宋_GB2312" w:hAnsi="仿宋" w:eastAsia="仿宋_GB2312" w:cs="仿宋_GB2312"/>
          <w:color w:val="auto"/>
          <w:kern w:val="0"/>
          <w:sz w:val="21"/>
          <w:szCs w:val="21"/>
          <w:highlight w:val="none"/>
          <w:lang w:val="zh-CN"/>
        </w:rPr>
      </w:pPr>
      <w:r>
        <w:rPr>
          <w:rFonts w:hint="eastAsia" w:ascii="仿宋_GB2312" w:hAnsi="仿宋" w:eastAsia="仿宋_GB2312" w:cs="仿宋_GB2312"/>
          <w:color w:val="auto"/>
          <w:kern w:val="0"/>
          <w:sz w:val="21"/>
          <w:szCs w:val="21"/>
          <w:highlight w:val="none"/>
          <w:lang w:val="en-US" w:eastAsia="zh-CN"/>
        </w:rPr>
        <w:t>3</w:t>
      </w:r>
      <w:r>
        <w:rPr>
          <w:rFonts w:ascii="仿宋_GB2312" w:hAnsi="仿宋" w:eastAsia="仿宋_GB2312" w:cs="仿宋_GB2312"/>
          <w:color w:val="auto"/>
          <w:kern w:val="0"/>
          <w:sz w:val="21"/>
          <w:szCs w:val="21"/>
          <w:highlight w:val="none"/>
          <w:lang w:val="zh-CN"/>
        </w:rPr>
        <w:t>、</w:t>
      </w:r>
      <w:r>
        <w:rPr>
          <w:rFonts w:hint="eastAsia" w:ascii="仿宋_GB2312" w:hAnsi="仿宋" w:eastAsia="仿宋_GB2312" w:cs="仿宋_GB2312"/>
          <w:color w:val="auto"/>
          <w:kern w:val="0"/>
          <w:sz w:val="21"/>
          <w:szCs w:val="21"/>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r>
        <w:rPr>
          <w:rFonts w:ascii="仿宋_GB2312" w:hAnsi="仿宋" w:eastAsia="仿宋_GB2312" w:cs="仿宋_GB2312"/>
          <w:color w:val="auto"/>
          <w:kern w:val="0"/>
          <w:sz w:val="21"/>
          <w:szCs w:val="21"/>
          <w:highlight w:val="none"/>
          <w:lang w:val="zh-CN"/>
        </w:rPr>
        <w:t>。</w:t>
      </w:r>
    </w:p>
    <w:p w14:paraId="2377A937">
      <w:pPr>
        <w:pStyle w:val="59"/>
        <w:keepNext w:val="0"/>
        <w:keepLines w:val="0"/>
        <w:pageBreakBefore w:val="0"/>
        <w:kinsoku/>
        <w:wordWrap/>
        <w:overflowPunct/>
        <w:topLinePunct w:val="0"/>
        <w:bidi w:val="0"/>
        <w:textAlignment w:val="auto"/>
        <w:outlineLvl w:val="9"/>
        <w:rPr>
          <w:color w:val="auto"/>
          <w:highlight w:val="none"/>
          <w:lang w:val="zh-CN"/>
        </w:rPr>
      </w:pPr>
    </w:p>
    <w:p w14:paraId="5D6D9466">
      <w:pPr>
        <w:keepNext w:val="0"/>
        <w:keepLines w:val="0"/>
        <w:pageBreakBefore w:val="0"/>
        <w:kinsoku/>
        <w:wordWrap/>
        <w:overflowPunct/>
        <w:topLinePunct w:val="0"/>
        <w:bidi w:val="0"/>
        <w:spacing w:line="360" w:lineRule="auto"/>
        <w:ind w:right="-874" w:rightChars="-416" w:firstLine="5280" w:firstLineChars="2200"/>
        <w:textAlignment w:val="auto"/>
        <w:outlineLvl w:val="9"/>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lang w:val="zh-CN"/>
        </w:rPr>
        <w:t>供应商名称（</w:t>
      </w:r>
      <w:r>
        <w:rPr>
          <w:rFonts w:hint="eastAsia" w:ascii="仿宋_GB2312" w:hAnsi="仿宋" w:eastAsia="仿宋_GB2312" w:cs="仿宋_GB2312"/>
          <w:color w:val="auto"/>
          <w:kern w:val="0"/>
          <w:sz w:val="24"/>
          <w:highlight w:val="none"/>
          <w:lang w:val="zh-CN"/>
        </w:rPr>
        <w:t>电子签名</w:t>
      </w:r>
      <w:r>
        <w:rPr>
          <w:rFonts w:hint="eastAsia" w:ascii="仿宋_GB2312" w:hAnsi="仿宋_GB2312" w:eastAsia="仿宋_GB2312" w:cs="仿宋_GB2312"/>
          <w:color w:val="auto"/>
          <w:kern w:val="0"/>
          <w:sz w:val="24"/>
          <w:highlight w:val="none"/>
          <w:lang w:val="zh-CN"/>
        </w:rPr>
        <w:t>）：</w:t>
      </w:r>
    </w:p>
    <w:p w14:paraId="7DBFB6F6">
      <w:pPr>
        <w:keepNext w:val="0"/>
        <w:keepLines w:val="0"/>
        <w:pageBreakBefore w:val="0"/>
        <w:kinsoku/>
        <w:wordWrap/>
        <w:overflowPunct/>
        <w:topLinePunct w:val="0"/>
        <w:autoSpaceDE w:val="0"/>
        <w:autoSpaceDN w:val="0"/>
        <w:bidi w:val="0"/>
        <w:spacing w:line="360" w:lineRule="auto"/>
        <w:ind w:left="5040" w:hanging="5040" w:hangingChars="2100"/>
        <w:textAlignment w:val="auto"/>
        <w:outlineLvl w:val="9"/>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                                            日期：    年  月   日</w:t>
      </w:r>
    </w:p>
    <w:p w14:paraId="5196B187">
      <w:pPr>
        <w:pStyle w:val="59"/>
        <w:keepNext w:val="0"/>
        <w:keepLines w:val="0"/>
        <w:pageBreakBefore w:val="0"/>
        <w:kinsoku/>
        <w:wordWrap/>
        <w:overflowPunct/>
        <w:topLinePunct w:val="0"/>
        <w:bidi w:val="0"/>
        <w:textAlignment w:val="auto"/>
        <w:outlineLvl w:val="9"/>
        <w:rPr>
          <w:color w:val="auto"/>
          <w:highlight w:val="none"/>
        </w:rPr>
        <w:sectPr>
          <w:pgSz w:w="11906" w:h="16838"/>
          <w:pgMar w:top="1174" w:right="1417" w:bottom="1151" w:left="141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3CD0080">
      <w:pPr>
        <w:keepNext w:val="0"/>
        <w:keepLines w:val="0"/>
        <w:pageBreakBefore w:val="0"/>
        <w:kinsoku/>
        <w:wordWrap/>
        <w:overflowPunct/>
        <w:topLinePunct w:val="0"/>
        <w:bidi w:val="0"/>
        <w:snapToGrid w:val="0"/>
        <w:spacing w:line="360" w:lineRule="auto"/>
        <w:jc w:val="center"/>
        <w:textAlignment w:val="auto"/>
        <w:outlineLvl w:val="9"/>
        <w:rPr>
          <w:rFonts w:hint="eastAsia" w:ascii="仿宋_GB2312" w:hAnsi="仿宋" w:eastAsia="仿宋_GB2312" w:cs="仿宋_GB2312"/>
          <w:b/>
          <w:color w:val="auto"/>
          <w:kern w:val="0"/>
          <w:sz w:val="32"/>
          <w:szCs w:val="32"/>
          <w:highlight w:val="none"/>
          <w:lang w:eastAsia="zh-CN"/>
        </w:rPr>
      </w:pPr>
      <w:r>
        <w:rPr>
          <w:rFonts w:hint="eastAsia" w:ascii="仿宋_GB2312" w:hAnsi="仿宋" w:eastAsia="仿宋_GB2312" w:cs="仿宋_GB2312"/>
          <w:b/>
          <w:color w:val="auto"/>
          <w:kern w:val="0"/>
          <w:sz w:val="32"/>
          <w:szCs w:val="32"/>
          <w:highlight w:val="none"/>
        </w:rPr>
        <w:t>二、中小企业声明函</w:t>
      </w:r>
      <w:r>
        <w:rPr>
          <w:rFonts w:hint="eastAsia" w:ascii="仿宋_GB2312" w:hAnsi="仿宋" w:eastAsia="仿宋_GB2312" w:cs="仿宋_GB2312"/>
          <w:b/>
          <w:color w:val="auto"/>
          <w:kern w:val="0"/>
          <w:sz w:val="32"/>
          <w:szCs w:val="32"/>
          <w:highlight w:val="none"/>
          <w:lang w:eastAsia="zh-CN"/>
        </w:rPr>
        <w:t>（如果有）</w:t>
      </w:r>
    </w:p>
    <w:p w14:paraId="046A5231">
      <w:pPr>
        <w:keepNext w:val="0"/>
        <w:keepLines w:val="0"/>
        <w:pageBreakBefore w:val="0"/>
        <w:widowControl/>
        <w:kinsoku/>
        <w:wordWrap/>
        <w:overflowPunct/>
        <w:topLinePunct w:val="0"/>
        <w:bidi w:val="0"/>
        <w:spacing w:line="360" w:lineRule="auto"/>
        <w:ind w:firstLine="120" w:firstLineChars="50"/>
        <w:jc w:val="left"/>
        <w:textAlignment w:val="auto"/>
        <w:outlineLvl w:val="9"/>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竞争性磋商邀请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hint="eastAsia" w:ascii="仿宋_GB2312" w:hAnsi="仿宋" w:eastAsia="仿宋_GB2312" w:cs="仿宋_GB2312"/>
          <w:b/>
          <w:color w:val="auto"/>
          <w:sz w:val="24"/>
          <w:highlight w:val="none"/>
          <w:lang w:val="en-US" w:eastAsia="zh-CN"/>
        </w:rPr>
        <w:t>7</w:t>
      </w:r>
      <w:r>
        <w:rPr>
          <w:rFonts w:ascii="仿宋_GB2312" w:hAnsi="仿宋" w:eastAsia="仿宋_GB2312" w:cs="仿宋_GB2312"/>
          <w:b/>
          <w:color w:val="auto"/>
          <w:sz w:val="24"/>
          <w:highlight w:val="none"/>
        </w:rPr>
        <w:t>）。</w:t>
      </w:r>
      <w:r>
        <w:rPr>
          <w:rFonts w:hint="eastAsia" w:ascii="仿宋_GB2312" w:hAnsi="仿宋" w:eastAsia="仿宋_GB2312" w:cs="仿宋_GB2312"/>
          <w:b/>
          <w:color w:val="auto"/>
          <w:sz w:val="24"/>
          <w:highlight w:val="none"/>
        </w:rPr>
        <w:t>]</w:t>
      </w:r>
    </w:p>
    <w:p w14:paraId="47C6E44D">
      <w:pPr>
        <w:pStyle w:val="22"/>
        <w:ind w:right="960"/>
        <w:jc w:val="center"/>
        <w:rPr>
          <w:rFonts w:ascii="仿宋" w:hAnsi="仿宋" w:eastAsia="仿宋" w:cs="仿宋"/>
          <w:color w:val="auto"/>
          <w:highlight w:val="none"/>
        </w:rPr>
      </w:pPr>
    </w:p>
    <w:p w14:paraId="7ECF9CD3">
      <w:pPr>
        <w:rPr>
          <w:rFonts w:ascii="仿宋" w:hAnsi="仿宋" w:eastAsia="仿宋" w:cs="仿宋"/>
          <w:color w:val="auto"/>
          <w:highlight w:val="none"/>
        </w:rPr>
      </w:pPr>
      <w:r>
        <w:rPr>
          <w:rFonts w:ascii="仿宋" w:hAnsi="仿宋" w:eastAsia="仿宋" w:cs="仿宋"/>
          <w:color w:val="auto"/>
          <w:highlight w:val="none"/>
        </w:rPr>
        <w:br w:type="page"/>
      </w:r>
    </w:p>
    <w:p w14:paraId="245F1998">
      <w:pPr>
        <w:adjustRightInd w:val="0"/>
        <w:snapToGrid w:val="0"/>
        <w:spacing w:line="360" w:lineRule="auto"/>
        <w:jc w:val="both"/>
        <w:rPr>
          <w:rFonts w:hint="default" w:ascii="仿宋_GB2312" w:hAnsi="仿宋" w:eastAsia="仿宋_GB2312" w:cs="仿宋_GB2312"/>
          <w:color w:val="auto"/>
          <w:kern w:val="0"/>
          <w:sz w:val="24"/>
          <w:highlight w:val="none"/>
          <w:lang w:val="en-US" w:eastAsia="zh-CN"/>
        </w:rPr>
      </w:pPr>
      <w:r>
        <w:rPr>
          <w:rFonts w:hint="eastAsia" w:ascii="仿宋_GB2312" w:hAnsi="仿宋" w:eastAsia="仿宋_GB2312" w:cs="仿宋_GB2312"/>
          <w:color w:val="auto"/>
          <w:kern w:val="0"/>
          <w:sz w:val="24"/>
          <w:highlight w:val="none"/>
          <w:lang w:val="en-US" w:eastAsia="zh-CN"/>
        </w:rPr>
        <w:t>中小企业声明函示范格式（注意：请根据自身实际情况填写。不属于企业的，无需填写。）</w:t>
      </w:r>
    </w:p>
    <w:p w14:paraId="132BEC37">
      <w:pPr>
        <w:jc w:val="center"/>
        <w:rPr>
          <w:rFonts w:ascii="仿宋_GB2312" w:hAnsi="宋体" w:eastAsia="仿宋_GB2312"/>
          <w:b/>
          <w:color w:val="auto"/>
          <w:sz w:val="32"/>
          <w:szCs w:val="32"/>
          <w:highlight w:val="none"/>
        </w:rPr>
      </w:pPr>
      <w:r>
        <w:rPr>
          <w:rFonts w:hint="eastAsia" w:ascii="仿宋_GB2312" w:hAnsi="仿宋" w:eastAsia="仿宋_GB2312" w:cs="仿宋_GB2312"/>
          <w:b/>
          <w:color w:val="auto"/>
          <w:sz w:val="32"/>
          <w:szCs w:val="32"/>
          <w:highlight w:val="none"/>
        </w:rPr>
        <w:t>中小企业声明函</w:t>
      </w:r>
      <w:r>
        <w:rPr>
          <w:rFonts w:hint="eastAsia" w:ascii="仿宋_GB2312" w:hAnsi="宋体" w:eastAsia="仿宋_GB2312"/>
          <w:b/>
          <w:color w:val="auto"/>
          <w:sz w:val="32"/>
          <w:szCs w:val="32"/>
          <w:highlight w:val="none"/>
        </w:rPr>
        <w:t>（</w:t>
      </w:r>
      <w:r>
        <w:rPr>
          <w:rFonts w:hint="eastAsia" w:ascii="仿宋_GB2312" w:hAnsi="宋体" w:eastAsia="仿宋_GB2312"/>
          <w:b/>
          <w:color w:val="auto"/>
          <w:sz w:val="32"/>
          <w:szCs w:val="32"/>
          <w:highlight w:val="none"/>
          <w:lang w:val="en-US" w:eastAsia="zh-CN"/>
        </w:rPr>
        <w:t>服务</w:t>
      </w:r>
      <w:r>
        <w:rPr>
          <w:rFonts w:hint="eastAsia" w:ascii="仿宋_GB2312" w:hAnsi="宋体" w:eastAsia="仿宋_GB2312"/>
          <w:b/>
          <w:color w:val="auto"/>
          <w:sz w:val="32"/>
          <w:szCs w:val="32"/>
          <w:highlight w:val="none"/>
        </w:rPr>
        <w:t>）</w:t>
      </w:r>
    </w:p>
    <w:p w14:paraId="4717F721">
      <w:pPr>
        <w:spacing w:line="360" w:lineRule="auto"/>
        <w:rPr>
          <w:rFonts w:ascii="仿宋_GB2312" w:hAnsi="仿宋" w:eastAsia="仿宋_GB2312"/>
          <w:color w:val="auto"/>
          <w:highlight w:val="none"/>
        </w:rPr>
      </w:pPr>
    </w:p>
    <w:p w14:paraId="6D1622D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本公司（联合体）郑重声明，根据《政府采购促进中小企业发展管理办法》（财库﹝</w:t>
      </w:r>
      <w:r>
        <w:rPr>
          <w:rFonts w:ascii="仿宋_GB2312" w:hAnsi="宋体" w:eastAsia="仿宋_GB2312"/>
          <w:color w:val="auto"/>
          <w:sz w:val="24"/>
          <w:highlight w:val="none"/>
        </w:rPr>
        <w:t xml:space="preserve">2020﹞46 </w:t>
      </w:r>
      <w:r>
        <w:rPr>
          <w:rFonts w:hint="eastAsia" w:ascii="仿宋_GB2312" w:hAnsi="宋体" w:eastAsia="仿宋_GB2312"/>
          <w:color w:val="auto"/>
          <w:sz w:val="24"/>
          <w:highlight w:val="none"/>
        </w:rPr>
        <w:t>号）的规定，本公司（联合体）参加</w:t>
      </w:r>
      <w:r>
        <w:rPr>
          <w:rFonts w:ascii="仿宋_GB2312" w:hAnsi="宋体" w:eastAsia="仿宋_GB2312"/>
          <w:color w:val="auto"/>
          <w:sz w:val="24"/>
          <w:highlight w:val="none"/>
          <w:u w:val="single"/>
        </w:rPr>
        <w:t xml:space="preserve"> </w:t>
      </w:r>
      <w:r>
        <w:rPr>
          <w:rFonts w:hint="eastAsia" w:ascii="仿宋_GB2312" w:hAnsi="仿宋" w:eastAsia="仿宋_GB2312"/>
          <w:color w:val="auto"/>
          <w:sz w:val="24"/>
          <w:highlight w:val="none"/>
          <w:u w:val="single"/>
          <w:lang w:val="en-US" w:eastAsia="zh-CN"/>
        </w:rPr>
        <w:t>杭州市上城区司法局</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的</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u w:val="single"/>
          <w:lang w:eastAsia="zh-CN"/>
        </w:rPr>
        <w:t>杭州市上城区人民政府复议应诉类法律服务项目</w:t>
      </w:r>
      <w:r>
        <w:rPr>
          <w:rFonts w:hint="eastAsia" w:ascii="仿宋" w:hAnsi="仿宋" w:eastAsia="仿宋" w:cs="仿宋"/>
          <w:color w:val="auto"/>
          <w:kern w:val="0"/>
          <w:sz w:val="24"/>
          <w:highlight w:val="none"/>
          <w:u w:val="single"/>
          <w:lang w:val="en-US" w:eastAsia="zh-CN"/>
        </w:rPr>
        <w:t xml:space="preserve"> </w:t>
      </w:r>
      <w:r>
        <w:rPr>
          <w:rFonts w:hint="eastAsia" w:ascii="仿宋_GB2312" w:hAnsi="宋体" w:eastAsia="仿宋_GB2312"/>
          <w:color w:val="auto"/>
          <w:sz w:val="24"/>
          <w:highlight w:val="none"/>
        </w:rPr>
        <w:t>采购活动，提供的</w:t>
      </w:r>
      <w:r>
        <w:rPr>
          <w:rFonts w:hint="eastAsia" w:ascii="仿宋_GB2312" w:hAnsi="宋体" w:eastAsia="仿宋_GB2312"/>
          <w:color w:val="auto"/>
          <w:sz w:val="24"/>
          <w:highlight w:val="none"/>
          <w:lang w:val="en-US" w:eastAsia="zh-CN"/>
        </w:rPr>
        <w:t>服务</w:t>
      </w:r>
      <w:r>
        <w:rPr>
          <w:rFonts w:hint="eastAsia" w:ascii="仿宋_GB2312" w:hAnsi="宋体" w:eastAsia="仿宋_GB2312"/>
          <w:color w:val="auto"/>
          <w:sz w:val="24"/>
          <w:highlight w:val="none"/>
        </w:rPr>
        <w:t>全部由符合政策要求的中小企业</w:t>
      </w:r>
      <w:r>
        <w:rPr>
          <w:rFonts w:hint="eastAsia" w:ascii="仿宋_GB2312" w:hAnsi="宋体" w:eastAsia="仿宋_GB2312"/>
          <w:color w:val="auto"/>
          <w:sz w:val="24"/>
          <w:highlight w:val="none"/>
          <w:lang w:val="en-US" w:eastAsia="zh-CN"/>
        </w:rPr>
        <w:t>承接</w:t>
      </w:r>
      <w:r>
        <w:rPr>
          <w:rFonts w:hint="eastAsia" w:ascii="仿宋_GB2312" w:hAnsi="宋体" w:eastAsia="仿宋_GB2312"/>
          <w:color w:val="auto"/>
          <w:sz w:val="24"/>
          <w:highlight w:val="none"/>
        </w:rPr>
        <w:t>。相关企业（含联合体中的中小企业、签订分包意向协议的中小企业）的具体情况如下：</w:t>
      </w:r>
    </w:p>
    <w:p w14:paraId="0274541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仿宋_GB2312" w:hAnsi="宋体" w:eastAsia="仿宋_GB2312"/>
          <w:color w:val="auto"/>
          <w:sz w:val="24"/>
          <w:highlight w:val="none"/>
        </w:rPr>
      </w:pPr>
      <w:r>
        <w:rPr>
          <w:rFonts w:ascii="仿宋_GB2312" w:hAnsi="宋体" w:eastAsia="仿宋_GB2312"/>
          <w:color w:val="auto"/>
          <w:sz w:val="24"/>
          <w:highlight w:val="none"/>
        </w:rPr>
        <w:t>1.</w:t>
      </w:r>
      <w:r>
        <w:rPr>
          <w:rFonts w:hint="eastAsia" w:ascii="仿宋_GB2312" w:hAnsi="宋体" w:eastAsia="仿宋_GB2312" w:cs="Times New Roman"/>
          <w:color w:val="auto"/>
          <w:sz w:val="24"/>
          <w:highlight w:val="none"/>
          <w:u w:val="single"/>
        </w:rPr>
        <w:t xml:space="preserve"> </w:t>
      </w:r>
      <w:r>
        <w:rPr>
          <w:rFonts w:hint="eastAsia" w:ascii="仿宋_GB2312" w:hAnsi="宋体" w:eastAsia="仿宋_GB2312"/>
          <w:color w:val="auto"/>
          <w:sz w:val="24"/>
          <w:highlight w:val="none"/>
          <w:u w:val="single"/>
          <w:lang w:eastAsia="zh-CN"/>
        </w:rPr>
        <w:t>杭州市</w:t>
      </w:r>
      <w:r>
        <w:rPr>
          <w:rFonts w:hint="eastAsia" w:ascii="仿宋_GB2312" w:hAnsi="宋体" w:eastAsia="仿宋_GB2312"/>
          <w:color w:val="auto"/>
          <w:sz w:val="24"/>
          <w:highlight w:val="none"/>
          <w:u w:val="single"/>
          <w:lang w:val="en-US" w:eastAsia="zh-CN"/>
        </w:rPr>
        <w:t>上城区</w:t>
      </w:r>
      <w:r>
        <w:rPr>
          <w:rFonts w:hint="eastAsia" w:ascii="仿宋_GB2312" w:hAnsi="宋体" w:eastAsia="仿宋_GB2312"/>
          <w:color w:val="auto"/>
          <w:sz w:val="24"/>
          <w:highlight w:val="none"/>
          <w:u w:val="single"/>
          <w:lang w:eastAsia="zh-CN"/>
        </w:rPr>
        <w:t>人民政府复议应诉法律服务</w:t>
      </w:r>
      <w:r>
        <w:rPr>
          <w:rFonts w:hint="eastAsia" w:ascii="仿宋_GB2312" w:hAnsi="宋体" w:eastAsia="仿宋_GB2312" w:cs="Times New Roman"/>
          <w:color w:val="auto"/>
          <w:sz w:val="24"/>
          <w:highlight w:val="none"/>
          <w:u w:val="single"/>
          <w:lang w:val="en-US" w:eastAsia="zh-CN"/>
        </w:rPr>
        <w:t xml:space="preserve"> </w:t>
      </w:r>
      <w:r>
        <w:rPr>
          <w:rFonts w:hint="eastAsia" w:ascii="仿宋_GB2312" w:hAnsi="宋体" w:eastAsia="仿宋_GB2312"/>
          <w:color w:val="auto"/>
          <w:sz w:val="24"/>
          <w:highlight w:val="none"/>
        </w:rPr>
        <w:t>，属于</w:t>
      </w:r>
      <w:r>
        <w:rPr>
          <w:rFonts w:ascii="仿宋_GB2312" w:hAnsi="宋体" w:eastAsia="仿宋_GB2312"/>
          <w:color w:val="auto"/>
          <w:sz w:val="24"/>
          <w:highlight w:val="none"/>
          <w:u w:val="single"/>
        </w:rPr>
        <w:t xml:space="preserve"> </w:t>
      </w:r>
      <w:r>
        <w:rPr>
          <w:rFonts w:hint="eastAsia" w:ascii="仿宋_GB2312" w:hAnsi="宋体" w:eastAsia="仿宋_GB2312" w:cs="Times New Roman"/>
          <w:color w:val="auto"/>
          <w:sz w:val="24"/>
          <w:highlight w:val="none"/>
          <w:u w:val="single"/>
          <w:lang w:val="en-US" w:eastAsia="zh-CN"/>
        </w:rPr>
        <w:t xml:space="preserve">其他未列明行业 </w:t>
      </w:r>
      <w:r>
        <w:rPr>
          <w:rFonts w:ascii="仿宋_GB2312" w:hAnsi="宋体" w:eastAsia="仿宋_GB2312"/>
          <w:color w:val="auto"/>
          <w:sz w:val="24"/>
          <w:highlight w:val="none"/>
        </w:rPr>
        <w:t>；</w:t>
      </w:r>
      <w:r>
        <w:rPr>
          <w:rFonts w:hint="eastAsia" w:ascii="仿宋_GB2312" w:hAnsi="宋体" w:eastAsia="仿宋_GB2312"/>
          <w:color w:val="auto"/>
          <w:sz w:val="24"/>
          <w:highlight w:val="none"/>
          <w:lang w:val="en-US" w:eastAsia="zh-CN"/>
        </w:rPr>
        <w:t>承接企业</w:t>
      </w:r>
      <w:r>
        <w:rPr>
          <w:rFonts w:hint="eastAsia" w:ascii="仿宋_GB2312" w:hAnsi="宋体" w:eastAsia="仿宋_GB2312"/>
          <w:color w:val="auto"/>
          <w:sz w:val="24"/>
          <w:highlight w:val="none"/>
        </w:rPr>
        <w:t>为</w:t>
      </w:r>
      <w:r>
        <w:rPr>
          <w:rFonts w:ascii="仿宋_GB2312" w:hAnsi="宋体" w:eastAsia="仿宋_GB2312"/>
          <w:color w:val="auto"/>
          <w:sz w:val="24"/>
          <w:highlight w:val="none"/>
          <w:u w:val="single"/>
        </w:rPr>
        <w:t xml:space="preserve"> （企业名称）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w:t>
      </w:r>
      <w:r>
        <w:rPr>
          <w:rFonts w:hint="eastAsia" w:ascii="仿宋_GB2312" w:hAnsi="宋体" w:eastAsia="仿宋_GB2312"/>
          <w:color w:val="auto"/>
          <w:sz w:val="24"/>
          <w:highlight w:val="none"/>
          <w:lang w:eastAsia="zh-CN"/>
        </w:rPr>
        <w:t>，</w:t>
      </w:r>
      <w:r>
        <w:rPr>
          <w:rFonts w:hint="eastAsia" w:ascii="仿宋_GB2312" w:hAnsi="宋体" w:eastAsia="仿宋_GB2312"/>
          <w:color w:val="auto"/>
          <w:sz w:val="24"/>
          <w:highlight w:val="none"/>
        </w:rPr>
        <w:t>属于</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u w:val="single"/>
          <w:lang w:val="en-US" w:eastAsia="zh-CN"/>
        </w:rPr>
        <w:t xml:space="preserve">     </w:t>
      </w:r>
      <w:r>
        <w:rPr>
          <w:rFonts w:ascii="仿宋_GB2312" w:hAnsi="宋体" w:eastAsia="仿宋_GB2312"/>
          <w:color w:val="auto"/>
          <w:sz w:val="24"/>
          <w:highlight w:val="none"/>
          <w:u w:val="single"/>
        </w:rPr>
        <w:t>（</w:t>
      </w:r>
      <w:r>
        <w:rPr>
          <w:rFonts w:hint="eastAsia" w:ascii="仿宋_GB2312" w:hAnsi="宋体" w:eastAsia="仿宋_GB2312"/>
          <w:color w:val="auto"/>
          <w:sz w:val="24"/>
          <w:highlight w:val="none"/>
          <w:u w:val="single"/>
          <w:lang w:val="en-US" w:eastAsia="zh-CN"/>
        </w:rPr>
        <w:t>填写</w:t>
      </w:r>
      <w:r>
        <w:rPr>
          <w:rFonts w:ascii="仿宋_GB2312" w:hAnsi="宋体" w:eastAsia="仿宋_GB2312"/>
          <w:color w:val="auto"/>
          <w:sz w:val="24"/>
          <w:highlight w:val="none"/>
          <w:u w:val="single"/>
        </w:rPr>
        <w:t>中型企业</w:t>
      </w:r>
      <w:r>
        <w:rPr>
          <w:rFonts w:hint="eastAsia" w:ascii="仿宋_GB2312" w:hAnsi="宋体" w:eastAsia="仿宋_GB2312"/>
          <w:color w:val="auto"/>
          <w:sz w:val="24"/>
          <w:highlight w:val="none"/>
          <w:u w:val="single"/>
          <w:lang w:val="en-US" w:eastAsia="zh-CN"/>
        </w:rPr>
        <w:t>或</w:t>
      </w:r>
      <w:r>
        <w:rPr>
          <w:rFonts w:ascii="仿宋_GB2312" w:hAnsi="宋体" w:eastAsia="仿宋_GB2312"/>
          <w:color w:val="auto"/>
          <w:sz w:val="24"/>
          <w:highlight w:val="none"/>
          <w:u w:val="single"/>
        </w:rPr>
        <w:t>小型企业</w:t>
      </w:r>
      <w:r>
        <w:rPr>
          <w:rFonts w:hint="eastAsia" w:ascii="仿宋_GB2312" w:hAnsi="宋体" w:eastAsia="仿宋_GB2312"/>
          <w:color w:val="auto"/>
          <w:sz w:val="24"/>
          <w:highlight w:val="none"/>
          <w:u w:val="single"/>
          <w:lang w:val="en-US" w:eastAsia="zh-CN"/>
        </w:rPr>
        <w:t>或</w:t>
      </w:r>
      <w:r>
        <w:rPr>
          <w:rFonts w:ascii="仿宋_GB2312" w:hAnsi="宋体" w:eastAsia="仿宋_GB2312"/>
          <w:color w:val="auto"/>
          <w:sz w:val="24"/>
          <w:highlight w:val="none"/>
          <w:u w:val="single"/>
        </w:rPr>
        <w:t>微型企业</w:t>
      </w:r>
      <w:r>
        <w:rPr>
          <w:rFonts w:hint="eastAsia" w:ascii="仿宋_GB2312" w:hAnsi="宋体" w:eastAsia="仿宋_GB2312"/>
          <w:color w:val="auto"/>
          <w:sz w:val="24"/>
          <w:highlight w:val="none"/>
          <w:u w:val="single"/>
          <w:lang w:val="en-US" w:eastAsia="zh-CN"/>
        </w:rPr>
        <w:t>的一种</w:t>
      </w:r>
      <w:r>
        <w:rPr>
          <w:rFonts w:ascii="仿宋_GB2312" w:hAnsi="宋体" w:eastAsia="仿宋_GB2312"/>
          <w:color w:val="auto"/>
          <w:sz w:val="24"/>
          <w:highlight w:val="none"/>
          <w:u w:val="single"/>
        </w:rPr>
        <w:t xml:space="preserve">） </w:t>
      </w:r>
    </w:p>
    <w:p w14:paraId="74F073D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仿宋_GB2312" w:hAnsi="宋体" w:eastAsia="仿宋_GB2312"/>
          <w:color w:val="auto"/>
          <w:sz w:val="24"/>
          <w:highlight w:val="none"/>
        </w:rPr>
      </w:pPr>
    </w:p>
    <w:p w14:paraId="14886A6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w:t>
      </w:r>
    </w:p>
    <w:p w14:paraId="255EB66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以上企业，不属于大企业的分支机构，不存在控股股东为大企业的情形，也不存在与大企业的负责人为同一人的情形。</w:t>
      </w:r>
    </w:p>
    <w:p w14:paraId="0C51FA1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仿宋_GB2312" w:hAnsi="宋体" w:eastAsia="仿宋_GB2312"/>
          <w:color w:val="auto"/>
          <w:sz w:val="24"/>
          <w:highlight w:val="none"/>
        </w:rPr>
      </w:pPr>
      <w:r>
        <w:rPr>
          <w:rFonts w:hint="eastAsia" w:ascii="仿宋_GB2312" w:hAnsi="宋体" w:eastAsia="仿宋_GB2312"/>
          <w:color w:val="auto"/>
          <w:sz w:val="24"/>
          <w:highlight w:val="none"/>
        </w:rPr>
        <w:t>本企业对上述声明内容的真实性负责。如有虚假，将依法承担相应责任。</w:t>
      </w:r>
    </w:p>
    <w:p w14:paraId="4EEFB931">
      <w:pPr>
        <w:spacing w:line="360" w:lineRule="auto"/>
        <w:ind w:right="1760"/>
        <w:jc w:val="right"/>
        <w:rPr>
          <w:rFonts w:ascii="仿宋_GB2312" w:hAnsi="宋体" w:eastAsia="仿宋_GB2312"/>
          <w:color w:val="auto"/>
          <w:sz w:val="24"/>
          <w:highlight w:val="none"/>
        </w:rPr>
      </w:pPr>
      <w:r>
        <w:rPr>
          <w:rFonts w:hint="eastAsia" w:ascii="仿宋_GB2312" w:hAnsi="仿宋" w:eastAsia="仿宋_GB2312" w:cs="仿宋_GB2312"/>
          <w:color w:val="auto"/>
          <w:sz w:val="24"/>
          <w:highlight w:val="none"/>
          <w:lang w:eastAsia="zh-CN"/>
        </w:rPr>
        <w:t>供应商</w:t>
      </w:r>
      <w:r>
        <w:rPr>
          <w:rFonts w:hint="eastAsia" w:ascii="仿宋_GB2312" w:hAnsi="宋体" w:eastAsia="仿宋_GB2312"/>
          <w:color w:val="auto"/>
          <w:sz w:val="24"/>
          <w:highlight w:val="none"/>
        </w:rPr>
        <w:t>名称（</w:t>
      </w:r>
      <w:r>
        <w:rPr>
          <w:rFonts w:hint="eastAsia" w:ascii="仿宋_GB2312" w:hAnsi="仿宋" w:eastAsia="仿宋_GB2312" w:cs="仿宋_GB2312"/>
          <w:color w:val="auto"/>
          <w:sz w:val="24"/>
          <w:highlight w:val="none"/>
        </w:rPr>
        <w:t>电子签名</w:t>
      </w:r>
      <w:r>
        <w:rPr>
          <w:rFonts w:hint="eastAsia" w:ascii="仿宋_GB2312" w:hAnsi="宋体" w:eastAsia="仿宋_GB2312"/>
          <w:color w:val="auto"/>
          <w:sz w:val="24"/>
          <w:highlight w:val="none"/>
        </w:rPr>
        <w:t>）：</w:t>
      </w:r>
    </w:p>
    <w:p w14:paraId="11790813">
      <w:pPr>
        <w:keepNext/>
        <w:keepLines/>
        <w:pageBreakBefore w:val="0"/>
        <w:widowControl w:val="0"/>
        <w:kinsoku/>
        <w:wordWrap/>
        <w:overflowPunct/>
        <w:topLinePunct w:val="0"/>
        <w:autoSpaceDE/>
        <w:autoSpaceDN/>
        <w:bidi w:val="0"/>
        <w:adjustRightInd w:val="0"/>
        <w:snapToGrid/>
        <w:spacing w:line="416" w:lineRule="auto"/>
        <w:jc w:val="center"/>
        <w:textAlignment w:val="auto"/>
        <w:outlineLvl w:val="9"/>
        <w:rPr>
          <w:rFonts w:hint="default"/>
          <w:color w:val="auto"/>
          <w:highlight w:val="none"/>
          <w:lang w:val="en-US" w:eastAsia="zh-CN"/>
        </w:rPr>
      </w:pPr>
      <w:r>
        <w:rPr>
          <w:rFonts w:hint="eastAsia" w:ascii="仿宋_GB2312" w:hAnsi="宋体" w:eastAsia="仿宋_GB2312"/>
          <w:color w:val="auto"/>
          <w:sz w:val="24"/>
          <w:highlight w:val="none"/>
        </w:rPr>
        <w:t>日</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期：</w:t>
      </w:r>
    </w:p>
    <w:p w14:paraId="12F0297A">
      <w:pPr>
        <w:rPr>
          <w:color w:val="auto"/>
          <w:highlight w:val="none"/>
        </w:rPr>
      </w:pPr>
    </w:p>
    <w:p w14:paraId="6779B8F6">
      <w:pP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2A21EE60">
      <w:pPr>
        <w:rPr>
          <w:rFonts w:ascii="仿宋" w:hAnsi="仿宋" w:eastAsia="仿宋" w:cs="仿宋"/>
          <w:color w:val="auto"/>
          <w:sz w:val="18"/>
          <w:szCs w:val="18"/>
          <w:highlight w:val="none"/>
        </w:rPr>
      </w:pPr>
    </w:p>
    <w:p w14:paraId="6E6AC37D">
      <w:pPr>
        <w:keepNext w:val="0"/>
        <w:keepLines w:val="0"/>
        <w:pageBreakBefore w:val="0"/>
        <w:kinsoku/>
        <w:wordWrap/>
        <w:overflowPunct/>
        <w:topLinePunct w:val="0"/>
        <w:autoSpaceDE/>
        <w:autoSpaceDN/>
        <w:bidi w:val="0"/>
        <w:adjustRightInd w:val="0"/>
        <w:spacing w:line="360" w:lineRule="auto"/>
        <w:jc w:val="center"/>
        <w:textAlignment w:val="auto"/>
        <w:outlineLvl w:val="9"/>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附件</w:t>
      </w:r>
    </w:p>
    <w:p w14:paraId="3F8996FF">
      <w:pPr>
        <w:keepNext w:val="0"/>
        <w:keepLines w:val="0"/>
        <w:pageBreakBefore w:val="0"/>
        <w:kinsoku/>
        <w:wordWrap/>
        <w:overflowPunct/>
        <w:topLinePunct w:val="0"/>
        <w:autoSpaceDE/>
        <w:autoSpaceDN/>
        <w:bidi w:val="0"/>
        <w:adjustRightInd w:val="0"/>
        <w:spacing w:line="360" w:lineRule="auto"/>
        <w:jc w:val="left"/>
        <w:textAlignment w:val="auto"/>
        <w:outlineLvl w:val="9"/>
        <w:rPr>
          <w:rFonts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附件</w:t>
      </w:r>
      <w:r>
        <w:rPr>
          <w:rFonts w:hint="eastAsia" w:ascii="仿宋_GB2312" w:hAnsi="仿宋_GB2312" w:eastAsia="仿宋_GB2312" w:cs="仿宋_GB2312"/>
          <w:b/>
          <w:color w:val="auto"/>
          <w:spacing w:val="6"/>
          <w:sz w:val="32"/>
          <w:szCs w:val="32"/>
          <w:highlight w:val="none"/>
          <w:lang w:val="en-US" w:eastAsia="zh-CN"/>
        </w:rPr>
        <w:t>1</w:t>
      </w:r>
      <w:r>
        <w:rPr>
          <w:rFonts w:hint="eastAsia" w:ascii="仿宋_GB2312" w:hAnsi="仿宋_GB2312" w:eastAsia="仿宋_GB2312" w:cs="仿宋_GB2312"/>
          <w:b/>
          <w:color w:val="auto"/>
          <w:spacing w:val="6"/>
          <w:sz w:val="32"/>
          <w:szCs w:val="32"/>
          <w:highlight w:val="none"/>
        </w:rPr>
        <w:t>：质疑函范本及制作说明</w:t>
      </w:r>
    </w:p>
    <w:p w14:paraId="7521B50F">
      <w:pPr>
        <w:keepNext w:val="0"/>
        <w:keepLines w:val="0"/>
        <w:pageBreakBefore w:val="0"/>
        <w:kinsoku/>
        <w:wordWrap/>
        <w:overflowPunct/>
        <w:topLinePunct w:val="0"/>
        <w:autoSpaceDE/>
        <w:autoSpaceDN/>
        <w:bidi w:val="0"/>
        <w:adjustRightInd w:val="0"/>
        <w:spacing w:line="360" w:lineRule="auto"/>
        <w:jc w:val="center"/>
        <w:textAlignment w:val="auto"/>
        <w:outlineLvl w:val="9"/>
        <w:rPr>
          <w:rFonts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质疑函范本</w:t>
      </w:r>
    </w:p>
    <w:p w14:paraId="48BA9A2C">
      <w:pPr>
        <w:keepNext w:val="0"/>
        <w:keepLines w:val="0"/>
        <w:pageBreakBefore w:val="0"/>
        <w:kinsoku/>
        <w:wordWrap/>
        <w:overflowPunct/>
        <w:topLinePunct w:val="0"/>
        <w:autoSpaceDE/>
        <w:autoSpaceDN/>
        <w:bidi w:val="0"/>
        <w:adjustRightInd w:val="0"/>
        <w:snapToGrid w:val="0"/>
        <w:spacing w:before="240" w:beforeLines="100" w:line="360" w:lineRule="auto"/>
        <w:textAlignment w:val="auto"/>
        <w:outlineLvl w:val="9"/>
        <w:rPr>
          <w:rFonts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一、质疑供应商基本信息</w:t>
      </w:r>
    </w:p>
    <w:p w14:paraId="784E3D40">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质疑供应商：</w:t>
      </w:r>
      <w:r>
        <w:rPr>
          <w:rFonts w:hint="eastAsia" w:ascii="仿宋_GB2312" w:hAnsi="仿宋_GB2312" w:eastAsia="仿宋_GB2312" w:cs="仿宋_GB2312"/>
          <w:color w:val="auto"/>
          <w:sz w:val="24"/>
          <w:highlight w:val="none"/>
          <w:u w:val="dotted"/>
        </w:rPr>
        <w:t xml:space="preserve">                                        </w:t>
      </w:r>
    </w:p>
    <w:p w14:paraId="6FC156A3">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p>
    <w:p w14:paraId="09BBFFB2">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联系人：</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p>
    <w:p w14:paraId="1770529B">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授权代表：</w:t>
      </w:r>
      <w:r>
        <w:rPr>
          <w:rFonts w:hint="eastAsia" w:ascii="仿宋_GB2312" w:hAnsi="仿宋_GB2312" w:eastAsia="仿宋_GB2312" w:cs="仿宋_GB2312"/>
          <w:color w:val="auto"/>
          <w:sz w:val="24"/>
          <w:highlight w:val="none"/>
          <w:u w:val="dotted"/>
        </w:rPr>
        <w:t xml:space="preserve">                                          </w:t>
      </w:r>
    </w:p>
    <w:p w14:paraId="19637971">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 xml:space="preserve"> </w:t>
      </w:r>
    </w:p>
    <w:p w14:paraId="321FC0CB">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地址： </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p>
    <w:p w14:paraId="30B75EA9">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二、质疑项目基本情况</w:t>
      </w:r>
    </w:p>
    <w:p w14:paraId="498C0B13">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质疑项目的名称：</w:t>
      </w:r>
      <w:r>
        <w:rPr>
          <w:rFonts w:hint="eastAsia" w:ascii="仿宋_GB2312" w:hAnsi="仿宋_GB2312" w:eastAsia="仿宋_GB2312" w:cs="仿宋_GB2312"/>
          <w:color w:val="auto"/>
          <w:sz w:val="24"/>
          <w:highlight w:val="none"/>
          <w:u w:val="dotted"/>
        </w:rPr>
        <w:t xml:space="preserve">                                      </w:t>
      </w:r>
    </w:p>
    <w:p w14:paraId="79CD8EA5">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质疑项目的编号：</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包号：</w:t>
      </w:r>
      <w:r>
        <w:rPr>
          <w:rFonts w:hint="eastAsia" w:ascii="仿宋_GB2312" w:hAnsi="仿宋_GB2312" w:eastAsia="仿宋_GB2312" w:cs="仿宋_GB2312"/>
          <w:color w:val="auto"/>
          <w:sz w:val="24"/>
          <w:highlight w:val="none"/>
          <w:u w:val="dotted"/>
        </w:rPr>
        <w:t xml:space="preserve">                 </w:t>
      </w:r>
    </w:p>
    <w:p w14:paraId="7595E44C">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采购人名称：</w:t>
      </w:r>
      <w:r>
        <w:rPr>
          <w:rFonts w:hint="eastAsia" w:ascii="仿宋_GB2312" w:hAnsi="仿宋_GB2312" w:eastAsia="仿宋_GB2312" w:cs="仿宋_GB2312"/>
          <w:color w:val="auto"/>
          <w:sz w:val="24"/>
          <w:highlight w:val="none"/>
          <w:u w:val="dotted"/>
        </w:rPr>
        <w:t xml:space="preserve">                                         </w:t>
      </w:r>
    </w:p>
    <w:p w14:paraId="571FDB4F">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采购文件获取日期：</w:t>
      </w:r>
      <w:r>
        <w:rPr>
          <w:rFonts w:hint="eastAsia" w:ascii="仿宋_GB2312" w:hAnsi="仿宋_GB2312" w:eastAsia="仿宋_GB2312" w:cs="仿宋_GB2312"/>
          <w:color w:val="auto"/>
          <w:sz w:val="24"/>
          <w:highlight w:val="none"/>
          <w:u w:val="dotted"/>
        </w:rPr>
        <w:t xml:space="preserve">                                           </w:t>
      </w:r>
    </w:p>
    <w:p w14:paraId="3BCDDAF4">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三、质疑事项具体内容</w:t>
      </w:r>
    </w:p>
    <w:p w14:paraId="1F7D3C32">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质疑事项1：</w:t>
      </w:r>
      <w:r>
        <w:rPr>
          <w:rFonts w:hint="eastAsia" w:ascii="仿宋_GB2312" w:hAnsi="仿宋_GB2312" w:eastAsia="仿宋_GB2312" w:cs="仿宋_GB2312"/>
          <w:color w:val="auto"/>
          <w:sz w:val="24"/>
          <w:highlight w:val="none"/>
          <w:u w:val="dotted"/>
        </w:rPr>
        <w:t xml:space="preserve">                                         </w:t>
      </w:r>
    </w:p>
    <w:p w14:paraId="6E0A739A">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事实依据：</w:t>
      </w:r>
      <w:r>
        <w:rPr>
          <w:rFonts w:hint="eastAsia" w:ascii="仿宋_GB2312" w:hAnsi="仿宋_GB2312" w:eastAsia="仿宋_GB2312" w:cs="仿宋_GB2312"/>
          <w:color w:val="auto"/>
          <w:sz w:val="24"/>
          <w:highlight w:val="none"/>
          <w:u w:val="dotted"/>
        </w:rPr>
        <w:t xml:space="preserve">                                          </w:t>
      </w:r>
    </w:p>
    <w:p w14:paraId="5CBEEBDD">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dotted"/>
        </w:rPr>
        <w:t xml:space="preserve">                                                       </w:t>
      </w:r>
    </w:p>
    <w:p w14:paraId="67B38D3F">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法律依据：</w:t>
      </w:r>
      <w:r>
        <w:rPr>
          <w:rFonts w:hint="eastAsia" w:ascii="仿宋_GB2312" w:hAnsi="仿宋_GB2312" w:eastAsia="仿宋_GB2312" w:cs="仿宋_GB2312"/>
          <w:color w:val="auto"/>
          <w:sz w:val="24"/>
          <w:highlight w:val="none"/>
          <w:u w:val="dotted"/>
        </w:rPr>
        <w:t xml:space="preserve">                                          </w:t>
      </w:r>
    </w:p>
    <w:p w14:paraId="15A5DE7B">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u w:val="dotted"/>
        </w:rPr>
        <w:t xml:space="preserve">                                                     </w:t>
      </w:r>
    </w:p>
    <w:p w14:paraId="713AACE4">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质疑事项2</w:t>
      </w:r>
    </w:p>
    <w:p w14:paraId="3AF06EDD">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p w14:paraId="2611193D">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四、与质疑事项相关的质疑请求</w:t>
      </w:r>
    </w:p>
    <w:p w14:paraId="1D747336">
      <w:pPr>
        <w:keepNext w:val="0"/>
        <w:keepLines w:val="0"/>
        <w:pageBreakBefore w:val="0"/>
        <w:kinsoku/>
        <w:wordWrap/>
        <w:overflowPunct/>
        <w:topLinePunct w:val="0"/>
        <w:autoSpaceDE/>
        <w:autoSpaceDN/>
        <w:bidi w:val="0"/>
        <w:adjustRightInd w:val="0"/>
        <w:snapToGrid w:val="0"/>
        <w:spacing w:line="360" w:lineRule="auto"/>
        <w:textAlignment w:val="auto"/>
        <w:outlineLvl w:val="9"/>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请求：</w:t>
      </w:r>
      <w:r>
        <w:rPr>
          <w:rFonts w:hint="eastAsia" w:ascii="仿宋_GB2312" w:hAnsi="仿宋_GB2312" w:eastAsia="仿宋_GB2312" w:cs="仿宋_GB2312"/>
          <w:color w:val="auto"/>
          <w:sz w:val="24"/>
          <w:highlight w:val="none"/>
          <w:u w:val="dotted"/>
        </w:rPr>
        <w:t xml:space="preserve">                                               </w:t>
      </w:r>
    </w:p>
    <w:p w14:paraId="23CABE09">
      <w:pPr>
        <w:keepNext w:val="0"/>
        <w:keepLines w:val="0"/>
        <w:pageBreakBefore w:val="0"/>
        <w:kinsoku/>
        <w:wordWrap/>
        <w:overflowPunct/>
        <w:topLinePunct w:val="0"/>
        <w:autoSpaceDE/>
        <w:autoSpaceDN/>
        <w:bidi w:val="0"/>
        <w:adjustRightInd w:val="0"/>
        <w:spacing w:line="360" w:lineRule="auto"/>
        <w:textAlignment w:val="auto"/>
        <w:outlineLvl w:val="9"/>
        <w:rPr>
          <w:rFonts w:ascii="仿宋_GB2312" w:hAnsi="仿宋_GB2312" w:eastAsia="仿宋_GB2312" w:cs="仿宋_GB2312"/>
          <w:color w:val="auto"/>
          <w:sz w:val="24"/>
          <w:highlight w:val="none"/>
        </w:rPr>
      </w:pPr>
    </w:p>
    <w:p w14:paraId="51C1C679">
      <w:pPr>
        <w:keepNext w:val="0"/>
        <w:keepLines w:val="0"/>
        <w:pageBreakBefore w:val="0"/>
        <w:kinsoku/>
        <w:wordWrap/>
        <w:overflowPunct/>
        <w:topLinePunct w:val="0"/>
        <w:autoSpaceDE/>
        <w:autoSpaceDN/>
        <w:bidi w:val="0"/>
        <w:adjustRightInd w:val="0"/>
        <w:spacing w:line="360" w:lineRule="auto"/>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签字(签章)：                   公章：                      </w:t>
      </w:r>
    </w:p>
    <w:p w14:paraId="2477C16E">
      <w:pPr>
        <w:keepNext w:val="0"/>
        <w:keepLines w:val="0"/>
        <w:pageBreakBefore w:val="0"/>
        <w:kinsoku/>
        <w:wordWrap/>
        <w:overflowPunct/>
        <w:topLinePunct w:val="0"/>
        <w:autoSpaceDE/>
        <w:autoSpaceDN/>
        <w:bidi w:val="0"/>
        <w:adjustRightInd w:val="0"/>
        <w:spacing w:line="360" w:lineRule="auto"/>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日期：    </w:t>
      </w:r>
    </w:p>
    <w:p w14:paraId="0B59D7F4">
      <w:pPr>
        <w:keepNext w:val="0"/>
        <w:keepLines w:val="0"/>
        <w:pageBreakBefore w:val="0"/>
        <w:kinsoku/>
        <w:wordWrap/>
        <w:overflowPunct/>
        <w:topLinePunct w:val="0"/>
        <w:autoSpaceDE/>
        <w:autoSpaceDN/>
        <w:bidi w:val="0"/>
        <w:adjustRightInd w:val="0"/>
        <w:spacing w:line="360" w:lineRule="auto"/>
        <w:textAlignment w:val="auto"/>
        <w:outlineLvl w:val="9"/>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质疑函制作说明：</w:t>
      </w:r>
    </w:p>
    <w:p w14:paraId="31236E17">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1.供应商提出质疑时，应提交质疑函和必要的证明材料。</w:t>
      </w:r>
    </w:p>
    <w:p w14:paraId="61D5A6D3">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2.质疑供应商若委托代理人进行质疑的，质疑函应按要求列明“授权代表”的有关内容，并在附件中提交由质疑</w:t>
      </w:r>
      <w:r>
        <w:rPr>
          <w:rFonts w:hint="eastAsia" w:ascii="仿宋_GB2312" w:hAnsi="仿宋_GB2312" w:eastAsia="仿宋_GB2312" w:cs="仿宋_GB2312"/>
          <w:color w:val="auto"/>
          <w:kern w:val="0"/>
          <w:sz w:val="24"/>
          <w:highlight w:val="none"/>
        </w:rPr>
        <w:t>供应商签署的授权委托书。授权委托书应载明代理人的姓名或者名称、代理事项、具体权限、期限和相关事项。</w:t>
      </w:r>
    </w:p>
    <w:p w14:paraId="103D8CFD">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3.质疑供应商若对项目的某一分包进行质疑，质疑函中应列明具体分包号。</w:t>
      </w:r>
    </w:p>
    <w:p w14:paraId="1253CFA8">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4.质疑函的质疑事项应具体、明确，并有必要的事实依据和法律依据。</w:t>
      </w:r>
    </w:p>
    <w:p w14:paraId="7264EF81">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5.质疑函的质疑请求应与质疑事项相关。</w:t>
      </w:r>
    </w:p>
    <w:p w14:paraId="2751003D">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outlineLvl w:val="9"/>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6.质疑供应商为自然人的，质疑函应由本人签字；质疑供应商为法人或者其他组织的，质疑函应由法定代表人、主要负责人，或者其授权代表签字或者盖章，并加盖公章。</w:t>
      </w:r>
    </w:p>
    <w:p w14:paraId="29597E81">
      <w:pPr>
        <w:keepNext w:val="0"/>
        <w:keepLines w:val="0"/>
        <w:pageBreakBefore w:val="0"/>
        <w:widowControl/>
        <w:kinsoku/>
        <w:wordWrap/>
        <w:overflowPunct/>
        <w:topLinePunct w:val="0"/>
        <w:autoSpaceDE/>
        <w:autoSpaceDN/>
        <w:bidi w:val="0"/>
        <w:adjustRightInd w:val="0"/>
        <w:spacing w:line="360" w:lineRule="auto"/>
        <w:ind w:firstLine="600" w:firstLineChars="200"/>
        <w:jc w:val="left"/>
        <w:textAlignment w:val="auto"/>
        <w:outlineLvl w:val="9"/>
        <w:rPr>
          <w:rFonts w:ascii="仿宋_GB2312" w:hAnsi="仿宋_GB2312" w:eastAsia="仿宋_GB2312" w:cs="仿宋_GB2312"/>
          <w:color w:val="auto"/>
          <w:sz w:val="30"/>
          <w:szCs w:val="30"/>
          <w:highlight w:val="none"/>
        </w:rPr>
      </w:pPr>
    </w:p>
    <w:p w14:paraId="6D1AAFE3">
      <w:pPr>
        <w:keepNext w:val="0"/>
        <w:keepLines w:val="0"/>
        <w:pageBreakBefore w:val="0"/>
        <w:kinsoku/>
        <w:wordWrap/>
        <w:overflowPunct/>
        <w:topLinePunct w:val="0"/>
        <w:autoSpaceDE/>
        <w:autoSpaceDN/>
        <w:bidi w:val="0"/>
        <w:adjustRightInd w:val="0"/>
        <w:spacing w:line="360" w:lineRule="auto"/>
        <w:jc w:val="left"/>
        <w:textAlignment w:val="auto"/>
        <w:outlineLvl w:val="9"/>
        <w:rPr>
          <w:rFonts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z w:val="24"/>
          <w:highlight w:val="none"/>
        </w:rPr>
        <w:br w:type="page"/>
      </w:r>
      <w:r>
        <w:rPr>
          <w:rFonts w:hint="eastAsia" w:ascii="仿宋_GB2312" w:hAnsi="仿宋_GB2312" w:eastAsia="仿宋_GB2312" w:cs="仿宋_GB2312"/>
          <w:b/>
          <w:color w:val="auto"/>
          <w:spacing w:val="6"/>
          <w:sz w:val="32"/>
          <w:szCs w:val="32"/>
          <w:highlight w:val="none"/>
        </w:rPr>
        <w:t>附件</w:t>
      </w:r>
      <w:r>
        <w:rPr>
          <w:rFonts w:hint="eastAsia" w:ascii="仿宋_GB2312" w:hAnsi="仿宋_GB2312" w:eastAsia="仿宋_GB2312" w:cs="仿宋_GB2312"/>
          <w:b/>
          <w:color w:val="auto"/>
          <w:spacing w:val="6"/>
          <w:sz w:val="32"/>
          <w:szCs w:val="32"/>
          <w:highlight w:val="none"/>
          <w:lang w:val="en-US" w:eastAsia="zh-CN"/>
        </w:rPr>
        <w:t>2</w:t>
      </w:r>
      <w:r>
        <w:rPr>
          <w:rFonts w:hint="eastAsia" w:ascii="仿宋_GB2312" w:hAnsi="仿宋_GB2312" w:eastAsia="仿宋_GB2312" w:cs="仿宋_GB2312"/>
          <w:b/>
          <w:color w:val="auto"/>
          <w:spacing w:val="6"/>
          <w:sz w:val="32"/>
          <w:szCs w:val="32"/>
          <w:highlight w:val="none"/>
        </w:rPr>
        <w:t>：投诉书范本及制作说明</w:t>
      </w:r>
    </w:p>
    <w:p w14:paraId="68F4D896">
      <w:pPr>
        <w:spacing w:line="360" w:lineRule="auto"/>
        <w:jc w:val="center"/>
        <w:rPr>
          <w:rFonts w:ascii="仿宋_GB2312" w:hAnsi="仿宋_GB2312" w:eastAsia="仿宋_GB2312" w:cs="仿宋_GB2312"/>
          <w:b/>
          <w:color w:val="auto"/>
          <w:sz w:val="24"/>
          <w:highlight w:val="none"/>
        </w:rPr>
      </w:pPr>
    </w:p>
    <w:p w14:paraId="3D1E3A5B">
      <w:pPr>
        <w:spacing w:line="360" w:lineRule="auto"/>
        <w:jc w:val="center"/>
        <w:rPr>
          <w:rFonts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t>投诉书范本</w:t>
      </w:r>
    </w:p>
    <w:p w14:paraId="7BA42204">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一、投诉相关主体基本情况</w:t>
      </w:r>
    </w:p>
    <w:p w14:paraId="3F81DFF6">
      <w:pPr>
        <w:spacing w:line="360" w:lineRule="auto"/>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投诉人：</w:t>
      </w:r>
      <w:r>
        <w:rPr>
          <w:rFonts w:hint="eastAsia" w:ascii="仿宋_GB2312" w:hAnsi="仿宋_GB2312" w:eastAsia="仿宋_GB2312" w:cs="仿宋_GB2312"/>
          <w:color w:val="auto"/>
          <w:sz w:val="24"/>
          <w:highlight w:val="none"/>
          <w:u w:val="dotted"/>
        </w:rPr>
        <w:t xml:space="preserve">                                               </w:t>
      </w:r>
    </w:p>
    <w:p w14:paraId="5F085170">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14:paraId="5F7B8705">
      <w:pPr>
        <w:tabs>
          <w:tab w:val="left" w:pos="6510"/>
        </w:tabs>
        <w:spacing w:line="360" w:lineRule="auto"/>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法定代表人/主要负责人：</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 xml:space="preserve">  </w:t>
      </w:r>
    </w:p>
    <w:p w14:paraId="67F94711">
      <w:pPr>
        <w:tabs>
          <w:tab w:val="left" w:pos="6510"/>
        </w:tabs>
        <w:spacing w:line="360" w:lineRule="auto"/>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p>
    <w:p w14:paraId="2BD0EE3E">
      <w:pPr>
        <w:spacing w:line="360" w:lineRule="auto"/>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授权代表：</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p>
    <w:p w14:paraId="10CB6246">
      <w:pPr>
        <w:spacing w:line="360" w:lineRule="auto"/>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dotted"/>
        </w:rPr>
        <w:t xml:space="preserve">                   </w:t>
      </w:r>
    </w:p>
    <w:p w14:paraId="7E22B833">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被投诉人1：</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14:paraId="52842F47">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14:paraId="17C9AB9C">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联系人：</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14:paraId="37D30ECD">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被投诉人2</w:t>
      </w:r>
    </w:p>
    <w:p w14:paraId="62835AE9">
      <w:pPr>
        <w:spacing w:line="360" w:lineRule="auto"/>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w:t>
      </w:r>
    </w:p>
    <w:p w14:paraId="68A98FE3">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相关供应商：</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14:paraId="5C54656D">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邮编：</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14:paraId="321147C7">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联系人：</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联系电话：</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14:paraId="6BC665F6">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二、投诉项目基本情况</w:t>
      </w:r>
    </w:p>
    <w:p w14:paraId="65CA0DE8">
      <w:pPr>
        <w:spacing w:line="360" w:lineRule="auto"/>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采购项目名称：</w:t>
      </w:r>
      <w:r>
        <w:rPr>
          <w:rFonts w:hint="eastAsia" w:ascii="仿宋_GB2312" w:hAnsi="仿宋_GB2312" w:eastAsia="仿宋_GB2312" w:cs="仿宋_GB2312"/>
          <w:color w:val="auto"/>
          <w:sz w:val="24"/>
          <w:highlight w:val="none"/>
          <w:u w:val="dotted"/>
        </w:rPr>
        <w:t xml:space="preserve">                                        </w:t>
      </w:r>
    </w:p>
    <w:p w14:paraId="3A3B4D4C">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采购项目编号：</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包号：</w:t>
      </w:r>
      <w:r>
        <w:rPr>
          <w:rFonts w:hint="eastAsia" w:ascii="仿宋_GB2312" w:hAnsi="仿宋_GB2312" w:eastAsia="仿宋_GB2312" w:cs="仿宋_GB2312"/>
          <w:color w:val="auto"/>
          <w:sz w:val="24"/>
          <w:highlight w:val="none"/>
          <w:u w:val="dotted"/>
        </w:rPr>
        <w:t xml:space="preserve">              </w:t>
      </w:r>
    </w:p>
    <w:p w14:paraId="0ACE5A9D">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采购人名称：</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u w:val="single"/>
        </w:rPr>
        <w:t xml:space="preserve">  </w:t>
      </w:r>
    </w:p>
    <w:p w14:paraId="4F3358A9">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代理机构名称：</w:t>
      </w:r>
      <w:r>
        <w:rPr>
          <w:rFonts w:hint="eastAsia" w:ascii="仿宋_GB2312" w:hAnsi="仿宋_GB2312" w:eastAsia="仿宋_GB2312" w:cs="仿宋_GB2312"/>
          <w:color w:val="auto"/>
          <w:sz w:val="24"/>
          <w:highlight w:val="none"/>
          <w:u w:val="dotted"/>
        </w:rPr>
        <w:t xml:space="preserve">                                         </w:t>
      </w:r>
    </w:p>
    <w:p w14:paraId="1E1DD5B9">
      <w:pPr>
        <w:spacing w:line="360" w:lineRule="auto"/>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采购文件公告:</w:t>
      </w:r>
      <w:r>
        <w:rPr>
          <w:rFonts w:hint="eastAsia" w:ascii="仿宋_GB2312" w:hAnsi="仿宋_GB2312" w:eastAsia="仿宋_GB2312" w:cs="仿宋_GB2312"/>
          <w:color w:val="auto"/>
          <w:sz w:val="24"/>
          <w:highlight w:val="none"/>
          <w:u w:val="dotted"/>
        </w:rPr>
        <w:t xml:space="preserve">是/否 </w:t>
      </w:r>
      <w:r>
        <w:rPr>
          <w:rFonts w:hint="eastAsia" w:ascii="仿宋_GB2312" w:hAnsi="仿宋_GB2312" w:eastAsia="仿宋_GB2312" w:cs="仿宋_GB2312"/>
          <w:color w:val="auto"/>
          <w:sz w:val="24"/>
          <w:highlight w:val="none"/>
        </w:rPr>
        <w:t>公告期限：</w:t>
      </w:r>
      <w:r>
        <w:rPr>
          <w:rFonts w:hint="eastAsia" w:ascii="仿宋_GB2312" w:hAnsi="仿宋_GB2312" w:eastAsia="仿宋_GB2312" w:cs="仿宋_GB2312"/>
          <w:color w:val="auto"/>
          <w:sz w:val="24"/>
          <w:highlight w:val="none"/>
          <w:u w:val="dotted"/>
        </w:rPr>
        <w:t xml:space="preserve">                                 </w:t>
      </w:r>
    </w:p>
    <w:p w14:paraId="5EF0612E">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采购结果公告:</w:t>
      </w:r>
      <w:r>
        <w:rPr>
          <w:rFonts w:hint="eastAsia" w:ascii="仿宋_GB2312" w:hAnsi="仿宋_GB2312" w:eastAsia="仿宋_GB2312" w:cs="仿宋_GB2312"/>
          <w:color w:val="auto"/>
          <w:sz w:val="24"/>
          <w:highlight w:val="none"/>
          <w:u w:val="dotted"/>
        </w:rPr>
        <w:t xml:space="preserve">是/否 </w:t>
      </w:r>
      <w:r>
        <w:rPr>
          <w:rFonts w:hint="eastAsia" w:ascii="仿宋_GB2312" w:hAnsi="仿宋_GB2312" w:eastAsia="仿宋_GB2312" w:cs="仿宋_GB2312"/>
          <w:color w:val="auto"/>
          <w:sz w:val="24"/>
          <w:highlight w:val="none"/>
        </w:rPr>
        <w:t>公告期限：</w:t>
      </w:r>
      <w:r>
        <w:rPr>
          <w:rFonts w:hint="eastAsia" w:ascii="仿宋_GB2312" w:hAnsi="仿宋_GB2312" w:eastAsia="仿宋_GB2312" w:cs="仿宋_GB2312"/>
          <w:color w:val="auto"/>
          <w:sz w:val="24"/>
          <w:highlight w:val="none"/>
          <w:u w:val="dotted"/>
        </w:rPr>
        <w:t xml:space="preserve">                        </w:t>
      </w:r>
    </w:p>
    <w:p w14:paraId="6579A065">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三、质疑基本情况</w:t>
      </w:r>
    </w:p>
    <w:p w14:paraId="1C68F4B1">
      <w:pPr>
        <w:spacing w:line="360" w:lineRule="auto"/>
        <w:ind w:firstLine="480" w:firstLineChars="200"/>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投诉人于</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日,向</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提出质疑，质疑事项为：</w:t>
      </w:r>
      <w:r>
        <w:rPr>
          <w:rFonts w:hint="eastAsia" w:ascii="仿宋_GB2312" w:hAnsi="仿宋_GB2312" w:eastAsia="仿宋_GB2312" w:cs="仿宋_GB2312"/>
          <w:color w:val="auto"/>
          <w:sz w:val="24"/>
          <w:highlight w:val="none"/>
          <w:u w:val="dotted"/>
        </w:rPr>
        <w:t xml:space="preserve">                                </w:t>
      </w:r>
    </w:p>
    <w:p w14:paraId="0AE0C3BB">
      <w:pPr>
        <w:spacing w:line="360" w:lineRule="auto"/>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 xml:space="preserve">  </w:t>
      </w:r>
    </w:p>
    <w:p w14:paraId="1A10C7BD">
      <w:pPr>
        <w:spacing w:line="360" w:lineRule="auto"/>
        <w:ind w:firstLine="360" w:firstLineChars="15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u w:val="dotted"/>
        </w:rPr>
        <w:t>采购人/代理机构</w:t>
      </w:r>
      <w:r>
        <w:rPr>
          <w:rFonts w:hint="eastAsia" w:ascii="仿宋_GB2312" w:hAnsi="仿宋_GB2312" w:eastAsia="仿宋_GB2312" w:cs="仿宋_GB2312"/>
          <w:color w:val="auto"/>
          <w:sz w:val="24"/>
          <w:highlight w:val="none"/>
        </w:rPr>
        <w:t>于</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年</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月</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日,就质疑事项作出了答复/没有在法定期限内作出答复。</w:t>
      </w:r>
    </w:p>
    <w:p w14:paraId="062327F3">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四、投诉事项具体内容</w:t>
      </w:r>
    </w:p>
    <w:p w14:paraId="1D33F057">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投诉事项 1：</w:t>
      </w:r>
      <w:r>
        <w:rPr>
          <w:rFonts w:hint="eastAsia" w:ascii="仿宋_GB2312" w:hAnsi="仿宋_GB2312" w:eastAsia="仿宋_GB2312" w:cs="仿宋_GB2312"/>
          <w:color w:val="auto"/>
          <w:sz w:val="24"/>
          <w:highlight w:val="none"/>
          <w:u w:val="dotted"/>
        </w:rPr>
        <w:t xml:space="preserve">                                       </w:t>
      </w:r>
    </w:p>
    <w:p w14:paraId="4DB374B8">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事实依据：</w:t>
      </w:r>
      <w:r>
        <w:rPr>
          <w:rFonts w:hint="eastAsia" w:ascii="仿宋_GB2312" w:hAnsi="仿宋_GB2312" w:eastAsia="仿宋_GB2312" w:cs="仿宋_GB2312"/>
          <w:color w:val="auto"/>
          <w:sz w:val="24"/>
          <w:highlight w:val="none"/>
          <w:u w:val="dotted"/>
        </w:rPr>
        <w:t xml:space="preserve">                                         </w:t>
      </w:r>
    </w:p>
    <w:p w14:paraId="648A22D2">
      <w:pPr>
        <w:spacing w:line="360" w:lineRule="auto"/>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u w:val="dotted"/>
        </w:rPr>
        <w:t xml:space="preserve">                                                      </w:t>
      </w:r>
    </w:p>
    <w:p w14:paraId="024F76FF">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法律依据：</w:t>
      </w:r>
      <w:r>
        <w:rPr>
          <w:rFonts w:hint="eastAsia" w:ascii="仿宋_GB2312" w:hAnsi="仿宋_GB2312" w:eastAsia="仿宋_GB2312" w:cs="仿宋_GB2312"/>
          <w:color w:val="auto"/>
          <w:sz w:val="24"/>
          <w:highlight w:val="none"/>
          <w:u w:val="dotted"/>
        </w:rPr>
        <w:t xml:space="preserve">                                          </w:t>
      </w:r>
    </w:p>
    <w:p w14:paraId="356324D5">
      <w:pPr>
        <w:spacing w:line="360" w:lineRule="auto"/>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u w:val="dotted"/>
        </w:rPr>
        <w:t xml:space="preserve">                                                      </w:t>
      </w:r>
    </w:p>
    <w:p w14:paraId="2C3E6171">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投诉事项2</w:t>
      </w:r>
    </w:p>
    <w:p w14:paraId="3921A9B9">
      <w:pPr>
        <w:spacing w:line="360" w:lineRule="auto"/>
        <w:rPr>
          <w:rFonts w:ascii="仿宋_GB2312" w:hAnsi="仿宋_GB2312" w:eastAsia="仿宋_GB2312" w:cs="仿宋_GB2312"/>
          <w:color w:val="auto"/>
          <w:sz w:val="24"/>
          <w:highlight w:val="none"/>
          <w:u w:val="dotted"/>
        </w:rPr>
      </w:pPr>
      <w:r>
        <w:rPr>
          <w:rFonts w:hint="eastAsia" w:ascii="仿宋_GB2312" w:hAnsi="仿宋_GB2312" w:eastAsia="仿宋_GB2312" w:cs="仿宋_GB2312"/>
          <w:color w:val="auto"/>
          <w:sz w:val="24"/>
          <w:highlight w:val="none"/>
        </w:rPr>
        <w:t>……</w:t>
      </w:r>
    </w:p>
    <w:p w14:paraId="0092401C">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五、与投诉事项相关的投诉请求</w:t>
      </w:r>
    </w:p>
    <w:p w14:paraId="497D11C9">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请求：</w:t>
      </w:r>
      <w:r>
        <w:rPr>
          <w:rFonts w:hint="eastAsia" w:ascii="仿宋_GB2312" w:hAnsi="仿宋_GB2312" w:eastAsia="仿宋_GB2312" w:cs="仿宋_GB2312"/>
          <w:color w:val="auto"/>
          <w:sz w:val="24"/>
          <w:highlight w:val="none"/>
          <w:u w:val="dotted"/>
        </w:rPr>
        <w:t xml:space="preserve">                                              </w:t>
      </w:r>
      <w:r>
        <w:rPr>
          <w:rFonts w:hint="eastAsia" w:ascii="仿宋_GB2312" w:hAnsi="仿宋_GB2312" w:eastAsia="仿宋_GB2312" w:cs="仿宋_GB2312"/>
          <w:color w:val="auto"/>
          <w:sz w:val="24"/>
          <w:highlight w:val="none"/>
        </w:rPr>
        <w:t xml:space="preserve"> </w:t>
      </w:r>
    </w:p>
    <w:p w14:paraId="7A0EAD54">
      <w:pPr>
        <w:spacing w:line="360" w:lineRule="auto"/>
        <w:rPr>
          <w:rFonts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 xml:space="preserve">                                                                                                    </w:t>
      </w:r>
    </w:p>
    <w:p w14:paraId="442AFCDE">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签字(签章)：                   公章：                      </w:t>
      </w:r>
    </w:p>
    <w:p w14:paraId="4D2C9717">
      <w:pPr>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日期：    </w:t>
      </w:r>
    </w:p>
    <w:p w14:paraId="142B9FFE">
      <w:pPr>
        <w:spacing w:line="360" w:lineRule="auto"/>
        <w:rPr>
          <w:rFonts w:ascii="仿宋_GB2312" w:hAnsi="仿宋_GB2312" w:eastAsia="仿宋_GB2312" w:cs="仿宋_GB2312"/>
          <w:b/>
          <w:color w:val="auto"/>
          <w:sz w:val="24"/>
          <w:highlight w:val="none"/>
        </w:rPr>
      </w:pPr>
    </w:p>
    <w:p w14:paraId="44E7726A">
      <w:pPr>
        <w:spacing w:line="360" w:lineRule="auto"/>
        <w:rPr>
          <w:rFonts w:ascii="仿宋_GB2312" w:hAnsi="仿宋_GB2312" w:eastAsia="仿宋_GB2312" w:cs="仿宋_GB2312"/>
          <w:b/>
          <w:color w:val="auto"/>
          <w:sz w:val="24"/>
          <w:highlight w:val="none"/>
        </w:rPr>
      </w:pPr>
    </w:p>
    <w:p w14:paraId="65D5C6A4">
      <w:pPr>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投诉书制作说明：</w:t>
      </w:r>
    </w:p>
    <w:p w14:paraId="545AF2A5">
      <w:pPr>
        <w:widowControl/>
        <w:spacing w:line="360" w:lineRule="auto"/>
        <w:ind w:firstLine="480" w:firstLineChars="20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1.投诉人提起投诉时，应当提交投诉书和必要的证明材料，并按照被投诉人和与投诉事项有关的供应商数量提供投诉书副本。</w:t>
      </w:r>
    </w:p>
    <w:p w14:paraId="17F4D35E">
      <w:pPr>
        <w:widowControl/>
        <w:spacing w:line="360" w:lineRule="auto"/>
        <w:ind w:firstLine="480" w:firstLineChars="200"/>
        <w:jc w:val="left"/>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2.投诉人若委托代理人进行投诉的，投诉书应按照要求列明“授权代表”的有关内容，并在附件中提交由</w:t>
      </w:r>
      <w:r>
        <w:rPr>
          <w:rFonts w:hint="eastAsia" w:ascii="仿宋_GB2312" w:hAnsi="仿宋_GB2312" w:eastAsia="仿宋_GB2312" w:cs="仿宋_GB2312"/>
          <w:color w:val="auto"/>
          <w:kern w:val="0"/>
          <w:sz w:val="24"/>
          <w:highlight w:val="none"/>
        </w:rPr>
        <w:t>投诉人签署的授权委托书。授权委托书应当载明代理人的姓名或者名称、代理事项、具体权限、期限和相关事项。</w:t>
      </w:r>
    </w:p>
    <w:p w14:paraId="06880B9B">
      <w:pPr>
        <w:widowControl/>
        <w:spacing w:line="360"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3.投诉人若对项目的某一分包进行投诉，投诉书应列明具体分包号。</w:t>
      </w:r>
    </w:p>
    <w:p w14:paraId="76939CB0">
      <w:pPr>
        <w:widowControl/>
        <w:spacing w:line="360"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4.投诉书应简要列明质疑事项，质疑函、质疑答复等作为附件材料提供。</w:t>
      </w:r>
    </w:p>
    <w:p w14:paraId="60AD5A74">
      <w:pPr>
        <w:widowControl/>
        <w:spacing w:line="360"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5.投诉书的投诉事项应具体、明确，并有必要的事实依据和法律依据。</w:t>
      </w:r>
    </w:p>
    <w:p w14:paraId="4CFBE326">
      <w:pPr>
        <w:widowControl/>
        <w:spacing w:line="360" w:lineRule="auto"/>
        <w:ind w:firstLine="480" w:firstLineChars="200"/>
        <w:jc w:val="lef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6.投诉书的投诉请求应与投诉事项相关。</w:t>
      </w:r>
    </w:p>
    <w:p w14:paraId="666874F6">
      <w:pPr>
        <w:widowControl/>
        <w:spacing w:line="360" w:lineRule="auto"/>
        <w:ind w:firstLine="480" w:firstLineChars="200"/>
        <w:jc w:val="left"/>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sz w:val="24"/>
          <w:highlight w:val="none"/>
        </w:rPr>
        <w:t>7.投诉人为自然人的，投诉书应当由本人签字；投诉人为法人或者其他组织的，投诉书应当由法定代表人、主要负责人，或者其授权代表签字或者盖章，并加盖公章。</w:t>
      </w:r>
    </w:p>
    <w:p w14:paraId="28E15B5C">
      <w:pPr>
        <w:rPr>
          <w:rFonts w:ascii="仿宋_GB2312" w:hAnsi="仿宋_GB2312" w:eastAsia="仿宋_GB2312" w:cs="仿宋_GB2312"/>
          <w:b/>
          <w:color w:val="auto"/>
          <w:sz w:val="24"/>
          <w:highlight w:val="none"/>
        </w:rPr>
      </w:pPr>
    </w:p>
    <w:p w14:paraId="02DB5F3B">
      <w:pPr>
        <w:widowControl/>
        <w:adjustRightInd/>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br w:type="page"/>
      </w:r>
    </w:p>
    <w:p w14:paraId="00B1EFFE">
      <w:pPr>
        <w:spacing w:line="360" w:lineRule="auto"/>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hint="eastAsia" w:ascii="仿宋_GB2312" w:hAnsi="仿宋" w:eastAsia="仿宋_GB2312"/>
          <w:b/>
          <w:color w:val="auto"/>
          <w:spacing w:val="6"/>
          <w:sz w:val="32"/>
          <w:szCs w:val="32"/>
          <w:highlight w:val="none"/>
          <w:lang w:val="en-US" w:eastAsia="zh-CN"/>
        </w:rPr>
        <w:t>3</w:t>
      </w:r>
      <w:r>
        <w:rPr>
          <w:rFonts w:ascii="仿宋_GB2312" w:hAnsi="仿宋" w:eastAsia="仿宋_GB2312"/>
          <w:b/>
          <w:color w:val="auto"/>
          <w:spacing w:val="6"/>
          <w:sz w:val="32"/>
          <w:szCs w:val="32"/>
          <w:highlight w:val="none"/>
        </w:rPr>
        <w:t>：</w:t>
      </w:r>
    </w:p>
    <w:p w14:paraId="193F6161">
      <w:pPr>
        <w:spacing w:line="360" w:lineRule="auto"/>
        <w:jc w:val="center"/>
        <w:rPr>
          <w:rFonts w:ascii="仿宋_GB2312" w:hAnsi="仿宋" w:eastAsia="仿宋_GB2312"/>
          <w:b/>
          <w:color w:val="auto"/>
          <w:spacing w:val="6"/>
          <w:sz w:val="32"/>
          <w:szCs w:val="32"/>
          <w:highlight w:val="none"/>
        </w:rPr>
      </w:pPr>
      <w:bookmarkStart w:id="75" w:name="OLE_LINK13"/>
      <w:bookmarkStart w:id="76" w:name="OLE_LINK14"/>
      <w:r>
        <w:rPr>
          <w:rFonts w:hint="eastAsia" w:ascii="仿宋_GB2312" w:hAnsi="仿宋" w:eastAsia="仿宋_GB2312"/>
          <w:b/>
          <w:color w:val="auto"/>
          <w:spacing w:val="6"/>
          <w:sz w:val="32"/>
          <w:szCs w:val="32"/>
          <w:highlight w:val="none"/>
        </w:rPr>
        <w:t>残疾人福利性单位声明函</w:t>
      </w:r>
    </w:p>
    <w:bookmarkEnd w:id="75"/>
    <w:bookmarkEnd w:id="76"/>
    <w:p w14:paraId="7A78C5C2">
      <w:pPr>
        <w:spacing w:line="360" w:lineRule="auto"/>
        <w:rPr>
          <w:rFonts w:ascii="仿宋_GB2312" w:hAnsi="仿宋" w:eastAsia="仿宋_GB2312"/>
          <w:b/>
          <w:color w:val="auto"/>
          <w:spacing w:val="6"/>
          <w:sz w:val="30"/>
          <w:szCs w:val="30"/>
          <w:highlight w:val="none"/>
        </w:rPr>
      </w:pPr>
    </w:p>
    <w:p w14:paraId="744A52E1">
      <w:pPr>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本单位郑重声明，根据《财政部</w:t>
      </w: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sz w:val="24"/>
          <w:highlight w:val="none"/>
        </w:rPr>
        <w:t>民政部</w:t>
      </w: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sz w:val="24"/>
          <w:highlight w:val="none"/>
        </w:rPr>
        <w:t>中国残疾人联合会关于促进残疾人就业政府采购政策的通知》（财库</w:t>
      </w:r>
      <w:r>
        <w:rPr>
          <w:rFonts w:hint="eastAsia" w:ascii="仿宋_GB2312" w:hAnsi="仿宋" w:eastAsia="仿宋_GB2312" w:cs="仿宋_GB2312"/>
          <w:color w:val="auto"/>
          <w:sz w:val="24"/>
          <w:highlight w:val="none"/>
          <w:lang w:eastAsia="zh-CN"/>
        </w:rPr>
        <w:t>〔2017〕141号</w:t>
      </w:r>
      <w:r>
        <w:rPr>
          <w:rFonts w:ascii="仿宋_GB2312" w:hAnsi="仿宋" w:eastAsia="仿宋_GB2312" w:cs="仿宋_GB2312"/>
          <w:color w:val="auto"/>
          <w:sz w:val="24"/>
          <w:highlight w:val="none"/>
        </w:rPr>
        <w:t>）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846CDBC">
      <w:pPr>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本单位对上述声明的真实性负责。如有虚假，将依法承担相应责任。</w:t>
      </w:r>
    </w:p>
    <w:p w14:paraId="29B4FADC">
      <w:pPr>
        <w:spacing w:line="360" w:lineRule="auto"/>
        <w:ind w:firstLine="480" w:firstLineChars="200"/>
        <w:rPr>
          <w:rFonts w:ascii="仿宋_GB2312" w:hAnsi="仿宋" w:eastAsia="仿宋_GB2312" w:cs="仿宋_GB2312"/>
          <w:color w:val="auto"/>
          <w:sz w:val="24"/>
          <w:highlight w:val="none"/>
        </w:rPr>
      </w:pPr>
    </w:p>
    <w:p w14:paraId="469E02D4">
      <w:pPr>
        <w:spacing w:line="360" w:lineRule="auto"/>
        <w:ind w:firstLine="480" w:firstLineChars="200"/>
        <w:rPr>
          <w:rFonts w:ascii="仿宋_GB2312" w:hAnsi="仿宋" w:eastAsia="仿宋_GB2312" w:cs="仿宋_GB2312"/>
          <w:color w:val="auto"/>
          <w:sz w:val="24"/>
          <w:highlight w:val="none"/>
        </w:rPr>
      </w:pPr>
    </w:p>
    <w:p w14:paraId="1981CC02">
      <w:pPr>
        <w:tabs>
          <w:tab w:val="left" w:pos="4860"/>
        </w:tabs>
        <w:spacing w:line="360" w:lineRule="auto"/>
        <w:ind w:right="1560" w:firstLine="480" w:firstLineChars="200"/>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kern w:val="0"/>
          <w:sz w:val="24"/>
          <w:highlight w:val="none"/>
          <w:lang w:val="zh-CN"/>
        </w:rPr>
        <w:t>供应商名称（电子签名）</w:t>
      </w:r>
      <w:r>
        <w:rPr>
          <w:rFonts w:hint="eastAsia" w:ascii="仿宋_GB2312" w:hAnsi="仿宋" w:eastAsia="仿宋_GB2312" w:cs="仿宋_GB2312"/>
          <w:color w:val="auto"/>
          <w:sz w:val="24"/>
          <w:highlight w:val="none"/>
        </w:rPr>
        <w:t>：</w:t>
      </w:r>
    </w:p>
    <w:p w14:paraId="496AB6AA">
      <w:pPr>
        <w:tabs>
          <w:tab w:val="left" w:pos="4860"/>
        </w:tabs>
        <w:spacing w:line="360" w:lineRule="auto"/>
        <w:ind w:right="1560" w:firstLine="480" w:firstLineChars="200"/>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日  期：</w:t>
      </w:r>
    </w:p>
    <w:p w14:paraId="27216798">
      <w:pPr>
        <w:pStyle w:val="22"/>
        <w:rPr>
          <w:color w:val="auto"/>
          <w:highlight w:val="none"/>
        </w:rPr>
      </w:pPr>
    </w:p>
    <w:p w14:paraId="7603B220">
      <w:pPr>
        <w:rPr>
          <w:rFonts w:hint="eastAsia" w:ascii="仿宋_GB2312" w:hAnsi="仿宋_GB2312" w:eastAsia="仿宋_GB2312" w:cs="仿宋_GB2312"/>
          <w:b/>
          <w:color w:val="auto"/>
          <w:spacing w:val="6"/>
          <w:sz w:val="32"/>
          <w:szCs w:val="32"/>
          <w:highlight w:val="none"/>
        </w:rPr>
      </w:pPr>
      <w:r>
        <w:rPr>
          <w:rFonts w:hint="eastAsia" w:ascii="仿宋_GB2312" w:hAnsi="仿宋_GB2312" w:eastAsia="仿宋_GB2312" w:cs="仿宋_GB2312"/>
          <w:b/>
          <w:color w:val="auto"/>
          <w:spacing w:val="6"/>
          <w:sz w:val="32"/>
          <w:szCs w:val="32"/>
          <w:highlight w:val="none"/>
        </w:rPr>
        <w:br w:type="page"/>
      </w:r>
    </w:p>
    <w:p w14:paraId="0B8A288D">
      <w:pPr>
        <w:autoSpaceDE w:val="0"/>
        <w:autoSpaceDN w:val="0"/>
        <w:jc w:val="both"/>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4：</w:t>
      </w:r>
    </w:p>
    <w:p w14:paraId="1997F40F">
      <w:pPr>
        <w:autoSpaceDE w:val="0"/>
        <w:autoSpaceDN w:val="0"/>
        <w:jc w:val="both"/>
        <w:rPr>
          <w:rFonts w:ascii="仿宋" w:hAnsi="仿宋" w:eastAsia="仿宋"/>
          <w:b/>
          <w:color w:val="auto"/>
          <w:spacing w:val="6"/>
          <w:sz w:val="32"/>
          <w:szCs w:val="32"/>
          <w:highlight w:val="none"/>
        </w:rPr>
      </w:pPr>
    </w:p>
    <w:p w14:paraId="20E94D91">
      <w:pPr>
        <w:autoSpaceDE w:val="0"/>
        <w:autoSpaceDN w:val="0"/>
        <w:jc w:val="center"/>
        <w:rPr>
          <w:rFonts w:ascii="仿宋" w:hAnsi="仿宋" w:eastAsia="仿宋"/>
          <w:b/>
          <w:bCs/>
          <w:color w:val="auto"/>
          <w:sz w:val="32"/>
          <w:szCs w:val="32"/>
          <w:highlight w:val="none"/>
        </w:rPr>
      </w:pPr>
      <w:r>
        <w:rPr>
          <w:rFonts w:hint="eastAsia" w:ascii="仿宋" w:hAnsi="仿宋" w:eastAsia="仿宋"/>
          <w:b/>
          <w:bCs/>
          <w:color w:val="auto"/>
          <w:sz w:val="32"/>
          <w:szCs w:val="32"/>
          <w:highlight w:val="none"/>
        </w:rPr>
        <w:t>业务专用章使用说明函</w:t>
      </w:r>
    </w:p>
    <w:p w14:paraId="1F8C6244">
      <w:pPr>
        <w:spacing w:line="360" w:lineRule="auto"/>
        <w:rPr>
          <w:rFonts w:hint="eastAsia" w:ascii="仿宋" w:hAnsi="仿宋" w:eastAsia="仿宋" w:cs="仿宋_GB2312"/>
          <w:color w:val="auto"/>
          <w:sz w:val="24"/>
          <w:highlight w:val="none"/>
          <w:u w:val="single"/>
        </w:rPr>
      </w:pPr>
    </w:p>
    <w:p w14:paraId="34D6F40E">
      <w:pPr>
        <w:spacing w:line="360" w:lineRule="auto"/>
        <w:rPr>
          <w:rFonts w:ascii="仿宋" w:hAnsi="仿宋" w:eastAsia="仿宋"/>
          <w:color w:val="auto"/>
          <w:sz w:val="24"/>
          <w:highlight w:val="none"/>
        </w:rPr>
      </w:pPr>
      <w:r>
        <w:rPr>
          <w:rFonts w:hint="eastAsia" w:ascii="仿宋" w:hAnsi="仿宋" w:eastAsia="仿宋" w:cs="仿宋_GB2312"/>
          <w:color w:val="auto"/>
          <w:sz w:val="24"/>
          <w:highlight w:val="none"/>
          <w:u w:val="single"/>
        </w:rPr>
        <w:t>（采购人）、（采购代理机构）</w:t>
      </w:r>
    </w:p>
    <w:p w14:paraId="3874CF09">
      <w:pPr>
        <w:spacing w:line="360" w:lineRule="auto"/>
        <w:ind w:firstLine="480" w:firstLineChars="200"/>
        <w:rPr>
          <w:rFonts w:ascii="仿宋" w:hAnsi="仿宋" w:eastAsia="仿宋" w:cs="宋体"/>
          <w:color w:val="auto"/>
          <w:sz w:val="24"/>
          <w:highlight w:val="none"/>
        </w:rPr>
      </w:pPr>
      <w:r>
        <w:rPr>
          <w:rFonts w:hint="eastAsia" w:ascii="仿宋" w:hAnsi="仿宋" w:eastAsia="仿宋" w:cs="仿宋_GB2312"/>
          <w:color w:val="auto"/>
          <w:kern w:val="0"/>
          <w:sz w:val="24"/>
          <w:highlight w:val="none"/>
          <w:lang w:val="zh-CN"/>
        </w:rPr>
        <w:t>我方</w:t>
      </w:r>
      <w:r>
        <w:rPr>
          <w:rFonts w:ascii="仿宋" w:hAnsi="仿宋" w:eastAsia="仿宋" w:cs="仿宋_GB2312"/>
          <w:color w:val="auto"/>
          <w:kern w:val="0"/>
          <w:sz w:val="24"/>
          <w:highlight w:val="none"/>
          <w:u w:val="single"/>
          <w:lang w:val="zh-CN"/>
        </w:rPr>
        <w:t xml:space="preserve">                         </w:t>
      </w:r>
      <w:r>
        <w:rPr>
          <w:rFonts w:ascii="仿宋" w:hAnsi="仿宋" w:eastAsia="仿宋" w:cs="仿宋_GB2312"/>
          <w:color w:val="auto"/>
          <w:sz w:val="24"/>
          <w:highlight w:val="none"/>
        </w:rPr>
        <w:t>(</w:t>
      </w:r>
      <w:r>
        <w:rPr>
          <w:rFonts w:hint="eastAsia" w:ascii="仿宋" w:hAnsi="仿宋" w:eastAsia="仿宋" w:cs="仿宋_GB2312"/>
          <w:color w:val="auto"/>
          <w:sz w:val="24"/>
          <w:highlight w:val="none"/>
          <w:lang w:eastAsia="zh-CN"/>
        </w:rPr>
        <w:t>供应商</w:t>
      </w:r>
      <w:r>
        <w:rPr>
          <w:rFonts w:ascii="仿宋" w:hAnsi="仿宋" w:eastAsia="仿宋" w:cs="仿宋_GB2312"/>
          <w:color w:val="auto"/>
          <w:sz w:val="24"/>
          <w:highlight w:val="none"/>
        </w:rPr>
        <w:t>全称)</w:t>
      </w:r>
      <w:r>
        <w:rPr>
          <w:rFonts w:hint="eastAsia" w:ascii="仿宋" w:hAnsi="仿宋" w:eastAsia="仿宋"/>
          <w:color w:val="auto"/>
          <w:sz w:val="24"/>
          <w:highlight w:val="none"/>
        </w:rPr>
        <w:t>是中华人民共和国依法登记注册的合法企业，</w:t>
      </w:r>
      <w:r>
        <w:rPr>
          <w:rFonts w:hint="eastAsia" w:ascii="仿宋" w:hAnsi="仿宋" w:eastAsia="仿宋" w:cs="宋体"/>
          <w:bCs/>
          <w:color w:val="auto"/>
          <w:sz w:val="24"/>
          <w:highlight w:val="none"/>
        </w:rPr>
        <w:t>在参加</w:t>
      </w:r>
      <w:r>
        <w:rPr>
          <w:rFonts w:hint="eastAsia" w:ascii="仿宋" w:hAnsi="仿宋" w:eastAsia="仿宋" w:cs="仿宋_GB2312"/>
          <w:color w:val="auto"/>
          <w:sz w:val="24"/>
          <w:highlight w:val="none"/>
          <w:lang w:eastAsia="zh-CN"/>
        </w:rPr>
        <w:t>贵</w:t>
      </w:r>
      <w:r>
        <w:rPr>
          <w:rFonts w:hint="eastAsia" w:ascii="仿宋" w:hAnsi="仿宋" w:eastAsia="仿宋" w:cs="仿宋_GB2312"/>
          <w:color w:val="auto"/>
          <w:sz w:val="24"/>
          <w:highlight w:val="none"/>
        </w:rPr>
        <w:t>方组织的</w:t>
      </w:r>
      <w:r>
        <w:rPr>
          <w:rFonts w:hint="eastAsia" w:ascii="仿宋_GB2312" w:hAnsi="仿宋" w:eastAsia="仿宋_GB2312" w:cs="仿宋_GB2312"/>
          <w:color w:val="auto"/>
          <w:sz w:val="24"/>
          <w:highlight w:val="none"/>
        </w:rPr>
        <w:t>（项目名称）项目</w:t>
      </w:r>
      <w:r>
        <w:rPr>
          <w:rFonts w:hint="eastAsia" w:ascii="仿宋" w:hAnsi="仿宋" w:eastAsia="仿宋" w:cs="仿宋_GB2312"/>
          <w:color w:val="auto"/>
          <w:sz w:val="24"/>
          <w:highlight w:val="none"/>
        </w:rPr>
        <w:t>【编号：（采购编号）</w:t>
      </w:r>
      <w:r>
        <w:rPr>
          <w:rFonts w:ascii="仿宋" w:hAnsi="仿宋" w:eastAsia="仿宋" w:cs="仿宋_GB2312"/>
          <w:color w:val="auto"/>
          <w:sz w:val="24"/>
          <w:highlight w:val="none"/>
        </w:rPr>
        <w:t>】</w:t>
      </w:r>
      <w:r>
        <w:rPr>
          <w:rFonts w:hint="eastAsia" w:ascii="仿宋" w:hAnsi="仿宋" w:eastAsia="仿宋" w:cs="仿宋_GB2312"/>
          <w:color w:val="auto"/>
          <w:sz w:val="24"/>
          <w:highlight w:val="none"/>
          <w:lang w:eastAsia="zh-CN"/>
        </w:rPr>
        <w:t>采购</w:t>
      </w:r>
      <w:r>
        <w:rPr>
          <w:rFonts w:hint="eastAsia" w:ascii="仿宋" w:hAnsi="仿宋" w:eastAsia="仿宋" w:cs="宋体"/>
          <w:bCs/>
          <w:color w:val="auto"/>
          <w:sz w:val="24"/>
          <w:highlight w:val="none"/>
        </w:rPr>
        <w:t>活动中作如下说明：</w:t>
      </w:r>
      <w:r>
        <w:rPr>
          <w:rFonts w:hint="eastAsia" w:ascii="仿宋" w:hAnsi="仿宋" w:eastAsia="仿宋" w:cs="宋体"/>
          <w:color w:val="auto"/>
          <w:sz w:val="24"/>
          <w:highlight w:val="none"/>
        </w:rPr>
        <w:t>我方所使用的“</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专用章”与法定名称章具有同等的法律效力，对使用“</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专用章”的行为予以完全承认，并愿意承担相应责任。</w:t>
      </w:r>
      <w:r>
        <w:rPr>
          <w:rFonts w:ascii="仿宋" w:hAnsi="仿宋" w:eastAsia="仿宋" w:cs="宋体"/>
          <w:color w:val="auto"/>
          <w:sz w:val="24"/>
          <w:highlight w:val="none"/>
        </w:rPr>
        <w:t xml:space="preserve">   </w:t>
      </w:r>
    </w:p>
    <w:p w14:paraId="1DC42A62">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特此说明。</w:t>
      </w:r>
    </w:p>
    <w:p w14:paraId="2B34D1D5">
      <w:pPr>
        <w:spacing w:line="360" w:lineRule="auto"/>
        <w:ind w:firstLine="494"/>
        <w:rPr>
          <w:rFonts w:ascii="仿宋" w:hAnsi="仿宋" w:eastAsia="仿宋" w:cs="宋体"/>
          <w:color w:val="auto"/>
          <w:sz w:val="24"/>
          <w:highlight w:val="none"/>
        </w:rPr>
      </w:pPr>
    </w:p>
    <w:p w14:paraId="0BD9FF3F">
      <w:pPr>
        <w:spacing w:line="360" w:lineRule="auto"/>
        <w:ind w:firstLine="494"/>
        <w:rPr>
          <w:rFonts w:ascii="仿宋" w:hAnsi="仿宋" w:eastAsia="仿宋" w:cs="宋体"/>
          <w:color w:val="auto"/>
          <w:sz w:val="24"/>
          <w:highlight w:val="none"/>
        </w:rPr>
      </w:pPr>
    </w:p>
    <w:p w14:paraId="5B1B5B4F">
      <w:pPr>
        <w:spacing w:line="360" w:lineRule="auto"/>
        <w:ind w:right="480" w:firstLine="4080" w:firstLineChars="1700"/>
        <w:rPr>
          <w:rFonts w:ascii="仿宋" w:hAnsi="仿宋" w:eastAsia="仿宋" w:cs="宋体"/>
          <w:color w:val="auto"/>
          <w:sz w:val="24"/>
          <w:highlight w:val="none"/>
        </w:rPr>
      </w:pPr>
      <w:r>
        <w:rPr>
          <w:rFonts w:hint="eastAsia" w:ascii="仿宋" w:hAnsi="仿宋" w:eastAsia="仿宋" w:cs="宋体"/>
          <w:color w:val="auto"/>
          <w:sz w:val="24"/>
          <w:highlight w:val="none"/>
          <w:lang w:eastAsia="zh-CN"/>
        </w:rPr>
        <w:t>供应商</w:t>
      </w:r>
      <w:r>
        <w:rPr>
          <w:rFonts w:hint="eastAsia" w:ascii="仿宋" w:hAnsi="仿宋" w:eastAsia="仿宋" w:cs="宋体"/>
          <w:color w:val="auto"/>
          <w:sz w:val="24"/>
          <w:highlight w:val="none"/>
        </w:rPr>
        <w:t>（法定名称章）：</w:t>
      </w:r>
    </w:p>
    <w:p w14:paraId="54A15DFF">
      <w:pPr>
        <w:ind w:right="1440" w:firstLine="494"/>
        <w:jc w:val="center"/>
        <w:rPr>
          <w:rFonts w:ascii="仿宋" w:hAnsi="仿宋" w:eastAsia="仿宋" w:cs="宋体"/>
          <w:color w:val="auto"/>
          <w:sz w:val="24"/>
          <w:highlight w:val="none"/>
        </w:rPr>
      </w:pPr>
      <w:r>
        <w:rPr>
          <w:rFonts w:ascii="仿宋" w:hAnsi="仿宋" w:eastAsia="仿宋" w:cs="宋体"/>
          <w:color w:val="auto"/>
          <w:sz w:val="24"/>
          <w:highlight w:val="none"/>
        </w:rPr>
        <w:t xml:space="preserve">                日期：       年     月     日</w:t>
      </w:r>
    </w:p>
    <w:p w14:paraId="4724FAA5">
      <w:pPr>
        <w:rPr>
          <w:rFonts w:hint="eastAsia" w:ascii="仿宋" w:hAnsi="仿宋" w:eastAsia="仿宋" w:cs="宋体"/>
          <w:b/>
          <w:bCs/>
          <w:color w:val="auto"/>
          <w:sz w:val="24"/>
          <w:highlight w:val="none"/>
        </w:rPr>
      </w:pPr>
    </w:p>
    <w:p w14:paraId="143D334B">
      <w:pPr>
        <w:rPr>
          <w:rFonts w:ascii="仿宋" w:hAnsi="仿宋" w:eastAsia="仿宋" w:cs="宋体"/>
          <w:color w:val="auto"/>
          <w:sz w:val="24"/>
          <w:highlight w:val="none"/>
        </w:rPr>
      </w:pPr>
      <w:r>
        <w:rPr>
          <w:rFonts w:hint="eastAsia" w:ascii="仿宋" w:hAnsi="仿宋" w:eastAsia="仿宋" w:cs="宋体"/>
          <w:b/>
          <w:bCs/>
          <w:color w:val="auto"/>
          <w:sz w:val="24"/>
          <w:highlight w:val="none"/>
        </w:rPr>
        <w:t>附：</w:t>
      </w:r>
    </w:p>
    <w:p w14:paraId="2DAD605B">
      <w:pPr>
        <w:spacing w:line="360" w:lineRule="auto"/>
        <w:rPr>
          <w:rFonts w:ascii="仿宋" w:hAnsi="仿宋" w:eastAsia="仿宋"/>
          <w:bCs/>
          <w:color w:val="auto"/>
          <w:sz w:val="24"/>
          <w:highlight w:val="none"/>
        </w:rPr>
      </w:pPr>
      <w:r>
        <w:rPr>
          <w:rFonts w:ascii="仿宋" w:hAnsi="仿宋" w:eastAsia="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仿宋" w:hAnsi="仿宋" w:eastAsia="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BO+fS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tBO+f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b/>
          <w:bCs/>
          <w:color w:val="auto"/>
          <w:sz w:val="24"/>
          <w:highlight w:val="none"/>
          <w:lang w:eastAsia="zh-CN"/>
        </w:rPr>
        <w:t>供应商</w:t>
      </w:r>
      <w:r>
        <w:rPr>
          <w:rFonts w:hint="eastAsia" w:ascii="仿宋" w:hAnsi="仿宋" w:eastAsia="仿宋" w:cs="宋体"/>
          <w:color w:val="auto"/>
          <w:sz w:val="24"/>
          <w:highlight w:val="none"/>
        </w:rPr>
        <w:t>法定名称章（印模）</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lang w:eastAsia="zh-CN"/>
        </w:rPr>
        <w:t>供应商</w:t>
      </w:r>
      <w:r>
        <w:rPr>
          <w:rFonts w:hint="eastAsia" w:ascii="仿宋" w:hAnsi="仿宋" w:eastAsia="仿宋" w:cs="宋体"/>
          <w:color w:val="auto"/>
          <w:sz w:val="24"/>
          <w:highlight w:val="none"/>
        </w:rPr>
        <w:t>“</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专用章”（印模）</w:t>
      </w:r>
    </w:p>
    <w:p w14:paraId="6C672011">
      <w:pPr>
        <w:autoSpaceDE w:val="0"/>
        <w:autoSpaceDN w:val="0"/>
        <w:jc w:val="center"/>
        <w:rPr>
          <w:rFonts w:ascii="仿宋" w:hAnsi="仿宋" w:eastAsia="仿宋"/>
          <w:b/>
          <w:color w:val="auto"/>
          <w:spacing w:val="6"/>
          <w:sz w:val="32"/>
          <w:szCs w:val="32"/>
          <w:highlight w:val="none"/>
        </w:rPr>
      </w:pPr>
    </w:p>
    <w:p w14:paraId="395587AC">
      <w:pPr>
        <w:autoSpaceDE w:val="0"/>
        <w:autoSpaceDN w:val="0"/>
        <w:jc w:val="center"/>
        <w:rPr>
          <w:rFonts w:ascii="仿宋" w:hAnsi="仿宋" w:eastAsia="仿宋"/>
          <w:b/>
          <w:color w:val="auto"/>
          <w:spacing w:val="6"/>
          <w:sz w:val="32"/>
          <w:szCs w:val="32"/>
          <w:highlight w:val="none"/>
        </w:rPr>
      </w:pPr>
    </w:p>
    <w:p w14:paraId="5D8E65E8">
      <w:pPr>
        <w:autoSpaceDE w:val="0"/>
        <w:autoSpaceDN w:val="0"/>
        <w:jc w:val="center"/>
        <w:rPr>
          <w:rFonts w:ascii="仿宋" w:hAnsi="仿宋" w:eastAsia="仿宋"/>
          <w:b/>
          <w:color w:val="auto"/>
          <w:spacing w:val="6"/>
          <w:sz w:val="32"/>
          <w:szCs w:val="32"/>
          <w:highlight w:val="none"/>
        </w:rPr>
      </w:pPr>
    </w:p>
    <w:p w14:paraId="02EA9F93">
      <w:pPr>
        <w:autoSpaceDE w:val="0"/>
        <w:autoSpaceDN w:val="0"/>
        <w:jc w:val="center"/>
        <w:rPr>
          <w:rFonts w:ascii="仿宋" w:hAnsi="仿宋" w:eastAsia="仿宋"/>
          <w:b/>
          <w:color w:val="auto"/>
          <w:spacing w:val="6"/>
          <w:sz w:val="32"/>
          <w:szCs w:val="32"/>
          <w:highlight w:val="none"/>
        </w:rPr>
      </w:pPr>
    </w:p>
    <w:p w14:paraId="71AE5830">
      <w:pPr>
        <w:autoSpaceDE w:val="0"/>
        <w:autoSpaceDN w:val="0"/>
        <w:jc w:val="center"/>
        <w:rPr>
          <w:rFonts w:ascii="仿宋" w:hAnsi="仿宋" w:eastAsia="仿宋"/>
          <w:b/>
          <w:color w:val="auto"/>
          <w:spacing w:val="6"/>
          <w:sz w:val="32"/>
          <w:szCs w:val="32"/>
          <w:highlight w:val="none"/>
        </w:rPr>
      </w:pPr>
    </w:p>
    <w:p w14:paraId="2EC0883F">
      <w:pPr>
        <w:autoSpaceDE w:val="0"/>
        <w:autoSpaceDN w:val="0"/>
        <w:jc w:val="center"/>
        <w:rPr>
          <w:rFonts w:ascii="仿宋" w:hAnsi="仿宋" w:eastAsia="仿宋"/>
          <w:b/>
          <w:color w:val="auto"/>
          <w:spacing w:val="6"/>
          <w:sz w:val="32"/>
          <w:szCs w:val="32"/>
          <w:highlight w:val="none"/>
        </w:rPr>
      </w:pPr>
    </w:p>
    <w:p w14:paraId="2D19AD5D">
      <w:pPr>
        <w:autoSpaceDE w:val="0"/>
        <w:autoSpaceDN w:val="0"/>
        <w:jc w:val="center"/>
        <w:rPr>
          <w:rFonts w:ascii="仿宋" w:hAnsi="仿宋" w:eastAsia="仿宋"/>
          <w:b/>
          <w:color w:val="auto"/>
          <w:spacing w:val="6"/>
          <w:sz w:val="32"/>
          <w:szCs w:val="32"/>
          <w:highlight w:val="none"/>
        </w:rPr>
      </w:pPr>
    </w:p>
    <w:p w14:paraId="66D850C2">
      <w:pPr>
        <w:autoSpaceDE w:val="0"/>
        <w:autoSpaceDN w:val="0"/>
        <w:jc w:val="center"/>
        <w:rPr>
          <w:rFonts w:ascii="仿宋" w:hAnsi="仿宋" w:eastAsia="仿宋"/>
          <w:b/>
          <w:color w:val="auto"/>
          <w:spacing w:val="6"/>
          <w:sz w:val="32"/>
          <w:szCs w:val="32"/>
          <w:highlight w:val="none"/>
        </w:rPr>
      </w:pPr>
    </w:p>
    <w:p w14:paraId="480F4776">
      <w:pPr>
        <w:autoSpaceDE w:val="0"/>
        <w:autoSpaceDN w:val="0"/>
        <w:jc w:val="center"/>
        <w:rPr>
          <w:rFonts w:ascii="仿宋" w:hAnsi="仿宋" w:eastAsia="仿宋"/>
          <w:b/>
          <w:color w:val="auto"/>
          <w:spacing w:val="6"/>
          <w:sz w:val="32"/>
          <w:szCs w:val="32"/>
          <w:highlight w:val="none"/>
        </w:rPr>
      </w:pPr>
    </w:p>
    <w:p w14:paraId="09F7BFC5">
      <w:pPr>
        <w:autoSpaceDE w:val="0"/>
        <w:autoSpaceDN w:val="0"/>
        <w:jc w:val="center"/>
        <w:rPr>
          <w:rFonts w:ascii="仿宋" w:hAnsi="仿宋" w:eastAsia="仿宋"/>
          <w:b/>
          <w:color w:val="auto"/>
          <w:spacing w:val="6"/>
          <w:sz w:val="32"/>
          <w:szCs w:val="32"/>
          <w:highlight w:val="none"/>
        </w:rPr>
      </w:pPr>
    </w:p>
    <w:p w14:paraId="75B20637">
      <w:pPr>
        <w:autoSpaceDE w:val="0"/>
        <w:autoSpaceDN w:val="0"/>
        <w:jc w:val="center"/>
        <w:rPr>
          <w:rFonts w:ascii="仿宋" w:hAnsi="仿宋" w:eastAsia="仿宋"/>
          <w:b/>
          <w:color w:val="auto"/>
          <w:spacing w:val="6"/>
          <w:sz w:val="32"/>
          <w:szCs w:val="32"/>
          <w:highlight w:val="none"/>
        </w:rPr>
      </w:pPr>
    </w:p>
    <w:p w14:paraId="00A48C15">
      <w:pPr>
        <w:autoSpaceDE w:val="0"/>
        <w:autoSpaceDN w:val="0"/>
        <w:jc w:val="center"/>
        <w:rPr>
          <w:rFonts w:ascii="仿宋" w:hAnsi="仿宋" w:eastAsia="仿宋"/>
          <w:b/>
          <w:color w:val="auto"/>
          <w:spacing w:val="6"/>
          <w:sz w:val="32"/>
          <w:szCs w:val="32"/>
          <w:highlight w:val="none"/>
        </w:rPr>
      </w:pPr>
    </w:p>
    <w:p w14:paraId="225E5188">
      <w:pPr>
        <w:autoSpaceDE w:val="0"/>
        <w:autoSpaceDN w:val="0"/>
        <w:jc w:val="center"/>
        <w:rPr>
          <w:rFonts w:hint="eastAsia" w:ascii="仿宋" w:hAnsi="仿宋" w:eastAsia="仿宋"/>
          <w:b/>
          <w:color w:val="auto"/>
          <w:spacing w:val="6"/>
          <w:sz w:val="32"/>
          <w:szCs w:val="32"/>
          <w:highlight w:val="none"/>
        </w:rPr>
      </w:pPr>
    </w:p>
    <w:p w14:paraId="5951DFEC">
      <w:pPr>
        <w:rPr>
          <w:rFonts w:hint="eastAsia"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br w:type="page"/>
      </w:r>
    </w:p>
    <w:p w14:paraId="0B94DAFB">
      <w:pPr>
        <w:tabs>
          <w:tab w:val="left" w:pos="2761"/>
          <w:tab w:val="center" w:pos="4595"/>
        </w:tabs>
        <w:autoSpaceDE w:val="0"/>
        <w:autoSpaceDN w:val="0"/>
        <w:jc w:val="left"/>
        <w:rPr>
          <w:rFonts w:hint="eastAsia" w:ascii="仿宋" w:hAnsi="仿宋" w:eastAsia="仿宋"/>
          <w:b/>
          <w:color w:val="auto"/>
          <w:spacing w:val="6"/>
          <w:sz w:val="32"/>
          <w:szCs w:val="32"/>
          <w:highlight w:val="none"/>
          <w:lang w:val="en-US" w:eastAsia="zh-CN"/>
        </w:rPr>
      </w:pPr>
      <w:r>
        <w:rPr>
          <w:rFonts w:hint="eastAsia" w:ascii="仿宋" w:hAnsi="仿宋" w:eastAsia="仿宋"/>
          <w:b/>
          <w:color w:val="auto"/>
          <w:spacing w:val="6"/>
          <w:sz w:val="32"/>
          <w:szCs w:val="32"/>
          <w:highlight w:val="none"/>
          <w:lang w:eastAsia="zh-CN"/>
        </w:rPr>
        <w:t>附件</w:t>
      </w:r>
      <w:r>
        <w:rPr>
          <w:rFonts w:hint="eastAsia" w:ascii="仿宋" w:hAnsi="仿宋" w:eastAsia="仿宋"/>
          <w:b/>
          <w:color w:val="auto"/>
          <w:spacing w:val="6"/>
          <w:sz w:val="32"/>
          <w:szCs w:val="32"/>
          <w:highlight w:val="none"/>
          <w:lang w:val="en-US" w:eastAsia="zh-CN"/>
        </w:rPr>
        <w:t>5</w:t>
      </w:r>
    </w:p>
    <w:p w14:paraId="53857F11">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联合协议（如果有）</w:t>
      </w:r>
    </w:p>
    <w:p w14:paraId="1597B2F1">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（以联合体形式响应的，提供联合协议；本项目不接受联合体响应或者供应商不以联合体形式响应的，则不需要提供）</w:t>
      </w:r>
    </w:p>
    <w:p w14:paraId="1606478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组成一个联合体，以一个供应商的身份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 xml:space="preserve">【项目编号：（采购编号）】响应。 </w:t>
      </w:r>
    </w:p>
    <w:p w14:paraId="5F0F919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，代表所有联合体成员负责响应和合同实施阶段的主办、协调工作</w:t>
      </w:r>
      <w:r>
        <w:rPr>
          <w:rFonts w:hint="eastAsia" w:ascii="仿宋" w:hAnsi="仿宋" w:eastAsia="仿宋" w:cs="仿宋"/>
          <w:color w:val="auto"/>
          <w:kern w:val="0"/>
          <w:sz w:val="24"/>
          <w:highlight w:val="none"/>
          <w:lang w:val="zh-CN"/>
        </w:rPr>
        <w:t>。</w:t>
      </w:r>
    </w:p>
    <w:p w14:paraId="4CF9168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授权代表根据磋商文件规定及采购内容而对采购人、采购代理机构所作的任何合法承诺，包括书面澄清及相应等均对联合体各方产生约束力。</w:t>
      </w:r>
    </w:p>
    <w:p w14:paraId="6A8057B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三、本次联合响应中，分工如下：</w:t>
      </w:r>
    </w:p>
    <w:p w14:paraId="22EA305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4E707AB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843E8A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26489D0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四、联合体成员中小企业合同份额（如果有）。</w:t>
      </w:r>
    </w:p>
    <w:p w14:paraId="45F4502C">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77" w:name="_Hlk101131882"/>
      <w:r>
        <w:rPr>
          <w:rFonts w:hint="eastAsia" w:ascii="仿宋" w:hAnsi="仿宋" w:eastAsia="仿宋" w:cs="仿宋"/>
          <w:color w:val="auto"/>
          <w:kern w:val="0"/>
          <w:sz w:val="24"/>
          <w:highlight w:val="none"/>
          <w:u w:val="single"/>
        </w:rPr>
        <w:t>联合体成员X,……</w:t>
      </w:r>
      <w:bookmarkEnd w:id="77"/>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78"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78"/>
      <w:r>
        <w:rPr>
          <w:rFonts w:hint="eastAsia" w:ascii="仿宋" w:hAnsi="仿宋" w:eastAsia="仿宋" w:cs="仿宋"/>
          <w:b/>
          <w:color w:val="auto"/>
          <w:kern w:val="0"/>
          <w:sz w:val="24"/>
          <w:highlight w:val="none"/>
          <w:lang w:val="zh-CN"/>
        </w:rPr>
        <w:t>）</w:t>
      </w:r>
    </w:p>
    <w:p w14:paraId="59EB979F">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79"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79"/>
    </w:p>
    <w:p w14:paraId="6178F06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五、如果成交，</w:t>
      </w:r>
      <w:r>
        <w:rPr>
          <w:rFonts w:hint="eastAsia" w:ascii="仿宋" w:hAnsi="仿宋" w:eastAsia="仿宋" w:cs="仿宋"/>
          <w:color w:val="auto"/>
          <w:sz w:val="24"/>
          <w:highlight w:val="none"/>
        </w:rPr>
        <w:t>联合体各成员方共同与采购人签订合同，并就采购合同约定的事项对采购人承担连带责任。</w:t>
      </w:r>
    </w:p>
    <w:p w14:paraId="73F8B6E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六、有关本次联合响应的其他事宜：</w:t>
      </w:r>
    </w:p>
    <w:p w14:paraId="4F6B279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778E46A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0B9BD1B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611F5330">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1136C97">
      <w:pPr>
        <w:snapToGrid w:val="0"/>
        <w:spacing w:line="360" w:lineRule="auto"/>
        <w:ind w:firstLine="5040" w:firstLineChars="2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429C998">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37C806D">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102C12C8">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5AE118FD">
      <w:pP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0BE16DB1">
      <w:pPr>
        <w:rPr>
          <w:rFonts w:hint="eastAsia"/>
          <w:color w:val="auto"/>
          <w:highlight w:val="none"/>
        </w:rPr>
      </w:pPr>
    </w:p>
    <w:p w14:paraId="5976969B">
      <w:pPr>
        <w:tabs>
          <w:tab w:val="left" w:pos="2761"/>
          <w:tab w:val="center" w:pos="4595"/>
        </w:tabs>
        <w:autoSpaceDE w:val="0"/>
        <w:autoSpaceDN w:val="0"/>
        <w:jc w:val="left"/>
        <w:rPr>
          <w:rFonts w:hint="eastAsia" w:ascii="仿宋_GB2312" w:hAnsi="宋体" w:eastAsia="仿宋_GB2312"/>
          <w:b/>
          <w:color w:val="auto"/>
          <w:sz w:val="32"/>
          <w:szCs w:val="32"/>
          <w:highlight w:val="none"/>
          <w:lang w:val="en-US" w:eastAsia="zh-CN"/>
        </w:rPr>
      </w:pPr>
      <w:r>
        <w:rPr>
          <w:rFonts w:hint="eastAsia" w:ascii="仿宋_GB2312" w:hAnsi="宋体" w:eastAsia="仿宋_GB2312"/>
          <w:b/>
          <w:color w:val="auto"/>
          <w:sz w:val="32"/>
          <w:szCs w:val="32"/>
          <w:highlight w:val="none"/>
          <w:lang w:eastAsia="zh-CN"/>
        </w:rPr>
        <w:t>附件</w:t>
      </w:r>
      <w:r>
        <w:rPr>
          <w:rFonts w:hint="eastAsia" w:ascii="仿宋_GB2312" w:hAnsi="宋体" w:eastAsia="仿宋_GB2312"/>
          <w:b/>
          <w:color w:val="auto"/>
          <w:sz w:val="32"/>
          <w:szCs w:val="32"/>
          <w:highlight w:val="none"/>
          <w:lang w:val="en-US" w:eastAsia="zh-CN"/>
        </w:rPr>
        <w:t>6</w:t>
      </w:r>
    </w:p>
    <w:p w14:paraId="47D27510">
      <w:pPr>
        <w:snapToGrid w:val="0"/>
        <w:spacing w:line="360" w:lineRule="auto"/>
        <w:ind w:left="0" w:leftChars="0"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分包意向协议（如果有）</w:t>
      </w:r>
    </w:p>
    <w:p w14:paraId="29D42087">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成交后以分包方式履行合同的，提供分包意向协议；采购人不同意分包或者供应商成交后不以分包方式履行合同的，则不需要提供。</w:t>
      </w:r>
      <w:r>
        <w:rPr>
          <w:rFonts w:hint="eastAsia" w:ascii="仿宋" w:hAnsi="仿宋" w:eastAsia="仿宋" w:cs="仿宋"/>
          <w:color w:val="auto"/>
          <w:sz w:val="24"/>
          <w:highlight w:val="none"/>
        </w:rPr>
        <w:t>）</w:t>
      </w:r>
    </w:p>
    <w:p w14:paraId="65F9D11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（项目名称）【项目编号：（采购编号）】</w:t>
      </w:r>
      <w:r>
        <w:rPr>
          <w:rFonts w:hint="eastAsia" w:ascii="仿宋" w:hAnsi="仿宋" w:eastAsia="仿宋" w:cs="仿宋"/>
          <w:color w:val="auto"/>
          <w:kern w:val="0"/>
          <w:sz w:val="24"/>
          <w:highlight w:val="none"/>
          <w:lang w:val="zh-CN"/>
        </w:rPr>
        <w:t>的成交供应商，将依法采取分包方式履行合同。</w:t>
      </w: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135FD31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099D804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5B317065">
      <w:pPr>
        <w:keepNext/>
        <w:keepLines/>
        <w:pageBreakBefore w:val="0"/>
        <w:widowControl w:val="0"/>
        <w:tabs>
          <w:tab w:val="left" w:pos="432"/>
        </w:tabs>
        <w:kinsoku/>
        <w:wordWrap/>
        <w:overflowPunct/>
        <w:topLinePunct w:val="0"/>
        <w:autoSpaceDE/>
        <w:autoSpaceDN/>
        <w:bidi w:val="0"/>
        <w:adjustRightInd/>
        <w:snapToGrid/>
        <w:ind w:left="664" w:leftChars="316" w:firstLine="228" w:firstLineChars="95"/>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7E8E206E">
      <w:pPr>
        <w:ind w:firstLine="305"/>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5A4427F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二、分包供应商中小企业合同份额（如果有）</w:t>
      </w:r>
    </w:p>
    <w:p w14:paraId="128C0272">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6E15CC0B">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要求合同分包形式参加的项目或采购包，供应商按磋商文件第一部分竞争性磋商邀请公告申请人的资格要求中规定的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47D23FA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4ECB6C04">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3A2937F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4ECDB09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39DD29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7CF73C9A">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37B0DAB">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4601CC3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DBE1B0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0FCCF41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624FFE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70E90EB1">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p>
    <w:p w14:paraId="746927E2">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p>
    <w:p w14:paraId="2FA0B933">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p>
    <w:p w14:paraId="2C8E9C55">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供应商名称(电子签名)：</w:t>
      </w:r>
    </w:p>
    <w:p w14:paraId="0E22FB07">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51DC313F">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23103E9">
      <w:pPr>
        <w:pStyle w:val="59"/>
        <w:ind w:left="0" w:leftChars="0"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kern w:val="0"/>
          <w:sz w:val="24"/>
          <w:highlight w:val="none"/>
          <w:lang w:val="zh-CN"/>
        </w:rPr>
        <w:t xml:space="preserve">                                        日期：  年  月   日</w:t>
      </w:r>
    </w:p>
    <w:p w14:paraId="5B52F9E9">
      <w:pPr>
        <w:tabs>
          <w:tab w:val="left" w:pos="2761"/>
          <w:tab w:val="center" w:pos="4595"/>
        </w:tabs>
        <w:autoSpaceDE w:val="0"/>
        <w:autoSpaceDN w:val="0"/>
        <w:jc w:val="left"/>
        <w:rPr>
          <w:rFonts w:hint="eastAsia" w:ascii="仿宋" w:hAnsi="仿宋" w:eastAsia="仿宋"/>
          <w:b/>
          <w:color w:val="auto"/>
          <w:spacing w:val="6"/>
          <w:sz w:val="32"/>
          <w:szCs w:val="32"/>
          <w:highlight w:val="none"/>
          <w:lang w:eastAsia="zh-CN"/>
        </w:rPr>
      </w:pPr>
      <w:r>
        <w:rPr>
          <w:rFonts w:hint="eastAsia" w:ascii="仿宋" w:hAnsi="仿宋" w:eastAsia="仿宋"/>
          <w:b/>
          <w:color w:val="auto"/>
          <w:spacing w:val="6"/>
          <w:sz w:val="32"/>
          <w:szCs w:val="32"/>
          <w:highlight w:val="none"/>
          <w:lang w:eastAsia="zh-CN"/>
        </w:rPr>
        <w:tab/>
      </w:r>
    </w:p>
    <w:p w14:paraId="3DF33AFE">
      <w:pPr>
        <w:rPr>
          <w:rFonts w:hint="eastAsia" w:ascii="仿宋" w:hAnsi="仿宋" w:eastAsia="仿宋"/>
          <w:b/>
          <w:color w:val="auto"/>
          <w:spacing w:val="6"/>
          <w:sz w:val="32"/>
          <w:szCs w:val="32"/>
          <w:highlight w:val="none"/>
          <w:lang w:eastAsia="zh-CN"/>
        </w:rPr>
      </w:pPr>
      <w:r>
        <w:rPr>
          <w:rFonts w:hint="eastAsia" w:ascii="仿宋" w:hAnsi="仿宋" w:eastAsia="仿宋"/>
          <w:b/>
          <w:color w:val="auto"/>
          <w:spacing w:val="6"/>
          <w:sz w:val="32"/>
          <w:szCs w:val="32"/>
          <w:highlight w:val="none"/>
          <w:lang w:eastAsia="zh-CN"/>
        </w:rPr>
        <w:br w:type="page"/>
      </w:r>
    </w:p>
    <w:p w14:paraId="383F560C">
      <w:pPr>
        <w:tabs>
          <w:tab w:val="left" w:pos="2761"/>
          <w:tab w:val="center" w:pos="4595"/>
        </w:tabs>
        <w:autoSpaceDE w:val="0"/>
        <w:autoSpaceDN w:val="0"/>
        <w:jc w:val="left"/>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hint="eastAsia" w:ascii="仿宋" w:hAnsi="仿宋" w:eastAsia="仿宋"/>
          <w:b/>
          <w:color w:val="auto"/>
          <w:spacing w:val="6"/>
          <w:sz w:val="32"/>
          <w:szCs w:val="32"/>
          <w:highlight w:val="none"/>
          <w:lang w:val="en-US" w:eastAsia="zh-CN"/>
        </w:rPr>
        <w:t>7</w:t>
      </w:r>
      <w:r>
        <w:rPr>
          <w:rFonts w:hint="eastAsia" w:ascii="仿宋" w:hAnsi="仿宋" w:eastAsia="仿宋"/>
          <w:b/>
          <w:color w:val="auto"/>
          <w:spacing w:val="6"/>
          <w:sz w:val="32"/>
          <w:szCs w:val="32"/>
          <w:highlight w:val="none"/>
        </w:rPr>
        <w:t>：</w:t>
      </w:r>
      <w:r>
        <w:rPr>
          <w:rFonts w:hint="eastAsia" w:ascii="仿宋_GB2312" w:hAnsi="宋体" w:eastAsia="仿宋_GB2312"/>
          <w:b/>
          <w:color w:val="auto"/>
          <w:sz w:val="32"/>
          <w:szCs w:val="32"/>
          <w:highlight w:val="none"/>
        </w:rPr>
        <w:t>中小企业声明函</w:t>
      </w:r>
    </w:p>
    <w:p w14:paraId="03242EFC">
      <w:pPr>
        <w:spacing w:line="360" w:lineRule="auto"/>
        <w:jc w:val="center"/>
        <w:rPr>
          <w:rFonts w:ascii="仿宋" w:hAnsi="仿宋" w:eastAsia="仿宋" w:cs="仿宋_GB2312"/>
          <w:color w:val="auto"/>
          <w:sz w:val="24"/>
          <w:highlight w:val="none"/>
          <w:u w:val="single"/>
        </w:rPr>
      </w:pPr>
    </w:p>
    <w:p w14:paraId="635F96B5">
      <w:pPr>
        <w:spacing w:line="360" w:lineRule="auto"/>
        <w:jc w:val="center"/>
        <w:rPr>
          <w:rFonts w:ascii="仿宋_GB2312" w:hAnsi="宋体" w:eastAsia="仿宋_GB2312"/>
          <w:b/>
          <w:color w:val="auto"/>
          <w:sz w:val="32"/>
          <w:szCs w:val="32"/>
          <w:highlight w:val="none"/>
        </w:rPr>
      </w:pPr>
      <w:r>
        <w:rPr>
          <w:rFonts w:hint="eastAsia" w:ascii="仿宋_GB2312" w:hAnsi="仿宋" w:eastAsia="仿宋_GB2312" w:cs="仿宋_GB2312"/>
          <w:b/>
          <w:color w:val="auto"/>
          <w:sz w:val="32"/>
          <w:szCs w:val="32"/>
          <w:highlight w:val="none"/>
        </w:rPr>
        <w:t>中小企业声明函</w:t>
      </w:r>
      <w:r>
        <w:rPr>
          <w:rFonts w:hint="eastAsia" w:ascii="仿宋_GB2312" w:hAnsi="宋体" w:eastAsia="仿宋_GB2312"/>
          <w:b/>
          <w:color w:val="auto"/>
          <w:sz w:val="32"/>
          <w:szCs w:val="32"/>
          <w:highlight w:val="none"/>
        </w:rPr>
        <w:t>（工程、服务）</w:t>
      </w:r>
    </w:p>
    <w:p w14:paraId="4867B042">
      <w:pPr>
        <w:spacing w:line="360" w:lineRule="auto"/>
        <w:rPr>
          <w:rFonts w:ascii="仿宋_GB2312" w:hAnsi="仿宋" w:eastAsia="仿宋_GB2312"/>
          <w:color w:val="auto"/>
          <w:highlight w:val="none"/>
        </w:rPr>
      </w:pPr>
    </w:p>
    <w:p w14:paraId="064E0250">
      <w:pPr>
        <w:spacing w:line="360" w:lineRule="auto"/>
        <w:ind w:firstLine="360" w:firstLineChars="15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本公司（联合体）郑重声明，根据《政府采购促进中小企业发展管理办法》（财库﹝</w:t>
      </w:r>
      <w:r>
        <w:rPr>
          <w:rFonts w:ascii="仿宋_GB2312" w:hAnsi="宋体" w:eastAsia="仿宋_GB2312"/>
          <w:color w:val="auto"/>
          <w:sz w:val="24"/>
          <w:highlight w:val="none"/>
        </w:rPr>
        <w:t xml:space="preserve">2020﹞46 </w:t>
      </w:r>
      <w:r>
        <w:rPr>
          <w:rFonts w:hint="eastAsia" w:ascii="仿宋_GB2312" w:hAnsi="宋体" w:eastAsia="仿宋_GB2312"/>
          <w:color w:val="auto"/>
          <w:sz w:val="24"/>
          <w:highlight w:val="none"/>
        </w:rPr>
        <w:t>号）的规定，本公司（联合体）参加</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（单位名称）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的</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（项目名称）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0957F75D">
      <w:pPr>
        <w:spacing w:line="360" w:lineRule="auto"/>
        <w:ind w:firstLine="480" w:firstLineChars="200"/>
        <w:jc w:val="left"/>
        <w:rPr>
          <w:rFonts w:ascii="仿宋_GB2312" w:hAnsi="宋体" w:eastAsia="仿宋_GB2312"/>
          <w:color w:val="auto"/>
          <w:sz w:val="24"/>
          <w:highlight w:val="none"/>
        </w:rPr>
      </w:pPr>
      <w:r>
        <w:rPr>
          <w:rFonts w:ascii="仿宋_GB2312" w:hAnsi="宋体" w:eastAsia="仿宋_GB2312"/>
          <w:color w:val="auto"/>
          <w:sz w:val="24"/>
          <w:highlight w:val="none"/>
        </w:rPr>
        <w:t>1.</w:t>
      </w:r>
      <w:r>
        <w:rPr>
          <w:color w:val="auto"/>
          <w:highlight w:val="none"/>
        </w:rPr>
        <w:t xml:space="preserve"> </w:t>
      </w:r>
      <w:r>
        <w:rPr>
          <w:rFonts w:hint="eastAsia" w:ascii="仿宋_GB2312" w:hAnsi="宋体" w:eastAsia="仿宋_GB2312"/>
          <w:color w:val="auto"/>
          <w:sz w:val="24"/>
          <w:highlight w:val="none"/>
          <w:u w:val="single"/>
        </w:rPr>
        <w:t>（标的名称）</w:t>
      </w:r>
      <w:r>
        <w:rPr>
          <w:rFonts w:hint="eastAsia" w:ascii="仿宋_GB2312" w:hAnsi="宋体" w:eastAsia="仿宋_GB2312"/>
          <w:color w:val="auto"/>
          <w:sz w:val="24"/>
          <w:highlight w:val="none"/>
        </w:rPr>
        <w:t>，属于</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u w:val="single"/>
        </w:rPr>
        <w:t>（采购文件中明确的所属行业）</w:t>
      </w:r>
      <w:r>
        <w:rPr>
          <w:rFonts w:ascii="仿宋_GB2312" w:hAnsi="宋体" w:eastAsia="仿宋_GB2312"/>
          <w:color w:val="auto"/>
          <w:sz w:val="24"/>
          <w:highlight w:val="none"/>
        </w:rPr>
        <w:t xml:space="preserve"> ；承建（承接）企业为 </w:t>
      </w:r>
      <w:r>
        <w:rPr>
          <w:rFonts w:hint="eastAsia" w:ascii="仿宋_GB2312" w:hAnsi="宋体" w:eastAsia="仿宋_GB2312"/>
          <w:color w:val="auto"/>
          <w:sz w:val="24"/>
          <w:highlight w:val="none"/>
          <w:u w:val="single"/>
        </w:rPr>
        <w:t>（企业名称）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 </w:t>
      </w:r>
      <w:r>
        <w:rPr>
          <w:rFonts w:hint="eastAsia" w:ascii="仿宋_GB2312" w:hAnsi="宋体" w:eastAsia="仿宋_GB2312"/>
          <w:color w:val="auto"/>
          <w:sz w:val="24"/>
          <w:highlight w:val="none"/>
        </w:rPr>
        <w:t>；</w:t>
      </w:r>
    </w:p>
    <w:p w14:paraId="10CF44C8">
      <w:pPr>
        <w:spacing w:line="360" w:lineRule="auto"/>
        <w:ind w:firstLine="480" w:firstLineChars="200"/>
        <w:jc w:val="left"/>
        <w:rPr>
          <w:rFonts w:ascii="仿宋_GB2312" w:hAnsi="宋体" w:eastAsia="仿宋_GB2312"/>
          <w:color w:val="auto"/>
          <w:sz w:val="24"/>
          <w:highlight w:val="none"/>
        </w:rPr>
      </w:pPr>
      <w:r>
        <w:rPr>
          <w:rFonts w:ascii="仿宋_GB2312" w:hAnsi="宋体" w:eastAsia="仿宋_GB2312"/>
          <w:color w:val="auto"/>
          <w:sz w:val="24"/>
          <w:highlight w:val="none"/>
        </w:rPr>
        <w:t>2.</w:t>
      </w:r>
      <w:r>
        <w:rPr>
          <w:color w:val="auto"/>
          <w:highlight w:val="none"/>
        </w:rPr>
        <w:t xml:space="preserve"> </w:t>
      </w:r>
      <w:r>
        <w:rPr>
          <w:rFonts w:hint="eastAsia" w:ascii="仿宋_GB2312" w:hAnsi="宋体" w:eastAsia="仿宋_GB2312"/>
          <w:color w:val="auto"/>
          <w:sz w:val="24"/>
          <w:highlight w:val="none"/>
          <w:u w:val="single"/>
        </w:rPr>
        <w:t>（标的名称）</w:t>
      </w:r>
      <w:r>
        <w:rPr>
          <w:rFonts w:hint="eastAsia" w:ascii="仿宋_GB2312" w:hAnsi="宋体" w:eastAsia="仿宋_GB2312"/>
          <w:color w:val="auto"/>
          <w:sz w:val="24"/>
          <w:highlight w:val="none"/>
        </w:rPr>
        <w:t>，属于</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u w:val="single"/>
        </w:rPr>
        <w:t>（采购文件中明确的所属行业）</w:t>
      </w:r>
      <w:r>
        <w:rPr>
          <w:rFonts w:ascii="仿宋_GB2312" w:hAnsi="宋体" w:eastAsia="仿宋_GB2312"/>
          <w:color w:val="auto"/>
          <w:sz w:val="24"/>
          <w:highlight w:val="none"/>
        </w:rPr>
        <w:t xml:space="preserve"> ；承建（承接）企业为 </w:t>
      </w:r>
      <w:r>
        <w:rPr>
          <w:rFonts w:hint="eastAsia" w:ascii="仿宋_GB2312" w:hAnsi="宋体" w:eastAsia="仿宋_GB2312"/>
          <w:color w:val="auto"/>
          <w:sz w:val="24"/>
          <w:highlight w:val="none"/>
          <w:u w:val="single"/>
        </w:rPr>
        <w:t>（企业名称）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 </w:t>
      </w:r>
      <w:r>
        <w:rPr>
          <w:rFonts w:hint="eastAsia" w:ascii="仿宋_GB2312" w:hAnsi="宋体" w:eastAsia="仿宋_GB2312"/>
          <w:color w:val="auto"/>
          <w:sz w:val="24"/>
          <w:highlight w:val="none"/>
        </w:rPr>
        <w:t>；</w:t>
      </w:r>
    </w:p>
    <w:p w14:paraId="1C3A0D62">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w:t>
      </w:r>
    </w:p>
    <w:p w14:paraId="7CC9E089">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以上企业，不属于大企业的分支机构，不存在控股股东为大企业的情形，也不存在与大企业的负责人为同一人的情形。</w:t>
      </w:r>
    </w:p>
    <w:p w14:paraId="4E8B92EA">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本企业对上述声明内容的真实性负责。如有虚假，将依法承担相应责任。</w:t>
      </w:r>
    </w:p>
    <w:p w14:paraId="7105E19D">
      <w:pPr>
        <w:spacing w:line="360" w:lineRule="auto"/>
        <w:ind w:right="1760"/>
        <w:jc w:val="right"/>
        <w:rPr>
          <w:rFonts w:ascii="仿宋_GB2312" w:hAnsi="宋体" w:eastAsia="仿宋_GB2312"/>
          <w:color w:val="auto"/>
          <w:sz w:val="24"/>
          <w:highlight w:val="none"/>
        </w:rPr>
      </w:pPr>
      <w:r>
        <w:rPr>
          <w:rFonts w:hint="eastAsia" w:ascii="仿宋_GB2312" w:hAnsi="仿宋" w:eastAsia="仿宋_GB2312" w:cs="仿宋_GB2312"/>
          <w:color w:val="auto"/>
          <w:sz w:val="24"/>
          <w:highlight w:val="none"/>
          <w:lang w:eastAsia="zh-CN"/>
        </w:rPr>
        <w:t>供应商</w:t>
      </w:r>
      <w:r>
        <w:rPr>
          <w:rFonts w:hint="eastAsia" w:ascii="仿宋_GB2312" w:hAnsi="宋体" w:eastAsia="仿宋_GB2312"/>
          <w:color w:val="auto"/>
          <w:sz w:val="24"/>
          <w:highlight w:val="none"/>
        </w:rPr>
        <w:t>名称（</w:t>
      </w:r>
      <w:r>
        <w:rPr>
          <w:rFonts w:hint="eastAsia" w:ascii="仿宋_GB2312" w:hAnsi="仿宋" w:eastAsia="仿宋_GB2312" w:cs="仿宋_GB2312"/>
          <w:color w:val="auto"/>
          <w:sz w:val="24"/>
          <w:highlight w:val="none"/>
        </w:rPr>
        <w:t>电子签名</w:t>
      </w:r>
      <w:r>
        <w:rPr>
          <w:rFonts w:hint="eastAsia" w:ascii="仿宋_GB2312" w:hAnsi="宋体" w:eastAsia="仿宋_GB2312"/>
          <w:color w:val="auto"/>
          <w:sz w:val="24"/>
          <w:highlight w:val="none"/>
        </w:rPr>
        <w:t>）：</w:t>
      </w:r>
    </w:p>
    <w:p w14:paraId="30DE94D7">
      <w:pPr>
        <w:spacing w:line="360" w:lineRule="auto"/>
        <w:ind w:right="1120" w:firstLine="4680" w:firstLineChars="1950"/>
        <w:rPr>
          <w:rFonts w:ascii="仿宋_GB2312" w:hAnsi="宋体" w:eastAsia="仿宋_GB2312"/>
          <w:color w:val="auto"/>
          <w:sz w:val="24"/>
          <w:highlight w:val="none"/>
        </w:rPr>
      </w:pPr>
      <w:r>
        <w:rPr>
          <w:rFonts w:hint="eastAsia" w:ascii="仿宋_GB2312" w:hAnsi="宋体" w:eastAsia="仿宋_GB2312"/>
          <w:color w:val="auto"/>
          <w:sz w:val="24"/>
          <w:highlight w:val="none"/>
        </w:rPr>
        <w:t>日</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期：</w:t>
      </w:r>
    </w:p>
    <w:p w14:paraId="25D3AF61">
      <w:pPr>
        <w:spacing w:line="360" w:lineRule="auto"/>
        <w:ind w:firstLine="310" w:firstLineChars="147"/>
        <w:jc w:val="left"/>
        <w:rPr>
          <w:rFonts w:hint="eastAsia" w:ascii="仿宋_GB2312" w:hAnsi="宋体" w:eastAsia="仿宋_GB2312"/>
          <w:b/>
          <w:color w:val="auto"/>
          <w:szCs w:val="21"/>
          <w:highlight w:val="none"/>
        </w:rPr>
      </w:pPr>
    </w:p>
    <w:p w14:paraId="5D251F88">
      <w:pPr>
        <w:pageBreakBefore w:val="0"/>
        <w:kinsoku/>
        <w:wordWrap/>
        <w:overflowPunct/>
        <w:topLinePunct w:val="0"/>
        <w:bidi w:val="0"/>
        <w:spacing w:line="360" w:lineRule="auto"/>
        <w:ind w:right="420"/>
        <w:textAlignment w:val="auto"/>
        <w:outlineLvl w:val="9"/>
        <w:rPr>
          <w:rFonts w:hint="eastAsia" w:ascii="仿宋" w:hAnsi="仿宋" w:eastAsia="仿宋" w:cs="仿宋"/>
          <w:color w:val="000000" w:themeColor="text1"/>
          <w:sz w:val="24"/>
          <w:highlight w:val="none"/>
          <w14:textFill>
            <w14:solidFill>
              <w14:schemeClr w14:val="tx1"/>
            </w14:solidFill>
          </w14:textFill>
        </w:rPr>
      </w:pPr>
      <w:r>
        <w:rPr>
          <w:rFonts w:ascii="仿宋_GB2312" w:hAnsi="仿宋" w:eastAsia="仿宋_GB2312" w:cs="仿宋_GB2312"/>
          <w:color w:val="auto"/>
          <w:sz w:val="24"/>
          <w:highlight w:val="none"/>
        </w:rPr>
        <w:t xml:space="preserve">  </w:t>
      </w:r>
      <w:r>
        <w:rPr>
          <w:rFonts w:hint="eastAsia" w:ascii="仿宋" w:hAnsi="仿宋" w:eastAsia="仿宋" w:cs="仿宋"/>
          <w:color w:val="auto"/>
          <w:sz w:val="24"/>
          <w:highlight w:val="none"/>
        </w:rPr>
        <w:t xml:space="preserve">   注：</w:t>
      </w:r>
      <w:r>
        <w:rPr>
          <w:rFonts w:hint="eastAsia" w:ascii="仿宋" w:hAnsi="仿宋" w:eastAsia="仿宋" w:cs="仿宋"/>
          <w:b/>
          <w:bCs/>
          <w:color w:val="auto"/>
          <w:sz w:val="24"/>
          <w:highlight w:val="none"/>
        </w:rPr>
        <w:t>1、填写要求</w:t>
      </w:r>
      <w:r>
        <w:rPr>
          <w:rFonts w:hint="eastAsia" w:ascii="仿宋" w:hAnsi="仿宋" w:eastAsia="仿宋" w:cs="仿宋"/>
          <w:b/>
          <w:bCs/>
          <w:color w:val="000000" w:themeColor="text1"/>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务必注意</w:t>
      </w:r>
      <w:r>
        <w:rPr>
          <w:rFonts w:hint="eastAsia" w:ascii="仿宋" w:hAnsi="仿宋" w:eastAsia="仿宋" w:cs="仿宋"/>
          <w:b/>
          <w:bCs/>
          <w:color w:val="000000" w:themeColor="text1"/>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eastAsia="zh-CN"/>
          <w14:textFill>
            <w14:solidFill>
              <w14:schemeClr w14:val="tx1"/>
            </w14:solidFill>
          </w14:textFill>
        </w:rPr>
        <w:t>①</w:t>
      </w:r>
      <w:r>
        <w:rPr>
          <w:rFonts w:hint="eastAsia" w:ascii="仿宋" w:hAnsi="仿宋" w:eastAsia="仿宋" w:cs="仿宋"/>
          <w:b/>
          <w:bCs/>
          <w:color w:val="000000" w:themeColor="text1"/>
          <w:sz w:val="24"/>
          <w:highlight w:val="none"/>
          <w14:textFill>
            <w14:solidFill>
              <w14:schemeClr w14:val="tx1"/>
            </w14:solidFill>
          </w14:textFill>
        </w:rPr>
        <w:t>从业人员、营业收入、资产总额填报上一年度数据，无上一年度数据的新成立企业可不填报</w:t>
      </w:r>
      <w:r>
        <w:rPr>
          <w:rFonts w:hint="eastAsia" w:ascii="仿宋" w:hAnsi="仿宋" w:eastAsia="仿宋" w:cs="仿宋"/>
          <w:b/>
          <w:bCs/>
          <w:color w:val="000000" w:themeColor="text1"/>
          <w:sz w:val="24"/>
          <w:highlight w:val="none"/>
          <w:lang w:eastAsia="zh-CN"/>
          <w14:textFill>
            <w14:solidFill>
              <w14:schemeClr w14:val="tx1"/>
            </w14:solidFill>
          </w14:textFill>
        </w:rPr>
        <w:t>。②</w:t>
      </w:r>
      <w:r>
        <w:rPr>
          <w:rFonts w:hint="eastAsia" w:ascii="仿宋" w:hAnsi="仿宋" w:eastAsia="仿宋" w:cs="仿宋"/>
          <w:b/>
          <w:bCs/>
          <w:color w:val="000000" w:themeColor="text1"/>
          <w:sz w:val="24"/>
          <w:highlight w:val="none"/>
          <w14:textFill>
            <w14:solidFill>
              <w14:schemeClr w14:val="tx1"/>
            </w14:solidFill>
          </w14:textFill>
        </w:rPr>
        <w:t>《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w:t>
      </w:r>
      <w:r>
        <w:rPr>
          <w:rFonts w:hint="eastAsia" w:ascii="仿宋" w:hAnsi="仿宋" w:eastAsia="仿宋" w:cs="仿宋"/>
          <w:b/>
          <w:bCs/>
          <w:color w:val="000000" w:themeColor="text1"/>
          <w:sz w:val="24"/>
          <w:highlight w:val="none"/>
          <w:lang w:eastAsia="zh-CN"/>
          <w14:textFill>
            <w14:solidFill>
              <w14:schemeClr w14:val="tx1"/>
            </w14:solidFill>
          </w14:textFill>
        </w:rPr>
        <w:t>③</w:t>
      </w:r>
      <w:r>
        <w:rPr>
          <w:rFonts w:hint="eastAsia" w:ascii="仿宋" w:hAnsi="仿宋" w:eastAsia="仿宋" w:cs="仿宋"/>
          <w:b/>
          <w:bCs/>
          <w:color w:val="000000" w:themeColor="text1"/>
          <w:sz w:val="24"/>
          <w:highlight w:val="none"/>
          <w:lang w:val="en-US" w:eastAsia="zh-CN"/>
          <w14:textFill>
            <w14:solidFill>
              <w14:schemeClr w14:val="tx1"/>
            </w14:solidFill>
          </w14:textFill>
        </w:rPr>
        <w:t>《中小企业声明函》填写企业类型错误或者未填写企业类型的，</w:t>
      </w:r>
      <w:r>
        <w:rPr>
          <w:rFonts w:hint="eastAsia" w:ascii="仿宋" w:hAnsi="仿宋" w:eastAsia="仿宋" w:cs="仿宋"/>
          <w:b/>
          <w:bCs/>
          <w:color w:val="000000" w:themeColor="text1"/>
          <w:sz w:val="24"/>
          <w:highlight w:val="none"/>
          <w14:textFill>
            <w14:solidFill>
              <w14:schemeClr w14:val="tx1"/>
            </w14:solidFill>
          </w14:textFill>
        </w:rPr>
        <w:t>声明函无效</w:t>
      </w:r>
      <w:r>
        <w:rPr>
          <w:rFonts w:hint="eastAsia" w:ascii="仿宋" w:hAnsi="仿宋" w:eastAsia="仿宋" w:cs="仿宋"/>
          <w:b/>
          <w:bCs/>
          <w:color w:val="000000" w:themeColor="text1"/>
          <w:sz w:val="24"/>
          <w:highlight w:val="none"/>
          <w:lang w:val="en-US" w:eastAsia="zh-CN"/>
          <w14:textFill>
            <w14:solidFill>
              <w14:schemeClr w14:val="tx1"/>
            </w14:solidFill>
          </w14:textFill>
        </w:rPr>
        <w:t>。</w:t>
      </w:r>
    </w:p>
    <w:p w14:paraId="2066F597">
      <w:pPr>
        <w:pStyle w:val="59"/>
        <w:rPr>
          <w:color w:val="auto"/>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w:t>
      </w:r>
      <w:r>
        <w:rPr>
          <w:rFonts w:hint="eastAsia" w:ascii="仿宋" w:hAnsi="仿宋" w:eastAsia="仿宋" w:cs="仿宋"/>
          <w:color w:val="auto"/>
          <w:sz w:val="24"/>
          <w:highlight w:val="none"/>
          <w:lang w:eastAsia="zh-CN"/>
        </w:rPr>
        <w:t>〔2014〕68号</w:t>
      </w:r>
      <w:r>
        <w:rPr>
          <w:rFonts w:hint="eastAsia" w:ascii="仿宋" w:hAnsi="仿宋" w:eastAsia="仿宋" w:cs="仿宋"/>
          <w:color w:val="auto"/>
          <w:sz w:val="24"/>
          <w:highlight w:val="none"/>
        </w:rPr>
        <w:t>）的规定，投标人提供由省级以上监狱管理局、戒毒管理局（含新疆生产建设兵团）出具的属于监狱企业证明文件的，视同为小型和微型企业。</w:t>
      </w:r>
    </w:p>
    <w:p w14:paraId="16F41331">
      <w:pPr>
        <w:rPr>
          <w:rFonts w:ascii="仿宋" w:hAnsi="仿宋" w:eastAsia="仿宋" w:cs="仿宋"/>
          <w:color w:val="auto"/>
          <w:highlight w:val="none"/>
        </w:rPr>
      </w:pPr>
    </w:p>
    <w:p w14:paraId="0DFB467A">
      <w:pPr>
        <w:spacing w:line="360" w:lineRule="auto"/>
        <w:ind w:right="420"/>
        <w:rPr>
          <w:rFonts w:ascii="仿宋" w:hAnsi="仿宋" w:eastAsia="仿宋" w:cs="仿宋"/>
          <w:color w:val="auto"/>
          <w:highlight w:val="none"/>
        </w:rPr>
      </w:pPr>
    </w:p>
    <w:p w14:paraId="20D8754E">
      <w:pP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6A150959">
      <w:pPr>
        <w:adjustRightInd/>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第八部分  最后报价格式</w:t>
      </w:r>
    </w:p>
    <w:p w14:paraId="109E2A3F">
      <w:pPr>
        <w:spacing w:line="360" w:lineRule="auto"/>
        <w:ind w:firstLine="720"/>
        <w:rPr>
          <w:rFonts w:hint="eastAsia" w:ascii="仿宋" w:hAnsi="仿宋" w:eastAsia="仿宋" w:cs="仿宋"/>
          <w:b/>
          <w:bCs/>
          <w:color w:val="auto"/>
          <w:kern w:val="2"/>
          <w:sz w:val="24"/>
          <w:szCs w:val="24"/>
          <w:highlight w:val="none"/>
          <w:lang w:eastAsia="zh-CN"/>
        </w:rPr>
      </w:pPr>
      <w:r>
        <w:rPr>
          <w:rFonts w:hint="eastAsia" w:ascii="仿宋" w:hAnsi="仿宋" w:eastAsia="仿宋" w:cs="仿宋"/>
          <w:b/>
          <w:bCs/>
          <w:color w:val="auto"/>
          <w:kern w:val="2"/>
          <w:sz w:val="24"/>
          <w:szCs w:val="24"/>
          <w:highlight w:val="none"/>
          <w:lang w:eastAsia="zh-CN"/>
        </w:rPr>
        <w:t>（</w:t>
      </w:r>
      <w:r>
        <w:rPr>
          <w:rFonts w:hint="eastAsia" w:ascii="仿宋" w:hAnsi="仿宋" w:eastAsia="仿宋" w:cs="仿宋"/>
          <w:b/>
          <w:bCs/>
          <w:color w:val="auto"/>
          <w:kern w:val="2"/>
          <w:sz w:val="24"/>
          <w:szCs w:val="24"/>
          <w:highlight w:val="none"/>
          <w:lang w:val="en-US" w:eastAsia="zh-CN"/>
        </w:rPr>
        <w:t>说明：响应文件中无需填写最后报价。该流程在评审阶段操作</w:t>
      </w:r>
      <w:r>
        <w:rPr>
          <w:rFonts w:hint="eastAsia" w:ascii="仿宋" w:hAnsi="仿宋" w:eastAsia="仿宋" w:cs="仿宋"/>
          <w:b/>
          <w:bCs/>
          <w:color w:val="auto"/>
          <w:kern w:val="2"/>
          <w:sz w:val="24"/>
          <w:szCs w:val="24"/>
          <w:highlight w:val="none"/>
          <w:lang w:eastAsia="zh-CN"/>
        </w:rPr>
        <w:t>）</w:t>
      </w:r>
    </w:p>
    <w:p w14:paraId="66193E57">
      <w:pPr>
        <w:pStyle w:val="118"/>
        <w:keepNext w:val="0"/>
        <w:pageBreakBefore w:val="0"/>
        <w:tabs>
          <w:tab w:val="clear" w:pos="720"/>
        </w:tabs>
        <w:ind w:firstLine="640"/>
        <w:outlineLvl w:val="9"/>
        <w:rPr>
          <w:rFonts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（一）最后报价一览表</w:t>
      </w:r>
    </w:p>
    <w:p w14:paraId="36CE3412">
      <w:pPr>
        <w:autoSpaceDE w:val="0"/>
        <w:autoSpaceDN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u w:val="single"/>
        </w:rPr>
        <w:t>（采购人）、（采购代理机构）</w:t>
      </w:r>
      <w:r>
        <w:rPr>
          <w:rFonts w:hint="eastAsia" w:ascii="仿宋" w:hAnsi="仿宋" w:eastAsia="仿宋" w:cs="仿宋"/>
          <w:color w:val="auto"/>
          <w:kern w:val="0"/>
          <w:sz w:val="24"/>
          <w:highlight w:val="none"/>
          <w:lang w:val="zh-CN"/>
        </w:rPr>
        <w:t>：</w:t>
      </w:r>
    </w:p>
    <w:p w14:paraId="78469B9C">
      <w:pPr>
        <w:spacing w:line="360" w:lineRule="auto"/>
        <w:ind w:firstLine="72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按你方磋商文件要求，</w:t>
      </w:r>
      <w:r>
        <w:rPr>
          <w:rFonts w:hint="eastAsia" w:ascii="仿宋" w:hAnsi="仿宋" w:eastAsia="仿宋" w:cs="仿宋"/>
          <w:color w:val="auto"/>
          <w:sz w:val="24"/>
          <w:highlight w:val="none"/>
        </w:rPr>
        <w:t>我们即</w:t>
      </w:r>
      <w:r>
        <w:rPr>
          <w:rFonts w:hint="eastAsia" w:ascii="仿宋" w:hAnsi="仿宋" w:eastAsia="仿宋" w:cs="仿宋"/>
          <w:color w:val="auto"/>
          <w:kern w:val="0"/>
          <w:sz w:val="24"/>
          <w:highlight w:val="none"/>
          <w:lang w:val="zh-CN"/>
        </w:rPr>
        <w:t>本响应文件签字方，谨此向你方发出要约如下：如你方接受本响应，我方承诺按照如下最后报价一览表的价格完成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6BD4249A">
      <w:pPr>
        <w:snapToGrid w:val="0"/>
        <w:spacing w:line="360" w:lineRule="auto"/>
        <w:ind w:left="480"/>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最后报价一览表</w:t>
      </w:r>
    </w:p>
    <w:tbl>
      <w:tblPr>
        <w:tblStyle w:val="60"/>
        <w:tblW w:w="88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64"/>
        <w:gridCol w:w="2877"/>
      </w:tblGrid>
      <w:tr w14:paraId="1EEDF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5964" w:type="dxa"/>
            <w:tcBorders>
              <w:top w:val="single" w:color="auto" w:sz="4" w:space="0"/>
              <w:left w:val="single" w:color="auto" w:sz="4" w:space="0"/>
              <w:bottom w:val="single" w:color="auto" w:sz="4" w:space="0"/>
              <w:right w:val="single" w:color="auto" w:sz="4" w:space="0"/>
            </w:tcBorders>
            <w:noWrap w:val="0"/>
            <w:vAlign w:val="center"/>
          </w:tcPr>
          <w:p w14:paraId="51AF337A">
            <w:pPr>
              <w:keepNext w:val="0"/>
              <w:keepLines w:val="0"/>
              <w:pageBreakBefore w:val="0"/>
              <w:kinsoku/>
              <w:wordWrap/>
              <w:overflowPunct/>
              <w:topLinePunct w:val="0"/>
              <w:bidi w:val="0"/>
              <w:adjustRightInd w:val="0"/>
              <w:snapToGrid w:val="0"/>
              <w:jc w:val="center"/>
              <w:textAlignment w:val="auto"/>
              <w:outlineLvl w:val="9"/>
              <w:rPr>
                <w:rFonts w:hint="eastAsia" w:ascii="仿宋" w:hAnsi="仿宋" w:eastAsia="仿宋" w:cs="仿宋"/>
                <w:color w:val="auto"/>
                <w:sz w:val="24"/>
                <w:szCs w:val="24"/>
                <w:highlight w:val="none"/>
                <w:shd w:val="clear" w:color="auto" w:fill="auto"/>
              </w:rPr>
            </w:pPr>
            <w:r>
              <w:rPr>
                <w:rFonts w:hint="eastAsia" w:ascii="仿宋" w:hAnsi="仿宋" w:eastAsia="仿宋" w:cs="仿宋"/>
                <w:snapToGrid w:val="0"/>
                <w:color w:val="auto"/>
                <w:kern w:val="0"/>
                <w:sz w:val="24"/>
                <w:szCs w:val="24"/>
                <w:highlight w:val="none"/>
                <w:shd w:val="clear" w:color="auto" w:fill="auto"/>
                <w:lang w:val="en-US" w:eastAsia="zh-CN"/>
              </w:rPr>
              <w:t>内容</w:t>
            </w:r>
          </w:p>
        </w:tc>
        <w:tc>
          <w:tcPr>
            <w:tcW w:w="2877" w:type="dxa"/>
            <w:tcBorders>
              <w:top w:val="single" w:color="auto" w:sz="4" w:space="0"/>
              <w:left w:val="single" w:color="auto" w:sz="4" w:space="0"/>
              <w:bottom w:val="single" w:color="auto" w:sz="4" w:space="0"/>
              <w:right w:val="single" w:color="auto" w:sz="4" w:space="0"/>
            </w:tcBorders>
            <w:noWrap w:val="0"/>
            <w:vAlign w:val="center"/>
          </w:tcPr>
          <w:p w14:paraId="770F2299">
            <w:pPr>
              <w:keepNext w:val="0"/>
              <w:keepLines w:val="0"/>
              <w:pageBreakBefore w:val="0"/>
              <w:kinsoku/>
              <w:wordWrap/>
              <w:overflowPunct/>
              <w:topLinePunct w:val="0"/>
              <w:bidi w:val="0"/>
              <w:adjustRightInd w:val="0"/>
              <w:snapToGrid w:val="0"/>
              <w:jc w:val="center"/>
              <w:textAlignment w:val="auto"/>
              <w:outlineLvl w:val="9"/>
              <w:rPr>
                <w:rFonts w:hint="eastAsia" w:ascii="仿宋" w:hAnsi="仿宋" w:eastAsia="仿宋" w:cs="仿宋"/>
                <w:color w:val="auto"/>
                <w:sz w:val="24"/>
                <w:szCs w:val="24"/>
                <w:highlight w:val="none"/>
                <w:shd w:val="clear" w:color="auto" w:fill="auto"/>
              </w:rPr>
            </w:pPr>
            <w:r>
              <w:rPr>
                <w:rFonts w:hint="eastAsia" w:ascii="仿宋" w:hAnsi="仿宋" w:eastAsia="仿宋" w:cs="仿宋"/>
                <w:snapToGrid w:val="0"/>
                <w:color w:val="auto"/>
                <w:kern w:val="0"/>
                <w:sz w:val="24"/>
                <w:szCs w:val="24"/>
                <w:highlight w:val="none"/>
                <w:shd w:val="clear" w:color="auto" w:fill="auto"/>
                <w:lang w:val="en-US" w:eastAsia="zh-CN"/>
              </w:rPr>
              <w:t>报价</w:t>
            </w:r>
          </w:p>
        </w:tc>
      </w:tr>
      <w:tr w14:paraId="23D9C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5964" w:type="dxa"/>
            <w:tcBorders>
              <w:top w:val="single" w:color="auto" w:sz="4" w:space="0"/>
              <w:left w:val="single" w:color="auto" w:sz="4" w:space="0"/>
              <w:right w:val="single" w:color="auto" w:sz="4" w:space="0"/>
            </w:tcBorders>
            <w:noWrap w:val="0"/>
            <w:vAlign w:val="center"/>
          </w:tcPr>
          <w:p w14:paraId="6516D9CA">
            <w:pPr>
              <w:keepNext w:val="0"/>
              <w:keepLines w:val="0"/>
              <w:pageBreakBefore w:val="0"/>
              <w:kinsoku/>
              <w:wordWrap/>
              <w:overflowPunct/>
              <w:topLinePunct w:val="0"/>
              <w:bidi w:val="0"/>
              <w:adjustRightInd w:val="0"/>
              <w:snapToGrid w:val="0"/>
              <w:jc w:val="center"/>
              <w:textAlignment w:val="auto"/>
              <w:outlineLvl w:val="9"/>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杭州市上城区人民政府复议应诉类法律服务</w:t>
            </w:r>
          </w:p>
        </w:tc>
        <w:tc>
          <w:tcPr>
            <w:tcW w:w="2877" w:type="dxa"/>
            <w:tcBorders>
              <w:top w:val="single" w:color="auto" w:sz="4" w:space="0"/>
              <w:left w:val="single" w:color="auto" w:sz="4" w:space="0"/>
              <w:bottom w:val="single" w:color="auto" w:sz="4" w:space="0"/>
              <w:right w:val="single" w:color="auto" w:sz="4" w:space="0"/>
            </w:tcBorders>
            <w:noWrap w:val="0"/>
            <w:vAlign w:val="center"/>
          </w:tcPr>
          <w:p w14:paraId="521862F5">
            <w:pPr>
              <w:keepNext w:val="0"/>
              <w:keepLines w:val="0"/>
              <w:pageBreakBefore w:val="0"/>
              <w:kinsoku/>
              <w:wordWrap/>
              <w:overflowPunct/>
              <w:topLinePunct w:val="0"/>
              <w:bidi w:val="0"/>
              <w:adjustRightInd w:val="0"/>
              <w:snapToGrid w:val="0"/>
              <w:jc w:val="center"/>
              <w:textAlignment w:val="auto"/>
              <w:outlineLvl w:val="9"/>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u w:val="single"/>
                <w:shd w:val="clear" w:color="auto" w:fill="auto"/>
                <w:lang w:val="en-US" w:eastAsia="zh-CN"/>
              </w:rPr>
              <w:t xml:space="preserve">        （元/件）</w:t>
            </w:r>
          </w:p>
        </w:tc>
      </w:tr>
    </w:tbl>
    <w:p w14:paraId="6B74B6D3">
      <w:pPr>
        <w:spacing w:line="360" w:lineRule="auto"/>
        <w:ind w:right="-874" w:rightChars="-416"/>
        <w:rPr>
          <w:rFonts w:ascii="仿宋" w:hAnsi="仿宋" w:eastAsia="仿宋" w:cs="仿宋"/>
          <w:color w:val="auto"/>
          <w:sz w:val="24"/>
          <w:highlight w:val="none"/>
        </w:rPr>
      </w:pPr>
    </w:p>
    <w:p w14:paraId="111761E9">
      <w:pPr>
        <w:spacing w:line="360" w:lineRule="auto"/>
        <w:ind w:right="-874" w:rightChars="-416"/>
        <w:rPr>
          <w:rFonts w:ascii="仿宋" w:hAnsi="仿宋" w:eastAsia="仿宋" w:cs="仿宋"/>
          <w:color w:val="auto"/>
          <w:sz w:val="24"/>
          <w:highlight w:val="none"/>
        </w:rPr>
      </w:pPr>
    </w:p>
    <w:p w14:paraId="1E78245E">
      <w:pPr>
        <w:spacing w:line="360" w:lineRule="auto"/>
        <w:ind w:right="-874" w:rightChars="-416"/>
        <w:rPr>
          <w:rFonts w:ascii="仿宋" w:hAnsi="仿宋" w:eastAsia="仿宋" w:cs="仿宋"/>
          <w:color w:val="auto"/>
          <w:kern w:val="0"/>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供应商名称（电子签名）：</w:t>
      </w:r>
    </w:p>
    <w:p w14:paraId="6FC8AF6F">
      <w:pPr>
        <w:autoSpaceDE w:val="0"/>
        <w:autoSpaceDN w:val="0"/>
        <w:spacing w:line="360" w:lineRule="auto"/>
        <w:ind w:left="5040"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02F7AEB">
      <w:pPr>
        <w:rPr>
          <w:color w:val="auto"/>
          <w:highlight w:val="none"/>
          <w:lang w:val="zh-CN"/>
        </w:rPr>
      </w:pPr>
      <w:r>
        <w:rPr>
          <w:color w:val="auto"/>
          <w:highlight w:val="none"/>
          <w:lang w:val="zh-CN"/>
        </w:rPr>
        <w:br w:type="page"/>
      </w:r>
    </w:p>
    <w:p w14:paraId="143B15D9">
      <w:pPr>
        <w:keepNext/>
        <w:keepLines/>
        <w:pageBreakBefore w:val="0"/>
        <w:widowControl w:val="0"/>
        <w:numPr>
          <w:ilvl w:val="0"/>
          <w:numId w:val="0"/>
        </w:numPr>
        <w:kinsoku/>
        <w:wordWrap/>
        <w:overflowPunct/>
        <w:topLinePunct w:val="0"/>
        <w:autoSpaceDE/>
        <w:autoSpaceDN/>
        <w:bidi w:val="0"/>
        <w:adjustRightInd w:val="0"/>
        <w:snapToGrid w:val="0"/>
        <w:spacing w:before="0" w:after="0" w:line="360" w:lineRule="auto"/>
        <w:ind w:left="0" w:leftChars="0"/>
        <w:textAlignment w:val="auto"/>
        <w:outlineLvl w:val="9"/>
        <w:rPr>
          <w:rFonts w:hint="eastAsia"/>
          <w:b/>
          <w:bCs/>
          <w:color w:val="auto"/>
          <w:sz w:val="24"/>
          <w:szCs w:val="32"/>
          <w:highlight w:val="none"/>
          <w:lang w:val="en-US" w:eastAsia="zh-CN"/>
        </w:rPr>
      </w:pPr>
      <w:r>
        <w:rPr>
          <w:rFonts w:hint="eastAsia"/>
          <w:b/>
          <w:bCs/>
          <w:color w:val="auto"/>
          <w:sz w:val="24"/>
          <w:szCs w:val="32"/>
          <w:highlight w:val="none"/>
          <w:lang w:val="en-US" w:eastAsia="zh-CN"/>
        </w:rPr>
        <w:t>其他</w:t>
      </w:r>
    </w:p>
    <w:p w14:paraId="5BD2E435">
      <w:pPr>
        <w:pStyle w:val="639"/>
        <w:pageBreakBefore w:val="0"/>
        <w:widowControl w:val="0"/>
        <w:kinsoku/>
        <w:wordWrap/>
        <w:overflowPunct/>
        <w:topLinePunct w:val="0"/>
        <w:autoSpaceDE/>
        <w:autoSpaceDN/>
        <w:bidi w:val="0"/>
        <w:adjustRightInd w:val="0"/>
        <w:snapToGrid w:val="0"/>
        <w:spacing w:line="360" w:lineRule="auto"/>
        <w:textAlignment w:val="auto"/>
        <w:rPr>
          <w:rFonts w:hint="default" w:ascii="仿宋" w:hAnsi="仿宋" w:eastAsia="仿宋" w:cs="仿宋"/>
          <w:b/>
          <w:color w:val="auto"/>
          <w:sz w:val="28"/>
          <w:szCs w:val="28"/>
          <w:highlight w:val="none"/>
        </w:rPr>
      </w:pPr>
      <w:r>
        <w:rPr>
          <w:rFonts w:ascii="仿宋" w:hAnsi="仿宋" w:eastAsia="仿宋" w:cs="仿宋"/>
          <w:color w:val="auto"/>
          <w:kern w:val="0"/>
          <w:sz w:val="21"/>
          <w:szCs w:val="18"/>
          <w:highlight w:val="none"/>
        </w:rPr>
        <w:t>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14:paraId="780DD9A7">
      <w:pPr>
        <w:pStyle w:val="639"/>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仿宋" w:hAnsi="仿宋" w:eastAsia="仿宋" w:cs="仿宋"/>
          <w:b/>
          <w:color w:val="auto"/>
          <w:sz w:val="28"/>
          <w:szCs w:val="28"/>
          <w:highlight w:val="none"/>
        </w:rPr>
      </w:pPr>
      <w:r>
        <w:rPr>
          <w:rFonts w:ascii="仿宋" w:hAnsi="仿宋" w:eastAsia="仿宋" w:cs="仿宋"/>
          <w:b/>
          <w:color w:val="auto"/>
          <w:sz w:val="28"/>
          <w:szCs w:val="28"/>
          <w:highlight w:val="none"/>
        </w:rPr>
        <w:t>中小企业划型标准规定</w:t>
      </w:r>
    </w:p>
    <w:p w14:paraId="3CB86AAD">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一、根据《中华人民共和国中小企业促进法》和《</w:t>
      </w:r>
      <w:r>
        <w:rPr>
          <w:color w:val="auto"/>
          <w:highlight w:val="none"/>
        </w:rPr>
        <w:fldChar w:fldCharType="begin"/>
      </w:r>
      <w:r>
        <w:rPr>
          <w:color w:val="auto"/>
          <w:highlight w:val="none"/>
        </w:rPr>
        <w:instrText xml:space="preserve"> HYPERLINK "https://www.shui5.cn/article/47/26142.html" </w:instrText>
      </w:r>
      <w:r>
        <w:rPr>
          <w:color w:val="auto"/>
          <w:highlight w:val="none"/>
        </w:rPr>
        <w:fldChar w:fldCharType="separate"/>
      </w:r>
      <w:r>
        <w:rPr>
          <w:rFonts w:ascii="仿宋" w:hAnsi="仿宋" w:eastAsia="仿宋" w:cs="仿宋"/>
          <w:color w:val="auto"/>
          <w:spacing w:val="6"/>
          <w:szCs w:val="21"/>
          <w:highlight w:val="none"/>
        </w:rPr>
        <w:t>国务院关于进一步促进中小企业发展的若干意见</w:t>
      </w:r>
      <w:r>
        <w:rPr>
          <w:rFonts w:ascii="仿宋" w:hAnsi="仿宋" w:eastAsia="仿宋" w:cs="仿宋"/>
          <w:color w:val="auto"/>
          <w:spacing w:val="6"/>
          <w:szCs w:val="21"/>
          <w:highlight w:val="none"/>
        </w:rPr>
        <w:fldChar w:fldCharType="end"/>
      </w:r>
      <w:r>
        <w:rPr>
          <w:rFonts w:ascii="仿宋" w:hAnsi="仿宋" w:eastAsia="仿宋" w:cs="仿宋"/>
          <w:color w:val="auto"/>
          <w:spacing w:val="6"/>
          <w:szCs w:val="21"/>
          <w:highlight w:val="none"/>
        </w:rPr>
        <w:t>》（</w:t>
      </w:r>
      <w:r>
        <w:rPr>
          <w:color w:val="auto"/>
          <w:highlight w:val="none"/>
        </w:rPr>
        <w:fldChar w:fldCharType="begin"/>
      </w:r>
      <w:r>
        <w:rPr>
          <w:color w:val="auto"/>
          <w:highlight w:val="none"/>
        </w:rPr>
        <w:instrText xml:space="preserve"> HYPERLINK "https://www.shui5.cn/article/47/26142.html" </w:instrText>
      </w:r>
      <w:r>
        <w:rPr>
          <w:color w:val="auto"/>
          <w:highlight w:val="none"/>
        </w:rPr>
        <w:fldChar w:fldCharType="separate"/>
      </w:r>
      <w:r>
        <w:rPr>
          <w:rFonts w:ascii="仿宋" w:hAnsi="仿宋" w:eastAsia="仿宋" w:cs="仿宋"/>
          <w:color w:val="auto"/>
          <w:spacing w:val="6"/>
          <w:szCs w:val="21"/>
          <w:highlight w:val="none"/>
        </w:rPr>
        <w:t>国发〔2009〕36号</w:t>
      </w:r>
      <w:r>
        <w:rPr>
          <w:rFonts w:ascii="仿宋" w:hAnsi="仿宋" w:eastAsia="仿宋" w:cs="仿宋"/>
          <w:color w:val="auto"/>
          <w:spacing w:val="6"/>
          <w:szCs w:val="21"/>
          <w:highlight w:val="none"/>
        </w:rPr>
        <w:fldChar w:fldCharType="end"/>
      </w:r>
      <w:r>
        <w:rPr>
          <w:rFonts w:ascii="仿宋" w:hAnsi="仿宋" w:eastAsia="仿宋" w:cs="仿宋"/>
          <w:color w:val="auto"/>
          <w:spacing w:val="6"/>
          <w:szCs w:val="21"/>
          <w:highlight w:val="none"/>
        </w:rPr>
        <w:t>)，制定本规定。</w:t>
      </w:r>
    </w:p>
    <w:p w14:paraId="577B5366">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二、中小企业划分为中型、小型、微型三种类型，具体标准根据企业从业人员、营业收入、资产总额等指标，结合行业特点制定。</w:t>
      </w:r>
    </w:p>
    <w:p w14:paraId="231061F5">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E70E4F0">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四、各行业划型标准为：</w:t>
      </w:r>
    </w:p>
    <w:p w14:paraId="549E0C32">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　　（一）农、林、牧、渔业。营业收入20000万元以下的为中小微型企业。其中，营业收入500万元及以上的为中型企业，营业收入50万元及以上的为小型企业，营业收入50万元以下的为微型企业。</w:t>
      </w:r>
    </w:p>
    <w:p w14:paraId="4B62DCB4">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CF5D74A">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8D81B02">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3787343">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42E0A5B">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C35AFB7">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4F500F7">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C5F8498">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E965B5E">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3F44382">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BEB682E">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5C2CFF3">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4627F80">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52DEF68">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D1DF2FA">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（十六）其他未列明行业。从业人员300人以下的为中小微型企业。其中，从业人员100人及以上的为中型企业；从业人员10人及以上的为小型企业；从业人员10人以下的为微型企业。</w:t>
      </w:r>
    </w:p>
    <w:p w14:paraId="491613E2">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五、企业类型的划分以统计部门的统计数据为依据。</w:t>
      </w:r>
    </w:p>
    <w:p w14:paraId="3AB095F7">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六、本规定适用于在中华人民共和国境内依法设立的各类所有制和各种组织形式的企业。个体工商户和本规定以外的行业，参照本规定进行划型。</w:t>
      </w:r>
    </w:p>
    <w:p w14:paraId="6E4067B7">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07E89252">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八、本规定由工业和信息化部、国家统计局会同有关部门根据《国民经济行业分类》修订情况和企业发展变化情况适时修订。</w:t>
      </w:r>
    </w:p>
    <w:p w14:paraId="59121C72">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pacing w:val="6"/>
          <w:szCs w:val="21"/>
          <w:highlight w:val="none"/>
        </w:rPr>
      </w:pPr>
      <w:r>
        <w:rPr>
          <w:rFonts w:ascii="仿宋" w:hAnsi="仿宋" w:eastAsia="仿宋" w:cs="仿宋"/>
          <w:color w:val="auto"/>
          <w:spacing w:val="6"/>
          <w:szCs w:val="21"/>
          <w:highlight w:val="none"/>
        </w:rPr>
        <w:t>九、本规定由工业和信息化部、国家统计局会同有关部门负责解释。</w:t>
      </w:r>
    </w:p>
    <w:p w14:paraId="353A99B2">
      <w:pPr>
        <w:pStyle w:val="639"/>
        <w:keepNext w:val="0"/>
        <w:keepLines w:val="0"/>
        <w:pageBreakBefore w:val="0"/>
        <w:widowControl w:val="0"/>
        <w:kinsoku/>
        <w:wordWrap/>
        <w:overflowPunct/>
        <w:topLinePunct w:val="0"/>
        <w:autoSpaceDE/>
        <w:autoSpaceDN/>
        <w:bidi w:val="0"/>
        <w:adjustRightInd w:val="0"/>
        <w:snapToGrid w:val="0"/>
        <w:spacing w:line="360" w:lineRule="auto"/>
        <w:ind w:firstLine="504" w:firstLineChars="200"/>
        <w:jc w:val="both"/>
        <w:textAlignment w:val="auto"/>
        <w:rPr>
          <w:rFonts w:hint="default" w:ascii="仿宋" w:hAnsi="仿宋" w:eastAsia="仿宋" w:cs="仿宋"/>
          <w:color w:val="auto"/>
          <w:szCs w:val="21"/>
          <w:highlight w:val="none"/>
        </w:rPr>
        <w:sectPr>
          <w:headerReference r:id="rId12" w:type="default"/>
          <w:footerReference r:id="rId13" w:type="default"/>
          <w:pgSz w:w="11906" w:h="16838"/>
          <w:pgMar w:top="1247" w:right="1588" w:bottom="1089" w:left="1588" w:header="851" w:footer="992" w:gutter="0"/>
          <w:pgBorders>
            <w:top w:val="none" w:sz="0" w:space="0"/>
            <w:left w:val="none" w:sz="0" w:space="0"/>
            <w:bottom w:val="none" w:sz="0" w:space="0"/>
            <w:right w:val="none" w:sz="0" w:space="0"/>
          </w:pgBorders>
          <w:pgNumType w:fmt="decimal"/>
          <w:cols w:space="720" w:num="1"/>
          <w:docGrid w:linePitch="312" w:charSpace="0"/>
        </w:sectPr>
      </w:pPr>
      <w:r>
        <w:rPr>
          <w:rFonts w:ascii="仿宋" w:hAnsi="仿宋" w:eastAsia="仿宋" w:cs="仿宋"/>
          <w:color w:val="auto"/>
          <w:spacing w:val="6"/>
          <w:szCs w:val="21"/>
          <w:highlight w:val="none"/>
        </w:rPr>
        <w:t>十、本规定自发布之日起执行，原国家经贸委、原国家计委、财政部和国家统计局2003年颁布的《</w:t>
      </w:r>
      <w:r>
        <w:rPr>
          <w:color w:val="auto"/>
          <w:highlight w:val="none"/>
        </w:rPr>
        <w:fldChar w:fldCharType="begin"/>
      </w:r>
      <w:r>
        <w:rPr>
          <w:color w:val="auto"/>
          <w:highlight w:val="none"/>
        </w:rPr>
        <w:instrText xml:space="preserve"> HYPERLINK "https://www.shui5.cn/article/df/24263.html" </w:instrText>
      </w:r>
      <w:r>
        <w:rPr>
          <w:color w:val="auto"/>
          <w:highlight w:val="none"/>
        </w:rPr>
        <w:fldChar w:fldCharType="separate"/>
      </w:r>
      <w:r>
        <w:rPr>
          <w:rFonts w:ascii="仿宋" w:hAnsi="仿宋" w:eastAsia="仿宋" w:cs="仿宋"/>
          <w:color w:val="auto"/>
          <w:spacing w:val="6"/>
          <w:szCs w:val="21"/>
          <w:highlight w:val="none"/>
        </w:rPr>
        <w:t>中小企业标准暂行规定</w:t>
      </w:r>
      <w:r>
        <w:rPr>
          <w:rFonts w:ascii="仿宋" w:hAnsi="仿宋" w:eastAsia="仿宋" w:cs="仿宋"/>
          <w:color w:val="auto"/>
          <w:spacing w:val="6"/>
          <w:szCs w:val="21"/>
          <w:highlight w:val="none"/>
        </w:rPr>
        <w:fldChar w:fldCharType="end"/>
      </w:r>
      <w:r>
        <w:rPr>
          <w:rFonts w:ascii="仿宋" w:hAnsi="仿宋" w:eastAsia="仿宋" w:cs="仿宋"/>
          <w:color w:val="auto"/>
          <w:spacing w:val="6"/>
          <w:szCs w:val="21"/>
          <w:highlight w:val="none"/>
        </w:rPr>
        <w:t>》</w:t>
      </w:r>
      <w:r>
        <w:rPr>
          <w:color w:val="auto"/>
          <w:highlight w:val="none"/>
        </w:rPr>
        <w:fldChar w:fldCharType="begin"/>
      </w:r>
      <w:r>
        <w:rPr>
          <w:color w:val="auto"/>
          <w:highlight w:val="none"/>
        </w:rPr>
        <w:instrText xml:space="preserve"> HYPERLINK "https://www.shui5.cn/article/df/24263.html" </w:instrText>
      </w:r>
      <w:r>
        <w:rPr>
          <w:color w:val="auto"/>
          <w:highlight w:val="none"/>
        </w:rPr>
        <w:fldChar w:fldCharType="separate"/>
      </w:r>
      <w:r>
        <w:rPr>
          <w:rFonts w:ascii="仿宋" w:hAnsi="仿宋" w:eastAsia="仿宋" w:cs="仿宋"/>
          <w:color w:val="auto"/>
          <w:spacing w:val="6"/>
          <w:szCs w:val="21"/>
          <w:highlight w:val="none"/>
        </w:rPr>
        <w:t>国经贸中小企</w:t>
      </w:r>
      <w:r>
        <w:rPr>
          <w:rFonts w:hint="eastAsia" w:ascii="仿宋" w:hAnsi="仿宋" w:eastAsia="仿宋" w:cs="仿宋"/>
          <w:color w:val="auto"/>
          <w:spacing w:val="6"/>
          <w:szCs w:val="21"/>
          <w:highlight w:val="none"/>
          <w:lang w:eastAsia="zh-CN"/>
        </w:rPr>
        <w:t>〔2003〕143号</w:t>
      </w:r>
      <w:r>
        <w:rPr>
          <w:rFonts w:ascii="仿宋" w:hAnsi="仿宋" w:eastAsia="仿宋" w:cs="仿宋"/>
          <w:color w:val="auto"/>
          <w:spacing w:val="6"/>
          <w:szCs w:val="21"/>
          <w:highlight w:val="none"/>
        </w:rPr>
        <w:fldChar w:fldCharType="end"/>
      </w:r>
      <w:r>
        <w:rPr>
          <w:rFonts w:ascii="仿宋" w:hAnsi="仿宋" w:eastAsia="仿宋" w:cs="仿宋"/>
          <w:color w:val="auto"/>
          <w:spacing w:val="6"/>
          <w:szCs w:val="21"/>
          <w:highlight w:val="none"/>
        </w:rPr>
        <w:t>同时废止。</w:t>
      </w:r>
    </w:p>
    <w:p w14:paraId="128CA3CE">
      <w:pPr>
        <w:keepNext/>
        <w:keepLines/>
        <w:pageBreakBefore w:val="0"/>
        <w:widowControl w:val="0"/>
        <w:numPr>
          <w:ilvl w:val="0"/>
          <w:numId w:val="0"/>
        </w:numPr>
        <w:kinsoku/>
        <w:wordWrap/>
        <w:overflowPunct/>
        <w:topLinePunct w:val="0"/>
        <w:autoSpaceDE/>
        <w:autoSpaceDN/>
        <w:bidi w:val="0"/>
        <w:adjustRightInd w:val="0"/>
        <w:snapToGrid w:val="0"/>
        <w:spacing w:before="0" w:after="0" w:line="416" w:lineRule="auto"/>
        <w:ind w:left="0" w:leftChars="0"/>
        <w:textAlignment w:val="auto"/>
        <w:outlineLvl w:val="9"/>
        <w:rPr>
          <w:rFonts w:hint="eastAsia"/>
          <w:color w:val="auto"/>
          <w:highlight w:val="none"/>
          <w:lang w:val="en-US" w:eastAsia="zh-CN"/>
        </w:rPr>
      </w:pPr>
      <w:r>
        <w:rPr>
          <w:rFonts w:ascii="仿宋" w:hAnsi="仿宋" w:eastAsia="仿宋" w:cs="仿宋"/>
          <w:color w:val="auto"/>
          <w:highlight w:val="none"/>
        </w:rPr>
        <w:drawing>
          <wp:inline distT="0" distB="0" distL="114300" distR="114300">
            <wp:extent cx="8667115" cy="5240020"/>
            <wp:effectExtent l="0" t="0" r="635" b="1778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8"/>
                    <a:stretch>
                      <a:fillRect/>
                    </a:stretch>
                  </pic:blipFill>
                  <pic:spPr>
                    <a:xfrm>
                      <a:off x="0" y="0"/>
                      <a:ext cx="8667115" cy="5240020"/>
                    </a:xfrm>
                    <a:prstGeom prst="rect">
                      <a:avLst/>
                    </a:prstGeom>
                    <a:noFill/>
                    <a:ln>
                      <a:noFill/>
                    </a:ln>
                  </pic:spPr>
                </pic:pic>
              </a:graphicData>
            </a:graphic>
          </wp:inline>
        </w:drawing>
      </w:r>
    </w:p>
    <w:sectPr>
      <w:footerReference r:id="rId15" w:type="first"/>
      <w:footerReference r:id="rId14" w:type="default"/>
      <w:pgSz w:w="16838" w:h="11906" w:orient="landscape"/>
      <w:pgMar w:top="1417" w:right="1174" w:bottom="1417" w:left="1151" w:header="851" w:footer="992" w:gutter="0"/>
      <w:pgBorders>
        <w:top w:val="none" w:sz="0" w:space="0"/>
        <w:left w:val="none" w:sz="0" w:space="0"/>
        <w:bottom w:val="none" w:sz="0" w:space="0"/>
        <w:right w:val="none" w:sz="0" w:space="0"/>
      </w:pgBorders>
      <w:pgNumType w:fmt="decimal"/>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panose1 w:val="020B0604020202020204"/>
    <w:charset w:val="00"/>
    <w:family w:val="swiss"/>
    <w:pitch w:val="default"/>
    <w:sig w:usb0="00000000" w:usb1="00000000" w:usb2="00000000" w:usb3="00000000" w:csb0="00000000" w:csb1="00000000"/>
  </w:font>
  <w:font w:name="Arial Narrow">
    <w:altName w:val="Arial"/>
    <w:panose1 w:val="020B0606020202030204"/>
    <w:charset w:val="00"/>
    <w:family w:val="swiss"/>
    <w:pitch w:val="default"/>
    <w:sig w:usb0="00000000" w:usb1="00000000" w:usb2="00000000" w:usb3="00000000" w:csb0="2000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Times New Roman"/>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ˎ̥">
    <w:altName w:val="微软雅黑"/>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方正小标宋简体">
    <w:altName w:val="黑体"/>
    <w:panose1 w:val="02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4C5F3A">
    <w:pPr>
      <w:pStyle w:val="38"/>
      <w:framePr w:wrap="around" w:vAnchor="text" w:hAnchor="margin" w:xAlign="right" w:y="1"/>
      <w:rPr>
        <w:rStyle w:val="64"/>
      </w:rPr>
    </w:pPr>
    <w:r>
      <w:fldChar w:fldCharType="begin"/>
    </w:r>
    <w:r>
      <w:rPr>
        <w:rStyle w:val="64"/>
      </w:rPr>
      <w:instrText xml:space="preserve">PAGE  </w:instrText>
    </w:r>
    <w:r>
      <w:fldChar w:fldCharType="end"/>
    </w:r>
  </w:p>
  <w:p w14:paraId="442279A2">
    <w:pPr>
      <w:pStyle w:val="3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1E813">
    <w:pPr>
      <w:pStyle w:val="38"/>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CC1452">
                          <w:pPr>
                            <w:pStyle w:val="3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CCC1452">
                    <w:pPr>
                      <w:pStyle w:val="3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3B9647">
    <w:pPr>
      <w:pStyle w:val="38"/>
      <w:jc w:val="center"/>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B6DD57">
                          <w:pPr>
                            <w:pStyle w:val="38"/>
                            <w:jc w:val="center"/>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BB6DD57">
                    <w:pPr>
                      <w:pStyle w:val="38"/>
                      <w:jc w:val="center"/>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AD4A3">
    <w:pPr>
      <w:pStyle w:val="38"/>
      <w:framePr w:wrap="around" w:vAnchor="text" w:hAnchor="margin" w:xAlign="right" w:y="1"/>
      <w:rPr>
        <w:rStyle w:val="64"/>
      </w:rPr>
    </w:pPr>
    <w:r>
      <w:fldChar w:fldCharType="begin"/>
    </w:r>
    <w:r>
      <w:rPr>
        <w:rStyle w:val="64"/>
      </w:rPr>
      <w:instrText xml:space="preserve">PAGE  </w:instrText>
    </w:r>
    <w:r>
      <w:fldChar w:fldCharType="end"/>
    </w:r>
  </w:p>
  <w:p w14:paraId="518836CB">
    <w:pPr>
      <w:pStyle w:val="3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BECCCB">
    <w:pPr>
      <w:pStyle w:val="38"/>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CDD179">
                          <w:pPr>
                            <w:pStyle w:val="38"/>
                            <w:jc w:val="center"/>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6CDD179">
                    <w:pPr>
                      <w:pStyle w:val="38"/>
                      <w:jc w:val="center"/>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3453D">
    <w:pPr>
      <w:pStyle w:val="38"/>
      <w:ind w:right="360"/>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3D1FE033">
                          <w:pPr>
                            <w:pStyle w:val="38"/>
                            <w:rPr>
                              <w:rFonts w:eastAsia="宋体"/>
                            </w:rPr>
                          </w:pPr>
                          <w:r>
                            <w:fldChar w:fldCharType="begin"/>
                          </w:r>
                          <w:r>
                            <w:instrText xml:space="preserve"> PAGE  \* MERGEFORMAT </w:instrText>
                          </w:r>
                          <w:r>
                            <w:fldChar w:fldCharType="separate"/>
                          </w:r>
                          <w:r>
                            <w:t>67</w:t>
                          </w:r>
                          <w:r>
                            <w:fldChar w:fldCharType="end"/>
                          </w:r>
                        </w:p>
                      </w:txbxContent>
                    </wps:txbx>
                    <wps:bodyPr wrap="none" lIns="0" tIns="0" rIns="0" bIns="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EoH3IHQAQAApQMAAA4AAAAAAAAAAQAgAAAAIgEA&#10;AGRycy9lMm9Eb2MueG1sUEsFBgAAAAAGAAYAWQEAAGQFAAAAAA==&#10;">
              <v:fill on="f" focussize="0,0"/>
              <v:stroke on="f" weight="1.25pt"/>
              <v:imagedata o:title=""/>
              <o:lock v:ext="edit" aspectratio="f"/>
              <v:textbox inset="0mm,0mm,0mm,0mm" style="mso-fit-shape-to-text:t;">
                <w:txbxContent>
                  <w:p w14:paraId="3D1FE033">
                    <w:pPr>
                      <w:pStyle w:val="38"/>
                      <w:rPr>
                        <w:rFonts w:eastAsia="宋体"/>
                      </w:rPr>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B5E6F0">
    <w:pPr>
      <w:pStyle w:val="38"/>
      <w:jc w:val="center"/>
      <w:rPr>
        <w:rFonts w:ascii="仿宋_GB2312" w:eastAsia="仿宋_GB2312"/>
        <w:szCs w:val="24"/>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022134">
                          <w:pPr>
                            <w:pStyle w:val="3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37022134">
                    <w:pPr>
                      <w:pStyle w:val="3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587471">
    <w:pPr>
      <w:pStyle w:val="38"/>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1C9613">
                          <w:pPr>
                            <w:pStyle w:val="38"/>
                          </w:pPr>
                          <w:r>
                            <w:fldChar w:fldCharType="begin"/>
                          </w:r>
                          <w:r>
                            <w:instrText xml:space="preserve"> PAGE  \* MERGEFORMAT </w:instrText>
                          </w:r>
                          <w:r>
                            <w:fldChar w:fldCharType="separate"/>
                          </w:r>
                          <w:r>
                            <w:t>88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731C9613">
                    <w:pPr>
                      <w:pStyle w:val="38"/>
                    </w:pPr>
                    <w:r>
                      <w:fldChar w:fldCharType="begin"/>
                    </w:r>
                    <w:r>
                      <w:instrText xml:space="preserve"> PAGE  \* MERGEFORMAT </w:instrText>
                    </w:r>
                    <w:r>
                      <w:fldChar w:fldCharType="separate"/>
                    </w:r>
                    <w:r>
                      <w:t>88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00A6C5">
    <w:pPr>
      <w:pStyle w:val="39"/>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D0482">
    <w:pPr>
      <w:pStyle w:val="39"/>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DDEA6">
    <w:pPr>
      <w:pStyle w:val="39"/>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29555A">
    <w:pPr>
      <w:pStyle w:val="39"/>
      <w:pBdr>
        <w:bottom w:val="none" w:color="auto" w:sz="0" w:space="1"/>
      </w:pBdr>
      <w:rPr>
        <w:rFonts w:hint="eastAsia"/>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98851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660E34"/>
    <w:multiLevelType w:val="singleLevel"/>
    <w:tmpl w:val="80660E34"/>
    <w:lvl w:ilvl="0" w:tentative="0">
      <w:start w:val="1"/>
      <w:numFmt w:val="decimal"/>
      <w:lvlText w:val="%1."/>
      <w:lvlJc w:val="left"/>
      <w:pPr>
        <w:tabs>
          <w:tab w:val="left" w:pos="397"/>
        </w:tabs>
        <w:ind w:left="340" w:hanging="340"/>
      </w:pPr>
      <w:rPr>
        <w:rFonts w:hint="default"/>
      </w:rPr>
    </w:lvl>
  </w:abstractNum>
  <w:abstractNum w:abstractNumId="1">
    <w:nsid w:val="8F9A0097"/>
    <w:multiLevelType w:val="multilevel"/>
    <w:tmpl w:val="8F9A0097"/>
    <w:lvl w:ilvl="0" w:tentative="0">
      <w:start w:val="5"/>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
    <w:nsid w:val="98E679FC"/>
    <w:multiLevelType w:val="singleLevel"/>
    <w:tmpl w:val="98E679FC"/>
    <w:lvl w:ilvl="0" w:tentative="0">
      <w:start w:val="1"/>
      <w:numFmt w:val="decimal"/>
      <w:lvlText w:val="(%1)"/>
      <w:lvlJc w:val="left"/>
      <w:pPr>
        <w:ind w:left="425" w:hanging="425"/>
      </w:pPr>
      <w:rPr>
        <w:rFonts w:hint="default"/>
      </w:rPr>
    </w:lvl>
  </w:abstractNum>
  <w:abstractNum w:abstractNumId="3">
    <w:nsid w:val="B1E04445"/>
    <w:multiLevelType w:val="multilevel"/>
    <w:tmpl w:val="B1E04445"/>
    <w:lvl w:ilvl="0" w:tentative="0">
      <w:start w:val="2"/>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4">
    <w:nsid w:val="B96E7FB5"/>
    <w:multiLevelType w:val="multilevel"/>
    <w:tmpl w:val="B96E7FB5"/>
    <w:lvl w:ilvl="0" w:tentative="0">
      <w:start w:val="7"/>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5">
    <w:nsid w:val="BB45F322"/>
    <w:multiLevelType w:val="singleLevel"/>
    <w:tmpl w:val="BB45F322"/>
    <w:lvl w:ilvl="0" w:tentative="0">
      <w:start w:val="1"/>
      <w:numFmt w:val="decimal"/>
      <w:lvlText w:val="(%1)"/>
      <w:lvlJc w:val="left"/>
      <w:pPr>
        <w:ind w:left="425" w:hanging="425"/>
      </w:pPr>
      <w:rPr>
        <w:rFonts w:hint="default"/>
      </w:rPr>
    </w:lvl>
  </w:abstractNum>
  <w:abstractNum w:abstractNumId="6">
    <w:nsid w:val="C3422329"/>
    <w:multiLevelType w:val="multilevel"/>
    <w:tmpl w:val="C3422329"/>
    <w:lvl w:ilvl="0" w:tentative="0">
      <w:start w:val="1"/>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7">
    <w:nsid w:val="C86D8AAB"/>
    <w:multiLevelType w:val="singleLevel"/>
    <w:tmpl w:val="C86D8AAB"/>
    <w:lvl w:ilvl="0" w:tentative="0">
      <w:start w:val="1"/>
      <w:numFmt w:val="decimal"/>
      <w:lvlText w:val="(%1)"/>
      <w:lvlJc w:val="left"/>
      <w:pPr>
        <w:ind w:left="425" w:hanging="425"/>
      </w:pPr>
      <w:rPr>
        <w:rFonts w:hint="default"/>
      </w:rPr>
    </w:lvl>
  </w:abstractNum>
  <w:abstractNum w:abstractNumId="8">
    <w:nsid w:val="CAC07571"/>
    <w:multiLevelType w:val="singleLevel"/>
    <w:tmpl w:val="CAC07571"/>
    <w:lvl w:ilvl="0" w:tentative="0">
      <w:start w:val="1"/>
      <w:numFmt w:val="decimal"/>
      <w:lvlText w:val="%1."/>
      <w:lvlJc w:val="center"/>
      <w:pPr>
        <w:tabs>
          <w:tab w:val="left" w:pos="42"/>
        </w:tabs>
        <w:ind w:left="71" w:hanging="45"/>
      </w:pPr>
      <w:rPr>
        <w:rFonts w:hint="default" w:ascii="宋体" w:hAnsi="宋体" w:eastAsia="宋体" w:cs="宋体"/>
      </w:rPr>
    </w:lvl>
  </w:abstractNum>
  <w:abstractNum w:abstractNumId="9">
    <w:nsid w:val="DFDB276E"/>
    <w:multiLevelType w:val="singleLevel"/>
    <w:tmpl w:val="DFDB276E"/>
    <w:lvl w:ilvl="0" w:tentative="0">
      <w:start w:val="1"/>
      <w:numFmt w:val="chineseCounting"/>
      <w:suff w:val="nothing"/>
      <w:lvlText w:val="%1、"/>
      <w:lvlJc w:val="left"/>
      <w:pPr>
        <w:ind w:left="0" w:firstLine="420"/>
      </w:pPr>
      <w:rPr>
        <w:rFonts w:hint="eastAsia"/>
      </w:rPr>
    </w:lvl>
  </w:abstractNum>
  <w:abstractNum w:abstractNumId="10">
    <w:nsid w:val="E20630FF"/>
    <w:multiLevelType w:val="multilevel"/>
    <w:tmpl w:val="E20630FF"/>
    <w:lvl w:ilvl="0" w:tentative="0">
      <w:start w:val="1"/>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1">
    <w:nsid w:val="E58775C7"/>
    <w:multiLevelType w:val="singleLevel"/>
    <w:tmpl w:val="E58775C7"/>
    <w:lvl w:ilvl="0" w:tentative="0">
      <w:start w:val="1"/>
      <w:numFmt w:val="decimal"/>
      <w:lvlText w:val="(%1)"/>
      <w:lvlJc w:val="left"/>
      <w:pPr>
        <w:ind w:left="425" w:hanging="425"/>
      </w:pPr>
      <w:rPr>
        <w:rFonts w:hint="default"/>
      </w:rPr>
    </w:lvl>
  </w:abstractNum>
  <w:abstractNum w:abstractNumId="12">
    <w:nsid w:val="EC6B8095"/>
    <w:multiLevelType w:val="multilevel"/>
    <w:tmpl w:val="EC6B8095"/>
    <w:lvl w:ilvl="0" w:tentative="0">
      <w:start w:val="1"/>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3">
    <w:nsid w:val="FCFF2228"/>
    <w:multiLevelType w:val="singleLevel"/>
    <w:tmpl w:val="FCFF2228"/>
    <w:lvl w:ilvl="0" w:tentative="0">
      <w:start w:val="2"/>
      <w:numFmt w:val="decimal"/>
      <w:suff w:val="nothing"/>
      <w:lvlText w:val="（%1）"/>
      <w:lvlJc w:val="left"/>
    </w:lvl>
  </w:abstractNum>
  <w:abstractNum w:abstractNumId="14">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5">
    <w:nsid w:val="00000007"/>
    <w:multiLevelType w:val="multilevel"/>
    <w:tmpl w:val="00000007"/>
    <w:lvl w:ilvl="0" w:tentative="0">
      <w:start w:val="1"/>
      <w:numFmt w:val="bullet"/>
      <w:pStyle w:val="105"/>
      <w:lvlText w:val=""/>
      <w:lvlJc w:val="left"/>
      <w:pPr>
        <w:tabs>
          <w:tab w:val="left" w:pos="840"/>
        </w:tabs>
        <w:ind w:left="840" w:hanging="420"/>
      </w:pPr>
      <w:rPr>
        <w:rFonts w:hint="default" w:ascii="Wingdings" w:hAnsi="Wingdings"/>
      </w:rPr>
    </w:lvl>
    <w:lvl w:ilvl="1" w:tentative="0">
      <w:start w:val="1"/>
      <w:numFmt w:val="bullet"/>
      <w:pStyle w:val="89"/>
      <w:lvlText w:val=""/>
      <w:lvlJc w:val="left"/>
      <w:pPr>
        <w:tabs>
          <w:tab w:val="left" w:pos="1260"/>
        </w:tabs>
        <w:ind w:left="1260" w:hanging="420"/>
      </w:pPr>
      <w:rPr>
        <w:rFonts w:hint="default" w:ascii="Wingdings" w:hAnsi="Wingdings"/>
      </w:rPr>
    </w:lvl>
    <w:lvl w:ilvl="2" w:tentative="0">
      <w:start w:val="1"/>
      <w:numFmt w:val="bullet"/>
      <w:pStyle w:val="343"/>
      <w:lvlText w:val=""/>
      <w:lvlJc w:val="left"/>
      <w:pPr>
        <w:tabs>
          <w:tab w:val="left" w:pos="1680"/>
        </w:tabs>
        <w:ind w:left="1680" w:hanging="420"/>
      </w:pPr>
      <w:rPr>
        <w:rFonts w:hint="default" w:ascii="Wingdings" w:hAnsi="Wingdings"/>
      </w:rPr>
    </w:lvl>
    <w:lvl w:ilvl="3" w:tentative="0">
      <w:start w:val="1"/>
      <w:numFmt w:val="bullet"/>
      <w:pStyle w:val="176"/>
      <w:lvlText w:val=""/>
      <w:lvlJc w:val="left"/>
      <w:pPr>
        <w:tabs>
          <w:tab w:val="left" w:pos="2100"/>
        </w:tabs>
        <w:ind w:left="2100" w:hanging="420"/>
      </w:pPr>
      <w:rPr>
        <w:rFonts w:hint="default" w:ascii="Wingdings" w:hAnsi="Wingdings"/>
      </w:rPr>
    </w:lvl>
    <w:lvl w:ilvl="4" w:tentative="0">
      <w:start w:val="1"/>
      <w:numFmt w:val="bullet"/>
      <w:pStyle w:val="412"/>
      <w:lvlText w:val=""/>
      <w:lvlJc w:val="left"/>
      <w:pPr>
        <w:tabs>
          <w:tab w:val="left" w:pos="2520"/>
        </w:tabs>
        <w:ind w:left="2520" w:hanging="420"/>
      </w:pPr>
      <w:rPr>
        <w:rFonts w:hint="default" w:ascii="Wingdings" w:hAnsi="Wingdings"/>
      </w:rPr>
    </w:lvl>
    <w:lvl w:ilvl="5" w:tentative="0">
      <w:start w:val="1"/>
      <w:numFmt w:val="bullet"/>
      <w:pStyle w:val="174"/>
      <w:lvlText w:val=""/>
      <w:lvlJc w:val="left"/>
      <w:pPr>
        <w:tabs>
          <w:tab w:val="left" w:pos="2940"/>
        </w:tabs>
        <w:ind w:left="2940" w:hanging="420"/>
      </w:pPr>
      <w:rPr>
        <w:rFonts w:hint="default" w:ascii="Wingdings" w:hAnsi="Wingdings"/>
      </w:rPr>
    </w:lvl>
    <w:lvl w:ilvl="6" w:tentative="0">
      <w:start w:val="1"/>
      <w:numFmt w:val="bullet"/>
      <w:pStyle w:val="401"/>
      <w:lvlText w:val=""/>
      <w:lvlJc w:val="left"/>
      <w:pPr>
        <w:tabs>
          <w:tab w:val="left" w:pos="3360"/>
        </w:tabs>
        <w:ind w:left="3360" w:hanging="420"/>
      </w:pPr>
      <w:rPr>
        <w:rFonts w:hint="default" w:ascii="Wingdings" w:hAnsi="Wingdings"/>
      </w:rPr>
    </w:lvl>
    <w:lvl w:ilvl="7" w:tentative="0">
      <w:start w:val="1"/>
      <w:numFmt w:val="bullet"/>
      <w:pStyle w:val="281"/>
      <w:lvlText w:val=""/>
      <w:lvlJc w:val="left"/>
      <w:pPr>
        <w:tabs>
          <w:tab w:val="left" w:pos="3780"/>
        </w:tabs>
        <w:ind w:left="3780" w:hanging="420"/>
      </w:pPr>
      <w:rPr>
        <w:rFonts w:hint="default" w:ascii="Wingdings" w:hAnsi="Wingdings"/>
      </w:rPr>
    </w:lvl>
    <w:lvl w:ilvl="8" w:tentative="0">
      <w:start w:val="1"/>
      <w:numFmt w:val="bullet"/>
      <w:pStyle w:val="374"/>
      <w:lvlText w:val=""/>
      <w:lvlJc w:val="left"/>
      <w:pPr>
        <w:tabs>
          <w:tab w:val="left" w:pos="4200"/>
        </w:tabs>
        <w:ind w:left="4200" w:hanging="420"/>
      </w:pPr>
      <w:rPr>
        <w:rFonts w:hint="default" w:ascii="Wingdings" w:hAnsi="Wingdings"/>
      </w:rPr>
    </w:lvl>
  </w:abstractNum>
  <w:abstractNum w:abstractNumId="16">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17">
    <w:nsid w:val="04C46C8E"/>
    <w:multiLevelType w:val="multilevel"/>
    <w:tmpl w:val="04C46C8E"/>
    <w:lvl w:ilvl="0" w:tentative="0">
      <w:start w:val="3"/>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8">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19">
    <w:nsid w:val="16764330"/>
    <w:multiLevelType w:val="singleLevel"/>
    <w:tmpl w:val="16764330"/>
    <w:lvl w:ilvl="0" w:tentative="0">
      <w:start w:val="1"/>
      <w:numFmt w:val="decimal"/>
      <w:lvlText w:val="(%1)"/>
      <w:lvlJc w:val="left"/>
      <w:pPr>
        <w:ind w:left="425" w:hanging="425"/>
      </w:pPr>
      <w:rPr>
        <w:rFonts w:hint="default"/>
      </w:rPr>
    </w:lvl>
  </w:abstractNum>
  <w:abstractNum w:abstractNumId="20">
    <w:nsid w:val="207439DD"/>
    <w:multiLevelType w:val="multilevel"/>
    <w:tmpl w:val="207439DD"/>
    <w:lvl w:ilvl="0" w:tentative="0">
      <w:start w:val="4"/>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1">
    <w:nsid w:val="21FB805B"/>
    <w:multiLevelType w:val="singleLevel"/>
    <w:tmpl w:val="21FB805B"/>
    <w:lvl w:ilvl="0" w:tentative="0">
      <w:start w:val="1"/>
      <w:numFmt w:val="decimal"/>
      <w:lvlText w:val="(%1)"/>
      <w:lvlJc w:val="left"/>
      <w:pPr>
        <w:ind w:left="425" w:hanging="425"/>
      </w:pPr>
      <w:rPr>
        <w:rFonts w:hint="default"/>
      </w:rPr>
    </w:lvl>
  </w:abstractNum>
  <w:abstractNum w:abstractNumId="22">
    <w:nsid w:val="2ED9EEBE"/>
    <w:multiLevelType w:val="multilevel"/>
    <w:tmpl w:val="2ED9EEBE"/>
    <w:lvl w:ilvl="0" w:tentative="0">
      <w:start w:val="2"/>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3">
    <w:nsid w:val="36ED0084"/>
    <w:multiLevelType w:val="multilevel"/>
    <w:tmpl w:val="36ED0084"/>
    <w:lvl w:ilvl="0" w:tentative="0">
      <w:start w:val="3"/>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4">
    <w:nsid w:val="3742DF7F"/>
    <w:multiLevelType w:val="singleLevel"/>
    <w:tmpl w:val="3742DF7F"/>
    <w:lvl w:ilvl="0" w:tentative="0">
      <w:start w:val="1"/>
      <w:numFmt w:val="decimal"/>
      <w:lvlText w:val="(%1)"/>
      <w:lvlJc w:val="left"/>
      <w:pPr>
        <w:ind w:left="425" w:hanging="425"/>
      </w:pPr>
      <w:rPr>
        <w:rFonts w:hint="default"/>
      </w:rPr>
    </w:lvl>
  </w:abstractNum>
  <w:abstractNum w:abstractNumId="25">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26">
    <w:nsid w:val="52B48799"/>
    <w:multiLevelType w:val="multilevel"/>
    <w:tmpl w:val="52B48799"/>
    <w:lvl w:ilvl="0" w:tentative="0">
      <w:start w:val="2"/>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7">
    <w:nsid w:val="53BE00A2"/>
    <w:multiLevelType w:val="singleLevel"/>
    <w:tmpl w:val="53BE00A2"/>
    <w:lvl w:ilvl="0" w:tentative="0">
      <w:start w:val="1"/>
      <w:numFmt w:val="decimal"/>
      <w:lvlText w:val="%1."/>
      <w:lvlJc w:val="center"/>
      <w:pPr>
        <w:tabs>
          <w:tab w:val="left" w:pos="42"/>
        </w:tabs>
        <w:ind w:left="71" w:hanging="45"/>
      </w:pPr>
      <w:rPr>
        <w:rFonts w:hint="default" w:ascii="宋体" w:hAnsi="宋体" w:eastAsia="宋体" w:cs="宋体"/>
      </w:rPr>
    </w:lvl>
  </w:abstractNum>
  <w:abstractNum w:abstractNumId="28">
    <w:nsid w:val="55198235"/>
    <w:multiLevelType w:val="singleLevel"/>
    <w:tmpl w:val="55198235"/>
    <w:lvl w:ilvl="0" w:tentative="0">
      <w:start w:val="1"/>
      <w:numFmt w:val="upperLetter"/>
      <w:suff w:val="space"/>
      <w:lvlText w:val="%1."/>
      <w:lvlJc w:val="left"/>
    </w:lvl>
  </w:abstractNum>
  <w:abstractNum w:abstractNumId="29">
    <w:nsid w:val="5737B475"/>
    <w:multiLevelType w:val="multilevel"/>
    <w:tmpl w:val="5737B475"/>
    <w:lvl w:ilvl="0" w:tentative="0">
      <w:start w:val="2"/>
      <w:numFmt w:val="decimal"/>
      <w:lvlText w:val="%1."/>
      <w:lvlJc w:val="left"/>
      <w:pPr>
        <w:ind w:left="425" w:hanging="425"/>
      </w:pPr>
      <w:rPr>
        <w:rFonts w:hint="default" w:ascii="宋体" w:hAnsi="宋体" w:eastAsia="宋体" w:cs="宋体"/>
      </w:rPr>
    </w:lvl>
    <w:lvl w:ilvl="1" w:tentative="0">
      <w:start w:val="1"/>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0">
    <w:nsid w:val="578B3BD2"/>
    <w:multiLevelType w:val="multilevel"/>
    <w:tmpl w:val="578B3BD2"/>
    <w:lvl w:ilvl="0" w:tentative="0">
      <w:start w:val="1"/>
      <w:numFmt w:val="decimal"/>
      <w:pStyle w:val="415"/>
      <w:lvlText w:val="%1"/>
      <w:lvlJc w:val="left"/>
      <w:pPr>
        <w:tabs>
          <w:tab w:val="left" w:pos="480"/>
        </w:tabs>
        <w:ind w:left="480" w:hanging="480"/>
      </w:pPr>
      <w:rPr>
        <w:rFonts w:hint="eastAsia"/>
        <w:sz w:val="44"/>
        <w:szCs w:val="44"/>
      </w:rPr>
    </w:lvl>
    <w:lvl w:ilvl="1" w:tentative="0">
      <w:start w:val="1"/>
      <w:numFmt w:val="decimal"/>
      <w:pStyle w:val="336"/>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4"/>
      <w:lvlText w:val="%1.%2.%3.%4.%5"/>
      <w:lvlJc w:val="left"/>
      <w:pPr>
        <w:tabs>
          <w:tab w:val="left" w:pos="1080"/>
        </w:tabs>
        <w:ind w:left="1080" w:hanging="1080"/>
      </w:pPr>
      <w:rPr>
        <w:rFonts w:hint="default"/>
      </w:rPr>
    </w:lvl>
    <w:lvl w:ilvl="5" w:tentative="0">
      <w:start w:val="1"/>
      <w:numFmt w:val="decimal"/>
      <w:pStyle w:val="218"/>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31">
    <w:nsid w:val="5F8858B4"/>
    <w:multiLevelType w:val="singleLevel"/>
    <w:tmpl w:val="5F8858B4"/>
    <w:lvl w:ilvl="0" w:tentative="0">
      <w:start w:val="1"/>
      <w:numFmt w:val="decimal"/>
      <w:suff w:val="space"/>
      <w:lvlText w:val="（%1）"/>
      <w:lvlJc w:val="left"/>
      <w:rPr>
        <w:rFonts w:hint="default"/>
        <w:u w:val="single"/>
      </w:rPr>
    </w:lvl>
  </w:abstractNum>
  <w:abstractNum w:abstractNumId="32">
    <w:nsid w:val="631C506F"/>
    <w:multiLevelType w:val="singleLevel"/>
    <w:tmpl w:val="631C506F"/>
    <w:lvl w:ilvl="0" w:tentative="0">
      <w:start w:val="1"/>
      <w:numFmt w:val="decimal"/>
      <w:lvlText w:val="(%1)"/>
      <w:lvlJc w:val="left"/>
      <w:pPr>
        <w:ind w:left="425" w:hanging="425"/>
      </w:pPr>
      <w:rPr>
        <w:rFonts w:hint="default"/>
      </w:rPr>
    </w:lvl>
  </w:abstractNum>
  <w:abstractNum w:abstractNumId="33">
    <w:nsid w:val="6A8067FF"/>
    <w:multiLevelType w:val="multilevel"/>
    <w:tmpl w:val="6A8067FF"/>
    <w:lvl w:ilvl="0" w:tentative="0">
      <w:start w:val="5"/>
      <w:numFmt w:val="decimal"/>
      <w:lvlText w:val="%1."/>
      <w:lvlJc w:val="left"/>
      <w:pPr>
        <w:ind w:left="323" w:leftChars="0" w:hanging="323" w:firstLineChars="0"/>
      </w:pPr>
      <w:rPr>
        <w:rFonts w:hint="default" w:ascii="宋体" w:hAnsi="宋体" w:eastAsia="宋体" w:cs="宋体"/>
      </w:rPr>
    </w:lvl>
    <w:lvl w:ilvl="1" w:tentative="0">
      <w:start w:val="4"/>
      <w:numFmt w:val="decimal"/>
      <w:lvlText w:val="%1.%2."/>
      <w:lvlJc w:val="left"/>
      <w:pPr>
        <w:ind w:left="567" w:hanging="567"/>
      </w:pPr>
      <w:rPr>
        <w:rFonts w:hint="default" w:ascii="宋体" w:hAnsi="宋体" w:eastAsia="宋体" w:cs="宋体"/>
      </w:rPr>
    </w:lvl>
    <w:lvl w:ilvl="2" w:tentative="0">
      <w:start w:val="1"/>
      <w:numFmt w:val="decimal"/>
      <w:lvlText w:val="%1.%2.%3."/>
      <w:lvlJc w:val="left"/>
      <w:pPr>
        <w:ind w:left="850" w:leftChars="0" w:hanging="850" w:firstLineChars="0"/>
      </w:pPr>
      <w:rPr>
        <w:rFonts w:hint="default" w:ascii="宋体" w:hAnsi="宋体" w:eastAsia="宋体" w:cs="宋体"/>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34">
    <w:nsid w:val="6D24840C"/>
    <w:multiLevelType w:val="singleLevel"/>
    <w:tmpl w:val="6D24840C"/>
    <w:lvl w:ilvl="0" w:tentative="0">
      <w:start w:val="1"/>
      <w:numFmt w:val="decimal"/>
      <w:lvlText w:val="(%1)"/>
      <w:lvlJc w:val="left"/>
      <w:pPr>
        <w:ind w:left="425" w:hanging="425"/>
      </w:pPr>
      <w:rPr>
        <w:rFonts w:hint="default"/>
      </w:rPr>
    </w:lvl>
  </w:abstractNum>
  <w:abstractNum w:abstractNumId="35">
    <w:nsid w:val="6DB9E28E"/>
    <w:multiLevelType w:val="singleLevel"/>
    <w:tmpl w:val="6DB9E28E"/>
    <w:lvl w:ilvl="0" w:tentative="0">
      <w:start w:val="1"/>
      <w:numFmt w:val="chineseCounting"/>
      <w:suff w:val="space"/>
      <w:lvlText w:val="第%1部分"/>
      <w:lvlJc w:val="left"/>
      <w:rPr>
        <w:rFonts w:hint="eastAsia"/>
      </w:rPr>
    </w:lvl>
  </w:abstractNum>
  <w:abstractNum w:abstractNumId="36">
    <w:nsid w:val="71689E10"/>
    <w:multiLevelType w:val="singleLevel"/>
    <w:tmpl w:val="71689E10"/>
    <w:lvl w:ilvl="0" w:tentative="0">
      <w:start w:val="1"/>
      <w:numFmt w:val="decimal"/>
      <w:lvlText w:val="(%1)"/>
      <w:lvlJc w:val="left"/>
      <w:pPr>
        <w:ind w:left="425" w:hanging="425"/>
      </w:pPr>
      <w:rPr>
        <w:rFonts w:hint="default"/>
      </w:rPr>
    </w:lvl>
  </w:abstractNum>
  <w:abstractNum w:abstractNumId="37">
    <w:nsid w:val="73596DCC"/>
    <w:multiLevelType w:val="multilevel"/>
    <w:tmpl w:val="73596DCC"/>
    <w:lvl w:ilvl="0" w:tentative="0">
      <w:start w:val="1"/>
      <w:numFmt w:val="bullet"/>
      <w:pStyle w:val="322"/>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18"/>
  </w:num>
  <w:num w:numId="2">
    <w:abstractNumId w:val="16"/>
  </w:num>
  <w:num w:numId="3">
    <w:abstractNumId w:val="14"/>
  </w:num>
  <w:num w:numId="4">
    <w:abstractNumId w:val="15"/>
  </w:num>
  <w:num w:numId="5">
    <w:abstractNumId w:val="30"/>
  </w:num>
  <w:num w:numId="6">
    <w:abstractNumId w:val="37"/>
  </w:num>
  <w:num w:numId="7">
    <w:abstractNumId w:val="0"/>
  </w:num>
  <w:num w:numId="8">
    <w:abstractNumId w:val="12"/>
  </w:num>
  <w:num w:numId="9">
    <w:abstractNumId w:val="6"/>
  </w:num>
  <w:num w:numId="10">
    <w:abstractNumId w:val="29"/>
  </w:num>
  <w:num w:numId="11">
    <w:abstractNumId w:val="17"/>
  </w:num>
  <w:num w:numId="12">
    <w:abstractNumId w:val="20"/>
  </w:num>
  <w:num w:numId="13">
    <w:abstractNumId w:val="1"/>
  </w:num>
  <w:num w:numId="14">
    <w:abstractNumId w:val="33"/>
  </w:num>
  <w:num w:numId="15">
    <w:abstractNumId w:val="27"/>
  </w:num>
  <w:num w:numId="16">
    <w:abstractNumId w:val="21"/>
  </w:num>
  <w:num w:numId="17">
    <w:abstractNumId w:val="8"/>
  </w:num>
  <w:num w:numId="18">
    <w:abstractNumId w:val="3"/>
  </w:num>
  <w:num w:numId="19">
    <w:abstractNumId w:val="7"/>
  </w:num>
  <w:num w:numId="20">
    <w:abstractNumId w:val="35"/>
  </w:num>
  <w:num w:numId="21">
    <w:abstractNumId w:val="22"/>
  </w:num>
  <w:num w:numId="22">
    <w:abstractNumId w:val="5"/>
  </w:num>
  <w:num w:numId="23">
    <w:abstractNumId w:val="19"/>
  </w:num>
  <w:num w:numId="24">
    <w:abstractNumId w:val="24"/>
  </w:num>
  <w:num w:numId="25">
    <w:abstractNumId w:val="9"/>
  </w:num>
  <w:num w:numId="26">
    <w:abstractNumId w:val="10"/>
  </w:num>
  <w:num w:numId="27">
    <w:abstractNumId w:val="36"/>
  </w:num>
  <w:num w:numId="28">
    <w:abstractNumId w:val="11"/>
  </w:num>
  <w:num w:numId="29">
    <w:abstractNumId w:val="32"/>
  </w:num>
  <w:num w:numId="30">
    <w:abstractNumId w:val="4"/>
  </w:num>
  <w:num w:numId="31">
    <w:abstractNumId w:val="13"/>
  </w:num>
  <w:num w:numId="32">
    <w:abstractNumId w:val="28"/>
  </w:num>
  <w:num w:numId="33">
    <w:abstractNumId w:val="31"/>
  </w:num>
  <w:num w:numId="34">
    <w:abstractNumId w:val="34"/>
  </w:num>
  <w:num w:numId="35">
    <w:abstractNumId w:val="25"/>
  </w:num>
  <w:num w:numId="36">
    <w:abstractNumId w:val="26"/>
  </w:num>
  <w:num w:numId="37">
    <w:abstractNumId w:val="23"/>
  </w:num>
  <w:num w:numId="3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QzMGExYzQ5NDk2OTJiODgzOWVmMWVlZmFhNWQ2ODcifQ=="/>
  </w:docVars>
  <w:rsids>
    <w:rsidRoot w:val="00172A27"/>
    <w:rsid w:val="0000133D"/>
    <w:rsid w:val="0000488B"/>
    <w:rsid w:val="00005CAC"/>
    <w:rsid w:val="00006109"/>
    <w:rsid w:val="00006725"/>
    <w:rsid w:val="0000675E"/>
    <w:rsid w:val="00006F41"/>
    <w:rsid w:val="00007CAA"/>
    <w:rsid w:val="00010FE9"/>
    <w:rsid w:val="0001122F"/>
    <w:rsid w:val="00012BE8"/>
    <w:rsid w:val="00013F31"/>
    <w:rsid w:val="00015FD7"/>
    <w:rsid w:val="000170C8"/>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4D0C"/>
    <w:rsid w:val="00054D39"/>
    <w:rsid w:val="0005501B"/>
    <w:rsid w:val="000554C7"/>
    <w:rsid w:val="00055A61"/>
    <w:rsid w:val="00056118"/>
    <w:rsid w:val="000578A3"/>
    <w:rsid w:val="00057FC8"/>
    <w:rsid w:val="000600BA"/>
    <w:rsid w:val="00061A3C"/>
    <w:rsid w:val="000620B0"/>
    <w:rsid w:val="000646CA"/>
    <w:rsid w:val="00064D05"/>
    <w:rsid w:val="00065868"/>
    <w:rsid w:val="000665C4"/>
    <w:rsid w:val="00067821"/>
    <w:rsid w:val="0006785E"/>
    <w:rsid w:val="00070825"/>
    <w:rsid w:val="000724C2"/>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2D64"/>
    <w:rsid w:val="000A482D"/>
    <w:rsid w:val="000A49BB"/>
    <w:rsid w:val="000A5537"/>
    <w:rsid w:val="000A5674"/>
    <w:rsid w:val="000A5A46"/>
    <w:rsid w:val="000B0E04"/>
    <w:rsid w:val="000B4B56"/>
    <w:rsid w:val="000B53F1"/>
    <w:rsid w:val="000B54C1"/>
    <w:rsid w:val="000B62AC"/>
    <w:rsid w:val="000B6BDF"/>
    <w:rsid w:val="000C0A43"/>
    <w:rsid w:val="000C12CA"/>
    <w:rsid w:val="000C1ADE"/>
    <w:rsid w:val="000C1C38"/>
    <w:rsid w:val="000C222C"/>
    <w:rsid w:val="000C2264"/>
    <w:rsid w:val="000C4727"/>
    <w:rsid w:val="000C47AE"/>
    <w:rsid w:val="000C51AD"/>
    <w:rsid w:val="000C5374"/>
    <w:rsid w:val="000C5EC0"/>
    <w:rsid w:val="000C6688"/>
    <w:rsid w:val="000C7BEB"/>
    <w:rsid w:val="000D11E5"/>
    <w:rsid w:val="000D1D28"/>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7BBD"/>
    <w:rsid w:val="00107E1B"/>
    <w:rsid w:val="00111C7D"/>
    <w:rsid w:val="00112038"/>
    <w:rsid w:val="00112467"/>
    <w:rsid w:val="001127FF"/>
    <w:rsid w:val="00112B0B"/>
    <w:rsid w:val="00112B42"/>
    <w:rsid w:val="00114847"/>
    <w:rsid w:val="0011585B"/>
    <w:rsid w:val="00115B1A"/>
    <w:rsid w:val="001168F8"/>
    <w:rsid w:val="001228C8"/>
    <w:rsid w:val="001237BA"/>
    <w:rsid w:val="0012419E"/>
    <w:rsid w:val="001243E9"/>
    <w:rsid w:val="001248EF"/>
    <w:rsid w:val="00124F76"/>
    <w:rsid w:val="00124FC4"/>
    <w:rsid w:val="001259B8"/>
    <w:rsid w:val="00127DAB"/>
    <w:rsid w:val="00131C2D"/>
    <w:rsid w:val="001350F7"/>
    <w:rsid w:val="00135141"/>
    <w:rsid w:val="00135769"/>
    <w:rsid w:val="00135BE9"/>
    <w:rsid w:val="0013662A"/>
    <w:rsid w:val="001374DC"/>
    <w:rsid w:val="0013773D"/>
    <w:rsid w:val="00140D7A"/>
    <w:rsid w:val="001430C3"/>
    <w:rsid w:val="00144649"/>
    <w:rsid w:val="001451BB"/>
    <w:rsid w:val="00145662"/>
    <w:rsid w:val="00145A23"/>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421"/>
    <w:rsid w:val="00171622"/>
    <w:rsid w:val="001721CF"/>
    <w:rsid w:val="001728FD"/>
    <w:rsid w:val="00172A27"/>
    <w:rsid w:val="00172F02"/>
    <w:rsid w:val="00173631"/>
    <w:rsid w:val="0017372D"/>
    <w:rsid w:val="00173E59"/>
    <w:rsid w:val="00176BC8"/>
    <w:rsid w:val="0018005D"/>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5E7"/>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C1F"/>
    <w:rsid w:val="001B219B"/>
    <w:rsid w:val="001B2703"/>
    <w:rsid w:val="001B2ABD"/>
    <w:rsid w:val="001B46B2"/>
    <w:rsid w:val="001B4CA8"/>
    <w:rsid w:val="001B572D"/>
    <w:rsid w:val="001B738E"/>
    <w:rsid w:val="001B7B69"/>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2D33"/>
    <w:rsid w:val="00202F99"/>
    <w:rsid w:val="00203C85"/>
    <w:rsid w:val="00205298"/>
    <w:rsid w:val="002054F4"/>
    <w:rsid w:val="00210B9C"/>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FA2"/>
    <w:rsid w:val="00240F67"/>
    <w:rsid w:val="00241144"/>
    <w:rsid w:val="00242009"/>
    <w:rsid w:val="00242510"/>
    <w:rsid w:val="00243F5D"/>
    <w:rsid w:val="0024415B"/>
    <w:rsid w:val="00247422"/>
    <w:rsid w:val="00247BA2"/>
    <w:rsid w:val="00251CB4"/>
    <w:rsid w:val="002531BD"/>
    <w:rsid w:val="002533FE"/>
    <w:rsid w:val="002537FC"/>
    <w:rsid w:val="002543EF"/>
    <w:rsid w:val="00255146"/>
    <w:rsid w:val="0025631F"/>
    <w:rsid w:val="00256986"/>
    <w:rsid w:val="00257246"/>
    <w:rsid w:val="00263044"/>
    <w:rsid w:val="00263759"/>
    <w:rsid w:val="0026385E"/>
    <w:rsid w:val="002645DB"/>
    <w:rsid w:val="0026470B"/>
    <w:rsid w:val="0026486D"/>
    <w:rsid w:val="00264CEB"/>
    <w:rsid w:val="002660C3"/>
    <w:rsid w:val="00266DE1"/>
    <w:rsid w:val="00266E08"/>
    <w:rsid w:val="00267E43"/>
    <w:rsid w:val="00272DC3"/>
    <w:rsid w:val="00273C5F"/>
    <w:rsid w:val="00274C6D"/>
    <w:rsid w:val="002751CA"/>
    <w:rsid w:val="0027544D"/>
    <w:rsid w:val="002778AB"/>
    <w:rsid w:val="002802A5"/>
    <w:rsid w:val="00281BCB"/>
    <w:rsid w:val="00282CA4"/>
    <w:rsid w:val="0028583E"/>
    <w:rsid w:val="00285FF3"/>
    <w:rsid w:val="00286E00"/>
    <w:rsid w:val="0028744E"/>
    <w:rsid w:val="0028766A"/>
    <w:rsid w:val="00287936"/>
    <w:rsid w:val="002903C5"/>
    <w:rsid w:val="00290A99"/>
    <w:rsid w:val="00290EAF"/>
    <w:rsid w:val="0029159A"/>
    <w:rsid w:val="00292AA1"/>
    <w:rsid w:val="0029499D"/>
    <w:rsid w:val="00294A13"/>
    <w:rsid w:val="00295073"/>
    <w:rsid w:val="0029704D"/>
    <w:rsid w:val="002970CE"/>
    <w:rsid w:val="002979C5"/>
    <w:rsid w:val="00297AF5"/>
    <w:rsid w:val="002A02D6"/>
    <w:rsid w:val="002A07C4"/>
    <w:rsid w:val="002A0921"/>
    <w:rsid w:val="002A2001"/>
    <w:rsid w:val="002A4EB3"/>
    <w:rsid w:val="002A51D9"/>
    <w:rsid w:val="002A5275"/>
    <w:rsid w:val="002A53F3"/>
    <w:rsid w:val="002B1C3D"/>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643D"/>
    <w:rsid w:val="002C70E7"/>
    <w:rsid w:val="002C77AC"/>
    <w:rsid w:val="002D0B50"/>
    <w:rsid w:val="002D15AA"/>
    <w:rsid w:val="002D22A6"/>
    <w:rsid w:val="002D2496"/>
    <w:rsid w:val="002D2C71"/>
    <w:rsid w:val="002D2CD6"/>
    <w:rsid w:val="002D2F81"/>
    <w:rsid w:val="002D3BA3"/>
    <w:rsid w:val="002D4892"/>
    <w:rsid w:val="002D4D06"/>
    <w:rsid w:val="002D4E19"/>
    <w:rsid w:val="002D4EE7"/>
    <w:rsid w:val="002D4EED"/>
    <w:rsid w:val="002D555F"/>
    <w:rsid w:val="002D6782"/>
    <w:rsid w:val="002D7DB2"/>
    <w:rsid w:val="002D7FB2"/>
    <w:rsid w:val="002E0542"/>
    <w:rsid w:val="002E0E87"/>
    <w:rsid w:val="002E1EC1"/>
    <w:rsid w:val="002E201C"/>
    <w:rsid w:val="002E28A0"/>
    <w:rsid w:val="002E2E79"/>
    <w:rsid w:val="002E3956"/>
    <w:rsid w:val="002E56D9"/>
    <w:rsid w:val="002E672A"/>
    <w:rsid w:val="002E6853"/>
    <w:rsid w:val="002E7EE5"/>
    <w:rsid w:val="002F0323"/>
    <w:rsid w:val="002F0939"/>
    <w:rsid w:val="002F134F"/>
    <w:rsid w:val="002F1444"/>
    <w:rsid w:val="002F1D0B"/>
    <w:rsid w:val="002F1F02"/>
    <w:rsid w:val="002F2048"/>
    <w:rsid w:val="002F2D81"/>
    <w:rsid w:val="002F44D0"/>
    <w:rsid w:val="002F47A6"/>
    <w:rsid w:val="002F4A5C"/>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EDB"/>
    <w:rsid w:val="00312378"/>
    <w:rsid w:val="00312DFC"/>
    <w:rsid w:val="0031318C"/>
    <w:rsid w:val="00313C9D"/>
    <w:rsid w:val="00314C5A"/>
    <w:rsid w:val="0031527C"/>
    <w:rsid w:val="0031531A"/>
    <w:rsid w:val="00315394"/>
    <w:rsid w:val="00315A0E"/>
    <w:rsid w:val="00315D77"/>
    <w:rsid w:val="00316CDE"/>
    <w:rsid w:val="00317012"/>
    <w:rsid w:val="0032226B"/>
    <w:rsid w:val="00324B2F"/>
    <w:rsid w:val="00326106"/>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31"/>
    <w:rsid w:val="00355D8F"/>
    <w:rsid w:val="00357437"/>
    <w:rsid w:val="003577EF"/>
    <w:rsid w:val="00360304"/>
    <w:rsid w:val="003621DE"/>
    <w:rsid w:val="00365427"/>
    <w:rsid w:val="003669C8"/>
    <w:rsid w:val="00366CEB"/>
    <w:rsid w:val="00366D8A"/>
    <w:rsid w:val="003679D3"/>
    <w:rsid w:val="00367A87"/>
    <w:rsid w:val="003703CE"/>
    <w:rsid w:val="00371C6D"/>
    <w:rsid w:val="003726FA"/>
    <w:rsid w:val="00372C89"/>
    <w:rsid w:val="00372E9A"/>
    <w:rsid w:val="00374677"/>
    <w:rsid w:val="0037632F"/>
    <w:rsid w:val="00377B26"/>
    <w:rsid w:val="00381014"/>
    <w:rsid w:val="00381F60"/>
    <w:rsid w:val="00382C74"/>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52CF"/>
    <w:rsid w:val="003962E6"/>
    <w:rsid w:val="00396831"/>
    <w:rsid w:val="003A0324"/>
    <w:rsid w:val="003A03EF"/>
    <w:rsid w:val="003A12B6"/>
    <w:rsid w:val="003A20D5"/>
    <w:rsid w:val="003A24CC"/>
    <w:rsid w:val="003A2EE8"/>
    <w:rsid w:val="003A373C"/>
    <w:rsid w:val="003A5378"/>
    <w:rsid w:val="003A5567"/>
    <w:rsid w:val="003A7750"/>
    <w:rsid w:val="003A7E2B"/>
    <w:rsid w:val="003A7E40"/>
    <w:rsid w:val="003B0336"/>
    <w:rsid w:val="003B0A3A"/>
    <w:rsid w:val="003B4810"/>
    <w:rsid w:val="003B514E"/>
    <w:rsid w:val="003B5E0A"/>
    <w:rsid w:val="003B613B"/>
    <w:rsid w:val="003B636A"/>
    <w:rsid w:val="003C011C"/>
    <w:rsid w:val="003C0EB6"/>
    <w:rsid w:val="003C435B"/>
    <w:rsid w:val="003C4EBE"/>
    <w:rsid w:val="003C685A"/>
    <w:rsid w:val="003C6E9C"/>
    <w:rsid w:val="003C7F12"/>
    <w:rsid w:val="003D03D6"/>
    <w:rsid w:val="003D04C3"/>
    <w:rsid w:val="003D14C8"/>
    <w:rsid w:val="003D1517"/>
    <w:rsid w:val="003D2DA0"/>
    <w:rsid w:val="003D2FDD"/>
    <w:rsid w:val="003D34C3"/>
    <w:rsid w:val="003D5ADB"/>
    <w:rsid w:val="003D663E"/>
    <w:rsid w:val="003D6793"/>
    <w:rsid w:val="003D6B03"/>
    <w:rsid w:val="003D75D8"/>
    <w:rsid w:val="003E0746"/>
    <w:rsid w:val="003E0E7C"/>
    <w:rsid w:val="003E336A"/>
    <w:rsid w:val="003E60DA"/>
    <w:rsid w:val="003E61F6"/>
    <w:rsid w:val="003E6439"/>
    <w:rsid w:val="003E6E00"/>
    <w:rsid w:val="003E7410"/>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388"/>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739A"/>
    <w:rsid w:val="004475F7"/>
    <w:rsid w:val="00447DFB"/>
    <w:rsid w:val="00450B22"/>
    <w:rsid w:val="004533CE"/>
    <w:rsid w:val="004543AB"/>
    <w:rsid w:val="00454BF5"/>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64C6"/>
    <w:rsid w:val="00477247"/>
    <w:rsid w:val="004776BB"/>
    <w:rsid w:val="00480DC5"/>
    <w:rsid w:val="00481886"/>
    <w:rsid w:val="00482288"/>
    <w:rsid w:val="00483984"/>
    <w:rsid w:val="00483BC7"/>
    <w:rsid w:val="00483CF0"/>
    <w:rsid w:val="00484D4D"/>
    <w:rsid w:val="0048664F"/>
    <w:rsid w:val="004868AD"/>
    <w:rsid w:val="00486D00"/>
    <w:rsid w:val="00487FE1"/>
    <w:rsid w:val="00490707"/>
    <w:rsid w:val="00490815"/>
    <w:rsid w:val="004914E8"/>
    <w:rsid w:val="00492B76"/>
    <w:rsid w:val="0049333E"/>
    <w:rsid w:val="0049418F"/>
    <w:rsid w:val="00495DC6"/>
    <w:rsid w:val="00497AAD"/>
    <w:rsid w:val="00497D1A"/>
    <w:rsid w:val="00497FE6"/>
    <w:rsid w:val="004A1DBC"/>
    <w:rsid w:val="004A1EA7"/>
    <w:rsid w:val="004A2C96"/>
    <w:rsid w:val="004A4125"/>
    <w:rsid w:val="004A7364"/>
    <w:rsid w:val="004B026C"/>
    <w:rsid w:val="004B0271"/>
    <w:rsid w:val="004B0BE8"/>
    <w:rsid w:val="004B0E4A"/>
    <w:rsid w:val="004B139D"/>
    <w:rsid w:val="004B2463"/>
    <w:rsid w:val="004B305F"/>
    <w:rsid w:val="004B34C4"/>
    <w:rsid w:val="004B3981"/>
    <w:rsid w:val="004B3AD7"/>
    <w:rsid w:val="004B419F"/>
    <w:rsid w:val="004B7317"/>
    <w:rsid w:val="004B75B2"/>
    <w:rsid w:val="004C11A9"/>
    <w:rsid w:val="004C1D91"/>
    <w:rsid w:val="004C27CF"/>
    <w:rsid w:val="004C2CA7"/>
    <w:rsid w:val="004C45C8"/>
    <w:rsid w:val="004C50DC"/>
    <w:rsid w:val="004C612E"/>
    <w:rsid w:val="004C6C0A"/>
    <w:rsid w:val="004C7180"/>
    <w:rsid w:val="004C77FF"/>
    <w:rsid w:val="004D0223"/>
    <w:rsid w:val="004D12E8"/>
    <w:rsid w:val="004D16A3"/>
    <w:rsid w:val="004D1E41"/>
    <w:rsid w:val="004D4B2A"/>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637"/>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3C1B"/>
    <w:rsid w:val="00564DA7"/>
    <w:rsid w:val="00564EFA"/>
    <w:rsid w:val="00565204"/>
    <w:rsid w:val="00565473"/>
    <w:rsid w:val="00565DAC"/>
    <w:rsid w:val="00565F0D"/>
    <w:rsid w:val="005662DC"/>
    <w:rsid w:val="00566329"/>
    <w:rsid w:val="0056796C"/>
    <w:rsid w:val="005701C2"/>
    <w:rsid w:val="00570580"/>
    <w:rsid w:val="0057117C"/>
    <w:rsid w:val="00573560"/>
    <w:rsid w:val="0057438C"/>
    <w:rsid w:val="00574E7B"/>
    <w:rsid w:val="00576B5C"/>
    <w:rsid w:val="00580DFC"/>
    <w:rsid w:val="00581EC5"/>
    <w:rsid w:val="00581F85"/>
    <w:rsid w:val="00583D43"/>
    <w:rsid w:val="005846C3"/>
    <w:rsid w:val="00584F04"/>
    <w:rsid w:val="005857F7"/>
    <w:rsid w:val="0058767F"/>
    <w:rsid w:val="00587D7B"/>
    <w:rsid w:val="005901B7"/>
    <w:rsid w:val="005904DB"/>
    <w:rsid w:val="00592825"/>
    <w:rsid w:val="005931BD"/>
    <w:rsid w:val="00594437"/>
    <w:rsid w:val="00594A94"/>
    <w:rsid w:val="005955EB"/>
    <w:rsid w:val="00596CFA"/>
    <w:rsid w:val="005975CE"/>
    <w:rsid w:val="005A1301"/>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2815"/>
    <w:rsid w:val="00603373"/>
    <w:rsid w:val="006036D0"/>
    <w:rsid w:val="006042CD"/>
    <w:rsid w:val="0060500E"/>
    <w:rsid w:val="006054A5"/>
    <w:rsid w:val="006059E4"/>
    <w:rsid w:val="006062A0"/>
    <w:rsid w:val="00606512"/>
    <w:rsid w:val="0061098D"/>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4AA8"/>
    <w:rsid w:val="00635B73"/>
    <w:rsid w:val="006368A8"/>
    <w:rsid w:val="006369CE"/>
    <w:rsid w:val="00636CC7"/>
    <w:rsid w:val="00637F27"/>
    <w:rsid w:val="00643F89"/>
    <w:rsid w:val="00644BED"/>
    <w:rsid w:val="00644E2E"/>
    <w:rsid w:val="00645CB4"/>
    <w:rsid w:val="006470DC"/>
    <w:rsid w:val="006515A4"/>
    <w:rsid w:val="00651F59"/>
    <w:rsid w:val="00652CF5"/>
    <w:rsid w:val="0065343E"/>
    <w:rsid w:val="00653C7C"/>
    <w:rsid w:val="006558CD"/>
    <w:rsid w:val="00656D49"/>
    <w:rsid w:val="00656E4D"/>
    <w:rsid w:val="006576BA"/>
    <w:rsid w:val="00662401"/>
    <w:rsid w:val="00662D3D"/>
    <w:rsid w:val="00662F1F"/>
    <w:rsid w:val="00664936"/>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AE4"/>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1890"/>
    <w:rsid w:val="006945A1"/>
    <w:rsid w:val="00694982"/>
    <w:rsid w:val="00695EAC"/>
    <w:rsid w:val="00697062"/>
    <w:rsid w:val="006971F8"/>
    <w:rsid w:val="00697D5F"/>
    <w:rsid w:val="006A060C"/>
    <w:rsid w:val="006A150D"/>
    <w:rsid w:val="006A1526"/>
    <w:rsid w:val="006A39D0"/>
    <w:rsid w:val="006A4321"/>
    <w:rsid w:val="006A5A44"/>
    <w:rsid w:val="006A61EE"/>
    <w:rsid w:val="006B0580"/>
    <w:rsid w:val="006B0660"/>
    <w:rsid w:val="006B0F30"/>
    <w:rsid w:val="006B1D06"/>
    <w:rsid w:val="006B2823"/>
    <w:rsid w:val="006B33DB"/>
    <w:rsid w:val="006B4CF8"/>
    <w:rsid w:val="006B5FBC"/>
    <w:rsid w:val="006B6ED2"/>
    <w:rsid w:val="006C0230"/>
    <w:rsid w:val="006C078D"/>
    <w:rsid w:val="006C09CC"/>
    <w:rsid w:val="006C09F4"/>
    <w:rsid w:val="006C3EFE"/>
    <w:rsid w:val="006C4D29"/>
    <w:rsid w:val="006C5D5D"/>
    <w:rsid w:val="006C6303"/>
    <w:rsid w:val="006C6D6B"/>
    <w:rsid w:val="006C6EBD"/>
    <w:rsid w:val="006D0681"/>
    <w:rsid w:val="006D0A80"/>
    <w:rsid w:val="006D2798"/>
    <w:rsid w:val="006D312B"/>
    <w:rsid w:val="006D43C1"/>
    <w:rsid w:val="006D5442"/>
    <w:rsid w:val="006D6E4E"/>
    <w:rsid w:val="006E00E3"/>
    <w:rsid w:val="006E045C"/>
    <w:rsid w:val="006E065E"/>
    <w:rsid w:val="006E189B"/>
    <w:rsid w:val="006E2902"/>
    <w:rsid w:val="006E2F9D"/>
    <w:rsid w:val="006E37C6"/>
    <w:rsid w:val="006E41ED"/>
    <w:rsid w:val="006E4667"/>
    <w:rsid w:val="006E60AC"/>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604D"/>
    <w:rsid w:val="007167C9"/>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50BB"/>
    <w:rsid w:val="007364A3"/>
    <w:rsid w:val="007378FD"/>
    <w:rsid w:val="007413EB"/>
    <w:rsid w:val="007413F4"/>
    <w:rsid w:val="00741C47"/>
    <w:rsid w:val="00742D32"/>
    <w:rsid w:val="00742E9B"/>
    <w:rsid w:val="007444E6"/>
    <w:rsid w:val="0074592C"/>
    <w:rsid w:val="00747578"/>
    <w:rsid w:val="00751073"/>
    <w:rsid w:val="00752188"/>
    <w:rsid w:val="0075281E"/>
    <w:rsid w:val="00752CC6"/>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7BF9"/>
    <w:rsid w:val="007F2C38"/>
    <w:rsid w:val="007F30C6"/>
    <w:rsid w:val="007F3651"/>
    <w:rsid w:val="007F3752"/>
    <w:rsid w:val="007F4318"/>
    <w:rsid w:val="007F47DA"/>
    <w:rsid w:val="007F4E52"/>
    <w:rsid w:val="007F4F84"/>
    <w:rsid w:val="007F55A4"/>
    <w:rsid w:val="007F661E"/>
    <w:rsid w:val="007F75BB"/>
    <w:rsid w:val="00800766"/>
    <w:rsid w:val="00801D90"/>
    <w:rsid w:val="0080348B"/>
    <w:rsid w:val="00803EB0"/>
    <w:rsid w:val="00803EEF"/>
    <w:rsid w:val="008052CE"/>
    <w:rsid w:val="008052DB"/>
    <w:rsid w:val="0080705B"/>
    <w:rsid w:val="0081000F"/>
    <w:rsid w:val="0081264E"/>
    <w:rsid w:val="00812A1A"/>
    <w:rsid w:val="00812DFF"/>
    <w:rsid w:val="0081383A"/>
    <w:rsid w:val="00814DE6"/>
    <w:rsid w:val="00814FC7"/>
    <w:rsid w:val="00816FE0"/>
    <w:rsid w:val="00817416"/>
    <w:rsid w:val="00817583"/>
    <w:rsid w:val="00817FAD"/>
    <w:rsid w:val="00820416"/>
    <w:rsid w:val="00821306"/>
    <w:rsid w:val="00821D85"/>
    <w:rsid w:val="0082207E"/>
    <w:rsid w:val="00823FFD"/>
    <w:rsid w:val="0082427D"/>
    <w:rsid w:val="0082646C"/>
    <w:rsid w:val="00830052"/>
    <w:rsid w:val="008300D0"/>
    <w:rsid w:val="0083257C"/>
    <w:rsid w:val="00833307"/>
    <w:rsid w:val="00833583"/>
    <w:rsid w:val="00833B5B"/>
    <w:rsid w:val="00833E9A"/>
    <w:rsid w:val="00834FEF"/>
    <w:rsid w:val="00836323"/>
    <w:rsid w:val="008366FE"/>
    <w:rsid w:val="008404AA"/>
    <w:rsid w:val="00841739"/>
    <w:rsid w:val="00841F29"/>
    <w:rsid w:val="00842A0D"/>
    <w:rsid w:val="008460D2"/>
    <w:rsid w:val="00850013"/>
    <w:rsid w:val="008500DD"/>
    <w:rsid w:val="00852426"/>
    <w:rsid w:val="00852FA5"/>
    <w:rsid w:val="0085476F"/>
    <w:rsid w:val="0085562D"/>
    <w:rsid w:val="00856154"/>
    <w:rsid w:val="00856286"/>
    <w:rsid w:val="008576B0"/>
    <w:rsid w:val="00861948"/>
    <w:rsid w:val="00861DD3"/>
    <w:rsid w:val="00862011"/>
    <w:rsid w:val="0086213D"/>
    <w:rsid w:val="0086290B"/>
    <w:rsid w:val="00862A15"/>
    <w:rsid w:val="00862D8E"/>
    <w:rsid w:val="00862EF2"/>
    <w:rsid w:val="00866453"/>
    <w:rsid w:val="0086707F"/>
    <w:rsid w:val="00867501"/>
    <w:rsid w:val="0086761C"/>
    <w:rsid w:val="0087099A"/>
    <w:rsid w:val="00871333"/>
    <w:rsid w:val="00873128"/>
    <w:rsid w:val="00873AAC"/>
    <w:rsid w:val="00873C61"/>
    <w:rsid w:val="008749BF"/>
    <w:rsid w:val="00875542"/>
    <w:rsid w:val="00875E14"/>
    <w:rsid w:val="0087677E"/>
    <w:rsid w:val="0087712C"/>
    <w:rsid w:val="00877C5D"/>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94A"/>
    <w:rsid w:val="008C1570"/>
    <w:rsid w:val="008C2059"/>
    <w:rsid w:val="008C58E7"/>
    <w:rsid w:val="008C65F4"/>
    <w:rsid w:val="008C7368"/>
    <w:rsid w:val="008C74B6"/>
    <w:rsid w:val="008D0E65"/>
    <w:rsid w:val="008D1FAF"/>
    <w:rsid w:val="008D2259"/>
    <w:rsid w:val="008D33FE"/>
    <w:rsid w:val="008D3B9F"/>
    <w:rsid w:val="008D3D02"/>
    <w:rsid w:val="008D54C0"/>
    <w:rsid w:val="008D5760"/>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9000F2"/>
    <w:rsid w:val="0090079D"/>
    <w:rsid w:val="00900D2C"/>
    <w:rsid w:val="00901F0E"/>
    <w:rsid w:val="009030A1"/>
    <w:rsid w:val="0090408F"/>
    <w:rsid w:val="0090446A"/>
    <w:rsid w:val="00904DC3"/>
    <w:rsid w:val="00905469"/>
    <w:rsid w:val="0090629C"/>
    <w:rsid w:val="009065C6"/>
    <w:rsid w:val="00906EA2"/>
    <w:rsid w:val="00907278"/>
    <w:rsid w:val="009128B8"/>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1E33"/>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3F03"/>
    <w:rsid w:val="00964007"/>
    <w:rsid w:val="009643F4"/>
    <w:rsid w:val="00964F5A"/>
    <w:rsid w:val="00966AD2"/>
    <w:rsid w:val="009679F8"/>
    <w:rsid w:val="00967FC5"/>
    <w:rsid w:val="0097169F"/>
    <w:rsid w:val="009716D8"/>
    <w:rsid w:val="00971F54"/>
    <w:rsid w:val="00972057"/>
    <w:rsid w:val="0097227B"/>
    <w:rsid w:val="0097262E"/>
    <w:rsid w:val="00974022"/>
    <w:rsid w:val="0097564A"/>
    <w:rsid w:val="009772F2"/>
    <w:rsid w:val="009778CF"/>
    <w:rsid w:val="009810BE"/>
    <w:rsid w:val="009819A7"/>
    <w:rsid w:val="009851F5"/>
    <w:rsid w:val="0098534B"/>
    <w:rsid w:val="0098764E"/>
    <w:rsid w:val="00987D58"/>
    <w:rsid w:val="009906D4"/>
    <w:rsid w:val="00990EB7"/>
    <w:rsid w:val="00990F5F"/>
    <w:rsid w:val="00991EC9"/>
    <w:rsid w:val="00992807"/>
    <w:rsid w:val="00993135"/>
    <w:rsid w:val="00993AC7"/>
    <w:rsid w:val="00997044"/>
    <w:rsid w:val="0099707F"/>
    <w:rsid w:val="0099792B"/>
    <w:rsid w:val="009A106B"/>
    <w:rsid w:val="009A2B9F"/>
    <w:rsid w:val="009A2BF3"/>
    <w:rsid w:val="009A3C3E"/>
    <w:rsid w:val="009A7E7C"/>
    <w:rsid w:val="009B2BF1"/>
    <w:rsid w:val="009B3564"/>
    <w:rsid w:val="009B3D38"/>
    <w:rsid w:val="009B6D8A"/>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90C"/>
    <w:rsid w:val="00A10A20"/>
    <w:rsid w:val="00A116AC"/>
    <w:rsid w:val="00A117D5"/>
    <w:rsid w:val="00A131F5"/>
    <w:rsid w:val="00A133C1"/>
    <w:rsid w:val="00A13F2D"/>
    <w:rsid w:val="00A14225"/>
    <w:rsid w:val="00A14F81"/>
    <w:rsid w:val="00A1535F"/>
    <w:rsid w:val="00A15CB1"/>
    <w:rsid w:val="00A15E84"/>
    <w:rsid w:val="00A16021"/>
    <w:rsid w:val="00A1633C"/>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A45"/>
    <w:rsid w:val="00A4534D"/>
    <w:rsid w:val="00A46C6D"/>
    <w:rsid w:val="00A472B8"/>
    <w:rsid w:val="00A502F5"/>
    <w:rsid w:val="00A504F4"/>
    <w:rsid w:val="00A51577"/>
    <w:rsid w:val="00A51B47"/>
    <w:rsid w:val="00A526CE"/>
    <w:rsid w:val="00A54DC0"/>
    <w:rsid w:val="00A550C9"/>
    <w:rsid w:val="00A55228"/>
    <w:rsid w:val="00A564DE"/>
    <w:rsid w:val="00A61B91"/>
    <w:rsid w:val="00A63335"/>
    <w:rsid w:val="00A63685"/>
    <w:rsid w:val="00A63DDD"/>
    <w:rsid w:val="00A66473"/>
    <w:rsid w:val="00A66E28"/>
    <w:rsid w:val="00A70590"/>
    <w:rsid w:val="00A71542"/>
    <w:rsid w:val="00A71FA0"/>
    <w:rsid w:val="00A72C1A"/>
    <w:rsid w:val="00A74021"/>
    <w:rsid w:val="00A7463E"/>
    <w:rsid w:val="00A765B1"/>
    <w:rsid w:val="00A772F2"/>
    <w:rsid w:val="00A77828"/>
    <w:rsid w:val="00A8073D"/>
    <w:rsid w:val="00A807A2"/>
    <w:rsid w:val="00A80D02"/>
    <w:rsid w:val="00A8103E"/>
    <w:rsid w:val="00A812A8"/>
    <w:rsid w:val="00A82D32"/>
    <w:rsid w:val="00A82EAE"/>
    <w:rsid w:val="00A839DC"/>
    <w:rsid w:val="00A84BA2"/>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0555"/>
    <w:rsid w:val="00AD2679"/>
    <w:rsid w:val="00AD3F3C"/>
    <w:rsid w:val="00AD5B82"/>
    <w:rsid w:val="00AD5F0A"/>
    <w:rsid w:val="00AD6741"/>
    <w:rsid w:val="00AD6B4F"/>
    <w:rsid w:val="00AD7CFA"/>
    <w:rsid w:val="00AE11C1"/>
    <w:rsid w:val="00AE163D"/>
    <w:rsid w:val="00AE1C5C"/>
    <w:rsid w:val="00AE2918"/>
    <w:rsid w:val="00AE315E"/>
    <w:rsid w:val="00AE31D9"/>
    <w:rsid w:val="00AE3CF0"/>
    <w:rsid w:val="00AE4337"/>
    <w:rsid w:val="00AE71EE"/>
    <w:rsid w:val="00AF03CF"/>
    <w:rsid w:val="00AF06B6"/>
    <w:rsid w:val="00AF0A0A"/>
    <w:rsid w:val="00AF1ED2"/>
    <w:rsid w:val="00AF1F4E"/>
    <w:rsid w:val="00AF24B8"/>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06FB4"/>
    <w:rsid w:val="00B10971"/>
    <w:rsid w:val="00B10B04"/>
    <w:rsid w:val="00B10CC6"/>
    <w:rsid w:val="00B12082"/>
    <w:rsid w:val="00B13389"/>
    <w:rsid w:val="00B1364C"/>
    <w:rsid w:val="00B141A5"/>
    <w:rsid w:val="00B14808"/>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56B8"/>
    <w:rsid w:val="00B37B8E"/>
    <w:rsid w:val="00B40222"/>
    <w:rsid w:val="00B404C3"/>
    <w:rsid w:val="00B40BA6"/>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B1F"/>
    <w:rsid w:val="00B63E7A"/>
    <w:rsid w:val="00B65582"/>
    <w:rsid w:val="00B66054"/>
    <w:rsid w:val="00B66A9C"/>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ED9"/>
    <w:rsid w:val="00BA2C82"/>
    <w:rsid w:val="00BA2E8A"/>
    <w:rsid w:val="00BA583B"/>
    <w:rsid w:val="00BA5EC7"/>
    <w:rsid w:val="00BA6319"/>
    <w:rsid w:val="00BA63CE"/>
    <w:rsid w:val="00BA6551"/>
    <w:rsid w:val="00BA6791"/>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64A"/>
    <w:rsid w:val="00BD2871"/>
    <w:rsid w:val="00BD2B4D"/>
    <w:rsid w:val="00BD2DAE"/>
    <w:rsid w:val="00BD2FB9"/>
    <w:rsid w:val="00BD31C2"/>
    <w:rsid w:val="00BD450A"/>
    <w:rsid w:val="00BD4717"/>
    <w:rsid w:val="00BD48BC"/>
    <w:rsid w:val="00BD48EA"/>
    <w:rsid w:val="00BD4BA8"/>
    <w:rsid w:val="00BD6B0E"/>
    <w:rsid w:val="00BD7941"/>
    <w:rsid w:val="00BE0C55"/>
    <w:rsid w:val="00BE11A2"/>
    <w:rsid w:val="00BE246C"/>
    <w:rsid w:val="00BE2657"/>
    <w:rsid w:val="00BE37AE"/>
    <w:rsid w:val="00BE73C3"/>
    <w:rsid w:val="00BF03C0"/>
    <w:rsid w:val="00BF21D4"/>
    <w:rsid w:val="00BF4A15"/>
    <w:rsid w:val="00BF4E27"/>
    <w:rsid w:val="00BF53E8"/>
    <w:rsid w:val="00BF6D77"/>
    <w:rsid w:val="00C0378E"/>
    <w:rsid w:val="00C04258"/>
    <w:rsid w:val="00C05AFD"/>
    <w:rsid w:val="00C0724C"/>
    <w:rsid w:val="00C07AEF"/>
    <w:rsid w:val="00C07C11"/>
    <w:rsid w:val="00C10015"/>
    <w:rsid w:val="00C12ECB"/>
    <w:rsid w:val="00C1302E"/>
    <w:rsid w:val="00C1373A"/>
    <w:rsid w:val="00C1391A"/>
    <w:rsid w:val="00C13AD4"/>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68F9"/>
    <w:rsid w:val="00C405C8"/>
    <w:rsid w:val="00C41E09"/>
    <w:rsid w:val="00C42085"/>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57AA3"/>
    <w:rsid w:val="00C57CB3"/>
    <w:rsid w:val="00C61246"/>
    <w:rsid w:val="00C631F5"/>
    <w:rsid w:val="00C634F9"/>
    <w:rsid w:val="00C64534"/>
    <w:rsid w:val="00C64767"/>
    <w:rsid w:val="00C6497D"/>
    <w:rsid w:val="00C65200"/>
    <w:rsid w:val="00C655E0"/>
    <w:rsid w:val="00C65649"/>
    <w:rsid w:val="00C665DE"/>
    <w:rsid w:val="00C667C3"/>
    <w:rsid w:val="00C6728B"/>
    <w:rsid w:val="00C71528"/>
    <w:rsid w:val="00C71F09"/>
    <w:rsid w:val="00C72588"/>
    <w:rsid w:val="00C727B9"/>
    <w:rsid w:val="00C729AC"/>
    <w:rsid w:val="00C73670"/>
    <w:rsid w:val="00C73DE0"/>
    <w:rsid w:val="00C74609"/>
    <w:rsid w:val="00C749AB"/>
    <w:rsid w:val="00C75A8F"/>
    <w:rsid w:val="00C81716"/>
    <w:rsid w:val="00C82795"/>
    <w:rsid w:val="00C832CB"/>
    <w:rsid w:val="00C83E69"/>
    <w:rsid w:val="00C84085"/>
    <w:rsid w:val="00C8722F"/>
    <w:rsid w:val="00C8779E"/>
    <w:rsid w:val="00C87850"/>
    <w:rsid w:val="00C87BD0"/>
    <w:rsid w:val="00C90B95"/>
    <w:rsid w:val="00C90CA9"/>
    <w:rsid w:val="00C9354F"/>
    <w:rsid w:val="00C93B40"/>
    <w:rsid w:val="00C93D48"/>
    <w:rsid w:val="00C93DB5"/>
    <w:rsid w:val="00C97DD7"/>
    <w:rsid w:val="00CA0492"/>
    <w:rsid w:val="00CA0A04"/>
    <w:rsid w:val="00CA3CAB"/>
    <w:rsid w:val="00CA42F8"/>
    <w:rsid w:val="00CA6A2E"/>
    <w:rsid w:val="00CB52A4"/>
    <w:rsid w:val="00CB537C"/>
    <w:rsid w:val="00CB6675"/>
    <w:rsid w:val="00CC0915"/>
    <w:rsid w:val="00CC1AF5"/>
    <w:rsid w:val="00CC1B74"/>
    <w:rsid w:val="00CC2EB0"/>
    <w:rsid w:val="00CC2F38"/>
    <w:rsid w:val="00CC44F5"/>
    <w:rsid w:val="00CC4C8D"/>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D0336E"/>
    <w:rsid w:val="00D04F01"/>
    <w:rsid w:val="00D04F8B"/>
    <w:rsid w:val="00D054EF"/>
    <w:rsid w:val="00D05637"/>
    <w:rsid w:val="00D05BA9"/>
    <w:rsid w:val="00D06E71"/>
    <w:rsid w:val="00D0764E"/>
    <w:rsid w:val="00D07D82"/>
    <w:rsid w:val="00D10BE1"/>
    <w:rsid w:val="00D11FE3"/>
    <w:rsid w:val="00D13D50"/>
    <w:rsid w:val="00D14919"/>
    <w:rsid w:val="00D14E25"/>
    <w:rsid w:val="00D152D6"/>
    <w:rsid w:val="00D16525"/>
    <w:rsid w:val="00D165D8"/>
    <w:rsid w:val="00D1724E"/>
    <w:rsid w:val="00D17C81"/>
    <w:rsid w:val="00D206F6"/>
    <w:rsid w:val="00D20E7C"/>
    <w:rsid w:val="00D237E0"/>
    <w:rsid w:val="00D2413A"/>
    <w:rsid w:val="00D24143"/>
    <w:rsid w:val="00D25676"/>
    <w:rsid w:val="00D25F78"/>
    <w:rsid w:val="00D27129"/>
    <w:rsid w:val="00D2738C"/>
    <w:rsid w:val="00D279E7"/>
    <w:rsid w:val="00D3046D"/>
    <w:rsid w:val="00D31B07"/>
    <w:rsid w:val="00D32D18"/>
    <w:rsid w:val="00D32FA0"/>
    <w:rsid w:val="00D33112"/>
    <w:rsid w:val="00D331CB"/>
    <w:rsid w:val="00D3426E"/>
    <w:rsid w:val="00D35672"/>
    <w:rsid w:val="00D40217"/>
    <w:rsid w:val="00D40385"/>
    <w:rsid w:val="00D404CE"/>
    <w:rsid w:val="00D417C6"/>
    <w:rsid w:val="00D41E02"/>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152C"/>
    <w:rsid w:val="00DA2125"/>
    <w:rsid w:val="00DA24DE"/>
    <w:rsid w:val="00DA281F"/>
    <w:rsid w:val="00DA289D"/>
    <w:rsid w:val="00DA3E06"/>
    <w:rsid w:val="00DA6EE2"/>
    <w:rsid w:val="00DA78CF"/>
    <w:rsid w:val="00DA7A89"/>
    <w:rsid w:val="00DA7BF4"/>
    <w:rsid w:val="00DA7F8B"/>
    <w:rsid w:val="00DB03E8"/>
    <w:rsid w:val="00DB08F0"/>
    <w:rsid w:val="00DB154B"/>
    <w:rsid w:val="00DB3490"/>
    <w:rsid w:val="00DB4F12"/>
    <w:rsid w:val="00DB5256"/>
    <w:rsid w:val="00DB53A2"/>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E7478"/>
    <w:rsid w:val="00DF05A0"/>
    <w:rsid w:val="00DF1BA8"/>
    <w:rsid w:val="00DF1F63"/>
    <w:rsid w:val="00DF25FE"/>
    <w:rsid w:val="00DF28F2"/>
    <w:rsid w:val="00DF2BFF"/>
    <w:rsid w:val="00DF4FF1"/>
    <w:rsid w:val="00DF6FD2"/>
    <w:rsid w:val="00DF7724"/>
    <w:rsid w:val="00DF7C43"/>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4EB"/>
    <w:rsid w:val="00E1254C"/>
    <w:rsid w:val="00E12BDF"/>
    <w:rsid w:val="00E13326"/>
    <w:rsid w:val="00E14961"/>
    <w:rsid w:val="00E14D76"/>
    <w:rsid w:val="00E16E0B"/>
    <w:rsid w:val="00E20CE7"/>
    <w:rsid w:val="00E217B1"/>
    <w:rsid w:val="00E2229F"/>
    <w:rsid w:val="00E222FA"/>
    <w:rsid w:val="00E24A62"/>
    <w:rsid w:val="00E24F52"/>
    <w:rsid w:val="00E279B2"/>
    <w:rsid w:val="00E30BD5"/>
    <w:rsid w:val="00E31143"/>
    <w:rsid w:val="00E31812"/>
    <w:rsid w:val="00E3533E"/>
    <w:rsid w:val="00E35A45"/>
    <w:rsid w:val="00E43006"/>
    <w:rsid w:val="00E43551"/>
    <w:rsid w:val="00E439C5"/>
    <w:rsid w:val="00E43C59"/>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71809"/>
    <w:rsid w:val="00E71D1E"/>
    <w:rsid w:val="00E728E2"/>
    <w:rsid w:val="00E72EBC"/>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D0B"/>
    <w:rsid w:val="00E93195"/>
    <w:rsid w:val="00E93F21"/>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EDF"/>
    <w:rsid w:val="00ED5981"/>
    <w:rsid w:val="00ED66B2"/>
    <w:rsid w:val="00ED71BA"/>
    <w:rsid w:val="00ED73A1"/>
    <w:rsid w:val="00ED7CA2"/>
    <w:rsid w:val="00EE1014"/>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291"/>
    <w:rsid w:val="00F11353"/>
    <w:rsid w:val="00F14CD1"/>
    <w:rsid w:val="00F15115"/>
    <w:rsid w:val="00F15D8C"/>
    <w:rsid w:val="00F16E1A"/>
    <w:rsid w:val="00F20197"/>
    <w:rsid w:val="00F20607"/>
    <w:rsid w:val="00F208BB"/>
    <w:rsid w:val="00F20D7A"/>
    <w:rsid w:val="00F210BE"/>
    <w:rsid w:val="00F211FC"/>
    <w:rsid w:val="00F21A5D"/>
    <w:rsid w:val="00F21C13"/>
    <w:rsid w:val="00F21DEA"/>
    <w:rsid w:val="00F2254F"/>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642"/>
    <w:rsid w:val="00F419B8"/>
    <w:rsid w:val="00F41C0F"/>
    <w:rsid w:val="00F42856"/>
    <w:rsid w:val="00F43390"/>
    <w:rsid w:val="00F43EF6"/>
    <w:rsid w:val="00F4482B"/>
    <w:rsid w:val="00F44F02"/>
    <w:rsid w:val="00F4526B"/>
    <w:rsid w:val="00F462DF"/>
    <w:rsid w:val="00F4662D"/>
    <w:rsid w:val="00F468AC"/>
    <w:rsid w:val="00F47316"/>
    <w:rsid w:val="00F47507"/>
    <w:rsid w:val="00F5052D"/>
    <w:rsid w:val="00F50BF0"/>
    <w:rsid w:val="00F51A82"/>
    <w:rsid w:val="00F51CD5"/>
    <w:rsid w:val="00F5254B"/>
    <w:rsid w:val="00F53A44"/>
    <w:rsid w:val="00F5456D"/>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2DF"/>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AE2"/>
    <w:rsid w:val="00FD459E"/>
    <w:rsid w:val="00FD5546"/>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7AF6"/>
    <w:rsid w:val="00FF0B4F"/>
    <w:rsid w:val="00FF1AD3"/>
    <w:rsid w:val="00FF49F4"/>
    <w:rsid w:val="00FF651D"/>
    <w:rsid w:val="00FF68CA"/>
    <w:rsid w:val="010651D9"/>
    <w:rsid w:val="017B3C02"/>
    <w:rsid w:val="0245389D"/>
    <w:rsid w:val="02DA0C0E"/>
    <w:rsid w:val="02ED73BD"/>
    <w:rsid w:val="032D022A"/>
    <w:rsid w:val="03821225"/>
    <w:rsid w:val="03DD35E4"/>
    <w:rsid w:val="03FB4A9A"/>
    <w:rsid w:val="040A0C4D"/>
    <w:rsid w:val="04286150"/>
    <w:rsid w:val="044E139A"/>
    <w:rsid w:val="04B149B9"/>
    <w:rsid w:val="04F05FA2"/>
    <w:rsid w:val="05283816"/>
    <w:rsid w:val="052C45EC"/>
    <w:rsid w:val="05792DE5"/>
    <w:rsid w:val="05CA098C"/>
    <w:rsid w:val="06315C28"/>
    <w:rsid w:val="065A6178"/>
    <w:rsid w:val="066E25F9"/>
    <w:rsid w:val="067B2709"/>
    <w:rsid w:val="06C20BAE"/>
    <w:rsid w:val="06CE0FFD"/>
    <w:rsid w:val="06FA529F"/>
    <w:rsid w:val="06FE6842"/>
    <w:rsid w:val="07166CD3"/>
    <w:rsid w:val="071A6C10"/>
    <w:rsid w:val="07362E74"/>
    <w:rsid w:val="07441051"/>
    <w:rsid w:val="074C4948"/>
    <w:rsid w:val="075562B7"/>
    <w:rsid w:val="078B0F5C"/>
    <w:rsid w:val="07AC53CC"/>
    <w:rsid w:val="087F6B59"/>
    <w:rsid w:val="091D1C06"/>
    <w:rsid w:val="0938662F"/>
    <w:rsid w:val="095376A7"/>
    <w:rsid w:val="096B2097"/>
    <w:rsid w:val="0A1B398C"/>
    <w:rsid w:val="0A312BD9"/>
    <w:rsid w:val="0A5B7E63"/>
    <w:rsid w:val="0A5E12E5"/>
    <w:rsid w:val="0A843B22"/>
    <w:rsid w:val="0A8B54CB"/>
    <w:rsid w:val="0B0F734A"/>
    <w:rsid w:val="0B335FE1"/>
    <w:rsid w:val="0B4A0434"/>
    <w:rsid w:val="0B531222"/>
    <w:rsid w:val="0B944FEF"/>
    <w:rsid w:val="0BA707CE"/>
    <w:rsid w:val="0BC11EE9"/>
    <w:rsid w:val="0C6048D0"/>
    <w:rsid w:val="0C6A6845"/>
    <w:rsid w:val="0C87121B"/>
    <w:rsid w:val="0D6618DB"/>
    <w:rsid w:val="0DAE6C94"/>
    <w:rsid w:val="0DC12A1D"/>
    <w:rsid w:val="0DDC7A15"/>
    <w:rsid w:val="0DDE0ED5"/>
    <w:rsid w:val="0DF702FE"/>
    <w:rsid w:val="0DF75BE1"/>
    <w:rsid w:val="0E3F698B"/>
    <w:rsid w:val="0E7D2F39"/>
    <w:rsid w:val="0EA370F2"/>
    <w:rsid w:val="0EB3339D"/>
    <w:rsid w:val="0ED06AEE"/>
    <w:rsid w:val="0F21508F"/>
    <w:rsid w:val="0F2C31E8"/>
    <w:rsid w:val="0F3D2DDE"/>
    <w:rsid w:val="0F3D668B"/>
    <w:rsid w:val="0F4B4955"/>
    <w:rsid w:val="0F8118C8"/>
    <w:rsid w:val="0F816ACD"/>
    <w:rsid w:val="0FA11578"/>
    <w:rsid w:val="0FD40BFD"/>
    <w:rsid w:val="0FE97049"/>
    <w:rsid w:val="100861F5"/>
    <w:rsid w:val="101F16D0"/>
    <w:rsid w:val="103C0F1F"/>
    <w:rsid w:val="10566E87"/>
    <w:rsid w:val="107856E0"/>
    <w:rsid w:val="109F5085"/>
    <w:rsid w:val="10A85AED"/>
    <w:rsid w:val="10B00808"/>
    <w:rsid w:val="10B03AB8"/>
    <w:rsid w:val="10B047CF"/>
    <w:rsid w:val="10C5247C"/>
    <w:rsid w:val="10F460E3"/>
    <w:rsid w:val="10FC16EA"/>
    <w:rsid w:val="118963A1"/>
    <w:rsid w:val="118C605A"/>
    <w:rsid w:val="11B71C92"/>
    <w:rsid w:val="12213A4B"/>
    <w:rsid w:val="127723A9"/>
    <w:rsid w:val="12FD7C75"/>
    <w:rsid w:val="13072A44"/>
    <w:rsid w:val="13160DE0"/>
    <w:rsid w:val="13203999"/>
    <w:rsid w:val="13692623"/>
    <w:rsid w:val="13773CA4"/>
    <w:rsid w:val="13A551CA"/>
    <w:rsid w:val="13CE34B5"/>
    <w:rsid w:val="145044FA"/>
    <w:rsid w:val="1459066B"/>
    <w:rsid w:val="14962905"/>
    <w:rsid w:val="14F04BB2"/>
    <w:rsid w:val="152E29F8"/>
    <w:rsid w:val="154A4E30"/>
    <w:rsid w:val="15616D97"/>
    <w:rsid w:val="157801A1"/>
    <w:rsid w:val="159230CA"/>
    <w:rsid w:val="15A606C6"/>
    <w:rsid w:val="15C2342E"/>
    <w:rsid w:val="15E56C94"/>
    <w:rsid w:val="15F71716"/>
    <w:rsid w:val="1626431E"/>
    <w:rsid w:val="1660788A"/>
    <w:rsid w:val="16D338DB"/>
    <w:rsid w:val="17231EE5"/>
    <w:rsid w:val="17410D28"/>
    <w:rsid w:val="178763DD"/>
    <w:rsid w:val="17C26A50"/>
    <w:rsid w:val="17DA67BE"/>
    <w:rsid w:val="17DE6CF9"/>
    <w:rsid w:val="17E03233"/>
    <w:rsid w:val="17E04392"/>
    <w:rsid w:val="18086797"/>
    <w:rsid w:val="18377E92"/>
    <w:rsid w:val="18520BF8"/>
    <w:rsid w:val="185B6FD6"/>
    <w:rsid w:val="1891785C"/>
    <w:rsid w:val="18926AC0"/>
    <w:rsid w:val="18E214E1"/>
    <w:rsid w:val="193674BA"/>
    <w:rsid w:val="19817EFE"/>
    <w:rsid w:val="19CA4111"/>
    <w:rsid w:val="19CE120A"/>
    <w:rsid w:val="19FF1F98"/>
    <w:rsid w:val="1A133342"/>
    <w:rsid w:val="1A9B1829"/>
    <w:rsid w:val="1AA844E0"/>
    <w:rsid w:val="1AC35C7E"/>
    <w:rsid w:val="1AED4F2B"/>
    <w:rsid w:val="1AF44089"/>
    <w:rsid w:val="1B2A271F"/>
    <w:rsid w:val="1B37398D"/>
    <w:rsid w:val="1B4B535A"/>
    <w:rsid w:val="1B6B298F"/>
    <w:rsid w:val="1B890139"/>
    <w:rsid w:val="1C126563"/>
    <w:rsid w:val="1C157672"/>
    <w:rsid w:val="1C181F5F"/>
    <w:rsid w:val="1C38082F"/>
    <w:rsid w:val="1C4E71BE"/>
    <w:rsid w:val="1C640D9B"/>
    <w:rsid w:val="1C6B5762"/>
    <w:rsid w:val="1C6C0399"/>
    <w:rsid w:val="1C9C65E8"/>
    <w:rsid w:val="1CBE3EA1"/>
    <w:rsid w:val="1CD51778"/>
    <w:rsid w:val="1D266CE1"/>
    <w:rsid w:val="1D3963AF"/>
    <w:rsid w:val="1D526A56"/>
    <w:rsid w:val="1DAC3B97"/>
    <w:rsid w:val="1DE36B47"/>
    <w:rsid w:val="1E1172AA"/>
    <w:rsid w:val="1E2D4B54"/>
    <w:rsid w:val="1E714A66"/>
    <w:rsid w:val="1E9227AE"/>
    <w:rsid w:val="1F5B65F2"/>
    <w:rsid w:val="1FD1489B"/>
    <w:rsid w:val="1FE868A9"/>
    <w:rsid w:val="1FEF3886"/>
    <w:rsid w:val="20217993"/>
    <w:rsid w:val="203E3276"/>
    <w:rsid w:val="211E26D6"/>
    <w:rsid w:val="21283D08"/>
    <w:rsid w:val="21AE3E3A"/>
    <w:rsid w:val="21F11927"/>
    <w:rsid w:val="2228557D"/>
    <w:rsid w:val="22CC4A06"/>
    <w:rsid w:val="22D25DF5"/>
    <w:rsid w:val="22EB6C24"/>
    <w:rsid w:val="2337793B"/>
    <w:rsid w:val="238669C4"/>
    <w:rsid w:val="24F64767"/>
    <w:rsid w:val="251708CC"/>
    <w:rsid w:val="252A6C0E"/>
    <w:rsid w:val="255714FC"/>
    <w:rsid w:val="25B440B3"/>
    <w:rsid w:val="25CD307E"/>
    <w:rsid w:val="2694606C"/>
    <w:rsid w:val="26D03AD2"/>
    <w:rsid w:val="26D33480"/>
    <w:rsid w:val="273F67AB"/>
    <w:rsid w:val="277A600C"/>
    <w:rsid w:val="27B06C43"/>
    <w:rsid w:val="28733CA3"/>
    <w:rsid w:val="28BE18E7"/>
    <w:rsid w:val="295E519C"/>
    <w:rsid w:val="29791C1A"/>
    <w:rsid w:val="29884356"/>
    <w:rsid w:val="29B47CBF"/>
    <w:rsid w:val="2A011C0B"/>
    <w:rsid w:val="2A16696D"/>
    <w:rsid w:val="2A596E09"/>
    <w:rsid w:val="2A676E18"/>
    <w:rsid w:val="2A9E39C6"/>
    <w:rsid w:val="2AA1365A"/>
    <w:rsid w:val="2BE91131"/>
    <w:rsid w:val="2BFAD6A9"/>
    <w:rsid w:val="2C067EBA"/>
    <w:rsid w:val="2C143EC1"/>
    <w:rsid w:val="2C441253"/>
    <w:rsid w:val="2C4463AD"/>
    <w:rsid w:val="2C891D4A"/>
    <w:rsid w:val="2CE174B8"/>
    <w:rsid w:val="2CEE2653"/>
    <w:rsid w:val="2D4A766D"/>
    <w:rsid w:val="2D517119"/>
    <w:rsid w:val="2D5E7BF3"/>
    <w:rsid w:val="2DC976E0"/>
    <w:rsid w:val="2DCA2B38"/>
    <w:rsid w:val="2DD15014"/>
    <w:rsid w:val="2FC26D31"/>
    <w:rsid w:val="2FD25781"/>
    <w:rsid w:val="2FE44B4D"/>
    <w:rsid w:val="2FFB191F"/>
    <w:rsid w:val="3041601A"/>
    <w:rsid w:val="304719A6"/>
    <w:rsid w:val="30847B4C"/>
    <w:rsid w:val="319C6071"/>
    <w:rsid w:val="31E9231A"/>
    <w:rsid w:val="31EE6C1D"/>
    <w:rsid w:val="32191633"/>
    <w:rsid w:val="323A104C"/>
    <w:rsid w:val="32715942"/>
    <w:rsid w:val="32790302"/>
    <w:rsid w:val="32DB72BE"/>
    <w:rsid w:val="32E20B0D"/>
    <w:rsid w:val="33043F16"/>
    <w:rsid w:val="33780C3F"/>
    <w:rsid w:val="339D365E"/>
    <w:rsid w:val="33A8412B"/>
    <w:rsid w:val="34225823"/>
    <w:rsid w:val="342E63AB"/>
    <w:rsid w:val="342F5E21"/>
    <w:rsid w:val="343071AF"/>
    <w:rsid w:val="34563832"/>
    <w:rsid w:val="345D260B"/>
    <w:rsid w:val="345F67E9"/>
    <w:rsid w:val="348F6FA0"/>
    <w:rsid w:val="34B94ACC"/>
    <w:rsid w:val="34E74357"/>
    <w:rsid w:val="34FF36EE"/>
    <w:rsid w:val="3575745C"/>
    <w:rsid w:val="358162C2"/>
    <w:rsid w:val="35992FCB"/>
    <w:rsid w:val="35B446E9"/>
    <w:rsid w:val="35B47387"/>
    <w:rsid w:val="35D501BC"/>
    <w:rsid w:val="365302AE"/>
    <w:rsid w:val="365744FE"/>
    <w:rsid w:val="3685011B"/>
    <w:rsid w:val="36B65151"/>
    <w:rsid w:val="36FA1A69"/>
    <w:rsid w:val="37280909"/>
    <w:rsid w:val="374F524B"/>
    <w:rsid w:val="375577E0"/>
    <w:rsid w:val="37902E5D"/>
    <w:rsid w:val="379044AC"/>
    <w:rsid w:val="37F54B45"/>
    <w:rsid w:val="38120F77"/>
    <w:rsid w:val="3828316D"/>
    <w:rsid w:val="38871322"/>
    <w:rsid w:val="38D030A4"/>
    <w:rsid w:val="39224DAA"/>
    <w:rsid w:val="392B4CC1"/>
    <w:rsid w:val="39313724"/>
    <w:rsid w:val="395168AF"/>
    <w:rsid w:val="39A13F14"/>
    <w:rsid w:val="39C35BBD"/>
    <w:rsid w:val="3A19387C"/>
    <w:rsid w:val="3A2621D2"/>
    <w:rsid w:val="3A2C3D16"/>
    <w:rsid w:val="3A3B384F"/>
    <w:rsid w:val="3A41236C"/>
    <w:rsid w:val="3A5808CC"/>
    <w:rsid w:val="3A9610ED"/>
    <w:rsid w:val="3AF10C17"/>
    <w:rsid w:val="3B0816E3"/>
    <w:rsid w:val="3B1167A8"/>
    <w:rsid w:val="3B4C6C76"/>
    <w:rsid w:val="3B667266"/>
    <w:rsid w:val="3B7048B5"/>
    <w:rsid w:val="3B8B2979"/>
    <w:rsid w:val="3C4B742A"/>
    <w:rsid w:val="3C5F759A"/>
    <w:rsid w:val="3CA84C0C"/>
    <w:rsid w:val="3CD67ADF"/>
    <w:rsid w:val="3D5A150D"/>
    <w:rsid w:val="3D5C78D4"/>
    <w:rsid w:val="3DA75AC3"/>
    <w:rsid w:val="3E3611D8"/>
    <w:rsid w:val="3E495BEB"/>
    <w:rsid w:val="3E617F49"/>
    <w:rsid w:val="3E645C6A"/>
    <w:rsid w:val="3ECF7AB4"/>
    <w:rsid w:val="3F2F47E8"/>
    <w:rsid w:val="3F6873F7"/>
    <w:rsid w:val="40607B7E"/>
    <w:rsid w:val="408B717E"/>
    <w:rsid w:val="40905D53"/>
    <w:rsid w:val="40C578EB"/>
    <w:rsid w:val="411B48E7"/>
    <w:rsid w:val="412D1517"/>
    <w:rsid w:val="41552CF6"/>
    <w:rsid w:val="41733FFE"/>
    <w:rsid w:val="418B6AD7"/>
    <w:rsid w:val="41B1591F"/>
    <w:rsid w:val="41FC5DD6"/>
    <w:rsid w:val="420471B3"/>
    <w:rsid w:val="42B45D29"/>
    <w:rsid w:val="42E1381E"/>
    <w:rsid w:val="43CF7127"/>
    <w:rsid w:val="43EC683C"/>
    <w:rsid w:val="43FB717C"/>
    <w:rsid w:val="44322606"/>
    <w:rsid w:val="44337F3E"/>
    <w:rsid w:val="44366FDC"/>
    <w:rsid w:val="449D63E3"/>
    <w:rsid w:val="4500360A"/>
    <w:rsid w:val="451E447A"/>
    <w:rsid w:val="45345B76"/>
    <w:rsid w:val="45402A0F"/>
    <w:rsid w:val="45445A0C"/>
    <w:rsid w:val="45D927F7"/>
    <w:rsid w:val="45DB01C6"/>
    <w:rsid w:val="45E31A15"/>
    <w:rsid w:val="462318A1"/>
    <w:rsid w:val="46274CE0"/>
    <w:rsid w:val="464C6278"/>
    <w:rsid w:val="4663525C"/>
    <w:rsid w:val="466D56C3"/>
    <w:rsid w:val="466E4D1D"/>
    <w:rsid w:val="46813B7D"/>
    <w:rsid w:val="46A6756F"/>
    <w:rsid w:val="46B919E7"/>
    <w:rsid w:val="46C2368A"/>
    <w:rsid w:val="46F122C4"/>
    <w:rsid w:val="47307808"/>
    <w:rsid w:val="474A2A48"/>
    <w:rsid w:val="476A5B1F"/>
    <w:rsid w:val="47CD1AEA"/>
    <w:rsid w:val="47D70BC0"/>
    <w:rsid w:val="486F747C"/>
    <w:rsid w:val="48C42E11"/>
    <w:rsid w:val="48FF2E5B"/>
    <w:rsid w:val="490B4E1C"/>
    <w:rsid w:val="494C73DB"/>
    <w:rsid w:val="49A5461D"/>
    <w:rsid w:val="49C94951"/>
    <w:rsid w:val="4A2F676D"/>
    <w:rsid w:val="4A5419B3"/>
    <w:rsid w:val="4A646DB9"/>
    <w:rsid w:val="4AAD68A6"/>
    <w:rsid w:val="4AB26637"/>
    <w:rsid w:val="4B1D6B76"/>
    <w:rsid w:val="4B5E20E0"/>
    <w:rsid w:val="4B6B53F2"/>
    <w:rsid w:val="4BD5400B"/>
    <w:rsid w:val="4BFA6CA4"/>
    <w:rsid w:val="4C1B1CA8"/>
    <w:rsid w:val="4C3E14AA"/>
    <w:rsid w:val="4C5B2A81"/>
    <w:rsid w:val="4C6D6F48"/>
    <w:rsid w:val="4CBC60B0"/>
    <w:rsid w:val="4D856E9E"/>
    <w:rsid w:val="4D861CF6"/>
    <w:rsid w:val="4DA732AF"/>
    <w:rsid w:val="4E055BE3"/>
    <w:rsid w:val="4EA5452E"/>
    <w:rsid w:val="4EC073F4"/>
    <w:rsid w:val="4EE51018"/>
    <w:rsid w:val="4F224CEA"/>
    <w:rsid w:val="4F29605D"/>
    <w:rsid w:val="4F3F1A48"/>
    <w:rsid w:val="4F733B0C"/>
    <w:rsid w:val="4F81514E"/>
    <w:rsid w:val="4F827FA7"/>
    <w:rsid w:val="4FD70497"/>
    <w:rsid w:val="501D6C5E"/>
    <w:rsid w:val="50307308"/>
    <w:rsid w:val="503441A1"/>
    <w:rsid w:val="50983A7B"/>
    <w:rsid w:val="50B601A2"/>
    <w:rsid w:val="513E4154"/>
    <w:rsid w:val="51A0432A"/>
    <w:rsid w:val="51C74B70"/>
    <w:rsid w:val="51E554E1"/>
    <w:rsid w:val="51FB728F"/>
    <w:rsid w:val="52070FB5"/>
    <w:rsid w:val="522669BD"/>
    <w:rsid w:val="523F0236"/>
    <w:rsid w:val="525E050E"/>
    <w:rsid w:val="527140E5"/>
    <w:rsid w:val="527E6ECF"/>
    <w:rsid w:val="52883CDA"/>
    <w:rsid w:val="5292508F"/>
    <w:rsid w:val="52A96B6F"/>
    <w:rsid w:val="52D32E70"/>
    <w:rsid w:val="52ED4445"/>
    <w:rsid w:val="531E65EB"/>
    <w:rsid w:val="53541CB3"/>
    <w:rsid w:val="535D0B84"/>
    <w:rsid w:val="53A0797A"/>
    <w:rsid w:val="53A91275"/>
    <w:rsid w:val="54034C15"/>
    <w:rsid w:val="54137217"/>
    <w:rsid w:val="54557F4E"/>
    <w:rsid w:val="54AB2E97"/>
    <w:rsid w:val="54C11568"/>
    <w:rsid w:val="54CC7EAC"/>
    <w:rsid w:val="54F27E5C"/>
    <w:rsid w:val="550764A4"/>
    <w:rsid w:val="551926E0"/>
    <w:rsid w:val="556C2D56"/>
    <w:rsid w:val="557927F9"/>
    <w:rsid w:val="55BFE2D1"/>
    <w:rsid w:val="55CA1CEC"/>
    <w:rsid w:val="56167A60"/>
    <w:rsid w:val="563F31CB"/>
    <w:rsid w:val="56515F3B"/>
    <w:rsid w:val="56591FAC"/>
    <w:rsid w:val="56602110"/>
    <w:rsid w:val="569C2F5C"/>
    <w:rsid w:val="572B71CA"/>
    <w:rsid w:val="57372DC8"/>
    <w:rsid w:val="589E6E07"/>
    <w:rsid w:val="58AE4F0C"/>
    <w:rsid w:val="58B0467F"/>
    <w:rsid w:val="590B24AC"/>
    <w:rsid w:val="591B4CB4"/>
    <w:rsid w:val="59253609"/>
    <w:rsid w:val="593638F0"/>
    <w:rsid w:val="59392A4B"/>
    <w:rsid w:val="59415816"/>
    <w:rsid w:val="59725B9E"/>
    <w:rsid w:val="598441D5"/>
    <w:rsid w:val="59E26AD2"/>
    <w:rsid w:val="5A2A7C7B"/>
    <w:rsid w:val="5AE20F04"/>
    <w:rsid w:val="5B527A35"/>
    <w:rsid w:val="5B9B5251"/>
    <w:rsid w:val="5BA66C6B"/>
    <w:rsid w:val="5BAA5AC3"/>
    <w:rsid w:val="5BCE3DE6"/>
    <w:rsid w:val="5BF37DBF"/>
    <w:rsid w:val="5C0724BF"/>
    <w:rsid w:val="5C24139D"/>
    <w:rsid w:val="5C547AF7"/>
    <w:rsid w:val="5C80234E"/>
    <w:rsid w:val="5D256022"/>
    <w:rsid w:val="5D2E3846"/>
    <w:rsid w:val="5D3F6278"/>
    <w:rsid w:val="5DB34EE4"/>
    <w:rsid w:val="5DEE6CE9"/>
    <w:rsid w:val="5E0A0CDB"/>
    <w:rsid w:val="5E100C24"/>
    <w:rsid w:val="5E111A68"/>
    <w:rsid w:val="5E261785"/>
    <w:rsid w:val="5E3D124C"/>
    <w:rsid w:val="5EC31348"/>
    <w:rsid w:val="5F013EDC"/>
    <w:rsid w:val="5F195D5C"/>
    <w:rsid w:val="5F2C0F6F"/>
    <w:rsid w:val="5F9C4F4A"/>
    <w:rsid w:val="5FBB727F"/>
    <w:rsid w:val="5FC615F4"/>
    <w:rsid w:val="5FCC5339"/>
    <w:rsid w:val="5FDD1F3F"/>
    <w:rsid w:val="6043372F"/>
    <w:rsid w:val="604D16A4"/>
    <w:rsid w:val="60583D40"/>
    <w:rsid w:val="60916CA0"/>
    <w:rsid w:val="60C6744F"/>
    <w:rsid w:val="60DF7423"/>
    <w:rsid w:val="60E53485"/>
    <w:rsid w:val="60E77E0C"/>
    <w:rsid w:val="61054A27"/>
    <w:rsid w:val="611D2366"/>
    <w:rsid w:val="614B547E"/>
    <w:rsid w:val="614C0C16"/>
    <w:rsid w:val="61CD5C47"/>
    <w:rsid w:val="61D14C3C"/>
    <w:rsid w:val="6218725C"/>
    <w:rsid w:val="622A261D"/>
    <w:rsid w:val="62494122"/>
    <w:rsid w:val="626B7348"/>
    <w:rsid w:val="62840FFD"/>
    <w:rsid w:val="62885958"/>
    <w:rsid w:val="633B754E"/>
    <w:rsid w:val="63475A7E"/>
    <w:rsid w:val="63BF2854"/>
    <w:rsid w:val="63F73D10"/>
    <w:rsid w:val="63FC04B5"/>
    <w:rsid w:val="64CE2EAA"/>
    <w:rsid w:val="64E10D5E"/>
    <w:rsid w:val="654A38DD"/>
    <w:rsid w:val="660D4DB6"/>
    <w:rsid w:val="66100911"/>
    <w:rsid w:val="662001A3"/>
    <w:rsid w:val="662E75B1"/>
    <w:rsid w:val="66342C2E"/>
    <w:rsid w:val="663E784C"/>
    <w:rsid w:val="66721DF4"/>
    <w:rsid w:val="66841C33"/>
    <w:rsid w:val="66922D14"/>
    <w:rsid w:val="67590CB1"/>
    <w:rsid w:val="675D3B78"/>
    <w:rsid w:val="67B20362"/>
    <w:rsid w:val="67D727DD"/>
    <w:rsid w:val="685867EC"/>
    <w:rsid w:val="68646B2B"/>
    <w:rsid w:val="6876431B"/>
    <w:rsid w:val="68A66960"/>
    <w:rsid w:val="68BD35E2"/>
    <w:rsid w:val="69467DD6"/>
    <w:rsid w:val="6A051F0D"/>
    <w:rsid w:val="6A293EC5"/>
    <w:rsid w:val="6A525621"/>
    <w:rsid w:val="6AB32865"/>
    <w:rsid w:val="6ABF0529"/>
    <w:rsid w:val="6B4A0667"/>
    <w:rsid w:val="6B4E2CB1"/>
    <w:rsid w:val="6BA8655A"/>
    <w:rsid w:val="6BA8671E"/>
    <w:rsid w:val="6CE224B4"/>
    <w:rsid w:val="6D0E1429"/>
    <w:rsid w:val="6D763A57"/>
    <w:rsid w:val="6DCE5BA0"/>
    <w:rsid w:val="6DEE4F5C"/>
    <w:rsid w:val="6E0C42AB"/>
    <w:rsid w:val="6E1260B5"/>
    <w:rsid w:val="6E887263"/>
    <w:rsid w:val="6E8E12EF"/>
    <w:rsid w:val="6EF60AE1"/>
    <w:rsid w:val="6F270BDE"/>
    <w:rsid w:val="6F794B6D"/>
    <w:rsid w:val="6FB83225"/>
    <w:rsid w:val="6FC87676"/>
    <w:rsid w:val="700C16EE"/>
    <w:rsid w:val="70307BAE"/>
    <w:rsid w:val="70371836"/>
    <w:rsid w:val="704A5DD7"/>
    <w:rsid w:val="70A377B3"/>
    <w:rsid w:val="70D41216"/>
    <w:rsid w:val="70EB24BF"/>
    <w:rsid w:val="710742E2"/>
    <w:rsid w:val="7111016C"/>
    <w:rsid w:val="71390936"/>
    <w:rsid w:val="718874D8"/>
    <w:rsid w:val="71D43752"/>
    <w:rsid w:val="71FA11D4"/>
    <w:rsid w:val="722074A1"/>
    <w:rsid w:val="725C2256"/>
    <w:rsid w:val="72762A5C"/>
    <w:rsid w:val="728D396E"/>
    <w:rsid w:val="72CC3F72"/>
    <w:rsid w:val="731C0BFD"/>
    <w:rsid w:val="735C6AE5"/>
    <w:rsid w:val="739C3AEB"/>
    <w:rsid w:val="73DD6243"/>
    <w:rsid w:val="742C42EB"/>
    <w:rsid w:val="746B6C86"/>
    <w:rsid w:val="749C4185"/>
    <w:rsid w:val="751815BE"/>
    <w:rsid w:val="758F74DF"/>
    <w:rsid w:val="7599006C"/>
    <w:rsid w:val="75DA2C18"/>
    <w:rsid w:val="75E6462D"/>
    <w:rsid w:val="76CD7981"/>
    <w:rsid w:val="76F44959"/>
    <w:rsid w:val="775319EF"/>
    <w:rsid w:val="77976EFD"/>
    <w:rsid w:val="779D0EC0"/>
    <w:rsid w:val="779F0BEE"/>
    <w:rsid w:val="77A17922"/>
    <w:rsid w:val="77A74955"/>
    <w:rsid w:val="784A2957"/>
    <w:rsid w:val="78ED52A5"/>
    <w:rsid w:val="790F1C77"/>
    <w:rsid w:val="79132DE8"/>
    <w:rsid w:val="79135B5D"/>
    <w:rsid w:val="791F2269"/>
    <w:rsid w:val="793A50D9"/>
    <w:rsid w:val="79B756EB"/>
    <w:rsid w:val="79C27F0E"/>
    <w:rsid w:val="7A67303B"/>
    <w:rsid w:val="7A9C282D"/>
    <w:rsid w:val="7A9D161A"/>
    <w:rsid w:val="7AAB1D04"/>
    <w:rsid w:val="7ABA4368"/>
    <w:rsid w:val="7AC85234"/>
    <w:rsid w:val="7ADD76F1"/>
    <w:rsid w:val="7AEC21E0"/>
    <w:rsid w:val="7AEC522E"/>
    <w:rsid w:val="7AEE3AFA"/>
    <w:rsid w:val="7B257FFD"/>
    <w:rsid w:val="7B4B7D30"/>
    <w:rsid w:val="7BAB65EE"/>
    <w:rsid w:val="7BEE37EF"/>
    <w:rsid w:val="7C2B1DA5"/>
    <w:rsid w:val="7CB259CF"/>
    <w:rsid w:val="7CCA16DD"/>
    <w:rsid w:val="7CD073DD"/>
    <w:rsid w:val="7CF55FD4"/>
    <w:rsid w:val="7D1F286A"/>
    <w:rsid w:val="7DF4317E"/>
    <w:rsid w:val="7DF76A49"/>
    <w:rsid w:val="7E5E7052"/>
    <w:rsid w:val="7E64308B"/>
    <w:rsid w:val="7E685F71"/>
    <w:rsid w:val="7E7077CD"/>
    <w:rsid w:val="7E8A26F7"/>
    <w:rsid w:val="7EBA1267"/>
    <w:rsid w:val="7ED12D02"/>
    <w:rsid w:val="7FBF6A3E"/>
    <w:rsid w:val="7FDD85C4"/>
    <w:rsid w:val="7FFEE4DD"/>
    <w:rsid w:val="D37E3D79"/>
    <w:rsid w:val="DAF7B565"/>
    <w:rsid w:val="F3FEE24F"/>
    <w:rsid w:val="F9FFD21D"/>
    <w:rsid w:val="FF5F3A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50"/>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link w:val="632"/>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link w:val="7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600"/>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4"/>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3"/>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2"/>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2"/>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20"/>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614"/>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615"/>
    <w:qFormat/>
    <w:uiPriority w:val="0"/>
    <w:pPr>
      <w:jc w:val="left"/>
    </w:pPr>
  </w:style>
  <w:style w:type="paragraph" w:styleId="20">
    <w:name w:val="Salutation"/>
    <w:basedOn w:val="1"/>
    <w:next w:val="1"/>
    <w:link w:val="483"/>
    <w:qFormat/>
    <w:uiPriority w:val="0"/>
    <w:rPr>
      <w:rFonts w:ascii="仿宋_GB2312" w:eastAsia="仿宋_GB2312"/>
      <w:sz w:val="28"/>
      <w:szCs w:val="20"/>
    </w:rPr>
  </w:style>
  <w:style w:type="paragraph" w:styleId="21">
    <w:name w:val="Body Text 3"/>
    <w:basedOn w:val="1"/>
    <w:link w:val="582"/>
    <w:qFormat/>
    <w:uiPriority w:val="0"/>
    <w:pPr>
      <w:jc w:val="center"/>
    </w:pPr>
    <w:rPr>
      <w:szCs w:val="20"/>
    </w:rPr>
  </w:style>
  <w:style w:type="paragraph" w:styleId="22">
    <w:name w:val="Body Text"/>
    <w:basedOn w:val="1"/>
    <w:next w:val="23"/>
    <w:link w:val="513"/>
    <w:qFormat/>
    <w:uiPriority w:val="0"/>
    <w:pPr>
      <w:autoSpaceDE w:val="0"/>
      <w:autoSpaceDN w:val="0"/>
      <w:spacing w:line="360" w:lineRule="auto"/>
    </w:pPr>
    <w:rPr>
      <w:rFonts w:ascii="宋体"/>
      <w:sz w:val="24"/>
      <w:szCs w:val="21"/>
      <w:lang w:val="zh-CN"/>
    </w:rPr>
  </w:style>
  <w:style w:type="paragraph" w:styleId="23">
    <w:name w:val="Body Text First Indent"/>
    <w:basedOn w:val="22"/>
    <w:next w:val="1"/>
    <w:link w:val="546"/>
    <w:qFormat/>
    <w:uiPriority w:val="0"/>
    <w:pPr>
      <w:ind w:firstLine="420"/>
    </w:pPr>
    <w:rPr>
      <w:szCs w:val="20"/>
    </w:rPr>
  </w:style>
  <w:style w:type="paragraph" w:styleId="24">
    <w:name w:val="Body Text Indent"/>
    <w:basedOn w:val="1"/>
    <w:next w:val="1"/>
    <w:link w:val="476"/>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72"/>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490"/>
    <w:qFormat/>
    <w:uiPriority w:val="0"/>
    <w:rPr>
      <w:rFonts w:ascii="宋体" w:hAnsi="Courier New"/>
      <w:szCs w:val="20"/>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599"/>
    <w:qFormat/>
    <w:uiPriority w:val="0"/>
    <w:pPr>
      <w:ind w:left="100" w:leftChars="2500"/>
    </w:pPr>
    <w:rPr>
      <w:rFonts w:ascii="宋体"/>
      <w:sz w:val="24"/>
      <w:szCs w:val="21"/>
      <w:lang w:val="zh-CN"/>
    </w:rPr>
  </w:style>
  <w:style w:type="paragraph" w:styleId="36">
    <w:name w:val="Body Text Indent 2"/>
    <w:basedOn w:val="1"/>
    <w:link w:val="504"/>
    <w:qFormat/>
    <w:uiPriority w:val="0"/>
    <w:pPr>
      <w:spacing w:line="360" w:lineRule="auto"/>
      <w:ind w:firstLine="601"/>
      <w:textAlignment w:val="baseline"/>
    </w:pPr>
    <w:rPr>
      <w:rFonts w:ascii="宋体"/>
      <w:kern w:val="0"/>
      <w:sz w:val="28"/>
      <w:szCs w:val="20"/>
    </w:rPr>
  </w:style>
  <w:style w:type="paragraph" w:styleId="37">
    <w:name w:val="Balloon Text"/>
    <w:basedOn w:val="1"/>
    <w:link w:val="616"/>
    <w:semiHidden/>
    <w:qFormat/>
    <w:uiPriority w:val="0"/>
    <w:rPr>
      <w:sz w:val="18"/>
      <w:szCs w:val="18"/>
    </w:rPr>
  </w:style>
  <w:style w:type="paragraph" w:styleId="38">
    <w:name w:val="footer"/>
    <w:basedOn w:val="1"/>
    <w:qFormat/>
    <w:uiPriority w:val="0"/>
    <w:pPr>
      <w:tabs>
        <w:tab w:val="center" w:pos="4153"/>
        <w:tab w:val="right" w:pos="8306"/>
      </w:tabs>
      <w:snapToGrid w:val="0"/>
      <w:jc w:val="left"/>
    </w:pPr>
    <w:rPr>
      <w:sz w:val="18"/>
      <w:szCs w:val="18"/>
    </w:rPr>
  </w:style>
  <w:style w:type="paragraph" w:styleId="3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436"/>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48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5"/>
    <w:link w:val="474"/>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89"/>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19"/>
    <w:next w:val="19"/>
    <w:semiHidden/>
    <w:qFormat/>
    <w:uiPriority w:val="0"/>
    <w:rPr>
      <w:b/>
      <w:bCs/>
    </w:rPr>
  </w:style>
  <w:style w:type="paragraph" w:styleId="59">
    <w:name w:val="Body Text First Indent 2"/>
    <w:basedOn w:val="24"/>
    <w:next w:val="1"/>
    <w:link w:val="503"/>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character" w:customStyle="1" w:styleId="71">
    <w:name w:val="标题 3 Char"/>
    <w:link w:val="4"/>
    <w:qFormat/>
    <w:uiPriority w:val="0"/>
    <w:rPr>
      <w:rFonts w:ascii="Times New Roman" w:hAnsi="Times New Roman" w:eastAsia="宋体" w:cs="Times New Roman"/>
      <w:b/>
      <w:bCs/>
      <w:kern w:val="2"/>
      <w:sz w:val="32"/>
      <w:szCs w:val="32"/>
    </w:rPr>
  </w:style>
  <w:style w:type="paragraph" w:styleId="72">
    <w:name w:val="List Paragraph"/>
    <w:basedOn w:val="1"/>
    <w:qFormat/>
    <w:uiPriority w:val="0"/>
    <w:pPr>
      <w:spacing w:line="360" w:lineRule="auto"/>
      <w:ind w:firstLine="200" w:firstLineChars="200"/>
    </w:pPr>
    <w:rPr>
      <w:rFonts w:eastAsia="楷体_GB2312" w:cs="Lucida Sans"/>
      <w:sz w:val="24"/>
    </w:rPr>
  </w:style>
  <w:style w:type="paragraph" w:customStyle="1" w:styleId="73">
    <w:name w:val="正文文字"/>
    <w:basedOn w:val="1"/>
    <w:qFormat/>
    <w:uiPriority w:val="0"/>
    <w:pPr>
      <w:widowControl/>
      <w:spacing w:line="952" w:lineRule="atLeast"/>
      <w:ind w:firstLine="419"/>
    </w:pPr>
    <w:rPr>
      <w:b/>
      <w:color w:val="000000"/>
      <w:sz w:val="44"/>
      <w:szCs w:val="20"/>
    </w:rPr>
  </w:style>
  <w:style w:type="character" w:customStyle="1" w:styleId="74">
    <w:name w:val="正文文本 Char"/>
    <w:qFormat/>
    <w:uiPriority w:val="0"/>
    <w:rPr>
      <w:rFonts w:eastAsia="宋体"/>
      <w:kern w:val="2"/>
      <w:sz w:val="24"/>
      <w:szCs w:val="24"/>
      <w:lang w:val="en-US" w:eastAsia="zh-CN" w:bidi="ar-SA"/>
    </w:rPr>
  </w:style>
  <w:style w:type="paragraph" w:customStyle="1" w:styleId="75">
    <w:name w:val="Default"/>
    <w:next w:val="76"/>
    <w:link w:val="62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6">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7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8">
    <w:name w:val="冯"/>
    <w:basedOn w:val="1"/>
    <w:link w:val="517"/>
    <w:qFormat/>
    <w:uiPriority w:val="0"/>
    <w:pPr>
      <w:widowControl/>
      <w:adjustRightInd/>
      <w:spacing w:line="360" w:lineRule="auto"/>
      <w:ind w:firstLine="480" w:firstLineChars="200"/>
    </w:pPr>
    <w:rPr>
      <w:rFonts w:ascii="宋体" w:hAnsi="宋体"/>
      <w:color w:val="000000"/>
      <w:kern w:val="0"/>
      <w:sz w:val="24"/>
    </w:rPr>
  </w:style>
  <w:style w:type="paragraph" w:customStyle="1" w:styleId="79">
    <w:name w:val="样式3"/>
    <w:basedOn w:val="80"/>
    <w:qFormat/>
    <w:uiPriority w:val="0"/>
    <w:pPr>
      <w:tabs>
        <w:tab w:val="left" w:pos="2790"/>
        <w:tab w:val="left" w:pos="4230"/>
      </w:tabs>
      <w:spacing w:before="312" w:beforeLines="100"/>
      <w:jc w:val="left"/>
    </w:pPr>
  </w:style>
  <w:style w:type="paragraph" w:customStyle="1" w:styleId="80">
    <w:name w:val="样式2"/>
    <w:basedOn w:val="22"/>
    <w:qFormat/>
    <w:uiPriority w:val="0"/>
    <w:pPr>
      <w:tabs>
        <w:tab w:val="left" w:pos="2790"/>
        <w:tab w:val="left" w:pos="4230"/>
      </w:tabs>
      <w:snapToGrid w:val="0"/>
      <w:jc w:val="center"/>
      <w:outlineLvl w:val="1"/>
    </w:pPr>
    <w:rPr>
      <w:rFonts w:ascii="仿宋_GB2312" w:hAnsi="仿宋" w:eastAsia="仿宋_GB2312"/>
      <w:b/>
      <w:bCs/>
      <w:kern w:val="0"/>
      <w:sz w:val="32"/>
      <w:szCs w:val="30"/>
    </w:rPr>
  </w:style>
  <w:style w:type="paragraph" w:customStyle="1" w:styleId="81">
    <w:name w:val="P1"/>
    <w:basedOn w:val="1"/>
    <w:qFormat/>
    <w:uiPriority w:val="0"/>
    <w:pPr>
      <w:adjustRightInd/>
      <w:spacing w:line="288" w:lineRule="auto"/>
      <w:ind w:firstLine="425" w:firstLineChars="200"/>
    </w:pPr>
  </w:style>
  <w:style w:type="paragraph" w:customStyle="1" w:styleId="82">
    <w:name w:val="Char1 Char Char Char"/>
    <w:basedOn w:val="1"/>
    <w:qFormat/>
    <w:uiPriority w:val="0"/>
    <w:rPr>
      <w:rFonts w:ascii="Tahoma" w:hAnsi="Tahoma"/>
      <w:sz w:val="24"/>
      <w:szCs w:val="20"/>
    </w:rPr>
  </w:style>
  <w:style w:type="paragraph" w:customStyle="1" w:styleId="83">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5">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7">
    <w:name w:val="样式7"/>
    <w:basedOn w:val="88"/>
    <w:next w:val="1"/>
    <w:qFormat/>
    <w:uiPriority w:val="0"/>
    <w:pPr>
      <w:spacing w:after="156" w:afterLines="50"/>
      <w:jc w:val="left"/>
      <w:outlineLvl w:val="3"/>
    </w:pPr>
    <w:rPr>
      <w:sz w:val="24"/>
      <w:szCs w:val="24"/>
    </w:rPr>
  </w:style>
  <w:style w:type="paragraph" w:customStyle="1" w:styleId="8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9">
    <w:name w:val="Bulleted List"/>
    <w:basedOn w:val="1"/>
    <w:qFormat/>
    <w:uiPriority w:val="0"/>
    <w:pPr>
      <w:numPr>
        <w:ilvl w:val="1"/>
        <w:numId w:val="4"/>
      </w:numPr>
      <w:adjustRightInd/>
    </w:pPr>
  </w:style>
  <w:style w:type="paragraph" w:customStyle="1" w:styleId="90">
    <w:name w:val="Char3"/>
    <w:basedOn w:val="1"/>
    <w:qFormat/>
    <w:uiPriority w:val="0"/>
    <w:pPr>
      <w:adjustRightInd/>
    </w:pPr>
    <w:rPr>
      <w:rFonts w:ascii="仿宋_GB2312" w:eastAsia="仿宋_GB2312"/>
      <w:b/>
      <w:sz w:val="32"/>
      <w:szCs w:val="32"/>
    </w:rPr>
  </w:style>
  <w:style w:type="paragraph" w:customStyle="1" w:styleId="91">
    <w:name w:val="Char Char1 Char Char Char Char Char Char"/>
    <w:basedOn w:val="1"/>
    <w:qFormat/>
    <w:uiPriority w:val="0"/>
    <w:rPr>
      <w:rFonts w:ascii="仿宋_GB2312" w:eastAsia="仿宋_GB2312"/>
      <w:b/>
      <w:sz w:val="32"/>
      <w:szCs w:val="20"/>
    </w:rPr>
  </w:style>
  <w:style w:type="paragraph" w:customStyle="1" w:styleId="92">
    <w:name w:val="文本正文 Char"/>
    <w:basedOn w:val="1"/>
    <w:qFormat/>
    <w:uiPriority w:val="0"/>
    <w:pPr>
      <w:spacing w:line="360" w:lineRule="auto"/>
      <w:ind w:firstLine="200" w:firstLineChars="200"/>
    </w:pPr>
    <w:rPr>
      <w:kern w:val="0"/>
      <w:sz w:val="24"/>
      <w:szCs w:val="20"/>
    </w:rPr>
  </w:style>
  <w:style w:type="paragraph" w:customStyle="1" w:styleId="93">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8">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9">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10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0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102">
    <w:name w:val="Char1"/>
    <w:basedOn w:val="1"/>
    <w:qFormat/>
    <w:uiPriority w:val="0"/>
    <w:rPr>
      <w:rFonts w:ascii="仿宋_GB2312" w:eastAsia="仿宋_GB2312"/>
      <w:b/>
      <w:sz w:val="32"/>
      <w:szCs w:val="32"/>
    </w:rPr>
  </w:style>
  <w:style w:type="paragraph" w:customStyle="1" w:styleId="103">
    <w:name w:val="CM14"/>
    <w:basedOn w:val="75"/>
    <w:next w:val="75"/>
    <w:qFormat/>
    <w:uiPriority w:val="0"/>
    <w:pPr>
      <w:spacing w:after="68"/>
    </w:pPr>
    <w:rPr>
      <w:rFonts w:ascii="FHLHE E+ Futura Bk" w:eastAsia="FHLHE E+ Futura Bk" w:cs="Times New Roman"/>
      <w:color w:val="auto"/>
    </w:rPr>
  </w:style>
  <w:style w:type="paragraph" w:customStyle="1" w:styleId="104">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105">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6">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8">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10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10">
    <w:name w:val="Char2 Char Char Char"/>
    <w:basedOn w:val="1"/>
    <w:qFormat/>
    <w:uiPriority w:val="0"/>
    <w:rPr>
      <w:rFonts w:ascii="仿宋_GB2312" w:eastAsia="仿宋_GB2312"/>
      <w:b/>
      <w:sz w:val="32"/>
      <w:szCs w:val="32"/>
    </w:rPr>
  </w:style>
  <w:style w:type="paragraph" w:customStyle="1" w:styleId="11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2">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3">
    <w:name w:val="Char Char Char"/>
    <w:basedOn w:val="1"/>
    <w:qFormat/>
    <w:uiPriority w:val="0"/>
    <w:rPr>
      <w:rFonts w:ascii="Tahoma" w:hAnsi="Tahoma"/>
      <w:sz w:val="24"/>
      <w:szCs w:val="20"/>
    </w:rPr>
  </w:style>
  <w:style w:type="paragraph" w:customStyle="1" w:styleId="11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6">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9">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2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2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2">
    <w:name w:val="FA正文"/>
    <w:basedOn w:val="1"/>
    <w:qFormat/>
    <w:uiPriority w:val="0"/>
    <w:pPr>
      <w:spacing w:line="360" w:lineRule="auto"/>
      <w:ind w:firstLine="480" w:firstLineChars="200"/>
    </w:pPr>
    <w:rPr>
      <w:rFonts w:hAnsi="宋体"/>
      <w:sz w:val="24"/>
      <w:szCs w:val="20"/>
    </w:rPr>
  </w:style>
  <w:style w:type="paragraph" w:customStyle="1" w:styleId="123">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4">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5">
    <w:name w:val="有符号正文"/>
    <w:basedOn w:val="1"/>
    <w:qFormat/>
    <w:uiPriority w:val="0"/>
    <w:pPr>
      <w:adjustRightInd/>
      <w:spacing w:line="400" w:lineRule="exact"/>
      <w:ind w:firstLine="200" w:firstLineChars="200"/>
    </w:pPr>
    <w:rPr>
      <w:rFonts w:ascii="Arial" w:hAnsi="Arial"/>
    </w:rPr>
  </w:style>
  <w:style w:type="paragraph" w:customStyle="1" w:styleId="1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7">
    <w:name w:val="默认段落字体 Para Char"/>
    <w:basedOn w:val="1"/>
    <w:qFormat/>
    <w:uiPriority w:val="0"/>
    <w:rPr>
      <w:rFonts w:ascii="Tahoma" w:hAnsi="Tahoma"/>
      <w:sz w:val="24"/>
      <w:szCs w:val="20"/>
    </w:rPr>
  </w:style>
  <w:style w:type="paragraph" w:customStyle="1" w:styleId="128">
    <w:name w:val="Char1 Char Char Char2"/>
    <w:basedOn w:val="1"/>
    <w:qFormat/>
    <w:uiPriority w:val="0"/>
    <w:pPr>
      <w:adjustRightInd/>
      <w:ind w:firstLine="200" w:firstLineChars="200"/>
    </w:pPr>
    <w:rPr>
      <w:rFonts w:ascii="Tahoma" w:hAnsi="Tahoma"/>
      <w:sz w:val="24"/>
      <w:szCs w:val="20"/>
    </w:rPr>
  </w:style>
  <w:style w:type="paragraph" w:customStyle="1" w:styleId="12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3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31">
    <w:name w:val="注释"/>
    <w:basedOn w:val="1"/>
    <w:qFormat/>
    <w:uiPriority w:val="0"/>
    <w:pPr>
      <w:adjustRightInd/>
      <w:spacing w:line="360" w:lineRule="auto"/>
      <w:ind w:firstLine="480"/>
    </w:pPr>
    <w:rPr>
      <w:sz w:val="24"/>
    </w:rPr>
  </w:style>
  <w:style w:type="paragraph" w:customStyle="1" w:styleId="13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3">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4">
    <w:name w:val="trademark"/>
    <w:qFormat/>
    <w:uiPriority w:val="0"/>
    <w:pPr>
      <w:spacing w:after="60"/>
    </w:pPr>
    <w:rPr>
      <w:rFonts w:ascii="Futura Bk" w:hAnsi="Futura Bk" w:eastAsia="宋体" w:cs="Times New Roman"/>
      <w:sz w:val="15"/>
      <w:lang w:val="en-US" w:eastAsia="en-US" w:bidi="ar-SA"/>
    </w:rPr>
  </w:style>
  <w:style w:type="paragraph" w:customStyle="1" w:styleId="13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6">
    <w:name w:val="EB_表格"/>
    <w:basedOn w:val="1"/>
    <w:qFormat/>
    <w:uiPriority w:val="0"/>
    <w:pPr>
      <w:adjustRightInd/>
      <w:spacing w:line="300" w:lineRule="auto"/>
      <w:jc w:val="center"/>
    </w:pPr>
  </w:style>
  <w:style w:type="paragraph" w:customStyle="1" w:styleId="137">
    <w:name w:val="Char Char Char1 Char"/>
    <w:basedOn w:val="1"/>
    <w:qFormat/>
    <w:uiPriority w:val="0"/>
    <w:rPr>
      <w:szCs w:val="20"/>
    </w:rPr>
  </w:style>
  <w:style w:type="paragraph" w:customStyle="1" w:styleId="13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40">
    <w:name w:val="章标题"/>
    <w:next w:val="1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2">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3">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5">
    <w:name w:val="表文字"/>
    <w:qFormat/>
    <w:uiPriority w:val="0"/>
    <w:rPr>
      <w:rFonts w:ascii="宋体" w:hAnsi="Times New Roman" w:eastAsia="宋体" w:cs="Times New Roman"/>
      <w:kern w:val="2"/>
      <w:lang w:val="en-US" w:eastAsia="zh-CN" w:bidi="ar-SA"/>
    </w:rPr>
  </w:style>
  <w:style w:type="paragraph" w:customStyle="1" w:styleId="146">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9">
    <w:name w:val="列表内容"/>
    <w:basedOn w:val="1"/>
    <w:next w:val="1"/>
    <w:qFormat/>
    <w:uiPriority w:val="0"/>
    <w:pPr>
      <w:widowControl/>
      <w:tabs>
        <w:tab w:val="left" w:pos="840"/>
      </w:tabs>
      <w:ind w:left="840" w:hanging="420"/>
      <w:jc w:val="left"/>
    </w:pPr>
    <w:rPr>
      <w:kern w:val="0"/>
      <w:sz w:val="18"/>
    </w:rPr>
  </w:style>
  <w:style w:type="paragraph" w:customStyle="1" w:styleId="15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5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2">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3">
    <w:name w:val="Char2 Char Char"/>
    <w:basedOn w:val="1"/>
    <w:qFormat/>
    <w:uiPriority w:val="0"/>
    <w:pPr>
      <w:adjustRightInd/>
    </w:pPr>
    <w:rPr>
      <w:rFonts w:ascii="Tahoma" w:hAnsi="Tahoma"/>
      <w:sz w:val="24"/>
      <w:szCs w:val="20"/>
    </w:rPr>
  </w:style>
  <w:style w:type="paragraph" w:customStyle="1" w:styleId="15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8">
    <w:name w:val="Char Char1 Char Char Char"/>
    <w:basedOn w:val="1"/>
    <w:qFormat/>
    <w:uiPriority w:val="0"/>
    <w:rPr>
      <w:rFonts w:ascii="仿宋_GB2312" w:eastAsia="仿宋_GB2312"/>
      <w:b/>
      <w:sz w:val="32"/>
      <w:szCs w:val="20"/>
    </w:rPr>
  </w:style>
  <w:style w:type="paragraph" w:customStyle="1" w:styleId="15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60">
    <w:name w:val="WW-正文文字缩进 2"/>
    <w:basedOn w:val="1"/>
    <w:qFormat/>
    <w:uiPriority w:val="0"/>
    <w:pPr>
      <w:suppressAutoHyphens/>
      <w:adjustRightInd/>
      <w:ind w:firstLine="420"/>
    </w:pPr>
    <w:rPr>
      <w:kern w:val="1"/>
      <w:szCs w:val="20"/>
    </w:rPr>
  </w:style>
  <w:style w:type="paragraph" w:customStyle="1" w:styleId="16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3">
    <w:name w:val="默认段落字体 Para Char Char Char Char"/>
    <w:basedOn w:val="1"/>
    <w:qFormat/>
    <w:uiPriority w:val="0"/>
    <w:pPr>
      <w:spacing w:line="360" w:lineRule="auto"/>
    </w:pPr>
    <w:rPr>
      <w:szCs w:val="20"/>
    </w:rPr>
  </w:style>
  <w:style w:type="paragraph" w:customStyle="1" w:styleId="164">
    <w:name w:val="Char Char11 Char Char Char"/>
    <w:basedOn w:val="1"/>
    <w:qFormat/>
    <w:uiPriority w:val="0"/>
    <w:pPr>
      <w:spacing w:line="360" w:lineRule="auto"/>
    </w:pPr>
    <w:rPr>
      <w:szCs w:val="20"/>
    </w:rPr>
  </w:style>
  <w:style w:type="paragraph" w:customStyle="1" w:styleId="16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7">
    <w:name w:val="左对齐表格文字"/>
    <w:basedOn w:val="1"/>
    <w:qFormat/>
    <w:uiPriority w:val="0"/>
    <w:pPr>
      <w:adjustRightInd/>
      <w:ind w:firstLine="200" w:firstLineChars="200"/>
      <w:jc w:val="right"/>
    </w:pPr>
  </w:style>
  <w:style w:type="paragraph" w:customStyle="1" w:styleId="168">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9">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7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71">
    <w:name w:val="无间隔1"/>
    <w:link w:val="532"/>
    <w:qFormat/>
    <w:uiPriority w:val="1"/>
    <w:rPr>
      <w:rFonts w:ascii="Calibri" w:hAnsi="Calibri" w:eastAsia="宋体" w:cs="Times New Roman"/>
      <w:sz w:val="22"/>
      <w:szCs w:val="22"/>
      <w:lang w:val="en-US" w:eastAsia="zh-CN" w:bidi="ar-SA"/>
    </w:rPr>
  </w:style>
  <w:style w:type="paragraph" w:customStyle="1" w:styleId="172">
    <w:name w:val="样式 样式 标题 4h4H4Fab-4T5Ref Heading 1rh1Heading sqlsect 1.2.3.... +..."/>
    <w:basedOn w:val="173"/>
    <w:link w:val="610"/>
    <w:qFormat/>
    <w:uiPriority w:val="0"/>
    <w:pPr>
      <w:tabs>
        <w:tab w:val="left" w:pos="2356"/>
      </w:tabs>
    </w:pPr>
  </w:style>
  <w:style w:type="paragraph" w:customStyle="1" w:styleId="173">
    <w:name w:val="样式 标题 4h4H4Fab-4T5Ref Heading 1rh1Heading sqlsect 1.2.3...."/>
    <w:basedOn w:val="5"/>
    <w:link w:val="560"/>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4">
    <w:name w:val="四级条标题"/>
    <w:basedOn w:val="175"/>
    <w:next w:val="141"/>
    <w:qFormat/>
    <w:uiPriority w:val="0"/>
    <w:pPr>
      <w:numPr>
        <w:ilvl w:val="5"/>
        <w:numId w:val="4"/>
      </w:numPr>
      <w:tabs>
        <w:tab w:val="left" w:pos="1680"/>
        <w:tab w:val="left" w:pos="2100"/>
        <w:tab w:val="left" w:pos="2520"/>
      </w:tabs>
      <w:outlineLvl w:val="5"/>
    </w:pPr>
  </w:style>
  <w:style w:type="paragraph" w:customStyle="1" w:styleId="175">
    <w:name w:val="三级条标题"/>
    <w:basedOn w:val="176"/>
    <w:next w:val="141"/>
    <w:qFormat/>
    <w:uiPriority w:val="0"/>
    <w:pPr>
      <w:numPr>
        <w:ilvl w:val="0"/>
        <w:numId w:val="0"/>
      </w:numPr>
      <w:tabs>
        <w:tab w:val="left" w:pos="1680"/>
        <w:tab w:val="left" w:pos="2100"/>
        <w:tab w:val="left" w:pos="2520"/>
      </w:tabs>
      <w:ind w:left="2520" w:hanging="420"/>
      <w:outlineLvl w:val="4"/>
    </w:pPr>
  </w:style>
  <w:style w:type="paragraph" w:customStyle="1" w:styleId="176">
    <w:name w:val="二级条标题"/>
    <w:basedOn w:val="177"/>
    <w:next w:val="141"/>
    <w:qFormat/>
    <w:uiPriority w:val="0"/>
    <w:pPr>
      <w:numPr>
        <w:ilvl w:val="3"/>
        <w:numId w:val="4"/>
      </w:numPr>
      <w:tabs>
        <w:tab w:val="left" w:pos="1680"/>
      </w:tabs>
      <w:ind w:left="0"/>
      <w:outlineLvl w:val="3"/>
    </w:pPr>
  </w:style>
  <w:style w:type="paragraph" w:customStyle="1" w:styleId="177">
    <w:name w:val="一级条标题"/>
    <w:basedOn w:val="140"/>
    <w:next w:val="141"/>
    <w:qFormat/>
    <w:uiPriority w:val="0"/>
    <w:pPr>
      <w:tabs>
        <w:tab w:val="left" w:pos="1680"/>
        <w:tab w:val="clear" w:pos="1260"/>
      </w:tabs>
      <w:spacing w:before="0" w:beforeLines="0" w:after="0" w:afterLines="0"/>
      <w:ind w:left="1680"/>
      <w:outlineLvl w:val="2"/>
    </w:pPr>
  </w:style>
  <w:style w:type="paragraph" w:customStyle="1" w:styleId="17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9">
    <w:name w:val="标准小四"/>
    <w:basedOn w:val="1"/>
    <w:qFormat/>
    <w:uiPriority w:val="0"/>
    <w:pPr>
      <w:spacing w:line="360" w:lineRule="auto"/>
      <w:ind w:firstLine="480" w:firstLineChars="200"/>
    </w:pPr>
    <w:rPr>
      <w:rFonts w:ascii="Arial" w:hAnsi="Arial"/>
      <w:sz w:val="24"/>
      <w:szCs w:val="21"/>
    </w:rPr>
  </w:style>
  <w:style w:type="paragraph" w:customStyle="1" w:styleId="180">
    <w:name w:val="表格"/>
    <w:basedOn w:val="1"/>
    <w:qFormat/>
    <w:uiPriority w:val="0"/>
    <w:pPr>
      <w:snapToGrid w:val="0"/>
      <w:ind w:firstLine="42" w:firstLineChars="21"/>
    </w:pPr>
    <w:rPr>
      <w:rFonts w:ascii="宋体" w:hAnsi="宋体"/>
      <w:kern w:val="0"/>
      <w:sz w:val="20"/>
      <w:szCs w:val="20"/>
    </w:rPr>
  </w:style>
  <w:style w:type="paragraph" w:customStyle="1" w:styleId="18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2">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4">
    <w:name w:val="封面公司名"/>
    <w:qFormat/>
    <w:uiPriority w:val="0"/>
    <w:pPr>
      <w:jc w:val="center"/>
    </w:pPr>
    <w:rPr>
      <w:rFonts w:ascii="Arial" w:hAnsi="Arial" w:eastAsia="楷体_GB2312" w:cs="宋体"/>
      <w:bCs/>
      <w:kern w:val="2"/>
      <w:sz w:val="28"/>
      <w:lang w:val="en-US" w:eastAsia="zh-CN" w:bidi="ar-SA"/>
    </w:rPr>
  </w:style>
  <w:style w:type="paragraph" w:customStyle="1" w:styleId="185">
    <w:name w:val="Char2 Char Char Char1"/>
    <w:basedOn w:val="1"/>
    <w:qFormat/>
    <w:uiPriority w:val="0"/>
    <w:rPr>
      <w:rFonts w:ascii="仿宋_GB2312" w:eastAsia="仿宋_GB2312"/>
      <w:b/>
      <w:sz w:val="32"/>
      <w:szCs w:val="32"/>
    </w:rPr>
  </w:style>
  <w:style w:type="paragraph" w:customStyle="1" w:styleId="1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9">
    <w:name w:val="Char2"/>
    <w:basedOn w:val="1"/>
    <w:qFormat/>
    <w:uiPriority w:val="0"/>
    <w:rPr>
      <w:rFonts w:ascii="仿宋_GB2312" w:eastAsia="仿宋_GB2312"/>
      <w:b/>
      <w:sz w:val="32"/>
      <w:szCs w:val="32"/>
    </w:rPr>
  </w:style>
  <w:style w:type="paragraph" w:customStyle="1" w:styleId="190">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1">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3">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4">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195">
    <w:name w:val="Char Char4 Char Char"/>
    <w:basedOn w:val="1"/>
    <w:qFormat/>
    <w:uiPriority w:val="0"/>
    <w:pPr>
      <w:widowControl/>
      <w:adjustRightInd/>
      <w:spacing w:after="160" w:line="240" w:lineRule="exact"/>
      <w:jc w:val="left"/>
    </w:pPr>
  </w:style>
  <w:style w:type="paragraph" w:customStyle="1" w:styleId="196">
    <w:name w:val="Char2 Char Char1"/>
    <w:basedOn w:val="1"/>
    <w:qFormat/>
    <w:uiPriority w:val="0"/>
    <w:pPr>
      <w:adjustRightInd/>
    </w:pPr>
    <w:rPr>
      <w:rFonts w:ascii="Tahoma" w:hAnsi="Tahoma"/>
      <w:sz w:val="24"/>
      <w:szCs w:val="20"/>
    </w:rPr>
  </w:style>
  <w:style w:type="paragraph" w:customStyle="1" w:styleId="197">
    <w:name w:val="默认段落字体 Para Char Char Char Char Char Char Char"/>
    <w:basedOn w:val="1"/>
    <w:qFormat/>
    <w:uiPriority w:val="0"/>
    <w:rPr>
      <w:rFonts w:eastAsia="仿宋_GB2312"/>
      <w:sz w:val="28"/>
      <w:szCs w:val="20"/>
    </w:rPr>
  </w:style>
  <w:style w:type="paragraph" w:customStyle="1" w:styleId="198">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9">
    <w:name w:val="正文21"/>
    <w:basedOn w:val="1"/>
    <w:qFormat/>
    <w:uiPriority w:val="0"/>
    <w:pPr>
      <w:adjustRightInd/>
      <w:spacing w:before="156" w:line="360" w:lineRule="auto"/>
      <w:ind w:firstLine="510" w:firstLineChars="200"/>
    </w:pPr>
    <w:rPr>
      <w:sz w:val="24"/>
      <w:szCs w:val="20"/>
    </w:rPr>
  </w:style>
  <w:style w:type="paragraph" w:customStyle="1" w:styleId="200">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20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2">
    <w:name w:val="标题五"/>
    <w:basedOn w:val="1"/>
    <w:qFormat/>
    <w:uiPriority w:val="0"/>
    <w:pPr>
      <w:adjustRightInd/>
      <w:spacing w:before="156" w:beforeLines="50" w:line="360" w:lineRule="auto"/>
    </w:pPr>
    <w:rPr>
      <w:b/>
      <w:sz w:val="24"/>
    </w:rPr>
  </w:style>
  <w:style w:type="paragraph" w:customStyle="1" w:styleId="203">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04">
    <w:name w:val="Char Char11"/>
    <w:basedOn w:val="1"/>
    <w:qFormat/>
    <w:uiPriority w:val="0"/>
    <w:pPr>
      <w:spacing w:line="360" w:lineRule="auto"/>
    </w:pPr>
    <w:rPr>
      <w:szCs w:val="20"/>
    </w:rPr>
  </w:style>
  <w:style w:type="paragraph" w:customStyle="1" w:styleId="205">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6">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07">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10">
    <w:name w:val="Char Char11 Char Char Char Char Char Char Char Char Char"/>
    <w:basedOn w:val="1"/>
    <w:qFormat/>
    <w:uiPriority w:val="0"/>
    <w:pPr>
      <w:spacing w:line="360" w:lineRule="auto"/>
    </w:pPr>
    <w:rPr>
      <w:szCs w:val="20"/>
    </w:rPr>
  </w:style>
  <w:style w:type="paragraph" w:customStyle="1" w:styleId="211">
    <w:name w:val="Char Char1 Char Char Char1"/>
    <w:basedOn w:val="1"/>
    <w:qFormat/>
    <w:uiPriority w:val="0"/>
    <w:rPr>
      <w:rFonts w:ascii="仿宋_GB2312" w:eastAsia="仿宋_GB2312"/>
      <w:b/>
      <w:sz w:val="32"/>
      <w:szCs w:val="32"/>
    </w:rPr>
  </w:style>
  <w:style w:type="paragraph" w:customStyle="1" w:styleId="212">
    <w:name w:val="样式 标题 4PIM 4H4h4bulletblbbH41H42H43H44H45H46H47H48...1"/>
    <w:basedOn w:val="5"/>
    <w:qFormat/>
    <w:uiPriority w:val="0"/>
    <w:pPr>
      <w:widowControl/>
      <w:jc w:val="left"/>
    </w:pPr>
    <w:rPr>
      <w:rFonts w:cs="宋体"/>
      <w:sz w:val="24"/>
      <w:szCs w:val="20"/>
    </w:rPr>
  </w:style>
  <w:style w:type="paragraph" w:customStyle="1" w:styleId="21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4">
    <w:name w:val="表格标题2"/>
    <w:basedOn w:val="215"/>
    <w:qFormat/>
    <w:uiPriority w:val="0"/>
    <w:rPr>
      <w:b/>
    </w:rPr>
  </w:style>
  <w:style w:type="paragraph" w:customStyle="1" w:styleId="215">
    <w:name w:val="表格内文"/>
    <w:basedOn w:val="1"/>
    <w:qFormat/>
    <w:uiPriority w:val="0"/>
    <w:pPr>
      <w:adjustRightInd/>
      <w:spacing w:line="360" w:lineRule="auto"/>
    </w:pPr>
    <w:rPr>
      <w:rFonts w:ascii="宋体" w:hAnsi="宋体" w:cs="宋体"/>
      <w:color w:val="000000"/>
      <w:szCs w:val="20"/>
    </w:rPr>
  </w:style>
  <w:style w:type="paragraph" w:customStyle="1" w:styleId="216">
    <w:name w:val="Char Char Char Char Char Char Char"/>
    <w:basedOn w:val="1"/>
    <w:qFormat/>
    <w:uiPriority w:val="0"/>
    <w:rPr>
      <w:rFonts w:ascii="仿宋_GB2312" w:eastAsia="仿宋_GB2312"/>
      <w:b/>
      <w:sz w:val="32"/>
      <w:szCs w:val="32"/>
    </w:rPr>
  </w:style>
  <w:style w:type="paragraph" w:customStyle="1" w:styleId="21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8">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20">
    <w:name w:val="列出段落2"/>
    <w:basedOn w:val="1"/>
    <w:qFormat/>
    <w:uiPriority w:val="0"/>
    <w:pPr>
      <w:adjustRightInd/>
      <w:ind w:firstLine="420" w:firstLineChars="200"/>
    </w:pPr>
    <w:rPr>
      <w:rFonts w:ascii="宋体" w:hAnsi="宋体"/>
      <w:sz w:val="24"/>
    </w:rPr>
  </w:style>
  <w:style w:type="paragraph" w:customStyle="1" w:styleId="22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2">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4">
    <w:name w:val="正文 首行缩进:  2 字符 Char"/>
    <w:basedOn w:val="1"/>
    <w:qFormat/>
    <w:uiPriority w:val="0"/>
    <w:pPr>
      <w:adjustRightInd/>
      <w:spacing w:line="360" w:lineRule="auto"/>
      <w:ind w:firstLine="480"/>
    </w:pPr>
    <w:rPr>
      <w:rFonts w:cs="宋体"/>
      <w:sz w:val="24"/>
      <w:szCs w:val="20"/>
    </w:rPr>
  </w:style>
  <w:style w:type="paragraph" w:customStyle="1" w:styleId="22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6">
    <w:name w:val="Table Text"/>
    <w:basedOn w:val="1"/>
    <w:qFormat/>
    <w:uiPriority w:val="0"/>
    <w:pPr>
      <w:widowControl/>
      <w:spacing w:before="60" w:after="60"/>
      <w:jc w:val="left"/>
    </w:pPr>
    <w:rPr>
      <w:kern w:val="0"/>
      <w:sz w:val="24"/>
    </w:rPr>
  </w:style>
  <w:style w:type="paragraph" w:customStyle="1" w:styleId="22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9">
    <w:name w:val="Char Char Char Char Char Char Char Char Char Char"/>
    <w:basedOn w:val="1"/>
    <w:qFormat/>
    <w:uiPriority w:val="0"/>
    <w:rPr>
      <w:rFonts w:ascii="仿宋_GB2312" w:eastAsia="仿宋_GB2312"/>
      <w:b/>
      <w:sz w:val="32"/>
      <w:szCs w:val="32"/>
    </w:rPr>
  </w:style>
  <w:style w:type="paragraph" w:customStyle="1" w:styleId="230">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31">
    <w:name w:val="正文文字表格居中"/>
    <w:basedOn w:val="1"/>
    <w:next w:val="54"/>
    <w:qFormat/>
    <w:uiPriority w:val="0"/>
    <w:pPr>
      <w:snapToGrid w:val="0"/>
      <w:spacing w:line="360" w:lineRule="auto"/>
    </w:pPr>
    <w:rPr>
      <w:rFonts w:ascii="宋体"/>
      <w:b/>
      <w:sz w:val="24"/>
      <w:szCs w:val="20"/>
    </w:rPr>
  </w:style>
  <w:style w:type="paragraph" w:customStyle="1" w:styleId="232">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3">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6">
    <w:name w:val="Char"/>
    <w:basedOn w:val="1"/>
    <w:qFormat/>
    <w:uiPriority w:val="0"/>
    <w:rPr>
      <w:rFonts w:ascii="仿宋_GB2312" w:eastAsia="仿宋_GB2312"/>
      <w:b/>
      <w:sz w:val="32"/>
      <w:szCs w:val="32"/>
    </w:rPr>
  </w:style>
  <w:style w:type="paragraph" w:customStyle="1" w:styleId="237">
    <w:name w:val="冯广丽"/>
    <w:basedOn w:val="1"/>
    <w:link w:val="473"/>
    <w:qFormat/>
    <w:uiPriority w:val="0"/>
    <w:pPr>
      <w:adjustRightInd/>
      <w:spacing w:line="360" w:lineRule="auto"/>
      <w:ind w:firstLine="480" w:firstLineChars="200"/>
    </w:pPr>
    <w:rPr>
      <w:rFonts w:ascii="宋体" w:hAnsi="宋体"/>
      <w:sz w:val="24"/>
      <w:szCs w:val="22"/>
    </w:rPr>
  </w:style>
  <w:style w:type="paragraph" w:customStyle="1" w:styleId="238">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9">
    <w:name w:val="Char31"/>
    <w:basedOn w:val="1"/>
    <w:qFormat/>
    <w:uiPriority w:val="0"/>
    <w:pPr>
      <w:adjustRightInd/>
      <w:ind w:firstLine="200" w:firstLineChars="200"/>
    </w:pPr>
    <w:rPr>
      <w:rFonts w:ascii="Tahoma" w:hAnsi="Tahoma"/>
      <w:sz w:val="24"/>
      <w:szCs w:val="20"/>
    </w:rPr>
  </w:style>
  <w:style w:type="paragraph" w:customStyle="1" w:styleId="240">
    <w:name w:val="Char Char11 Char Char Char1"/>
    <w:basedOn w:val="1"/>
    <w:qFormat/>
    <w:uiPriority w:val="0"/>
    <w:pPr>
      <w:spacing w:line="360" w:lineRule="auto"/>
    </w:pPr>
    <w:rPr>
      <w:szCs w:val="20"/>
    </w:rPr>
  </w:style>
  <w:style w:type="paragraph" w:customStyle="1" w:styleId="24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2">
    <w:name w:val="_Style 236"/>
    <w:qFormat/>
    <w:uiPriority w:val="0"/>
    <w:rPr>
      <w:rFonts w:ascii="Times New Roman" w:hAnsi="Times New Roman" w:eastAsia="宋体" w:cs="Times New Roman"/>
      <w:kern w:val="2"/>
      <w:sz w:val="21"/>
      <w:lang w:val="en-US" w:eastAsia="zh-CN" w:bidi="ar-SA"/>
    </w:rPr>
  </w:style>
  <w:style w:type="paragraph" w:customStyle="1" w:styleId="243">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5">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8">
    <w:name w:val="文章标题"/>
    <w:next w:val="18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9">
    <w:name w:val="4"/>
    <w:basedOn w:val="1"/>
    <w:next w:val="36"/>
    <w:qFormat/>
    <w:uiPriority w:val="0"/>
    <w:pPr>
      <w:spacing w:after="120" w:line="480" w:lineRule="auto"/>
      <w:ind w:left="420" w:leftChars="200"/>
    </w:pPr>
    <w:rPr>
      <w:sz w:val="24"/>
      <w:szCs w:val="20"/>
    </w:rPr>
  </w:style>
  <w:style w:type="paragraph" w:customStyle="1" w:styleId="25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51">
    <w:name w:val="Char Char Char Char Char Char Char Char Char Char Char1 Char"/>
    <w:basedOn w:val="1"/>
    <w:qFormat/>
    <w:uiPriority w:val="0"/>
    <w:pPr>
      <w:adjustRightInd/>
    </w:pPr>
    <w:rPr>
      <w:rFonts w:ascii="Tahoma" w:hAnsi="Tahoma"/>
      <w:sz w:val="24"/>
    </w:rPr>
  </w:style>
  <w:style w:type="paragraph" w:customStyle="1" w:styleId="25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3">
    <w:name w:val="标书表格字体格式"/>
    <w:next w:val="157"/>
    <w:qFormat/>
    <w:uiPriority w:val="0"/>
    <w:rPr>
      <w:rFonts w:ascii="Times New Roman" w:hAnsi="Times New Roman" w:eastAsia="宋体" w:cs="Times New Roman"/>
      <w:kern w:val="2"/>
      <w:sz w:val="21"/>
      <w:szCs w:val="24"/>
      <w:lang w:val="en-US" w:eastAsia="zh-CN" w:bidi="ar-SA"/>
    </w:rPr>
  </w:style>
  <w:style w:type="paragraph" w:customStyle="1" w:styleId="25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6">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257">
    <w:name w:val="带编号样式"/>
    <w:basedOn w:val="92"/>
    <w:qFormat/>
    <w:uiPriority w:val="0"/>
    <w:pPr>
      <w:tabs>
        <w:tab w:val="left" w:pos="840"/>
      </w:tabs>
      <w:snapToGrid w:val="0"/>
      <w:ind w:left="840" w:firstLine="0" w:firstLineChars="0"/>
    </w:pPr>
    <w:rPr>
      <w:rFonts w:ascii="仿宋_GB2312" w:eastAsia="仿宋_GB2312"/>
      <w:color w:val="000000"/>
    </w:rPr>
  </w:style>
  <w:style w:type="paragraph" w:customStyle="1" w:styleId="258">
    <w:name w:val="正文文字 2"/>
    <w:basedOn w:val="75"/>
    <w:next w:val="75"/>
    <w:qFormat/>
    <w:uiPriority w:val="0"/>
    <w:rPr>
      <w:rFonts w:ascii="宋体" w:eastAsia="宋体" w:cs="Times New Roman"/>
      <w:color w:val="auto"/>
    </w:rPr>
  </w:style>
  <w:style w:type="paragraph" w:customStyle="1" w:styleId="259">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60">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61">
    <w:name w:val="Char5"/>
    <w:basedOn w:val="1"/>
    <w:qFormat/>
    <w:uiPriority w:val="0"/>
    <w:rPr>
      <w:rFonts w:ascii="仿宋_GB2312" w:eastAsia="仿宋_GB2312"/>
      <w:b/>
      <w:sz w:val="32"/>
      <w:szCs w:val="32"/>
    </w:rPr>
  </w:style>
  <w:style w:type="paragraph" w:customStyle="1" w:styleId="26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4">
    <w:name w:val="Item List"/>
    <w:link w:val="47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6">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2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9">
    <w:name w:val="Char Char1 Char Char Char Char Char Char1"/>
    <w:basedOn w:val="1"/>
    <w:qFormat/>
    <w:uiPriority w:val="0"/>
    <w:rPr>
      <w:rFonts w:ascii="仿宋_GB2312" w:eastAsia="仿宋_GB2312"/>
      <w:b/>
      <w:sz w:val="32"/>
      <w:szCs w:val="20"/>
    </w:rPr>
  </w:style>
  <w:style w:type="paragraph" w:customStyle="1" w:styleId="270">
    <w:name w:val="Char Char Char Char Char Char Char Char Char Char Char Char1 Char"/>
    <w:basedOn w:val="1"/>
    <w:qFormat/>
    <w:uiPriority w:val="0"/>
    <w:rPr>
      <w:rFonts w:ascii="Tahoma" w:hAnsi="Tahoma" w:cs="仿宋_GB2312"/>
      <w:sz w:val="24"/>
      <w:szCs w:val="20"/>
    </w:rPr>
  </w:style>
  <w:style w:type="paragraph" w:customStyle="1" w:styleId="271">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3">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5">
    <w:name w:val="样式 正文文本缩进 + 段前: 2 字符"/>
    <w:basedOn w:val="1"/>
    <w:qFormat/>
    <w:uiPriority w:val="0"/>
    <w:pPr>
      <w:adjustRightInd/>
      <w:ind w:left="420" w:leftChars="200"/>
      <w:jc w:val="left"/>
    </w:pPr>
    <w:rPr>
      <w:sz w:val="28"/>
      <w:szCs w:val="20"/>
      <w:lang w:eastAsia="zh-TW"/>
    </w:rPr>
  </w:style>
  <w:style w:type="paragraph" w:customStyle="1" w:styleId="276">
    <w:name w:val="Char1 Char Char Char3"/>
    <w:basedOn w:val="1"/>
    <w:qFormat/>
    <w:uiPriority w:val="0"/>
    <w:pPr>
      <w:adjustRightInd/>
      <w:ind w:firstLine="200" w:firstLineChars="200"/>
    </w:pPr>
    <w:rPr>
      <w:rFonts w:ascii="Tahoma" w:hAnsi="Tahoma"/>
      <w:sz w:val="24"/>
      <w:szCs w:val="20"/>
    </w:rPr>
  </w:style>
  <w:style w:type="paragraph" w:customStyle="1" w:styleId="277">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8">
    <w:name w:val="Char Char Char Char Char Char Char Char Char Char Char Char1 Char1"/>
    <w:basedOn w:val="1"/>
    <w:qFormat/>
    <w:uiPriority w:val="0"/>
    <w:rPr>
      <w:rFonts w:ascii="Tahoma" w:hAnsi="Tahoma" w:cs="仿宋_GB2312"/>
      <w:sz w:val="24"/>
      <w:szCs w:val="20"/>
    </w:rPr>
  </w:style>
  <w:style w:type="paragraph" w:customStyle="1" w:styleId="279">
    <w:name w:val="Char Char1 Char1"/>
    <w:basedOn w:val="1"/>
    <w:qFormat/>
    <w:uiPriority w:val="0"/>
    <w:rPr>
      <w:rFonts w:ascii="仿宋_GB2312" w:eastAsia="仿宋_GB2312"/>
      <w:b/>
      <w:sz w:val="32"/>
      <w:szCs w:val="32"/>
    </w:rPr>
  </w:style>
  <w:style w:type="paragraph" w:customStyle="1" w:styleId="280">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81">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2">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3">
    <w:name w:val="Char Char1"/>
    <w:basedOn w:val="1"/>
    <w:qFormat/>
    <w:uiPriority w:val="0"/>
    <w:pPr>
      <w:widowControl/>
      <w:spacing w:after="160" w:line="240" w:lineRule="exact"/>
      <w:jc w:val="left"/>
    </w:pPr>
    <w:rPr>
      <w:rFonts w:eastAsia="仿宋_GB2312"/>
      <w:sz w:val="28"/>
    </w:rPr>
  </w:style>
  <w:style w:type="paragraph" w:customStyle="1" w:styleId="284">
    <w:name w:val="单元格居中"/>
    <w:basedOn w:val="1"/>
    <w:qFormat/>
    <w:uiPriority w:val="0"/>
    <w:pPr>
      <w:adjustRightInd/>
      <w:spacing w:line="360" w:lineRule="auto"/>
      <w:jc w:val="center"/>
    </w:pPr>
    <w:rPr>
      <w:sz w:val="24"/>
    </w:rPr>
  </w:style>
  <w:style w:type="paragraph" w:customStyle="1" w:styleId="285">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6">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7">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8">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90">
    <w:name w:val="MM Empty"/>
    <w:basedOn w:val="1"/>
    <w:qFormat/>
    <w:uiPriority w:val="0"/>
    <w:pPr>
      <w:adjustRightInd/>
    </w:pPr>
  </w:style>
  <w:style w:type="paragraph" w:customStyle="1" w:styleId="291">
    <w:name w:val="文档正文"/>
    <w:basedOn w:val="1"/>
    <w:qFormat/>
    <w:uiPriority w:val="0"/>
    <w:pPr>
      <w:spacing w:line="480" w:lineRule="atLeast"/>
      <w:ind w:firstLine="567"/>
      <w:textAlignment w:val="baseline"/>
    </w:pPr>
    <w:rPr>
      <w:kern w:val="0"/>
      <w:sz w:val="24"/>
      <w:szCs w:val="20"/>
    </w:rPr>
  </w:style>
  <w:style w:type="paragraph" w:customStyle="1" w:styleId="29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3">
    <w:name w:val="Char Char1 Char Char1 Char Char1"/>
    <w:basedOn w:val="1"/>
    <w:qFormat/>
    <w:uiPriority w:val="0"/>
    <w:pPr>
      <w:tabs>
        <w:tab w:val="left" w:pos="840"/>
      </w:tabs>
      <w:ind w:left="840" w:hanging="420"/>
    </w:pPr>
    <w:rPr>
      <w:rFonts w:ascii="Tahoma" w:hAnsi="Tahoma"/>
      <w:sz w:val="24"/>
    </w:rPr>
  </w:style>
  <w:style w:type="paragraph" w:customStyle="1" w:styleId="294">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5">
    <w:name w:val="Char Char Char Char Char Char Char Char Char Char1"/>
    <w:basedOn w:val="1"/>
    <w:qFormat/>
    <w:uiPriority w:val="0"/>
    <w:rPr>
      <w:rFonts w:ascii="仿宋_GB2312" w:eastAsia="仿宋_GB2312"/>
      <w:b/>
      <w:sz w:val="32"/>
      <w:szCs w:val="32"/>
    </w:rPr>
  </w:style>
  <w:style w:type="paragraph" w:customStyle="1" w:styleId="296">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7">
    <w:name w:val="默认段落字体 Para Char Char Char1 Char"/>
    <w:basedOn w:val="1"/>
    <w:qFormat/>
    <w:uiPriority w:val="0"/>
    <w:pPr>
      <w:spacing w:line="240" w:lineRule="atLeast"/>
      <w:ind w:left="420" w:firstLine="420"/>
    </w:pPr>
    <w:rPr>
      <w:sz w:val="24"/>
    </w:rPr>
  </w:style>
  <w:style w:type="paragraph" w:styleId="298">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00">
    <w:name w:val="Char1 Char Char Char5"/>
    <w:basedOn w:val="1"/>
    <w:qFormat/>
    <w:uiPriority w:val="0"/>
    <w:pPr>
      <w:adjustRightInd/>
      <w:ind w:firstLine="200" w:firstLineChars="200"/>
    </w:pPr>
    <w:rPr>
      <w:rFonts w:ascii="Tahoma" w:hAnsi="Tahoma"/>
      <w:sz w:val="24"/>
      <w:szCs w:val="20"/>
    </w:rPr>
  </w:style>
  <w:style w:type="paragraph" w:customStyle="1" w:styleId="301">
    <w:name w:val="Char Char Char Char Char Char Char1"/>
    <w:basedOn w:val="1"/>
    <w:qFormat/>
    <w:uiPriority w:val="0"/>
    <w:rPr>
      <w:rFonts w:ascii="仿宋_GB2312" w:eastAsia="仿宋_GB2312"/>
      <w:b/>
      <w:sz w:val="32"/>
      <w:szCs w:val="32"/>
    </w:rPr>
  </w:style>
  <w:style w:type="paragraph" w:customStyle="1" w:styleId="30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3">
    <w:name w:val="正文表标题"/>
    <w:next w:val="1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5">
    <w:name w:val="四号　首行缩进"/>
    <w:basedOn w:val="1"/>
    <w:qFormat/>
    <w:uiPriority w:val="0"/>
    <w:pPr>
      <w:adjustRightInd/>
      <w:spacing w:line="360" w:lineRule="auto"/>
    </w:pPr>
    <w:rPr>
      <w:rFonts w:ascii="宋体" w:hAnsi="宋体"/>
      <w:szCs w:val="20"/>
    </w:rPr>
  </w:style>
  <w:style w:type="paragraph" w:customStyle="1" w:styleId="30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8">
    <w:name w:val="首行缩进"/>
    <w:basedOn w:val="1"/>
    <w:qFormat/>
    <w:uiPriority w:val="0"/>
    <w:pPr>
      <w:spacing w:line="360" w:lineRule="auto"/>
      <w:ind w:firstLine="480" w:firstLineChars="200"/>
    </w:pPr>
    <w:rPr>
      <w:rFonts w:ascii="宋体"/>
      <w:sz w:val="24"/>
      <w:szCs w:val="20"/>
    </w:rPr>
  </w:style>
  <w:style w:type="paragraph" w:customStyle="1" w:styleId="309">
    <w:name w:val="Char1 Char Char Char1"/>
    <w:basedOn w:val="1"/>
    <w:qFormat/>
    <w:uiPriority w:val="0"/>
    <w:pPr>
      <w:adjustRightInd/>
      <w:ind w:firstLine="200" w:firstLineChars="200"/>
    </w:pPr>
    <w:rPr>
      <w:rFonts w:ascii="Tahoma" w:hAnsi="Tahoma"/>
      <w:sz w:val="24"/>
      <w:szCs w:val="20"/>
    </w:rPr>
  </w:style>
  <w:style w:type="paragraph" w:customStyle="1" w:styleId="310">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11">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2">
    <w:name w:val="样式 样式2 + 左侧:  1 字符 右侧:  1 字符"/>
    <w:basedOn w:val="8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5">
    <w:name w:val="哈哈正文"/>
    <w:basedOn w:val="1"/>
    <w:link w:val="498"/>
    <w:qFormat/>
    <w:uiPriority w:val="0"/>
    <w:pPr>
      <w:adjustRightInd/>
      <w:spacing w:line="360" w:lineRule="auto"/>
      <w:ind w:firstLine="200" w:firstLineChars="200"/>
    </w:pPr>
    <w:rPr>
      <w:rFonts w:ascii="宋体" w:hAnsi="宋体"/>
      <w:sz w:val="24"/>
      <w:szCs w:val="20"/>
    </w:rPr>
  </w:style>
  <w:style w:type="paragraph" w:customStyle="1" w:styleId="316">
    <w:name w:val="List Paragraph1"/>
    <w:basedOn w:val="1"/>
    <w:qFormat/>
    <w:uiPriority w:val="34"/>
    <w:pPr>
      <w:spacing w:line="360" w:lineRule="auto"/>
      <w:ind w:firstLine="200" w:firstLineChars="200"/>
    </w:pPr>
    <w:rPr>
      <w:rFonts w:eastAsia="楷体_GB2312" w:cs="Lucida Sans"/>
      <w:sz w:val="24"/>
    </w:rPr>
  </w:style>
  <w:style w:type="paragraph" w:customStyle="1" w:styleId="31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8">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20">
    <w:name w:val="Char Char11 Char Char Char Char Char Char Char Char Char1"/>
    <w:basedOn w:val="1"/>
    <w:qFormat/>
    <w:uiPriority w:val="0"/>
    <w:pPr>
      <w:spacing w:line="360" w:lineRule="auto"/>
    </w:pPr>
    <w:rPr>
      <w:szCs w:val="20"/>
    </w:rPr>
  </w:style>
  <w:style w:type="paragraph" w:customStyle="1" w:styleId="321">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2">
    <w:name w:val="正文 项目2"/>
    <w:basedOn w:val="323"/>
    <w:qFormat/>
    <w:uiPriority w:val="0"/>
    <w:pPr>
      <w:numPr>
        <w:ilvl w:val="0"/>
        <w:numId w:val="6"/>
      </w:numPr>
      <w:tabs>
        <w:tab w:val="left" w:pos="840"/>
      </w:tabs>
      <w:spacing w:after="0"/>
    </w:pPr>
  </w:style>
  <w:style w:type="paragraph" w:customStyle="1" w:styleId="32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4">
    <w:name w:val="Char Char Char1 Char1"/>
    <w:basedOn w:val="1"/>
    <w:qFormat/>
    <w:uiPriority w:val="0"/>
    <w:rPr>
      <w:szCs w:val="20"/>
    </w:rPr>
  </w:style>
  <w:style w:type="paragraph" w:customStyle="1" w:styleId="32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7">
    <w:name w:val="封面"/>
    <w:basedOn w:val="1"/>
    <w:qFormat/>
    <w:uiPriority w:val="0"/>
    <w:pPr>
      <w:spacing w:line="360" w:lineRule="atLeast"/>
      <w:jc w:val="right"/>
      <w:textAlignment w:val="baseline"/>
    </w:pPr>
    <w:rPr>
      <w:rFonts w:ascii="Symbol" w:hAnsi="Symbol"/>
      <w:kern w:val="0"/>
      <w:szCs w:val="20"/>
    </w:rPr>
  </w:style>
  <w:style w:type="paragraph" w:customStyle="1" w:styleId="328">
    <w:name w:val="正文（缩进2汉字）"/>
    <w:basedOn w:val="1"/>
    <w:link w:val="58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9">
    <w:name w:val="数字标题3"/>
    <w:basedOn w:val="4"/>
    <w:next w:val="1"/>
    <w:qFormat/>
    <w:uiPriority w:val="0"/>
    <w:pPr>
      <w:numPr>
        <w:numId w:val="0"/>
      </w:numPr>
      <w:spacing w:line="240" w:lineRule="auto"/>
    </w:pPr>
    <w:rPr>
      <w:sz w:val="28"/>
      <w:szCs w:val="28"/>
    </w:rPr>
  </w:style>
  <w:style w:type="paragraph" w:customStyle="1" w:styleId="3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3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2">
    <w:name w:val="正文（首行缩进2字符）"/>
    <w:basedOn w:val="1"/>
    <w:qFormat/>
    <w:uiPriority w:val="0"/>
    <w:pPr>
      <w:adjustRightInd/>
      <w:spacing w:line="360" w:lineRule="auto"/>
      <w:ind w:firstLine="480" w:firstLineChars="200"/>
    </w:pPr>
    <w:rPr>
      <w:sz w:val="24"/>
      <w:szCs w:val="20"/>
    </w:rPr>
  </w:style>
  <w:style w:type="paragraph" w:customStyle="1" w:styleId="33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4">
    <w:name w:val="正文段"/>
    <w:basedOn w:val="1"/>
    <w:qFormat/>
    <w:uiPriority w:val="0"/>
    <w:pPr>
      <w:widowControl/>
      <w:snapToGrid w:val="0"/>
      <w:spacing w:after="156" w:afterLines="50"/>
      <w:ind w:firstLine="200" w:firstLineChars="200"/>
    </w:pPr>
    <w:rPr>
      <w:kern w:val="0"/>
      <w:sz w:val="24"/>
      <w:szCs w:val="20"/>
    </w:rPr>
  </w:style>
  <w:style w:type="paragraph" w:customStyle="1" w:styleId="335">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6">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337">
    <w:name w:val="彩色列表 - 强调文字颜色 11"/>
    <w:basedOn w:val="1"/>
    <w:qFormat/>
    <w:uiPriority w:val="0"/>
    <w:pPr>
      <w:adjustRightInd/>
      <w:ind w:firstLine="420" w:firstLineChars="200"/>
    </w:pPr>
    <w:rPr>
      <w:rFonts w:ascii="Calibri" w:hAnsi="Calibri"/>
      <w:szCs w:val="22"/>
    </w:rPr>
  </w:style>
  <w:style w:type="paragraph" w:customStyle="1" w:styleId="338">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40">
    <w:name w:val="样式1 + (中宋体"/>
    <w:basedOn w:val="16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41">
    <w:name w:val="仿宋正文"/>
    <w:basedOn w:val="1"/>
    <w:link w:val="463"/>
    <w:qFormat/>
    <w:uiPriority w:val="0"/>
    <w:pPr>
      <w:adjustRightInd/>
      <w:spacing w:line="360" w:lineRule="auto"/>
      <w:ind w:firstLine="480" w:firstLineChars="200"/>
    </w:pPr>
    <w:rPr>
      <w:rFonts w:ascii="仿宋_GB2312" w:eastAsia="仿宋_GB2312"/>
      <w:sz w:val="24"/>
      <w:szCs w:val="20"/>
    </w:rPr>
  </w:style>
  <w:style w:type="paragraph" w:customStyle="1" w:styleId="342">
    <w:name w:val="正文（标题三）"/>
    <w:basedOn w:val="1"/>
    <w:qFormat/>
    <w:uiPriority w:val="0"/>
    <w:pPr>
      <w:spacing w:line="360" w:lineRule="auto"/>
      <w:ind w:firstLine="200" w:firstLineChars="200"/>
    </w:pPr>
    <w:rPr>
      <w:sz w:val="24"/>
    </w:rPr>
  </w:style>
  <w:style w:type="paragraph" w:customStyle="1" w:styleId="343">
    <w:name w:val="MM Topic 3"/>
    <w:basedOn w:val="4"/>
    <w:qFormat/>
    <w:uiPriority w:val="0"/>
    <w:pPr>
      <w:numPr>
        <w:numId w:val="4"/>
      </w:numPr>
      <w:tabs>
        <w:tab w:val="left" w:pos="840"/>
        <w:tab w:val="left" w:pos="1680"/>
        <w:tab w:val="clear" w:pos="900"/>
      </w:tabs>
      <w:adjustRightInd/>
    </w:pPr>
  </w:style>
  <w:style w:type="paragraph" w:customStyle="1" w:styleId="34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5">
    <w:name w:val="图中文字"/>
    <w:basedOn w:val="1"/>
    <w:qFormat/>
    <w:uiPriority w:val="0"/>
    <w:pPr>
      <w:snapToGrid w:val="0"/>
      <w:spacing w:line="0" w:lineRule="atLeast"/>
      <w:ind w:firstLine="200" w:firstLineChars="200"/>
      <w:jc w:val="center"/>
    </w:pPr>
    <w:rPr>
      <w:sz w:val="24"/>
      <w:szCs w:val="20"/>
    </w:rPr>
  </w:style>
  <w:style w:type="paragraph" w:customStyle="1" w:styleId="346">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7">
    <w:name w:val="Char21"/>
    <w:basedOn w:val="1"/>
    <w:qFormat/>
    <w:uiPriority w:val="0"/>
    <w:pPr>
      <w:adjustRightInd/>
      <w:ind w:firstLine="200" w:firstLineChars="200"/>
    </w:pPr>
    <w:rPr>
      <w:rFonts w:ascii="仿宋_GB2312" w:eastAsia="仿宋_GB2312"/>
      <w:b/>
      <w:sz w:val="32"/>
      <w:szCs w:val="32"/>
    </w:rPr>
  </w:style>
  <w:style w:type="paragraph" w:customStyle="1" w:styleId="34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9">
    <w:name w:val="标题4-dyf"/>
    <w:basedOn w:val="5"/>
    <w:link w:val="553"/>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50">
    <w:name w:val="Char1 Char Char Char4"/>
    <w:basedOn w:val="1"/>
    <w:qFormat/>
    <w:uiPriority w:val="0"/>
    <w:pPr>
      <w:adjustRightInd/>
      <w:ind w:firstLine="200" w:firstLineChars="200"/>
    </w:pPr>
    <w:rPr>
      <w:rFonts w:ascii="Tahoma" w:hAnsi="Tahoma"/>
      <w:sz w:val="24"/>
      <w:szCs w:val="20"/>
    </w:rPr>
  </w:style>
  <w:style w:type="paragraph" w:customStyle="1" w:styleId="351">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3">
    <w:name w:val="Char23"/>
    <w:basedOn w:val="1"/>
    <w:qFormat/>
    <w:uiPriority w:val="0"/>
    <w:rPr>
      <w:rFonts w:ascii="仿宋_GB2312" w:eastAsia="仿宋_GB2312"/>
      <w:b/>
      <w:sz w:val="32"/>
      <w:szCs w:val="32"/>
    </w:rPr>
  </w:style>
  <w:style w:type="paragraph" w:customStyle="1" w:styleId="35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7">
    <w:name w:val="此正文"/>
    <w:basedOn w:val="1"/>
    <w:link w:val="441"/>
    <w:qFormat/>
    <w:uiPriority w:val="0"/>
    <w:pPr>
      <w:adjustRightInd/>
      <w:spacing w:line="360" w:lineRule="auto"/>
      <w:ind w:firstLine="200" w:firstLineChars="200"/>
    </w:pPr>
    <w:rPr>
      <w:sz w:val="24"/>
    </w:rPr>
  </w:style>
  <w:style w:type="paragraph" w:customStyle="1" w:styleId="3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60">
    <w:name w:val="Char3 Char Char Char"/>
    <w:basedOn w:val="1"/>
    <w:qFormat/>
    <w:uiPriority w:val="0"/>
    <w:pPr>
      <w:widowControl/>
      <w:adjustRightInd/>
      <w:spacing w:after="160" w:line="240" w:lineRule="exact"/>
      <w:jc w:val="left"/>
    </w:pPr>
    <w:rPr>
      <w:szCs w:val="20"/>
    </w:rPr>
  </w:style>
  <w:style w:type="paragraph" w:customStyle="1" w:styleId="36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2">
    <w:name w:val="Normal0"/>
    <w:qFormat/>
    <w:uiPriority w:val="0"/>
    <w:rPr>
      <w:rFonts w:ascii="Times New Roman" w:hAnsi="Times New Roman" w:eastAsia="宋体" w:cs="Times New Roman"/>
      <w:lang w:val="en-US" w:eastAsia="en-US" w:bidi="ar-SA"/>
    </w:rPr>
  </w:style>
  <w:style w:type="paragraph" w:customStyle="1" w:styleId="36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4">
    <w:name w:val="a1"/>
    <w:basedOn w:val="1"/>
    <w:qFormat/>
    <w:uiPriority w:val="0"/>
    <w:pPr>
      <w:widowControl/>
      <w:spacing w:line="300" w:lineRule="atLeast"/>
      <w:jc w:val="left"/>
    </w:pPr>
    <w:rPr>
      <w:rFonts w:ascii="宋体" w:hAnsi="宋体"/>
      <w:kern w:val="0"/>
      <w:sz w:val="18"/>
      <w:szCs w:val="20"/>
    </w:rPr>
  </w:style>
  <w:style w:type="paragraph" w:customStyle="1" w:styleId="36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7">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8">
    <w:name w:val="Thf"/>
    <w:basedOn w:val="95"/>
    <w:qFormat/>
    <w:uiPriority w:val="0"/>
    <w:pPr>
      <w:ind w:left="0"/>
    </w:pPr>
  </w:style>
  <w:style w:type="paragraph" w:customStyle="1" w:styleId="369">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7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7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3">
    <w:name w:val="_Style 12"/>
    <w:basedOn w:val="18"/>
    <w:qFormat/>
    <w:uiPriority w:val="0"/>
    <w:pPr>
      <w:snapToGrid w:val="0"/>
      <w:spacing w:line="360" w:lineRule="auto"/>
    </w:pPr>
  </w:style>
  <w:style w:type="paragraph" w:customStyle="1" w:styleId="374">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6">
    <w:name w:val="标书标题2"/>
    <w:basedOn w:val="3"/>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7">
    <w:name w:val="Char Char"/>
    <w:basedOn w:val="1"/>
    <w:qFormat/>
    <w:uiPriority w:val="0"/>
    <w:pPr>
      <w:spacing w:line="360" w:lineRule="auto"/>
    </w:pPr>
    <w:rPr>
      <w:rFonts w:ascii="Tahoma" w:hAnsi="Tahoma"/>
      <w:sz w:val="24"/>
      <w:szCs w:val="20"/>
    </w:rPr>
  </w:style>
  <w:style w:type="paragraph" w:customStyle="1" w:styleId="37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379">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80">
    <w:name w:val="彩色列表 - 强调文字颜色 12"/>
    <w:basedOn w:val="1"/>
    <w:qFormat/>
    <w:uiPriority w:val="0"/>
    <w:pPr>
      <w:adjustRightInd/>
      <w:ind w:firstLine="420" w:firstLineChars="200"/>
    </w:pPr>
    <w:rPr>
      <w:rFonts w:ascii="Calibri" w:hAnsi="Calibri"/>
      <w:szCs w:val="22"/>
    </w:rPr>
  </w:style>
  <w:style w:type="paragraph" w:customStyle="1" w:styleId="38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2">
    <w:name w:val="Char19"/>
    <w:basedOn w:val="1"/>
    <w:qFormat/>
    <w:uiPriority w:val="0"/>
    <w:pPr>
      <w:adjustRightInd/>
    </w:pPr>
    <w:rPr>
      <w:szCs w:val="20"/>
    </w:rPr>
  </w:style>
  <w:style w:type="paragraph" w:customStyle="1" w:styleId="383">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4">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6">
    <w:name w:val="表格（小）"/>
    <w:basedOn w:val="1"/>
    <w:qFormat/>
    <w:uiPriority w:val="0"/>
    <w:pPr>
      <w:adjustRightInd/>
      <w:snapToGrid w:val="0"/>
      <w:spacing w:line="300" w:lineRule="auto"/>
    </w:pPr>
    <w:rPr>
      <w:rFonts w:eastAsia="仿宋"/>
      <w:szCs w:val="21"/>
    </w:rPr>
  </w:style>
  <w:style w:type="paragraph" w:customStyle="1" w:styleId="38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9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1">
    <w:name w:val="Char Char Char Char2"/>
    <w:basedOn w:val="1"/>
    <w:qFormat/>
    <w:uiPriority w:val="0"/>
    <w:rPr>
      <w:rFonts w:ascii="Tahoma" w:hAnsi="Tahoma"/>
      <w:sz w:val="24"/>
      <w:szCs w:val="20"/>
    </w:rPr>
  </w:style>
  <w:style w:type="paragraph" w:customStyle="1" w:styleId="392">
    <w:name w:val="p0"/>
    <w:basedOn w:val="1"/>
    <w:qFormat/>
    <w:uiPriority w:val="0"/>
    <w:pPr>
      <w:widowControl/>
      <w:adjustRightInd/>
    </w:pPr>
    <w:rPr>
      <w:kern w:val="0"/>
      <w:szCs w:val="21"/>
    </w:rPr>
  </w:style>
  <w:style w:type="paragraph" w:customStyle="1" w:styleId="39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5">
    <w:name w:val="默认段落样式"/>
    <w:basedOn w:val="396"/>
    <w:qFormat/>
    <w:uiPriority w:val="0"/>
    <w:pPr>
      <w:spacing w:before="0"/>
      <w:ind w:firstLine="480"/>
      <w:outlineLvl w:val="2"/>
    </w:pPr>
    <w:rPr>
      <w:rFonts w:ascii="仿宋_GB2312" w:hAnsi="宋体" w:eastAsia="仿宋_GB2312"/>
      <w:color w:val="000000"/>
      <w:szCs w:val="24"/>
    </w:rPr>
  </w:style>
  <w:style w:type="paragraph" w:customStyle="1" w:styleId="396">
    <w:name w:val="正文2"/>
    <w:basedOn w:val="1"/>
    <w:link w:val="448"/>
    <w:qFormat/>
    <w:uiPriority w:val="0"/>
    <w:pPr>
      <w:spacing w:before="156" w:line="360" w:lineRule="auto"/>
      <w:ind w:firstLine="510" w:firstLineChars="200"/>
    </w:pPr>
    <w:rPr>
      <w:sz w:val="24"/>
      <w:szCs w:val="20"/>
    </w:rPr>
  </w:style>
  <w:style w:type="paragraph" w:customStyle="1" w:styleId="39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00">
    <w:name w:val="bullet"/>
    <w:basedOn w:val="1"/>
    <w:qFormat/>
    <w:uiPriority w:val="0"/>
    <w:pPr>
      <w:tabs>
        <w:tab w:val="left" w:pos="840"/>
      </w:tabs>
      <w:adjustRightInd/>
      <w:ind w:left="840" w:hanging="420"/>
    </w:pPr>
  </w:style>
  <w:style w:type="paragraph" w:customStyle="1" w:styleId="401">
    <w:name w:val="五级条标题"/>
    <w:basedOn w:val="174"/>
    <w:next w:val="141"/>
    <w:qFormat/>
    <w:uiPriority w:val="0"/>
    <w:pPr>
      <w:numPr>
        <w:ilvl w:val="6"/>
      </w:numPr>
      <w:tabs>
        <w:tab w:val="clear" w:pos="2940"/>
      </w:tabs>
      <w:outlineLvl w:val="6"/>
    </w:pPr>
  </w:style>
  <w:style w:type="paragraph" w:customStyle="1" w:styleId="402">
    <w:name w:val="Char Char Char Char Char Char Char Char"/>
    <w:basedOn w:val="1"/>
    <w:qFormat/>
    <w:uiPriority w:val="0"/>
    <w:pPr>
      <w:tabs>
        <w:tab w:val="left" w:pos="360"/>
      </w:tabs>
    </w:pPr>
    <w:rPr>
      <w:sz w:val="24"/>
      <w:szCs w:val="20"/>
    </w:rPr>
  </w:style>
  <w:style w:type="paragraph" w:customStyle="1" w:styleId="40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4">
    <w:name w:val="数字标题5"/>
    <w:basedOn w:val="6"/>
    <w:next w:val="1"/>
    <w:qFormat/>
    <w:uiPriority w:val="0"/>
    <w:pPr>
      <w:numPr>
        <w:numId w:val="5"/>
      </w:numPr>
      <w:tabs>
        <w:tab w:val="left" w:pos="480"/>
        <w:tab w:val="left" w:pos="1080"/>
        <w:tab w:val="clear" w:pos="1008"/>
      </w:tabs>
    </w:pPr>
  </w:style>
  <w:style w:type="paragraph" w:customStyle="1" w:styleId="40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6">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8">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9">
    <w:name w:val="0"/>
    <w:basedOn w:val="1"/>
    <w:qFormat/>
    <w:uiPriority w:val="0"/>
    <w:pPr>
      <w:widowControl/>
    </w:pPr>
    <w:rPr>
      <w:kern w:val="0"/>
      <w:sz w:val="24"/>
      <w:szCs w:val="20"/>
    </w:rPr>
  </w:style>
  <w:style w:type="paragraph" w:customStyle="1" w:styleId="410">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11">
    <w:name w:val="b11_01b"/>
    <w:basedOn w:val="1"/>
    <w:next w:val="1"/>
    <w:link w:val="55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2">
    <w:name w:val="MM Topic 5"/>
    <w:basedOn w:val="6"/>
    <w:qFormat/>
    <w:uiPriority w:val="0"/>
    <w:pPr>
      <w:numPr>
        <w:numId w:val="4"/>
      </w:numPr>
      <w:tabs>
        <w:tab w:val="left" w:pos="840"/>
        <w:tab w:val="left" w:pos="2520"/>
        <w:tab w:val="clear" w:pos="1008"/>
      </w:tabs>
      <w:adjustRightInd/>
    </w:pPr>
  </w:style>
  <w:style w:type="paragraph" w:customStyle="1" w:styleId="413">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5">
    <w:name w:val="数字标题1"/>
    <w:basedOn w:val="2"/>
    <w:next w:val="1"/>
    <w:qFormat/>
    <w:uiPriority w:val="0"/>
    <w:pPr>
      <w:numPr>
        <w:numId w:val="5"/>
      </w:numPr>
      <w:tabs>
        <w:tab w:val="left" w:pos="480"/>
        <w:tab w:val="clear" w:pos="432"/>
      </w:tabs>
    </w:pPr>
  </w:style>
  <w:style w:type="paragraph" w:customStyle="1" w:styleId="416">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7">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2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2">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3">
    <w:name w:val="MM Topic 1"/>
    <w:basedOn w:val="2"/>
    <w:qFormat/>
    <w:uiPriority w:val="0"/>
    <w:pPr>
      <w:numPr>
        <w:numId w:val="0"/>
      </w:numPr>
      <w:tabs>
        <w:tab w:val="left" w:pos="840"/>
        <w:tab w:val="clear" w:pos="432"/>
      </w:tabs>
      <w:adjustRightInd/>
      <w:ind w:left="840" w:hanging="420"/>
    </w:pPr>
  </w:style>
  <w:style w:type="paragraph" w:customStyle="1" w:styleId="424">
    <w:name w:val="Char Char Char Char Char Char Char Char1"/>
    <w:basedOn w:val="1"/>
    <w:qFormat/>
    <w:uiPriority w:val="0"/>
    <w:pPr>
      <w:tabs>
        <w:tab w:val="left" w:pos="360"/>
      </w:tabs>
    </w:pPr>
    <w:rPr>
      <w:sz w:val="24"/>
      <w:szCs w:val="20"/>
    </w:rPr>
  </w:style>
  <w:style w:type="paragraph" w:customStyle="1" w:styleId="42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6">
    <w:name w:val="Char3 Char Char Char1"/>
    <w:basedOn w:val="1"/>
    <w:qFormat/>
    <w:uiPriority w:val="0"/>
    <w:pPr>
      <w:widowControl/>
      <w:adjustRightInd/>
      <w:spacing w:after="160" w:line="240" w:lineRule="exact"/>
      <w:jc w:val="left"/>
    </w:pPr>
    <w:rPr>
      <w:szCs w:val="20"/>
    </w:rPr>
  </w:style>
  <w:style w:type="paragraph" w:customStyle="1" w:styleId="427">
    <w:name w:val="Char Char12"/>
    <w:basedOn w:val="1"/>
    <w:qFormat/>
    <w:uiPriority w:val="0"/>
    <w:pPr>
      <w:widowControl/>
      <w:spacing w:after="160" w:line="240" w:lineRule="exact"/>
      <w:jc w:val="left"/>
    </w:pPr>
    <w:rPr>
      <w:rFonts w:eastAsia="仿宋_GB2312"/>
      <w:sz w:val="28"/>
    </w:rPr>
  </w:style>
  <w:style w:type="paragraph" w:customStyle="1" w:styleId="428">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30">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1">
    <w:name w:val="单元格左对齐"/>
    <w:basedOn w:val="1"/>
    <w:qFormat/>
    <w:uiPriority w:val="0"/>
    <w:pPr>
      <w:adjustRightInd/>
      <w:spacing w:line="360" w:lineRule="auto"/>
    </w:pPr>
    <w:rPr>
      <w:sz w:val="24"/>
    </w:rPr>
  </w:style>
  <w:style w:type="paragraph" w:customStyle="1" w:styleId="43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4">
    <w:name w:val="myp1111"/>
    <w:qFormat/>
    <w:uiPriority w:val="0"/>
    <w:rPr>
      <w:rFonts w:hint="default" w:ascii="ˎ̥" w:hAnsi="ˎ̥"/>
      <w:color w:val="000000"/>
      <w:sz w:val="20"/>
      <w:szCs w:val="20"/>
      <w:u w:val="none"/>
    </w:rPr>
  </w:style>
  <w:style w:type="character" w:customStyle="1" w:styleId="435">
    <w:name w:val="mdeck"/>
    <w:qFormat/>
    <w:uiPriority w:val="0"/>
    <w:rPr>
      <w:rFonts w:ascii="仿宋_GB2312" w:eastAsia="微软雅黑"/>
      <w:b/>
      <w:kern w:val="2"/>
      <w:sz w:val="32"/>
      <w:szCs w:val="32"/>
      <w:lang w:val="en-US" w:eastAsia="zh-CN" w:bidi="ar-SA"/>
    </w:rPr>
  </w:style>
  <w:style w:type="character" w:customStyle="1" w:styleId="436">
    <w:name w:val="签名 Char"/>
    <w:link w:val="40"/>
    <w:qFormat/>
    <w:uiPriority w:val="0"/>
    <w:rPr>
      <w:rFonts w:eastAsia="仿宋_GB2312"/>
      <w:sz w:val="24"/>
    </w:rPr>
  </w:style>
  <w:style w:type="character" w:customStyle="1" w:styleId="437">
    <w:name w:val="tw4winMark"/>
    <w:qFormat/>
    <w:uiPriority w:val="0"/>
    <w:rPr>
      <w:rFonts w:ascii="Courier New" w:hAnsi="Courier New" w:cs="Courier New"/>
      <w:vanish/>
      <w:color w:val="800080"/>
      <w:sz w:val="24"/>
      <w:szCs w:val="24"/>
      <w:vertAlign w:val="subscript"/>
    </w:rPr>
  </w:style>
  <w:style w:type="character" w:customStyle="1" w:styleId="438">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9">
    <w:name w:val="Balloon Text Char"/>
    <w:semiHidden/>
    <w:qFormat/>
    <w:locked/>
    <w:uiPriority w:val="0"/>
    <w:rPr>
      <w:rFonts w:eastAsia="宋体"/>
      <w:kern w:val="2"/>
      <w:sz w:val="18"/>
      <w:szCs w:val="18"/>
      <w:lang w:val="en-US" w:eastAsia="zh-CN" w:bidi="ar-SA"/>
    </w:rPr>
  </w:style>
  <w:style w:type="character" w:customStyle="1" w:styleId="440">
    <w:name w:val="正文非缩进 Char"/>
    <w:qFormat/>
    <w:uiPriority w:val="0"/>
    <w:rPr>
      <w:rFonts w:ascii="宋体" w:eastAsia="宋体"/>
      <w:snapToGrid w:val="0"/>
      <w:color w:val="000000"/>
      <w:kern w:val="28"/>
      <w:sz w:val="28"/>
      <w:lang w:val="en-US" w:eastAsia="zh-CN" w:bidi="ar-SA"/>
    </w:rPr>
  </w:style>
  <w:style w:type="character" w:customStyle="1" w:styleId="441">
    <w:name w:val="此正文 Char"/>
    <w:link w:val="357"/>
    <w:qFormat/>
    <w:uiPriority w:val="0"/>
    <w:rPr>
      <w:kern w:val="2"/>
      <w:sz w:val="24"/>
      <w:szCs w:val="24"/>
    </w:rPr>
  </w:style>
  <w:style w:type="character" w:customStyle="1" w:styleId="442">
    <w:name w:val="Ò³Ã¼ Char Char"/>
    <w:qFormat/>
    <w:uiPriority w:val="0"/>
    <w:rPr>
      <w:rFonts w:eastAsia="宋体"/>
      <w:kern w:val="2"/>
      <w:sz w:val="18"/>
      <w:lang w:val="en-US" w:eastAsia="zh-CN" w:bidi="ar-SA"/>
    </w:rPr>
  </w:style>
  <w:style w:type="character" w:customStyle="1" w:styleId="443">
    <w:name w:val="style91"/>
    <w:qFormat/>
    <w:uiPriority w:val="0"/>
    <w:rPr>
      <w:color w:val="333333"/>
    </w:rPr>
  </w:style>
  <w:style w:type="character" w:customStyle="1" w:styleId="444">
    <w:name w:val="标书1 Char"/>
    <w:qFormat/>
    <w:uiPriority w:val="0"/>
    <w:rPr>
      <w:rFonts w:eastAsia="宋体"/>
      <w:b/>
      <w:bCs/>
      <w:kern w:val="44"/>
      <w:sz w:val="44"/>
      <w:szCs w:val="44"/>
      <w:lang w:val="en-US" w:eastAsia="zh-CN" w:bidi="ar-SA"/>
    </w:rPr>
  </w:style>
  <w:style w:type="character" w:customStyle="1" w:styleId="445">
    <w:name w:val="ca-131"/>
    <w:qFormat/>
    <w:uiPriority w:val="0"/>
    <w:rPr>
      <w:rFonts w:hint="eastAsia" w:ascii="仿宋_GB2312" w:eastAsia="仿宋_GB2312"/>
      <w:b/>
      <w:bCs/>
      <w:color w:val="000000"/>
      <w:spacing w:val="-20"/>
      <w:sz w:val="24"/>
      <w:szCs w:val="24"/>
    </w:rPr>
  </w:style>
  <w:style w:type="character" w:customStyle="1" w:styleId="446">
    <w:name w:val="标书正文格式 Char"/>
    <w:qFormat/>
    <w:uiPriority w:val="0"/>
    <w:rPr>
      <w:rFonts w:eastAsia="楷体_GB2312"/>
      <w:kern w:val="2"/>
      <w:sz w:val="24"/>
      <w:szCs w:val="24"/>
      <w:lang w:bidi="ar-SA"/>
    </w:rPr>
  </w:style>
  <w:style w:type="character" w:customStyle="1" w:styleId="447">
    <w:name w:val="Char Char6"/>
    <w:qFormat/>
    <w:uiPriority w:val="0"/>
    <w:rPr>
      <w:rFonts w:eastAsia="宋体"/>
      <w:kern w:val="2"/>
      <w:sz w:val="21"/>
      <w:szCs w:val="24"/>
      <w:lang w:val="en-US" w:eastAsia="zh-CN" w:bidi="ar-SA"/>
    </w:rPr>
  </w:style>
  <w:style w:type="character" w:customStyle="1" w:styleId="448">
    <w:name w:val="正文2 Char Char"/>
    <w:link w:val="396"/>
    <w:qFormat/>
    <w:uiPriority w:val="0"/>
    <w:rPr>
      <w:rFonts w:eastAsia="宋体"/>
      <w:kern w:val="2"/>
      <w:sz w:val="24"/>
      <w:lang w:val="en-US" w:eastAsia="zh-CN" w:bidi="ar-SA"/>
    </w:rPr>
  </w:style>
  <w:style w:type="character" w:customStyle="1" w:styleId="449">
    <w:name w:val="content"/>
    <w:qFormat/>
    <w:uiPriority w:val="0"/>
  </w:style>
  <w:style w:type="character" w:customStyle="1" w:styleId="450">
    <w:name w:val="正文文本 2 Char"/>
    <w:qFormat/>
    <w:uiPriority w:val="0"/>
    <w:rPr>
      <w:rFonts w:eastAsia="宋体"/>
      <w:kern w:val="2"/>
      <w:sz w:val="21"/>
      <w:szCs w:val="24"/>
      <w:lang w:val="en-US" w:eastAsia="zh-CN" w:bidi="ar-SA"/>
    </w:rPr>
  </w:style>
  <w:style w:type="character" w:customStyle="1" w:styleId="451">
    <w:name w:val="Heading 2 Hidden Char"/>
    <w:qFormat/>
    <w:uiPriority w:val="0"/>
    <w:rPr>
      <w:rFonts w:ascii="仿宋_GB2312" w:eastAsia="仿宋_GB2312"/>
      <w:b/>
      <w:bCs/>
      <w:kern w:val="2"/>
      <w:sz w:val="24"/>
      <w:szCs w:val="24"/>
      <w:lang w:val="zh-CN" w:eastAsia="zh-CN" w:bidi="ar-SA"/>
    </w:rPr>
  </w:style>
  <w:style w:type="character" w:customStyle="1" w:styleId="452">
    <w:name w:val="首行缩进 Char"/>
    <w:qFormat/>
    <w:uiPriority w:val="0"/>
    <w:rPr>
      <w:rFonts w:ascii="宋体" w:eastAsia="宋体"/>
      <w:kern w:val="2"/>
      <w:sz w:val="24"/>
      <w:lang w:val="en-US" w:eastAsia="zh-CN" w:bidi="ar-SA"/>
    </w:rPr>
  </w:style>
  <w:style w:type="character" w:customStyle="1" w:styleId="45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4">
    <w:name w:val="普通文字 Char Char1"/>
    <w:qFormat/>
    <w:uiPriority w:val="0"/>
    <w:rPr>
      <w:rFonts w:ascii="宋体" w:hAnsi="Courier New"/>
      <w:kern w:val="2"/>
      <w:sz w:val="21"/>
    </w:rPr>
  </w:style>
  <w:style w:type="character" w:customStyle="1" w:styleId="455">
    <w:name w:val="Footer-Even Char"/>
    <w:qFormat/>
    <w:uiPriority w:val="0"/>
    <w:rPr>
      <w:rFonts w:eastAsia="宋体"/>
      <w:kern w:val="2"/>
      <w:sz w:val="18"/>
      <w:lang w:val="en-US" w:eastAsia="zh-CN" w:bidi="ar-SA"/>
    </w:rPr>
  </w:style>
  <w:style w:type="character" w:customStyle="1" w:styleId="456">
    <w:name w:val="dandyren_title1"/>
    <w:qFormat/>
    <w:uiPriority w:val="0"/>
    <w:rPr>
      <w:b/>
      <w:bCs/>
      <w:color w:val="FF6633"/>
      <w:sz w:val="18"/>
      <w:szCs w:val="18"/>
    </w:rPr>
  </w:style>
  <w:style w:type="character" w:customStyle="1" w:styleId="457">
    <w:name w:val="标题 3 Char2"/>
    <w:qFormat/>
    <w:uiPriority w:val="0"/>
    <w:rPr>
      <w:rFonts w:eastAsia="宋体"/>
      <w:b/>
      <w:bCs/>
      <w:kern w:val="2"/>
      <w:sz w:val="32"/>
      <w:szCs w:val="32"/>
      <w:lang w:val="en-US" w:eastAsia="zh-CN" w:bidi="ar-SA"/>
    </w:rPr>
  </w:style>
  <w:style w:type="character" w:customStyle="1" w:styleId="458">
    <w:name w:val="gray6"/>
    <w:basedOn w:val="62"/>
    <w:qFormat/>
    <w:uiPriority w:val="0"/>
  </w:style>
  <w:style w:type="character" w:customStyle="1" w:styleId="459">
    <w:name w:val="标准正文格式 Char"/>
    <w:qFormat/>
    <w:uiPriority w:val="0"/>
    <w:rPr>
      <w:rFonts w:ascii="宋体" w:eastAsia="仿宋_GB2312" w:cs="宋体"/>
      <w:color w:val="000000"/>
      <w:sz w:val="24"/>
      <w:lang w:val="en-US" w:eastAsia="zh-CN" w:bidi="ar-SA"/>
    </w:rPr>
  </w:style>
  <w:style w:type="character" w:customStyle="1" w:styleId="460">
    <w:name w:val="Char Char3"/>
    <w:qFormat/>
    <w:uiPriority w:val="0"/>
    <w:rPr>
      <w:rFonts w:eastAsia="宋体"/>
      <w:kern w:val="2"/>
      <w:sz w:val="21"/>
      <w:szCs w:val="24"/>
      <w:lang w:val="en-US" w:eastAsia="zh-CN" w:bidi="ar-SA"/>
    </w:rPr>
  </w:style>
  <w:style w:type="character" w:customStyle="1" w:styleId="461">
    <w:name w:val="px14"/>
    <w:qFormat/>
    <w:uiPriority w:val="0"/>
    <w:rPr>
      <w:rFonts w:ascii="仿宋_GB2312" w:eastAsia="微软雅黑" w:cs="Times New Roman"/>
      <w:b/>
      <w:kern w:val="2"/>
      <w:sz w:val="32"/>
      <w:szCs w:val="32"/>
      <w:lang w:val="en-US" w:eastAsia="zh-CN" w:bidi="ar-SA"/>
    </w:rPr>
  </w:style>
  <w:style w:type="character" w:customStyle="1" w:styleId="462">
    <w:name w:val="txt"/>
    <w:qFormat/>
    <w:uiPriority w:val="0"/>
    <w:rPr>
      <w:rFonts w:ascii="仿宋_GB2312" w:eastAsia="微软雅黑"/>
      <w:b/>
      <w:kern w:val="2"/>
      <w:sz w:val="32"/>
      <w:szCs w:val="32"/>
      <w:lang w:val="en-US" w:eastAsia="zh-CN" w:bidi="ar-SA"/>
    </w:rPr>
  </w:style>
  <w:style w:type="character" w:customStyle="1" w:styleId="463">
    <w:name w:val="仿宋正文 Char"/>
    <w:link w:val="341"/>
    <w:qFormat/>
    <w:uiPriority w:val="0"/>
    <w:rPr>
      <w:rFonts w:ascii="仿宋_GB2312" w:eastAsia="仿宋_GB2312"/>
      <w:kern w:val="2"/>
      <w:sz w:val="24"/>
      <w:lang w:val="en-US" w:eastAsia="zh-CN" w:bidi="ar-SA"/>
    </w:rPr>
  </w:style>
  <w:style w:type="character" w:customStyle="1" w:styleId="464">
    <w:name w:val="Comment Text Char"/>
    <w:semiHidden/>
    <w:qFormat/>
    <w:locked/>
    <w:uiPriority w:val="0"/>
    <w:rPr>
      <w:rFonts w:ascii="宋体" w:hAnsi="宋体" w:eastAsia="宋体"/>
      <w:kern w:val="2"/>
      <w:sz w:val="24"/>
      <w:lang w:val="en-US" w:eastAsia="zh-CN" w:bidi="ar-SA"/>
    </w:rPr>
  </w:style>
  <w:style w:type="character" w:customStyle="1" w:styleId="465">
    <w:name w:val="tw4winExternal"/>
    <w:qFormat/>
    <w:uiPriority w:val="0"/>
    <w:rPr>
      <w:rFonts w:ascii="Courier New" w:hAnsi="Courier New" w:cs="Courier New"/>
      <w:color w:val="808080"/>
    </w:rPr>
  </w:style>
  <w:style w:type="character" w:customStyle="1" w:styleId="466">
    <w:name w:val="Char Char10"/>
    <w:semiHidden/>
    <w:qFormat/>
    <w:uiPriority w:val="0"/>
    <w:rPr>
      <w:rFonts w:ascii="宋体" w:hAnsi="宋体"/>
      <w:kern w:val="2"/>
      <w:sz w:val="21"/>
      <w:szCs w:val="24"/>
    </w:rPr>
  </w:style>
  <w:style w:type="character" w:customStyle="1" w:styleId="467">
    <w:name w:val="Bold"/>
    <w:qFormat/>
    <w:uiPriority w:val="0"/>
    <w:rPr>
      <w:rFonts w:ascii="Arial" w:hAnsi="Arial" w:eastAsia="黑体" w:cs="Times New Roman"/>
      <w:b/>
      <w:kern w:val="2"/>
      <w:sz w:val="32"/>
      <w:szCs w:val="32"/>
      <w:lang w:val="en-US" w:eastAsia="zh-CN" w:bidi="ar-SA"/>
    </w:rPr>
  </w:style>
  <w:style w:type="character" w:customStyle="1" w:styleId="468">
    <w:name w:val="Font Style82"/>
    <w:qFormat/>
    <w:uiPriority w:val="99"/>
    <w:rPr>
      <w:rFonts w:ascii="宋体" w:eastAsia="宋体" w:cs="宋体"/>
      <w:color w:val="000000"/>
      <w:sz w:val="14"/>
      <w:szCs w:val="14"/>
    </w:rPr>
  </w:style>
  <w:style w:type="character" w:customStyle="1" w:styleId="469">
    <w:name w:val="标题 2 Char"/>
    <w:qFormat/>
    <w:uiPriority w:val="0"/>
    <w:rPr>
      <w:rFonts w:ascii="Arial" w:hAnsi="Arial" w:eastAsia="黑体"/>
      <w:b/>
      <w:kern w:val="2"/>
      <w:sz w:val="32"/>
      <w:lang w:val="en-US" w:eastAsia="zh-CN"/>
    </w:rPr>
  </w:style>
  <w:style w:type="character" w:customStyle="1" w:styleId="470">
    <w:name w:val="h3 Char"/>
    <w:qFormat/>
    <w:uiPriority w:val="0"/>
    <w:rPr>
      <w:rFonts w:eastAsia="宋体"/>
      <w:b/>
      <w:kern w:val="2"/>
      <w:sz w:val="32"/>
      <w:lang w:val="en-US" w:eastAsia="zh-CN" w:bidi="ar-SA"/>
    </w:rPr>
  </w:style>
  <w:style w:type="character" w:customStyle="1" w:styleId="471">
    <w:name w:val="页眉 Char1"/>
    <w:qFormat/>
    <w:uiPriority w:val="0"/>
    <w:rPr>
      <w:rFonts w:eastAsia="宋体"/>
      <w:kern w:val="2"/>
      <w:sz w:val="18"/>
      <w:szCs w:val="18"/>
      <w:lang w:val="en-US" w:eastAsia="zh-CN" w:bidi="ar-SA"/>
    </w:rPr>
  </w:style>
  <w:style w:type="character" w:customStyle="1" w:styleId="472">
    <w:name w:val="标题 8 Char"/>
    <w:link w:val="9"/>
    <w:qFormat/>
    <w:uiPriority w:val="0"/>
    <w:rPr>
      <w:rFonts w:ascii="Arial" w:hAnsi="Arial" w:eastAsia="黑体" w:cs="Times New Roman"/>
      <w:kern w:val="2"/>
      <w:sz w:val="24"/>
      <w:szCs w:val="24"/>
    </w:rPr>
  </w:style>
  <w:style w:type="character" w:customStyle="1" w:styleId="473">
    <w:name w:val="冯广丽 Char"/>
    <w:link w:val="237"/>
    <w:qFormat/>
    <w:uiPriority w:val="0"/>
    <w:rPr>
      <w:rFonts w:ascii="宋体" w:hAnsi="宋体"/>
      <w:kern w:val="2"/>
      <w:sz w:val="24"/>
      <w:szCs w:val="22"/>
    </w:rPr>
  </w:style>
  <w:style w:type="character" w:customStyle="1" w:styleId="474">
    <w:name w:val="脚注文本 Char"/>
    <w:link w:val="48"/>
    <w:qFormat/>
    <w:uiPriority w:val="0"/>
    <w:rPr>
      <w:color w:val="0000FF"/>
      <w:sz w:val="21"/>
    </w:rPr>
  </w:style>
  <w:style w:type="character" w:customStyle="1" w:styleId="475">
    <w:name w:val="font12gray1"/>
    <w:qFormat/>
    <w:uiPriority w:val="0"/>
    <w:rPr>
      <w:rFonts w:ascii="仿宋_GB2312" w:eastAsia="微软雅黑"/>
      <w:b/>
      <w:spacing w:val="300"/>
      <w:kern w:val="2"/>
      <w:sz w:val="18"/>
      <w:szCs w:val="18"/>
      <w:lang w:val="en-US" w:eastAsia="zh-CN" w:bidi="ar-SA"/>
    </w:rPr>
  </w:style>
  <w:style w:type="character" w:customStyle="1" w:styleId="476">
    <w:name w:val="正文文本缩进 Char1"/>
    <w:link w:val="24"/>
    <w:qFormat/>
    <w:uiPriority w:val="0"/>
    <w:rPr>
      <w:rFonts w:ascii="宋体" w:hAnsi="宋体"/>
      <w:kern w:val="2"/>
      <w:sz w:val="24"/>
      <w:szCs w:val="24"/>
    </w:rPr>
  </w:style>
  <w:style w:type="character" w:customStyle="1" w:styleId="477">
    <w:name w:val="方案正文 Char"/>
    <w:qFormat/>
    <w:uiPriority w:val="0"/>
    <w:rPr>
      <w:rFonts w:ascii="仿宋_GB2312" w:eastAsia="仿宋_GB2312"/>
      <w:b/>
      <w:color w:val="000000"/>
      <w:kern w:val="2"/>
      <w:sz w:val="24"/>
      <w:lang w:val="en-US" w:eastAsia="zh-CN" w:bidi="ar-SA"/>
    </w:rPr>
  </w:style>
  <w:style w:type="character" w:customStyle="1" w:styleId="478">
    <w:name w:val="Item List Char"/>
    <w:link w:val="264"/>
    <w:qFormat/>
    <w:uiPriority w:val="0"/>
    <w:rPr>
      <w:rFonts w:ascii="Arial"/>
      <w:bCs/>
      <w:sz w:val="21"/>
      <w:szCs w:val="21"/>
      <w:lang w:val="en-US" w:eastAsia="zh-CN" w:bidi="ar-SA"/>
    </w:rPr>
  </w:style>
  <w:style w:type="character" w:customStyle="1" w:styleId="479">
    <w:name w:val="Normal Indent Char Char"/>
    <w:qFormat/>
    <w:uiPriority w:val="0"/>
    <w:rPr>
      <w:rFonts w:eastAsia="宋体"/>
      <w:kern w:val="2"/>
      <w:sz w:val="21"/>
      <w:lang w:val="en-US" w:eastAsia="zh-CN" w:bidi="ar-SA"/>
    </w:rPr>
  </w:style>
  <w:style w:type="character" w:customStyle="1" w:styleId="480">
    <w:name w:val="t21"/>
    <w:qFormat/>
    <w:uiPriority w:val="0"/>
    <w:rPr>
      <w:rFonts w:ascii="仿宋_GB2312" w:eastAsia="微软雅黑"/>
      <w:b/>
      <w:kern w:val="2"/>
      <w:sz w:val="23"/>
      <w:szCs w:val="23"/>
      <w:lang w:val="en-US" w:eastAsia="zh-CN" w:bidi="ar-SA"/>
    </w:rPr>
  </w:style>
  <w:style w:type="character" w:customStyle="1" w:styleId="481">
    <w:name w:val="Char Char121"/>
    <w:qFormat/>
    <w:uiPriority w:val="0"/>
    <w:rPr>
      <w:rFonts w:ascii="仿宋_GB2312" w:eastAsia="仿宋_GB2312"/>
      <w:b/>
      <w:bCs/>
      <w:kern w:val="2"/>
      <w:sz w:val="24"/>
      <w:szCs w:val="24"/>
      <w:lang w:val="zh-CN" w:eastAsia="zh-CN" w:bidi="ar-SA"/>
    </w:rPr>
  </w:style>
  <w:style w:type="character" w:customStyle="1" w:styleId="482">
    <w:name w:val="标题 7 Char"/>
    <w:link w:val="8"/>
    <w:qFormat/>
    <w:uiPriority w:val="0"/>
    <w:rPr>
      <w:rFonts w:ascii="Times New Roman" w:hAnsi="Times New Roman" w:eastAsia="宋体" w:cs="Times New Roman"/>
      <w:b/>
      <w:bCs/>
      <w:kern w:val="2"/>
      <w:sz w:val="24"/>
      <w:szCs w:val="24"/>
    </w:rPr>
  </w:style>
  <w:style w:type="character" w:customStyle="1" w:styleId="483">
    <w:name w:val="称呼 Char"/>
    <w:link w:val="20"/>
    <w:qFormat/>
    <w:uiPriority w:val="0"/>
    <w:rPr>
      <w:rFonts w:ascii="仿宋_GB2312" w:eastAsia="仿宋_GB2312"/>
      <w:kern w:val="2"/>
      <w:sz w:val="28"/>
    </w:rPr>
  </w:style>
  <w:style w:type="character" w:customStyle="1" w:styleId="484">
    <w:name w:val="正文 项目 Char"/>
    <w:qFormat/>
    <w:uiPriority w:val="0"/>
    <w:rPr>
      <w:rFonts w:ascii="仿宋_GB2312" w:hAnsi="仿宋_GB2312" w:eastAsia="仿宋_GB2312"/>
      <w:kern w:val="2"/>
      <w:sz w:val="24"/>
      <w:lang w:bidi="ar-SA"/>
    </w:rPr>
  </w:style>
  <w:style w:type="character" w:customStyle="1" w:styleId="485">
    <w:name w:val="普通文字 Char1"/>
    <w:qFormat/>
    <w:uiPriority w:val="0"/>
    <w:rPr>
      <w:rFonts w:ascii="宋体" w:hAnsi="Courier New" w:eastAsia="宋体"/>
      <w:kern w:val="2"/>
      <w:sz w:val="21"/>
      <w:lang w:val="en-US" w:eastAsia="zh-CN"/>
    </w:rPr>
  </w:style>
  <w:style w:type="character" w:customStyle="1" w:styleId="486">
    <w:name w:val="正文1 Char1"/>
    <w:qFormat/>
    <w:uiPriority w:val="0"/>
    <w:rPr>
      <w:rFonts w:ascii="仿宋_GB2312" w:hAnsi="Courier New" w:eastAsia="仿宋_GB2312"/>
      <w:kern w:val="28"/>
      <w:sz w:val="24"/>
      <w:szCs w:val="24"/>
    </w:rPr>
  </w:style>
  <w:style w:type="character" w:customStyle="1" w:styleId="487">
    <w:name w:val="hei16b1"/>
    <w:qFormat/>
    <w:uiPriority w:val="0"/>
    <w:rPr>
      <w:rFonts w:hint="default" w:ascii="Arial" w:hAnsi="Arial" w:cs="Arial"/>
      <w:b/>
      <w:bCs/>
      <w:color w:val="000000"/>
      <w:sz w:val="24"/>
      <w:szCs w:val="24"/>
    </w:rPr>
  </w:style>
  <w:style w:type="character" w:customStyle="1" w:styleId="488">
    <w:name w:val="c7 style3"/>
    <w:qFormat/>
    <w:uiPriority w:val="0"/>
  </w:style>
  <w:style w:type="character" w:customStyle="1" w:styleId="489">
    <w:name w:val="副标题 Char"/>
    <w:link w:val="45"/>
    <w:qFormat/>
    <w:uiPriority w:val="0"/>
    <w:rPr>
      <w:rFonts w:ascii="Arial" w:hAnsi="Arial" w:eastAsia="隶书"/>
      <w:b/>
      <w:bCs/>
      <w:kern w:val="28"/>
      <w:sz w:val="44"/>
      <w:szCs w:val="32"/>
      <w:lang w:val="en-US" w:eastAsia="zh-CN" w:bidi="ar-SA"/>
    </w:rPr>
  </w:style>
  <w:style w:type="character" w:customStyle="1" w:styleId="490">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491">
    <w:name w:val="表正文 Char1"/>
    <w:qFormat/>
    <w:uiPriority w:val="0"/>
    <w:rPr>
      <w:rFonts w:ascii="宋体" w:eastAsia="宋体"/>
      <w:snapToGrid w:val="0"/>
      <w:color w:val="000000"/>
      <w:kern w:val="28"/>
      <w:sz w:val="28"/>
    </w:rPr>
  </w:style>
  <w:style w:type="character" w:customStyle="1" w:styleId="492">
    <w:name w:val="Char Char5"/>
    <w:qFormat/>
    <w:uiPriority w:val="0"/>
    <w:rPr>
      <w:rFonts w:ascii="宋体" w:hAnsi="Courier New" w:eastAsia="宋体"/>
      <w:kern w:val="2"/>
      <w:sz w:val="21"/>
      <w:lang w:val="en-US" w:eastAsia="zh-CN"/>
    </w:rPr>
  </w:style>
  <w:style w:type="character" w:customStyle="1" w:styleId="493">
    <w:name w:val="标题 1 Char Char"/>
    <w:qFormat/>
    <w:uiPriority w:val="0"/>
    <w:rPr>
      <w:rFonts w:hint="eastAsia" w:ascii="宋体" w:hAnsi="宋体" w:eastAsia="宋体"/>
      <w:b/>
      <w:spacing w:val="-2"/>
      <w:sz w:val="24"/>
      <w:lang w:val="en-US" w:eastAsia="zh-CN" w:bidi="ar-SA"/>
    </w:rPr>
  </w:style>
  <w:style w:type="character" w:customStyle="1" w:styleId="494">
    <w:name w:val="Char Char4"/>
    <w:qFormat/>
    <w:uiPriority w:val="0"/>
    <w:rPr>
      <w:rFonts w:eastAsia="宋体"/>
      <w:b/>
      <w:sz w:val="24"/>
      <w:lang w:val="en-GB" w:eastAsia="zh-CN" w:bidi="ar-SA"/>
    </w:rPr>
  </w:style>
  <w:style w:type="character" w:customStyle="1" w:styleId="495">
    <w:name w:val="zbggmain style9"/>
    <w:qFormat/>
    <w:uiPriority w:val="0"/>
  </w:style>
  <w:style w:type="character" w:customStyle="1" w:styleId="496">
    <w:name w:val="Header Char"/>
    <w:semiHidden/>
    <w:qFormat/>
    <w:locked/>
    <w:uiPriority w:val="0"/>
    <w:rPr>
      <w:rFonts w:eastAsia="宋体"/>
      <w:kern w:val="2"/>
      <w:sz w:val="18"/>
      <w:szCs w:val="18"/>
      <w:lang w:val="en-US" w:eastAsia="zh-CN" w:bidi="ar-SA"/>
    </w:rPr>
  </w:style>
  <w:style w:type="character" w:customStyle="1" w:styleId="497">
    <w:name w:val="样式 宋体"/>
    <w:qFormat/>
    <w:uiPriority w:val="0"/>
    <w:rPr>
      <w:rFonts w:ascii="宋体" w:hAnsi="宋体"/>
      <w:sz w:val="24"/>
    </w:rPr>
  </w:style>
  <w:style w:type="character" w:customStyle="1" w:styleId="498">
    <w:name w:val="哈哈正文 Char"/>
    <w:link w:val="315"/>
    <w:qFormat/>
    <w:uiPriority w:val="0"/>
    <w:rPr>
      <w:rFonts w:ascii="宋体" w:hAnsi="宋体" w:eastAsia="宋体"/>
      <w:kern w:val="2"/>
      <w:sz w:val="24"/>
      <w:lang w:bidi="ar-SA"/>
    </w:rPr>
  </w:style>
  <w:style w:type="character" w:customStyle="1" w:styleId="499">
    <w:name w:val="标题 Char"/>
    <w:qFormat/>
    <w:uiPriority w:val="0"/>
    <w:rPr>
      <w:rFonts w:eastAsia="宋体"/>
      <w:b/>
      <w:sz w:val="24"/>
      <w:lang w:val="en-GB" w:eastAsia="zh-CN" w:bidi="ar-SA"/>
    </w:rPr>
  </w:style>
  <w:style w:type="character" w:customStyle="1" w:styleId="500">
    <w:name w:val="纯文本 Char Char Char"/>
    <w:qFormat/>
    <w:uiPriority w:val="0"/>
    <w:rPr>
      <w:rFonts w:ascii="宋体" w:hAnsi="Courier New" w:eastAsia="宋体"/>
      <w:kern w:val="2"/>
      <w:sz w:val="21"/>
      <w:lang w:val="en-US" w:eastAsia="zh-CN" w:bidi="ar-SA"/>
    </w:rPr>
  </w:style>
  <w:style w:type="character" w:customStyle="1" w:styleId="501">
    <w:name w:val="正文 编号 Char"/>
    <w:qFormat/>
    <w:uiPriority w:val="0"/>
    <w:rPr>
      <w:rFonts w:ascii="仿宋_GB2312" w:hAnsi="仿宋_GB2312" w:eastAsia="仿宋_GB2312"/>
      <w:kern w:val="2"/>
      <w:sz w:val="24"/>
      <w:lang w:bidi="ar-SA"/>
    </w:rPr>
  </w:style>
  <w:style w:type="character" w:customStyle="1" w:styleId="502">
    <w:name w:val="插图说明 Char"/>
    <w:qFormat/>
    <w:uiPriority w:val="0"/>
    <w:rPr>
      <w:rFonts w:eastAsia="黑体"/>
      <w:sz w:val="24"/>
      <w:lang w:val="en-US" w:eastAsia="zh-CN"/>
    </w:rPr>
  </w:style>
  <w:style w:type="character" w:customStyle="1" w:styleId="503">
    <w:name w:val="正文首行缩进 2 Char"/>
    <w:link w:val="59"/>
    <w:qFormat/>
    <w:uiPriority w:val="0"/>
    <w:rPr>
      <w:rFonts w:ascii="宋体" w:hAnsi="宋体"/>
      <w:kern w:val="2"/>
      <w:sz w:val="21"/>
      <w:szCs w:val="24"/>
    </w:rPr>
  </w:style>
  <w:style w:type="character" w:customStyle="1" w:styleId="504">
    <w:name w:val="正文文本缩进 2 Char"/>
    <w:link w:val="36"/>
    <w:qFormat/>
    <w:uiPriority w:val="0"/>
    <w:rPr>
      <w:rFonts w:ascii="宋体"/>
      <w:sz w:val="28"/>
    </w:rPr>
  </w:style>
  <w:style w:type="character" w:customStyle="1" w:styleId="505">
    <w:name w:val="公文正文 Char"/>
    <w:qFormat/>
    <w:uiPriority w:val="0"/>
    <w:rPr>
      <w:rFonts w:ascii="仿宋_GB2312" w:eastAsia="仿宋_GB2312"/>
      <w:kern w:val="2"/>
      <w:sz w:val="24"/>
      <w:szCs w:val="24"/>
      <w:lang w:val="en-US" w:eastAsia="zh-CN" w:bidi="ar-SA"/>
    </w:rPr>
  </w:style>
  <w:style w:type="character" w:customStyle="1" w:styleId="506">
    <w:name w:val="Char Char41"/>
    <w:qFormat/>
    <w:uiPriority w:val="0"/>
    <w:rPr>
      <w:rFonts w:eastAsia="宋体"/>
      <w:b/>
      <w:sz w:val="24"/>
      <w:lang w:val="en-GB" w:eastAsia="zh-CN" w:bidi="ar-SA"/>
    </w:rPr>
  </w:style>
  <w:style w:type="character" w:customStyle="1" w:styleId="507">
    <w:name w:val="unnamed31"/>
    <w:qFormat/>
    <w:uiPriority w:val="0"/>
    <w:rPr>
      <w:rFonts w:ascii="Tahoma" w:hAnsi="Tahoma" w:eastAsia="宋体"/>
      <w:b/>
      <w:kern w:val="2"/>
      <w:sz w:val="24"/>
      <w:szCs w:val="32"/>
      <w:u w:val="none"/>
      <w:lang w:val="en-US" w:eastAsia="zh-CN" w:bidi="ar-SA"/>
    </w:rPr>
  </w:style>
  <w:style w:type="character" w:customStyle="1" w:styleId="508">
    <w:name w:val="Char Char91"/>
    <w:qFormat/>
    <w:uiPriority w:val="0"/>
    <w:rPr>
      <w:rFonts w:eastAsia="宋体"/>
      <w:kern w:val="2"/>
      <w:sz w:val="18"/>
      <w:szCs w:val="18"/>
      <w:lang w:val="en-US" w:eastAsia="zh-CN" w:bidi="ar-SA"/>
    </w:rPr>
  </w:style>
  <w:style w:type="character" w:customStyle="1" w:styleId="509">
    <w:name w:val="Footer-Even Char1"/>
    <w:qFormat/>
    <w:uiPriority w:val="0"/>
    <w:rPr>
      <w:rFonts w:eastAsia="宋体"/>
      <w:kern w:val="2"/>
      <w:sz w:val="18"/>
      <w:szCs w:val="18"/>
      <w:lang w:val="en-US" w:eastAsia="zh-CN" w:bidi="ar-SA"/>
    </w:rPr>
  </w:style>
  <w:style w:type="character" w:customStyle="1" w:styleId="510">
    <w:name w:val="gf正文1 Char"/>
    <w:qFormat/>
    <w:uiPriority w:val="0"/>
    <w:rPr>
      <w:rFonts w:ascii="宋体" w:hAnsi="宋体" w:eastAsia="宋体" w:cs="宋体"/>
      <w:kern w:val="2"/>
      <w:sz w:val="24"/>
      <w:szCs w:val="24"/>
      <w:lang w:val="en-US" w:eastAsia="zh-CN" w:bidi="ar-SA"/>
    </w:rPr>
  </w:style>
  <w:style w:type="character" w:customStyle="1" w:styleId="511">
    <w:name w:val="javascript"/>
    <w:qFormat/>
    <w:uiPriority w:val="0"/>
  </w:style>
  <w:style w:type="character" w:customStyle="1" w:styleId="512">
    <w:name w:val="列出段落 Char"/>
    <w:qFormat/>
    <w:uiPriority w:val="34"/>
    <w:rPr>
      <w:rFonts w:eastAsia="楷体_GB2312" w:cs="Lucida Sans"/>
      <w:kern w:val="2"/>
      <w:sz w:val="24"/>
      <w:szCs w:val="24"/>
      <w:lang w:val="en-US" w:eastAsia="zh-CN" w:bidi="ar-SA"/>
    </w:rPr>
  </w:style>
  <w:style w:type="character" w:customStyle="1" w:styleId="513">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514">
    <w:name w:val="标书表格字体格式 Char"/>
    <w:qFormat/>
    <w:uiPriority w:val="0"/>
    <w:rPr>
      <w:kern w:val="2"/>
      <w:sz w:val="21"/>
      <w:szCs w:val="24"/>
      <w:lang w:bidi="ar-SA"/>
    </w:rPr>
  </w:style>
  <w:style w:type="character" w:customStyle="1" w:styleId="515">
    <w:name w:val="普通文字 Char3"/>
    <w:qFormat/>
    <w:uiPriority w:val="0"/>
    <w:rPr>
      <w:rFonts w:ascii="宋体" w:hAnsi="Courier New" w:eastAsia="宋体"/>
      <w:kern w:val="2"/>
      <w:sz w:val="21"/>
      <w:lang w:val="en-US" w:eastAsia="zh-CN" w:bidi="ar-SA"/>
    </w:rPr>
  </w:style>
  <w:style w:type="character" w:customStyle="1" w:styleId="516">
    <w:name w:val="h Char Char1"/>
    <w:qFormat/>
    <w:uiPriority w:val="0"/>
    <w:rPr>
      <w:rFonts w:eastAsia="宋体"/>
      <w:kern w:val="2"/>
      <w:sz w:val="18"/>
      <w:szCs w:val="18"/>
      <w:lang w:val="en-US" w:eastAsia="zh-CN" w:bidi="ar-SA"/>
    </w:rPr>
  </w:style>
  <w:style w:type="character" w:customStyle="1" w:styleId="517">
    <w:name w:val="冯 Char"/>
    <w:link w:val="78"/>
    <w:qFormat/>
    <w:uiPriority w:val="0"/>
    <w:rPr>
      <w:rFonts w:ascii="宋体" w:hAnsi="宋体"/>
      <w:color w:val="000000"/>
      <w:sz w:val="24"/>
      <w:szCs w:val="24"/>
    </w:rPr>
  </w:style>
  <w:style w:type="character" w:customStyle="1" w:styleId="518">
    <w:name w:val="highlight1"/>
    <w:qFormat/>
    <w:uiPriority w:val="0"/>
    <w:rPr>
      <w:rFonts w:ascii="仿宋_GB2312" w:eastAsia="微软雅黑"/>
      <w:b/>
      <w:kern w:val="2"/>
      <w:sz w:val="23"/>
      <w:szCs w:val="23"/>
      <w:lang w:val="en-US" w:eastAsia="zh-CN" w:bidi="ar-SA"/>
    </w:rPr>
  </w:style>
  <w:style w:type="character" w:customStyle="1" w:styleId="519">
    <w:name w:val="样式6 Char"/>
    <w:qFormat/>
    <w:uiPriority w:val="0"/>
    <w:rPr>
      <w:rFonts w:ascii="仿宋_GB2312" w:hAnsi="宋体" w:eastAsia="仿宋_GB2312"/>
      <w:b/>
      <w:bCs/>
      <w:kern w:val="2"/>
      <w:sz w:val="24"/>
      <w:szCs w:val="24"/>
      <w:lang w:val="en-US" w:eastAsia="zh-CN" w:bidi="ar-SA"/>
    </w:rPr>
  </w:style>
  <w:style w:type="character" w:customStyle="1" w:styleId="520">
    <w:name w:val="标题 9 Char"/>
    <w:link w:val="10"/>
    <w:qFormat/>
    <w:uiPriority w:val="0"/>
    <w:rPr>
      <w:rFonts w:ascii="Arial" w:hAnsi="Arial" w:eastAsia="黑体" w:cs="Times New Roman"/>
      <w:kern w:val="2"/>
      <w:sz w:val="21"/>
      <w:szCs w:val="21"/>
    </w:rPr>
  </w:style>
  <w:style w:type="character" w:customStyle="1" w:styleId="521">
    <w:name w:val="md"/>
    <w:basedOn w:val="62"/>
    <w:qFormat/>
    <w:uiPriority w:val="0"/>
  </w:style>
  <w:style w:type="character" w:customStyle="1" w:styleId="522">
    <w:name w:val="myp11"/>
    <w:qFormat/>
    <w:uiPriority w:val="0"/>
    <w:rPr>
      <w:rFonts w:ascii="仿宋_GB2312" w:eastAsia="微软雅黑"/>
      <w:b/>
      <w:kern w:val="2"/>
      <w:sz w:val="32"/>
      <w:szCs w:val="32"/>
      <w:lang w:val="en-US" w:eastAsia="zh-CN" w:bidi="ar-SA"/>
    </w:rPr>
  </w:style>
  <w:style w:type="character" w:customStyle="1" w:styleId="523">
    <w:name w:val="Ò³Ã¼ Char Char1"/>
    <w:qFormat/>
    <w:uiPriority w:val="0"/>
    <w:rPr>
      <w:rFonts w:eastAsia="宋体"/>
      <w:kern w:val="2"/>
      <w:sz w:val="18"/>
      <w:szCs w:val="18"/>
      <w:lang w:val="en-US" w:eastAsia="zh-CN" w:bidi="ar-SA"/>
    </w:rPr>
  </w:style>
  <w:style w:type="character" w:customStyle="1" w:styleId="524">
    <w:name w:val="tw4winTerm"/>
    <w:qFormat/>
    <w:uiPriority w:val="0"/>
    <w:rPr>
      <w:color w:val="0000FF"/>
    </w:rPr>
  </w:style>
  <w:style w:type="character" w:customStyle="1" w:styleId="525">
    <w:name w:val="表格 Char Char"/>
    <w:qFormat/>
    <w:uiPriority w:val="0"/>
    <w:rPr>
      <w:rFonts w:ascii="宋体" w:hAnsi="宋体" w:eastAsia="宋体"/>
      <w:lang w:bidi="ar-SA"/>
    </w:rPr>
  </w:style>
  <w:style w:type="character" w:customStyle="1" w:styleId="526">
    <w:name w:val="样式8 Char"/>
    <w:qFormat/>
    <w:uiPriority w:val="0"/>
    <w:rPr>
      <w:rFonts w:ascii="仿宋_GB2312" w:hAnsi="宋体" w:eastAsia="仿宋_GB2312"/>
      <w:b/>
      <w:bCs/>
      <w:kern w:val="2"/>
      <w:sz w:val="24"/>
      <w:szCs w:val="24"/>
    </w:rPr>
  </w:style>
  <w:style w:type="character" w:customStyle="1" w:styleId="527">
    <w:name w:val="样式5 Char"/>
    <w:qFormat/>
    <w:uiPriority w:val="0"/>
    <w:rPr>
      <w:rFonts w:ascii="仿宋_GB2312" w:hAnsi="仿宋" w:eastAsia="仿宋_GB2312"/>
      <w:kern w:val="2"/>
      <w:sz w:val="24"/>
      <w:szCs w:val="24"/>
    </w:rPr>
  </w:style>
  <w:style w:type="character" w:customStyle="1" w:styleId="528">
    <w:name w:val="页脚 Char1"/>
    <w:qFormat/>
    <w:uiPriority w:val="0"/>
    <w:rPr>
      <w:rFonts w:eastAsia="宋体"/>
      <w:kern w:val="2"/>
      <w:sz w:val="18"/>
      <w:szCs w:val="18"/>
      <w:lang w:val="en-US" w:eastAsia="zh-CN" w:bidi="ar-SA"/>
    </w:rPr>
  </w:style>
  <w:style w:type="character" w:customStyle="1" w:styleId="529">
    <w:name w:val="tw4winJump"/>
    <w:qFormat/>
    <w:uiPriority w:val="0"/>
    <w:rPr>
      <w:rFonts w:ascii="Courier New" w:hAnsi="Courier New" w:cs="Courier New"/>
      <w:color w:val="008080"/>
    </w:rPr>
  </w:style>
  <w:style w:type="character" w:customStyle="1" w:styleId="530">
    <w:name w:val="批注文字 Char"/>
    <w:qFormat/>
    <w:uiPriority w:val="99"/>
    <w:rPr>
      <w:kern w:val="2"/>
      <w:sz w:val="21"/>
      <w:szCs w:val="24"/>
    </w:rPr>
  </w:style>
  <w:style w:type="character" w:customStyle="1" w:styleId="531">
    <w:name w:val="Char Char122"/>
    <w:qFormat/>
    <w:uiPriority w:val="0"/>
    <w:rPr>
      <w:rFonts w:ascii="仿宋_GB2312" w:eastAsia="仿宋_GB2312"/>
      <w:b/>
      <w:bCs/>
      <w:kern w:val="2"/>
      <w:sz w:val="24"/>
      <w:szCs w:val="24"/>
      <w:lang w:val="zh-CN" w:eastAsia="zh-CN" w:bidi="ar-SA"/>
    </w:rPr>
  </w:style>
  <w:style w:type="character" w:customStyle="1" w:styleId="532">
    <w:name w:val="No Spacing Char"/>
    <w:link w:val="171"/>
    <w:qFormat/>
    <w:uiPriority w:val="1"/>
    <w:rPr>
      <w:rFonts w:ascii="Calibri" w:hAnsi="Calibri"/>
      <w:sz w:val="22"/>
      <w:szCs w:val="22"/>
      <w:lang w:val="en-US" w:eastAsia="zh-CN" w:bidi="ar-SA"/>
    </w:rPr>
  </w:style>
  <w:style w:type="character" w:customStyle="1" w:styleId="533">
    <w:name w:val="Char Char21"/>
    <w:qFormat/>
    <w:uiPriority w:val="0"/>
    <w:rPr>
      <w:rFonts w:ascii="宋体" w:hAnsi="Courier New" w:eastAsia="宋体"/>
      <w:kern w:val="2"/>
      <w:sz w:val="21"/>
      <w:lang w:val="en-US" w:eastAsia="zh-CN" w:bidi="ar-SA"/>
    </w:rPr>
  </w:style>
  <w:style w:type="character" w:customStyle="1" w:styleId="534">
    <w:name w:val="Char Char8"/>
    <w:qFormat/>
    <w:uiPriority w:val="0"/>
    <w:rPr>
      <w:rFonts w:eastAsia="宋体"/>
      <w:b/>
      <w:sz w:val="24"/>
      <w:lang w:val="en-GB" w:eastAsia="zh-CN"/>
    </w:rPr>
  </w:style>
  <w:style w:type="character" w:customStyle="1" w:styleId="535">
    <w:name w:val="font21"/>
    <w:qFormat/>
    <w:uiPriority w:val="0"/>
    <w:rPr>
      <w:rFonts w:hint="eastAsia" w:ascii="宋体" w:hAnsi="宋体" w:eastAsia="宋体"/>
      <w:kern w:val="2"/>
      <w:sz w:val="28"/>
      <w:szCs w:val="28"/>
      <w:lang w:val="en-US" w:eastAsia="zh-CN" w:bidi="ar-SA"/>
    </w:rPr>
  </w:style>
  <w:style w:type="character" w:customStyle="1" w:styleId="536">
    <w:name w:val="正文2 Char"/>
    <w:qFormat/>
    <w:uiPriority w:val="0"/>
    <w:rPr>
      <w:rFonts w:eastAsia="宋体"/>
      <w:kern w:val="2"/>
      <w:sz w:val="24"/>
      <w:lang w:val="en-US" w:eastAsia="zh-CN" w:bidi="ar-SA"/>
    </w:rPr>
  </w:style>
  <w:style w:type="character" w:customStyle="1" w:styleId="537">
    <w:name w:val="big1"/>
    <w:qFormat/>
    <w:uiPriority w:val="0"/>
    <w:rPr>
      <w:rFonts w:hint="eastAsia" w:ascii="宋体" w:hAnsi="宋体" w:eastAsia="宋体"/>
      <w:color w:val="333333"/>
      <w:sz w:val="22"/>
      <w:szCs w:val="22"/>
    </w:rPr>
  </w:style>
  <w:style w:type="character" w:customStyle="1" w:styleId="538">
    <w:name w:val="Body Text(ch) Char Char"/>
    <w:qFormat/>
    <w:uiPriority w:val="0"/>
    <w:rPr>
      <w:rFonts w:ascii="宋体"/>
      <w:kern w:val="2"/>
      <w:sz w:val="24"/>
      <w:szCs w:val="21"/>
      <w:lang w:val="zh-CN"/>
    </w:rPr>
  </w:style>
  <w:style w:type="character" w:customStyle="1" w:styleId="539">
    <w:name w:val="blue1"/>
    <w:basedOn w:val="62"/>
    <w:qFormat/>
    <w:uiPriority w:val="0"/>
  </w:style>
  <w:style w:type="character" w:customStyle="1" w:styleId="540">
    <w:name w:val="正文 项目2 Char"/>
    <w:basedOn w:val="484"/>
    <w:qFormat/>
    <w:uiPriority w:val="0"/>
    <w:rPr>
      <w:rFonts w:ascii="仿宋_GB2312" w:hAnsi="仿宋_GB2312" w:eastAsia="仿宋_GB2312"/>
      <w:kern w:val="2"/>
      <w:sz w:val="24"/>
      <w:lang w:bidi="ar-SA"/>
    </w:rPr>
  </w:style>
  <w:style w:type="character" w:customStyle="1" w:styleId="541">
    <w:name w:val="solutionfonts"/>
    <w:qFormat/>
    <w:uiPriority w:val="0"/>
  </w:style>
  <w:style w:type="character" w:customStyle="1" w:styleId="542">
    <w:name w:val="Char Char81"/>
    <w:qFormat/>
    <w:uiPriority w:val="0"/>
    <w:rPr>
      <w:rFonts w:eastAsia="宋体"/>
      <w:b/>
      <w:sz w:val="24"/>
      <w:lang w:val="en-GB" w:eastAsia="zh-CN"/>
    </w:rPr>
  </w:style>
  <w:style w:type="character" w:customStyle="1" w:styleId="543">
    <w:name w:val="Char Char2"/>
    <w:qFormat/>
    <w:uiPriority w:val="0"/>
    <w:rPr>
      <w:rFonts w:eastAsia="宋体"/>
      <w:b/>
      <w:bCs/>
      <w:kern w:val="2"/>
      <w:sz w:val="21"/>
      <w:szCs w:val="24"/>
      <w:lang w:val="en-US" w:eastAsia="zh-CN" w:bidi="ar-SA"/>
    </w:rPr>
  </w:style>
  <w:style w:type="character" w:customStyle="1" w:styleId="544">
    <w:name w:val="HTML 预设格式 Char"/>
    <w:link w:val="55"/>
    <w:qFormat/>
    <w:uiPriority w:val="0"/>
    <w:rPr>
      <w:rFonts w:ascii="黑体" w:hAnsi="Courier New" w:eastAsia="黑体"/>
    </w:rPr>
  </w:style>
  <w:style w:type="character" w:customStyle="1" w:styleId="545">
    <w:name w:val="Heading 7 Char"/>
    <w:qFormat/>
    <w:locked/>
    <w:uiPriority w:val="0"/>
    <w:rPr>
      <w:rFonts w:ascii="宋体" w:hAnsi="宋体" w:eastAsia="宋体"/>
      <w:b/>
      <w:bCs/>
      <w:kern w:val="2"/>
      <w:sz w:val="24"/>
      <w:szCs w:val="24"/>
      <w:lang w:val="en-US" w:eastAsia="zh-CN" w:bidi="ar-SA"/>
    </w:rPr>
  </w:style>
  <w:style w:type="character" w:customStyle="1" w:styleId="546">
    <w:name w:val="正文首行缩进 Char"/>
    <w:link w:val="23"/>
    <w:qFormat/>
    <w:uiPriority w:val="0"/>
    <w:rPr>
      <w:rFonts w:ascii="宋体"/>
      <w:kern w:val="2"/>
      <w:sz w:val="24"/>
      <w:lang w:val="zh-CN"/>
    </w:rPr>
  </w:style>
  <w:style w:type="character" w:customStyle="1" w:styleId="547">
    <w:name w:val="标题 2 Char Char"/>
    <w:qFormat/>
    <w:uiPriority w:val="0"/>
    <w:rPr>
      <w:rFonts w:ascii="楷体_GB2312" w:hAnsi="Arial" w:eastAsia="楷体_GB2312"/>
      <w:b/>
      <w:bCs/>
      <w:kern w:val="2"/>
      <w:sz w:val="24"/>
      <w:szCs w:val="32"/>
      <w:lang w:val="en-US" w:eastAsia="zh-CN" w:bidi="ar-SA"/>
    </w:rPr>
  </w:style>
  <w:style w:type="character" w:customStyle="1" w:styleId="548">
    <w:name w:val="pt141"/>
    <w:qFormat/>
    <w:uiPriority w:val="0"/>
    <w:rPr>
      <w:color w:val="330066"/>
      <w:sz w:val="22"/>
      <w:szCs w:val="22"/>
    </w:rPr>
  </w:style>
  <w:style w:type="character" w:customStyle="1" w:styleId="549">
    <w:name w:val="h Char Char"/>
    <w:qFormat/>
    <w:uiPriority w:val="0"/>
    <w:rPr>
      <w:rFonts w:eastAsia="宋体"/>
      <w:kern w:val="2"/>
      <w:sz w:val="18"/>
      <w:lang w:val="en-US" w:eastAsia="zh-CN" w:bidi="ar-SA"/>
    </w:rPr>
  </w:style>
  <w:style w:type="character" w:customStyle="1" w:styleId="550">
    <w:name w:val="标题 1 Char"/>
    <w:link w:val="2"/>
    <w:qFormat/>
    <w:uiPriority w:val="0"/>
    <w:rPr>
      <w:rFonts w:ascii="Times New Roman" w:hAnsi="Times New Roman" w:eastAsia="宋体" w:cs="Times New Roman"/>
      <w:b/>
      <w:bCs/>
      <w:kern w:val="44"/>
      <w:sz w:val="44"/>
      <w:szCs w:val="44"/>
    </w:rPr>
  </w:style>
  <w:style w:type="character" w:customStyle="1" w:styleId="551">
    <w:name w:val="页眉 Char"/>
    <w:qFormat/>
    <w:uiPriority w:val="0"/>
    <w:rPr>
      <w:rFonts w:eastAsia="仿宋_GB2312"/>
      <w:kern w:val="2"/>
      <w:sz w:val="18"/>
      <w:lang w:val="en-US" w:eastAsia="zh-CN"/>
    </w:rPr>
  </w:style>
  <w:style w:type="character" w:customStyle="1" w:styleId="552">
    <w:name w:val="b11_01b Char"/>
    <w:link w:val="411"/>
    <w:qFormat/>
    <w:uiPriority w:val="0"/>
    <w:rPr>
      <w:rFonts w:ascii="Verdana" w:hAnsi="Verdana"/>
      <w:b/>
      <w:bCs/>
      <w:color w:val="4A82CA"/>
      <w:sz w:val="17"/>
      <w:szCs w:val="17"/>
    </w:rPr>
  </w:style>
  <w:style w:type="character" w:customStyle="1" w:styleId="553">
    <w:name w:val="标题4-dyf Char"/>
    <w:link w:val="349"/>
    <w:qFormat/>
    <w:uiPriority w:val="0"/>
    <w:rPr>
      <w:rFonts w:ascii="Cambria" w:hAnsi="Cambria"/>
      <w:b/>
      <w:bCs/>
      <w:color w:val="000000"/>
      <w:kern w:val="2"/>
      <w:sz w:val="21"/>
      <w:szCs w:val="21"/>
    </w:rPr>
  </w:style>
  <w:style w:type="character" w:customStyle="1" w:styleId="554">
    <w:name w:val="批注主题 Char"/>
    <w:qFormat/>
    <w:uiPriority w:val="0"/>
    <w:rPr>
      <w:rFonts w:eastAsia="宋体"/>
      <w:b/>
      <w:bCs/>
      <w:kern w:val="2"/>
      <w:sz w:val="21"/>
      <w:szCs w:val="24"/>
      <w:lang w:val="en-US" w:eastAsia="zh-CN" w:bidi="ar-SA"/>
    </w:rPr>
  </w:style>
  <w:style w:type="character" w:customStyle="1" w:styleId="55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6">
    <w:name w:val="正文首行缩进两字 Char"/>
    <w:qFormat/>
    <w:uiPriority w:val="0"/>
    <w:rPr>
      <w:sz w:val="24"/>
      <w:szCs w:val="24"/>
      <w:lang w:val="en-US" w:eastAsia="zh-CN" w:bidi="ar-SA"/>
    </w:rPr>
  </w:style>
  <w:style w:type="character" w:customStyle="1" w:styleId="557">
    <w:name w:val="Char Char51"/>
    <w:qFormat/>
    <w:uiPriority w:val="0"/>
    <w:rPr>
      <w:rFonts w:ascii="宋体" w:hAnsi="Courier New" w:eastAsia="宋体"/>
      <w:kern w:val="2"/>
      <w:sz w:val="21"/>
      <w:lang w:val="en-US" w:eastAsia="zh-CN"/>
    </w:rPr>
  </w:style>
  <w:style w:type="character" w:customStyle="1" w:styleId="558">
    <w:name w:val="带编号样式 Char"/>
    <w:qFormat/>
    <w:uiPriority w:val="0"/>
    <w:rPr>
      <w:rFonts w:ascii="仿宋_GB2312" w:eastAsia="仿宋_GB2312"/>
      <w:color w:val="000000"/>
      <w:sz w:val="24"/>
      <w:lang w:bidi="ar-SA"/>
    </w:rPr>
  </w:style>
  <w:style w:type="character" w:customStyle="1" w:styleId="559">
    <w:name w:val="样式4 Char"/>
    <w:qFormat/>
    <w:uiPriority w:val="0"/>
    <w:rPr>
      <w:rFonts w:ascii="仿宋_GB2312" w:hAnsi="仿宋" w:eastAsia="仿宋_GB2312"/>
      <w:b/>
      <w:kern w:val="2"/>
      <w:sz w:val="32"/>
      <w:szCs w:val="32"/>
      <w:lang w:bidi="ar-SA"/>
    </w:rPr>
  </w:style>
  <w:style w:type="character" w:customStyle="1" w:styleId="560">
    <w:name w:val="样式 标题 4h4H4Fab-4T5Ref Heading 1rh1Heading sqlsect 1.2.3.... Char"/>
    <w:link w:val="173"/>
    <w:qFormat/>
    <w:uiPriority w:val="0"/>
    <w:rPr>
      <w:rFonts w:ascii="微软雅黑" w:hAnsi="微软雅黑" w:eastAsia="微软雅黑"/>
      <w:b/>
      <w:bCs/>
      <w:kern w:val="2"/>
      <w:sz w:val="24"/>
      <w:szCs w:val="28"/>
    </w:rPr>
  </w:style>
  <w:style w:type="character" w:customStyle="1" w:styleId="561">
    <w:name w:val="PI Char"/>
    <w:qFormat/>
    <w:uiPriority w:val="0"/>
    <w:rPr>
      <w:rFonts w:ascii="宋体" w:hAnsi="宋体" w:eastAsia="宋体"/>
      <w:kern w:val="2"/>
      <w:sz w:val="24"/>
      <w:szCs w:val="24"/>
      <w:lang w:val="en-US" w:eastAsia="zh-CN" w:bidi="ar-SA"/>
    </w:rPr>
  </w:style>
  <w:style w:type="character" w:customStyle="1" w:styleId="562">
    <w:name w:val="Char Char111"/>
    <w:qFormat/>
    <w:locked/>
    <w:uiPriority w:val="0"/>
    <w:rPr>
      <w:rFonts w:ascii="宋体" w:hAnsi="宋体" w:eastAsia="宋体"/>
      <w:b/>
      <w:kern w:val="2"/>
      <w:sz w:val="24"/>
      <w:szCs w:val="24"/>
      <w:lang w:val="en-US" w:eastAsia="zh-CN" w:bidi="ar-SA"/>
    </w:rPr>
  </w:style>
  <w:style w:type="character" w:customStyle="1" w:styleId="563">
    <w:name w:val="Document Map Char"/>
    <w:semiHidden/>
    <w:qFormat/>
    <w:locked/>
    <w:uiPriority w:val="0"/>
    <w:rPr>
      <w:rFonts w:eastAsia="宋体"/>
      <w:kern w:val="2"/>
      <w:sz w:val="21"/>
      <w:szCs w:val="24"/>
      <w:lang w:val="en-US" w:eastAsia="zh-CN" w:bidi="ar-SA"/>
    </w:rPr>
  </w:style>
  <w:style w:type="character" w:customStyle="1" w:styleId="564">
    <w:name w:val="正文文本缩进 Char"/>
    <w:qFormat/>
    <w:uiPriority w:val="0"/>
    <w:rPr>
      <w:rFonts w:ascii="宋体" w:hAnsi="宋体"/>
      <w:kern w:val="2"/>
      <w:sz w:val="24"/>
      <w:szCs w:val="24"/>
    </w:rPr>
  </w:style>
  <w:style w:type="character" w:customStyle="1" w:styleId="565">
    <w:name w:val="文本正文 Char Char"/>
    <w:qFormat/>
    <w:locked/>
    <w:uiPriority w:val="0"/>
    <w:rPr>
      <w:sz w:val="24"/>
      <w:lang w:bidi="ar-SA"/>
    </w:rPr>
  </w:style>
  <w:style w:type="character" w:customStyle="1" w:styleId="566">
    <w:name w:val="样式7 Char"/>
    <w:qFormat/>
    <w:uiPriority w:val="0"/>
    <w:rPr>
      <w:rFonts w:ascii="仿宋_GB2312" w:hAnsi="仿宋" w:eastAsia="仿宋_GB2312"/>
      <w:b/>
      <w:kern w:val="2"/>
      <w:sz w:val="24"/>
      <w:szCs w:val="24"/>
    </w:rPr>
  </w:style>
  <w:style w:type="character" w:customStyle="1" w:styleId="567">
    <w:name w:val="样式3 Char"/>
    <w:basedOn w:val="568"/>
    <w:qFormat/>
    <w:uiPriority w:val="0"/>
    <w:rPr>
      <w:rFonts w:ascii="仿宋_GB2312" w:hAnsi="仿宋" w:eastAsia="仿宋_GB2312" w:cs="仿宋_GB2312"/>
      <w:sz w:val="32"/>
      <w:szCs w:val="30"/>
      <w:lang w:val="zh-CN"/>
    </w:rPr>
  </w:style>
  <w:style w:type="character" w:customStyle="1" w:styleId="568">
    <w:name w:val="样式2 Char"/>
    <w:qFormat/>
    <w:uiPriority w:val="0"/>
    <w:rPr>
      <w:rFonts w:ascii="仿宋_GB2312" w:hAnsi="仿宋" w:eastAsia="仿宋_GB2312" w:cs="仿宋_GB2312"/>
      <w:b/>
      <w:bCs/>
      <w:sz w:val="32"/>
      <w:szCs w:val="30"/>
      <w:lang w:val="zh-CN"/>
    </w:rPr>
  </w:style>
  <w:style w:type="character" w:customStyle="1" w:styleId="569">
    <w:name w:val="二级标题 Char Char"/>
    <w:qFormat/>
    <w:uiPriority w:val="0"/>
    <w:rPr>
      <w:rFonts w:ascii="宋体" w:hAnsi="宋体" w:eastAsia="宋体"/>
      <w:b/>
      <w:snapToGrid w:val="0"/>
      <w:kern w:val="2"/>
      <w:sz w:val="24"/>
      <w:szCs w:val="24"/>
      <w:lang w:val="en-US" w:eastAsia="zh-CN" w:bidi="ar-SA"/>
    </w:rPr>
  </w:style>
  <w:style w:type="character" w:customStyle="1" w:styleId="570">
    <w:name w:val="Table Text Char1"/>
    <w:qFormat/>
    <w:uiPriority w:val="0"/>
    <w:rPr>
      <w:rFonts w:eastAsia="宋体"/>
      <w:sz w:val="24"/>
      <w:szCs w:val="24"/>
      <w:lang w:val="en-US" w:eastAsia="zh-CN" w:bidi="ar-SA"/>
    </w:rPr>
  </w:style>
  <w:style w:type="character" w:customStyle="1" w:styleId="571">
    <w:name w:val="shadow11"/>
    <w:qFormat/>
    <w:uiPriority w:val="0"/>
    <w:rPr>
      <w:color w:val="000000"/>
      <w:sz w:val="21"/>
    </w:rPr>
  </w:style>
  <w:style w:type="character" w:customStyle="1" w:styleId="572">
    <w:name w:val="HTML 地址 Char"/>
    <w:link w:val="29"/>
    <w:qFormat/>
    <w:uiPriority w:val="0"/>
    <w:rPr>
      <w:rFonts w:ascii="宋体" w:hAnsi="宋体"/>
      <w:i/>
      <w:iCs/>
      <w:sz w:val="24"/>
      <w:szCs w:val="24"/>
    </w:rPr>
  </w:style>
  <w:style w:type="character" w:customStyle="1" w:styleId="573">
    <w:name w:val="Char Char22"/>
    <w:qFormat/>
    <w:uiPriority w:val="0"/>
    <w:rPr>
      <w:rFonts w:eastAsia="宋体"/>
      <w:b/>
      <w:bCs/>
      <w:kern w:val="2"/>
      <w:sz w:val="21"/>
      <w:szCs w:val="24"/>
      <w:lang w:val="en-US" w:eastAsia="zh-CN" w:bidi="ar-SA"/>
    </w:rPr>
  </w:style>
  <w:style w:type="character" w:customStyle="1" w:styleId="574">
    <w:name w:val="标题 5 Char"/>
    <w:link w:val="6"/>
    <w:qFormat/>
    <w:uiPriority w:val="0"/>
    <w:rPr>
      <w:rFonts w:ascii="Times New Roman" w:hAnsi="Times New Roman" w:eastAsia="宋体" w:cs="Times New Roman"/>
      <w:b/>
      <w:bCs/>
      <w:kern w:val="2"/>
      <w:sz w:val="28"/>
      <w:szCs w:val="28"/>
    </w:rPr>
  </w:style>
  <w:style w:type="character" w:customStyle="1" w:styleId="575">
    <w:name w:val="h3 Char1"/>
    <w:qFormat/>
    <w:uiPriority w:val="0"/>
    <w:rPr>
      <w:rFonts w:eastAsia="宋体"/>
      <w:b/>
      <w:bCs/>
      <w:kern w:val="2"/>
      <w:sz w:val="32"/>
      <w:szCs w:val="32"/>
      <w:lang w:bidi="ar-SA"/>
    </w:rPr>
  </w:style>
  <w:style w:type="character" w:customStyle="1" w:styleId="576">
    <w:name w:val="FA正文 Char Char"/>
    <w:qFormat/>
    <w:uiPriority w:val="0"/>
    <w:rPr>
      <w:rFonts w:hAnsi="宋体"/>
      <w:kern w:val="2"/>
      <w:sz w:val="24"/>
      <w:lang w:bidi="ar-SA"/>
    </w:rPr>
  </w:style>
  <w:style w:type="character" w:customStyle="1" w:styleId="577">
    <w:name w:val="Char Char7"/>
    <w:semiHidden/>
    <w:qFormat/>
    <w:uiPriority w:val="0"/>
    <w:rPr>
      <w:rFonts w:eastAsia="宋体"/>
      <w:kern w:val="2"/>
      <w:sz w:val="21"/>
      <w:szCs w:val="24"/>
      <w:lang w:val="en-US" w:eastAsia="zh-CN" w:bidi="ar-SA"/>
    </w:rPr>
  </w:style>
  <w:style w:type="character" w:customStyle="1" w:styleId="578">
    <w:name w:val="hui"/>
    <w:basedOn w:val="62"/>
    <w:qFormat/>
    <w:uiPriority w:val="0"/>
  </w:style>
  <w:style w:type="character" w:customStyle="1" w:styleId="579">
    <w:name w:val="正文缩进 Char"/>
    <w:qFormat/>
    <w:uiPriority w:val="0"/>
    <w:rPr>
      <w:rFonts w:eastAsia="宋体"/>
      <w:kern w:val="2"/>
      <w:sz w:val="21"/>
      <w:lang w:val="en-US" w:eastAsia="zh-CN"/>
    </w:rPr>
  </w:style>
  <w:style w:type="character" w:customStyle="1" w:styleId="580">
    <w:name w:val="正文1 Char"/>
    <w:qFormat/>
    <w:uiPriority w:val="0"/>
    <w:rPr>
      <w:rFonts w:ascii="宋体" w:eastAsia="宋体"/>
      <w:snapToGrid w:val="0"/>
      <w:color w:val="000000"/>
      <w:kern w:val="28"/>
      <w:sz w:val="28"/>
      <w:lang w:val="en-US" w:eastAsia="zh-CN" w:bidi="ar-SA"/>
    </w:rPr>
  </w:style>
  <w:style w:type="character" w:customStyle="1" w:styleId="581">
    <w:name w:val="Char Char61"/>
    <w:qFormat/>
    <w:uiPriority w:val="0"/>
    <w:rPr>
      <w:rFonts w:eastAsia="宋体"/>
      <w:kern w:val="2"/>
      <w:sz w:val="21"/>
      <w:szCs w:val="24"/>
      <w:lang w:val="en-US" w:eastAsia="zh-CN" w:bidi="ar-SA"/>
    </w:rPr>
  </w:style>
  <w:style w:type="character" w:customStyle="1" w:styleId="582">
    <w:name w:val="正文文本 3 Char"/>
    <w:link w:val="21"/>
    <w:qFormat/>
    <w:uiPriority w:val="0"/>
    <w:rPr>
      <w:kern w:val="2"/>
      <w:sz w:val="21"/>
    </w:rPr>
  </w:style>
  <w:style w:type="character" w:customStyle="1" w:styleId="583">
    <w:name w:val="message1"/>
    <w:qFormat/>
    <w:uiPriority w:val="0"/>
    <w:rPr>
      <w:rFonts w:hint="default" w:ascii="Tahoma" w:hAnsi="Tahoma" w:cs="Tahoma"/>
      <w:sz w:val="18"/>
      <w:szCs w:val="18"/>
    </w:rPr>
  </w:style>
  <w:style w:type="character" w:customStyle="1" w:styleId="584">
    <w:name w:val="DO_NOT_TRANSLATE"/>
    <w:qFormat/>
    <w:uiPriority w:val="0"/>
    <w:rPr>
      <w:rFonts w:ascii="Courier New" w:hAnsi="Courier New" w:cs="Courier New"/>
      <w:color w:val="800000"/>
    </w:rPr>
  </w:style>
  <w:style w:type="character" w:customStyle="1" w:styleId="585">
    <w:name w:val="unnamed11"/>
    <w:qFormat/>
    <w:uiPriority w:val="0"/>
    <w:rPr>
      <w:sz w:val="20"/>
      <w:szCs w:val="20"/>
    </w:rPr>
  </w:style>
  <w:style w:type="character" w:customStyle="1" w:styleId="586">
    <w:name w:val="tw4winInternal"/>
    <w:qFormat/>
    <w:uiPriority w:val="0"/>
    <w:rPr>
      <w:rFonts w:ascii="Courier New" w:hAnsi="Courier New" w:cs="Courier New"/>
      <w:color w:val="FF0000"/>
    </w:rPr>
  </w:style>
  <w:style w:type="character" w:customStyle="1" w:styleId="587">
    <w:name w:val="正文（缩进2汉字） Char"/>
    <w:link w:val="328"/>
    <w:qFormat/>
    <w:uiPriority w:val="0"/>
    <w:rPr>
      <w:rFonts w:ascii="宋体"/>
    </w:rPr>
  </w:style>
  <w:style w:type="character" w:customStyle="1" w:styleId="588">
    <w:name w:val="页脚 Char"/>
    <w:qFormat/>
    <w:uiPriority w:val="0"/>
    <w:rPr>
      <w:rFonts w:eastAsia="仿宋_GB2312"/>
      <w:kern w:val="2"/>
      <w:sz w:val="18"/>
      <w:lang w:val="en-US" w:eastAsia="zh-CN"/>
    </w:rPr>
  </w:style>
  <w:style w:type="character" w:customStyle="1" w:styleId="589">
    <w:name w:val="正文文本缩进 3 Char"/>
    <w:link w:val="51"/>
    <w:qFormat/>
    <w:uiPriority w:val="0"/>
    <w:rPr>
      <w:kern w:val="2"/>
      <w:sz w:val="24"/>
    </w:rPr>
  </w:style>
  <w:style w:type="character" w:customStyle="1" w:styleId="590">
    <w:name w:val="正文缩进 Char1"/>
    <w:qFormat/>
    <w:uiPriority w:val="0"/>
    <w:rPr>
      <w:rFonts w:ascii="宋体" w:eastAsia="宋体"/>
      <w:snapToGrid w:val="0"/>
      <w:color w:val="000000"/>
      <w:kern w:val="28"/>
      <w:sz w:val="28"/>
      <w:lang w:val="en-US" w:eastAsia="zh-CN" w:bidi="ar-SA"/>
    </w:rPr>
  </w:style>
  <w:style w:type="character" w:customStyle="1" w:styleId="591">
    <w:name w:val="style36"/>
    <w:basedOn w:val="62"/>
    <w:qFormat/>
    <w:uiPriority w:val="0"/>
  </w:style>
  <w:style w:type="character" w:customStyle="1" w:styleId="592">
    <w:name w:val="hui3"/>
    <w:qFormat/>
    <w:uiPriority w:val="0"/>
    <w:rPr>
      <w:color w:val="333333"/>
    </w:rPr>
  </w:style>
  <w:style w:type="character" w:customStyle="1" w:styleId="593">
    <w:name w:val="apple-converted-space"/>
    <w:qFormat/>
    <w:uiPriority w:val="0"/>
  </w:style>
  <w:style w:type="character" w:customStyle="1" w:styleId="594">
    <w:name w:val="文档结构图 Char"/>
    <w:qFormat/>
    <w:uiPriority w:val="0"/>
    <w:rPr>
      <w:rFonts w:eastAsia="宋体"/>
      <w:kern w:val="2"/>
      <w:sz w:val="21"/>
      <w:szCs w:val="24"/>
      <w:lang w:val="en-US" w:eastAsia="zh-CN" w:bidi="ar-SA"/>
    </w:rPr>
  </w:style>
  <w:style w:type="character" w:customStyle="1" w:styleId="595">
    <w:name w:val="正文非缩进 Char3"/>
    <w:qFormat/>
    <w:uiPriority w:val="0"/>
    <w:rPr>
      <w:rFonts w:ascii="宋体" w:eastAsia="宋体"/>
      <w:snapToGrid w:val="0"/>
      <w:color w:val="000000"/>
      <w:kern w:val="28"/>
      <w:sz w:val="28"/>
      <w:lang w:val="en-US" w:eastAsia="zh-CN" w:bidi="ar-SA"/>
    </w:rPr>
  </w:style>
  <w:style w:type="character" w:customStyle="1" w:styleId="596">
    <w:name w:val="dectext1"/>
    <w:qFormat/>
    <w:uiPriority w:val="0"/>
    <w:rPr>
      <w:rFonts w:ascii="宋体" w:hAnsi="宋体" w:eastAsia="宋体"/>
      <w:color w:val="333333"/>
      <w:sz w:val="21"/>
      <w:szCs w:val="21"/>
      <w:u w:val="none"/>
    </w:rPr>
  </w:style>
  <w:style w:type="character" w:customStyle="1" w:styleId="597">
    <w:name w:val="副标题 Char1"/>
    <w:qFormat/>
    <w:uiPriority w:val="0"/>
    <w:rPr>
      <w:rFonts w:ascii="Cambria" w:hAnsi="Cambria" w:eastAsia="宋体" w:cs="Times New Roman"/>
      <w:b/>
      <w:bCs/>
      <w:snapToGrid w:val="0"/>
      <w:kern w:val="28"/>
      <w:sz w:val="32"/>
      <w:szCs w:val="32"/>
    </w:rPr>
  </w:style>
  <w:style w:type="character" w:customStyle="1" w:styleId="598">
    <w:name w:val="f141"/>
    <w:qFormat/>
    <w:uiPriority w:val="0"/>
    <w:rPr>
      <w:rFonts w:ascii="Tahoma" w:hAnsi="Tahoma" w:eastAsia="宋体"/>
      <w:b/>
      <w:kern w:val="2"/>
      <w:sz w:val="21"/>
      <w:szCs w:val="21"/>
      <w:lang w:val="en-US" w:eastAsia="zh-CN" w:bidi="ar-SA"/>
    </w:rPr>
  </w:style>
  <w:style w:type="character" w:customStyle="1" w:styleId="599">
    <w:name w:val="日期 Char"/>
    <w:link w:val="35"/>
    <w:qFormat/>
    <w:uiPriority w:val="0"/>
    <w:rPr>
      <w:rFonts w:ascii="宋体"/>
      <w:kern w:val="2"/>
      <w:sz w:val="24"/>
      <w:szCs w:val="21"/>
      <w:lang w:val="zh-CN"/>
    </w:rPr>
  </w:style>
  <w:style w:type="character" w:customStyle="1" w:styleId="600">
    <w:name w:val="标题 4 Char"/>
    <w:link w:val="5"/>
    <w:qFormat/>
    <w:uiPriority w:val="0"/>
    <w:rPr>
      <w:rFonts w:ascii="Arial" w:hAnsi="Arial" w:eastAsia="黑体" w:cs="Times New Roman"/>
      <w:b/>
      <w:bCs/>
      <w:kern w:val="2"/>
      <w:sz w:val="28"/>
      <w:szCs w:val="28"/>
      <w:lang w:val="zh-CN"/>
    </w:rPr>
  </w:style>
  <w:style w:type="character" w:customStyle="1" w:styleId="601">
    <w:name w:val="链接"/>
    <w:qFormat/>
    <w:uiPriority w:val="0"/>
    <w:rPr>
      <w:color w:val="0000FF"/>
      <w:sz w:val="21"/>
      <w:szCs w:val="21"/>
      <w:u w:val="single"/>
    </w:rPr>
  </w:style>
  <w:style w:type="character" w:customStyle="1" w:styleId="602">
    <w:name w:val="正文首行缩进 Char Char Char Char Char Char"/>
    <w:qFormat/>
    <w:uiPriority w:val="0"/>
    <w:rPr>
      <w:rFonts w:ascii="宋体" w:eastAsia="宋体"/>
      <w:kern w:val="2"/>
      <w:sz w:val="24"/>
      <w:lang w:val="zh-CN" w:bidi="ar-SA"/>
    </w:rPr>
  </w:style>
  <w:style w:type="character" w:customStyle="1" w:styleId="603">
    <w:name w:val="tw4winError"/>
    <w:qFormat/>
    <w:uiPriority w:val="0"/>
    <w:rPr>
      <w:rFonts w:ascii="Courier New" w:hAnsi="Courier New" w:cs="Courier New"/>
      <w:color w:val="00FF00"/>
      <w:sz w:val="40"/>
      <w:szCs w:val="40"/>
    </w:rPr>
  </w:style>
  <w:style w:type="character" w:customStyle="1" w:styleId="604">
    <w:name w:val="Used by Word for text of Help footnotes Char Char"/>
    <w:semiHidden/>
    <w:qFormat/>
    <w:uiPriority w:val="0"/>
    <w:rPr>
      <w:rFonts w:ascii="Times New Roman" w:hAnsi="Times New Roman" w:eastAsia="宋体" w:cs="Times New Roman"/>
      <w:sz w:val="20"/>
      <w:szCs w:val="20"/>
    </w:rPr>
  </w:style>
  <w:style w:type="character" w:customStyle="1" w:styleId="605">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6">
    <w:name w:val="表正文 Char"/>
    <w:qFormat/>
    <w:uiPriority w:val="0"/>
    <w:rPr>
      <w:rFonts w:ascii="宋体" w:eastAsia="宋体"/>
      <w:snapToGrid w:val="0"/>
      <w:color w:val="000000"/>
      <w:kern w:val="28"/>
      <w:sz w:val="28"/>
      <w:lang w:val="en-US" w:eastAsia="zh-CN" w:bidi="ar-SA"/>
    </w:rPr>
  </w:style>
  <w:style w:type="character" w:customStyle="1" w:styleId="607">
    <w:name w:val="普通文字 Char1 Char"/>
    <w:qFormat/>
    <w:uiPriority w:val="0"/>
    <w:rPr>
      <w:rFonts w:ascii="宋体" w:hAnsi="Courier New" w:eastAsia="宋体"/>
      <w:kern w:val="2"/>
      <w:sz w:val="21"/>
      <w:szCs w:val="24"/>
      <w:lang w:val="en-US" w:eastAsia="zh-CN" w:bidi="ar-SA"/>
    </w:rPr>
  </w:style>
  <w:style w:type="character" w:customStyle="1" w:styleId="608">
    <w:name w:val="pt9"/>
    <w:qFormat/>
    <w:uiPriority w:val="0"/>
    <w:rPr>
      <w:rFonts w:ascii="仿宋_GB2312" w:eastAsia="微软雅黑"/>
      <w:b/>
      <w:kern w:val="2"/>
      <w:sz w:val="32"/>
      <w:szCs w:val="32"/>
      <w:lang w:val="en-US" w:eastAsia="zh-CN" w:bidi="ar-SA"/>
    </w:rPr>
  </w:style>
  <w:style w:type="character" w:customStyle="1" w:styleId="609">
    <w:name w:val="large1"/>
    <w:qFormat/>
    <w:uiPriority w:val="0"/>
    <w:rPr>
      <w:rFonts w:hint="eastAsia" w:ascii="宋体" w:hAnsi="宋体" w:eastAsia="宋体"/>
      <w:sz w:val="21"/>
      <w:szCs w:val="21"/>
    </w:rPr>
  </w:style>
  <w:style w:type="character" w:customStyle="1" w:styleId="610">
    <w:name w:val="样式 样式 标题 4h4H4Fab-4T5Ref Heading 1rh1Heading sqlsect 1.2.3.... +... Char"/>
    <w:link w:val="172"/>
    <w:qFormat/>
    <w:uiPriority w:val="0"/>
    <w:rPr>
      <w:rFonts w:ascii="微软雅黑" w:hAnsi="微软雅黑" w:eastAsia="微软雅黑"/>
      <w:b/>
      <w:bCs/>
      <w:kern w:val="2"/>
      <w:sz w:val="24"/>
      <w:szCs w:val="28"/>
    </w:rPr>
  </w:style>
  <w:style w:type="character" w:customStyle="1" w:styleId="611">
    <w:name w:val="标题 4 Char1"/>
    <w:semiHidden/>
    <w:qFormat/>
    <w:uiPriority w:val="9"/>
    <w:rPr>
      <w:rFonts w:ascii="Cambria" w:hAnsi="Cambria" w:eastAsia="宋体" w:cs="Times New Roman"/>
      <w:b/>
      <w:bCs/>
      <w:kern w:val="2"/>
      <w:sz w:val="28"/>
      <w:szCs w:val="28"/>
    </w:rPr>
  </w:style>
  <w:style w:type="character" w:customStyle="1" w:styleId="612">
    <w:name w:val="tw4winPopup"/>
    <w:qFormat/>
    <w:uiPriority w:val="0"/>
    <w:rPr>
      <w:rFonts w:ascii="Courier New" w:hAnsi="Courier New" w:cs="Courier New"/>
      <w:color w:val="008000"/>
    </w:rPr>
  </w:style>
  <w:style w:type="character" w:customStyle="1" w:styleId="613">
    <w:name w:val="标题 6 Char"/>
    <w:link w:val="7"/>
    <w:qFormat/>
    <w:uiPriority w:val="0"/>
    <w:rPr>
      <w:rFonts w:ascii="Arial" w:hAnsi="Arial" w:eastAsia="黑体" w:cs="Times New Roman"/>
      <w:b/>
      <w:bCs/>
      <w:kern w:val="2"/>
      <w:sz w:val="24"/>
      <w:szCs w:val="24"/>
    </w:rPr>
  </w:style>
  <w:style w:type="character" w:customStyle="1" w:styleId="614">
    <w:name w:val="正文缩进 Char2"/>
    <w:link w:val="15"/>
    <w:qFormat/>
    <w:uiPriority w:val="0"/>
    <w:rPr>
      <w:rFonts w:ascii="宋体" w:eastAsia="宋体"/>
      <w:snapToGrid w:val="0"/>
      <w:color w:val="000000"/>
      <w:kern w:val="28"/>
      <w:sz w:val="28"/>
      <w:lang w:val="en-US" w:eastAsia="zh-CN" w:bidi="ar-SA"/>
    </w:rPr>
  </w:style>
  <w:style w:type="character" w:customStyle="1" w:styleId="615">
    <w:name w:val="批注文字 Char1"/>
    <w:link w:val="19"/>
    <w:qFormat/>
    <w:uiPriority w:val="0"/>
    <w:rPr>
      <w:kern w:val="2"/>
      <w:sz w:val="21"/>
      <w:szCs w:val="24"/>
    </w:rPr>
  </w:style>
  <w:style w:type="character" w:customStyle="1" w:styleId="616">
    <w:name w:val="批注框文本 Char"/>
    <w:link w:val="37"/>
    <w:semiHidden/>
    <w:qFormat/>
    <w:uiPriority w:val="0"/>
    <w:rPr>
      <w:kern w:val="2"/>
      <w:sz w:val="18"/>
      <w:szCs w:val="18"/>
    </w:rPr>
  </w:style>
  <w:style w:type="character" w:customStyle="1" w:styleId="617">
    <w:name w:val="Footer Char"/>
    <w:qFormat/>
    <w:locked/>
    <w:uiPriority w:val="0"/>
    <w:rPr>
      <w:rFonts w:eastAsia="宋体"/>
      <w:kern w:val="2"/>
      <w:sz w:val="18"/>
      <w:lang w:val="en-US" w:eastAsia="zh-CN" w:bidi="ar-SA"/>
    </w:rPr>
  </w:style>
  <w:style w:type="paragraph" w:customStyle="1" w:styleId="61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9">
    <w:name w:val="索引 11"/>
    <w:basedOn w:val="1"/>
    <w:next w:val="1"/>
    <w:qFormat/>
    <w:uiPriority w:val="0"/>
    <w:pPr>
      <w:adjustRightInd/>
      <w:spacing w:line="360" w:lineRule="auto"/>
    </w:pPr>
    <w:rPr>
      <w:rFonts w:ascii="仿宋_GB2312" w:eastAsia="仿宋_GB2312"/>
      <w:sz w:val="24"/>
      <w:szCs w:val="20"/>
    </w:rPr>
  </w:style>
  <w:style w:type="paragraph" w:customStyle="1" w:styleId="620">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1">
    <w:name w:val="纯文本_0_0"/>
    <w:basedOn w:val="1"/>
    <w:link w:val="622"/>
    <w:qFormat/>
    <w:uiPriority w:val="0"/>
    <w:pPr>
      <w:adjustRightInd/>
    </w:pPr>
    <w:rPr>
      <w:rFonts w:ascii="宋体" w:hAnsi="Courier New"/>
      <w:szCs w:val="21"/>
    </w:rPr>
  </w:style>
  <w:style w:type="character" w:customStyle="1" w:styleId="622">
    <w:name w:val="纯文本 Char_0"/>
    <w:link w:val="621"/>
    <w:qFormat/>
    <w:uiPriority w:val="0"/>
    <w:rPr>
      <w:rFonts w:ascii="宋体" w:hAnsi="Courier New"/>
      <w:kern w:val="2"/>
      <w:sz w:val="21"/>
      <w:szCs w:val="21"/>
      <w:lang w:val="en-US" w:eastAsia="zh-CN"/>
    </w:rPr>
  </w:style>
  <w:style w:type="character" w:customStyle="1" w:styleId="623">
    <w:name w:val="纯文本 Char1"/>
    <w:link w:val="624"/>
    <w:qFormat/>
    <w:uiPriority w:val="0"/>
    <w:rPr>
      <w:rFonts w:ascii="宋体" w:hAnsi="Courier New"/>
    </w:rPr>
  </w:style>
  <w:style w:type="paragraph" w:customStyle="1" w:styleId="624">
    <w:name w:val="纯文本1"/>
    <w:basedOn w:val="1"/>
    <w:link w:val="623"/>
    <w:qFormat/>
    <w:uiPriority w:val="0"/>
    <w:pPr>
      <w:adjustRightInd/>
    </w:pPr>
    <w:rPr>
      <w:rFonts w:ascii="宋体" w:hAnsi="Courier New"/>
      <w:kern w:val="0"/>
      <w:sz w:val="20"/>
      <w:szCs w:val="20"/>
    </w:rPr>
  </w:style>
  <w:style w:type="paragraph" w:customStyle="1" w:styleId="625">
    <w:name w:val="Char Char Char Char Char Char Char2"/>
    <w:basedOn w:val="1"/>
    <w:qFormat/>
    <w:uiPriority w:val="0"/>
    <w:rPr>
      <w:rFonts w:ascii="仿宋_GB2312" w:eastAsia="仿宋_GB2312"/>
      <w:b/>
      <w:sz w:val="32"/>
      <w:szCs w:val="32"/>
    </w:rPr>
  </w:style>
  <w:style w:type="paragraph" w:customStyle="1" w:styleId="626">
    <w:name w:val="Char Char1 Char Char Char Char Char Char2"/>
    <w:basedOn w:val="1"/>
    <w:qFormat/>
    <w:uiPriority w:val="0"/>
    <w:rPr>
      <w:rFonts w:ascii="仿宋_GB2312" w:eastAsia="仿宋_GB2312"/>
      <w:b/>
      <w:sz w:val="32"/>
      <w:szCs w:val="20"/>
    </w:rPr>
  </w:style>
  <w:style w:type="paragraph" w:customStyle="1" w:styleId="627">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8">
    <w:name w:val="Default Char"/>
    <w:link w:val="75"/>
    <w:qFormat/>
    <w:uiPriority w:val="0"/>
    <w:rPr>
      <w:rFonts w:ascii="仿宋_GB2312" w:eastAsia="仿宋_GB2312" w:cs="仿宋_GB2312"/>
      <w:color w:val="000000"/>
      <w:sz w:val="24"/>
      <w:szCs w:val="24"/>
    </w:rPr>
  </w:style>
  <w:style w:type="paragraph" w:customStyle="1" w:styleId="629">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30">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31">
    <w:name w:val="font11"/>
    <w:basedOn w:val="62"/>
    <w:qFormat/>
    <w:uiPriority w:val="0"/>
    <w:rPr>
      <w:rFonts w:hint="default" w:ascii="Times New Roman" w:hAnsi="Times New Roman" w:eastAsia="黑体" w:cs="Times New Roman"/>
      <w:snapToGrid w:val="0"/>
      <w:color w:val="000000"/>
      <w:kern w:val="0"/>
      <w:sz w:val="22"/>
      <w:szCs w:val="22"/>
      <w:u w:val="none"/>
    </w:rPr>
  </w:style>
  <w:style w:type="character" w:customStyle="1" w:styleId="632">
    <w:name w:val="标题 2 Char1"/>
    <w:link w:val="3"/>
    <w:qFormat/>
    <w:uiPriority w:val="9"/>
    <w:rPr>
      <w:rFonts w:ascii="仿宋_GB2312" w:hAnsi="仿宋" w:eastAsia="仿宋_GB2312" w:cs="Times New Roman"/>
      <w:b/>
      <w:bCs/>
      <w:kern w:val="2"/>
      <w:sz w:val="32"/>
      <w:szCs w:val="32"/>
      <w:lang w:val="zh-CN"/>
    </w:rPr>
  </w:style>
  <w:style w:type="paragraph" w:customStyle="1" w:styleId="633">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5">
    <w:name w:val="_Style 3"/>
    <w:qFormat/>
    <w:uiPriority w:val="1"/>
    <w:pPr>
      <w:widowControl w:val="0"/>
      <w:jc w:val="both"/>
    </w:pPr>
    <w:rPr>
      <w:rFonts w:ascii="Calibri" w:hAnsi="Calibri" w:eastAsia="宋体" w:cs="Times New Roman"/>
      <w:kern w:val="2"/>
      <w:sz w:val="21"/>
      <w:szCs w:val="22"/>
      <w:lang w:val="en-US" w:eastAsia="zh-CN" w:bidi="ar-SA"/>
    </w:rPr>
  </w:style>
  <w:style w:type="paragraph" w:customStyle="1" w:styleId="636">
    <w:name w:val="列表段落1"/>
    <w:basedOn w:val="1"/>
    <w:qFormat/>
    <w:uiPriority w:val="0"/>
    <w:pPr>
      <w:ind w:firstLine="420" w:firstLineChars="200"/>
    </w:pPr>
  </w:style>
  <w:style w:type="character" w:customStyle="1" w:styleId="637">
    <w:name w:val="无"/>
    <w:qFormat/>
    <w:uiPriority w:val="0"/>
  </w:style>
  <w:style w:type="paragraph" w:customStyle="1" w:styleId="638">
    <w:name w:val="普通(网站)_0"/>
    <w:basedOn w:val="1"/>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639">
    <w:name w:val="纯文本2"/>
    <w:basedOn w:val="256"/>
    <w:qFormat/>
    <w:uiPriority w:val="0"/>
    <w:pPr>
      <w:widowControl/>
      <w:jc w:val="left"/>
    </w:pPr>
    <w:rPr>
      <w:rFonts w:ascii="宋体" w:hAnsi="Courier New"/>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2.png"/><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extobjs>
    <extobj name="ECB019B1-382A-4266-B25C-5B523AA43C14-1">
      <extobjdata type="ECB019B1-382A-4266-B25C-5B523AA43C14" data="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"/>
    </extobj>
  </extobj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112</Pages>
  <Words>14180</Words>
  <Characters>14843</Characters>
  <Lines>394</Lines>
  <Paragraphs>111</Paragraphs>
  <TotalTime>5</TotalTime>
  <ScaleCrop>false</ScaleCrop>
  <LinksUpToDate>false</LinksUpToDate>
  <CharactersWithSpaces>15181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2015-04-28T17:52:00Z</dcterms:created>
  <dc:creator>玥</dc:creator>
  <cp:lastModifiedBy>唐稳</cp:lastModifiedBy>
  <cp:lastPrinted>2022-01-13T00:15:00Z</cp:lastPrinted>
  <dcterms:modified xsi:type="dcterms:W3CDTF">2025-03-18T09:05:29Z</dcterms:modified>
  <dc:title>杭州市市民卡扩大发卡工程</dc:title>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4DA3DFFDA6FD48789F072289B2A37D97_13</vt:lpwstr>
  </property>
  <property fmtid="{D5CDD505-2E9C-101B-9397-08002B2CF9AE}" pid="4" name="KSOTemplateDocerSaveRecord">
    <vt:lpwstr>eyJoZGlkIjoiNTQzMGExYzQ5NDk2OTJiODgzOWVmMWVlZmFhNWQ2ODciLCJ1c2VySWQiOiI1ODI1MDg5NzUifQ==</vt:lpwstr>
  </property>
</Properties>
</file>