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B5DCA">
      <w:pPr>
        <w:adjustRightInd w:val="0"/>
        <w:snapToGrid w:val="0"/>
        <w:spacing w:line="360" w:lineRule="auto"/>
        <w:rPr>
          <w:rFonts w:hint="eastAsia" w:ascii="仿宋" w:hAnsi="仿宋" w:eastAsia="仿宋" w:cs="仿宋"/>
          <w:color w:val="auto"/>
          <w:w w:val="80"/>
          <w:sz w:val="52"/>
          <w:szCs w:val="52"/>
          <w:highlight w:val="none"/>
          <w:lang w:bidi="th-TH"/>
        </w:rPr>
      </w:pPr>
    </w:p>
    <w:p w14:paraId="3AF877D6">
      <w:pPr>
        <w:pStyle w:val="19"/>
        <w:adjustRightInd w:val="0"/>
        <w:snapToGrid w:val="0"/>
        <w:spacing w:line="360" w:lineRule="auto"/>
        <w:ind w:firstLine="0"/>
        <w:rPr>
          <w:rFonts w:hint="eastAsia" w:ascii="仿宋" w:hAnsi="仿宋" w:eastAsia="仿宋" w:cs="仿宋"/>
          <w:color w:val="auto"/>
          <w:highlight w:val="none"/>
        </w:rPr>
      </w:pPr>
    </w:p>
    <w:p w14:paraId="74794E04">
      <w:pPr>
        <w:rPr>
          <w:rFonts w:hint="eastAsia" w:ascii="仿宋" w:hAnsi="仿宋" w:eastAsia="仿宋" w:cs="仿宋"/>
          <w:color w:val="auto"/>
          <w:highlight w:val="none"/>
        </w:rPr>
      </w:pPr>
    </w:p>
    <w:p w14:paraId="20FFC5CC">
      <w:pPr>
        <w:pStyle w:val="19"/>
        <w:adjustRightInd w:val="0"/>
        <w:snapToGrid w:val="0"/>
        <w:spacing w:line="360" w:lineRule="auto"/>
        <w:ind w:firstLine="0"/>
        <w:rPr>
          <w:rFonts w:hint="eastAsia" w:ascii="仿宋" w:hAnsi="仿宋" w:eastAsia="仿宋" w:cs="仿宋"/>
          <w:color w:val="auto"/>
          <w:highlight w:val="none"/>
        </w:rPr>
      </w:pPr>
    </w:p>
    <w:p w14:paraId="05098319">
      <w:pPr>
        <w:pStyle w:val="63"/>
        <w:widowControl w:val="0"/>
        <w:adjustRightInd w:val="0"/>
        <w:snapToGrid w:val="0"/>
        <w:spacing w:line="360" w:lineRule="auto"/>
        <w:ind w:firstLine="0"/>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白杨街道综合执法辅助服务项目</w:t>
      </w:r>
    </w:p>
    <w:p w14:paraId="71968957">
      <w:pPr>
        <w:pStyle w:val="63"/>
        <w:widowControl w:val="0"/>
        <w:adjustRightInd w:val="0"/>
        <w:snapToGrid w:val="0"/>
        <w:spacing w:line="360" w:lineRule="auto"/>
        <w:ind w:firstLine="0"/>
        <w:jc w:val="center"/>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(2024-2025年)</w:t>
      </w:r>
    </w:p>
    <w:p w14:paraId="488F5156">
      <w:pPr>
        <w:adjustRightInd w:val="0"/>
        <w:snapToGrid w:val="0"/>
        <w:spacing w:line="360" w:lineRule="auto"/>
        <w:jc w:val="center"/>
        <w:rPr>
          <w:rFonts w:hint="eastAsia" w:ascii="仿宋" w:hAnsi="仿宋" w:eastAsia="仿宋" w:cs="仿宋"/>
          <w:b/>
          <w:color w:val="auto"/>
          <w:szCs w:val="84"/>
          <w:highlight w:val="none"/>
        </w:rPr>
      </w:pPr>
      <w:r>
        <w:rPr>
          <w:rFonts w:hint="eastAsia" w:ascii="仿宋" w:hAnsi="仿宋" w:eastAsia="仿宋" w:cs="仿宋"/>
          <w:b/>
          <w:color w:val="auto"/>
          <w:szCs w:val="84"/>
          <w:highlight w:val="none"/>
        </w:rPr>
        <w:t>（电子招投标）</w:t>
      </w:r>
    </w:p>
    <w:p w14:paraId="4608023B">
      <w:pPr>
        <w:pStyle w:val="18"/>
        <w:rPr>
          <w:rFonts w:hint="eastAsia" w:ascii="仿宋" w:hAnsi="仿宋" w:eastAsia="仿宋" w:cs="仿宋"/>
          <w:color w:val="auto"/>
          <w:highlight w:val="none"/>
        </w:rPr>
      </w:pPr>
    </w:p>
    <w:p w14:paraId="09DFAD71">
      <w:pPr>
        <w:jc w:val="center"/>
        <w:rPr>
          <w:rFonts w:hint="eastAsia" w:ascii="仿宋" w:hAnsi="仿宋" w:eastAsia="仿宋" w:cs="仿宋"/>
          <w:b/>
          <w:color w:val="auto"/>
          <w:szCs w:val="84"/>
          <w:highlight w:val="none"/>
        </w:rPr>
      </w:pPr>
    </w:p>
    <w:p w14:paraId="213EF1CB">
      <w:pPr>
        <w:jc w:val="center"/>
        <w:rPr>
          <w:rFonts w:hint="eastAsia" w:ascii="仿宋" w:hAnsi="仿宋" w:eastAsia="仿宋" w:cs="仿宋"/>
          <w:b/>
          <w:color w:val="auto"/>
          <w:szCs w:val="84"/>
          <w:highlight w:val="none"/>
        </w:rPr>
      </w:pPr>
    </w:p>
    <w:p w14:paraId="1D808A2B">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pacing w:val="40"/>
          <w:w w:val="80"/>
          <w:sz w:val="96"/>
          <w:szCs w:val="96"/>
          <w:highlight w:val="none"/>
          <w:lang w:bidi="th-TH"/>
        </w:rPr>
        <w:t>采 购 文 件</w:t>
      </w:r>
    </w:p>
    <w:p w14:paraId="1C22C19B">
      <w:pPr>
        <w:jc w:val="center"/>
        <w:rPr>
          <w:rFonts w:hint="eastAsia" w:ascii="仿宋" w:hAnsi="仿宋" w:eastAsia="仿宋" w:cs="仿宋"/>
          <w:b/>
          <w:color w:val="auto"/>
          <w:szCs w:val="84"/>
          <w:highlight w:val="none"/>
        </w:rPr>
      </w:pPr>
    </w:p>
    <w:p w14:paraId="08D51EDB">
      <w:pPr>
        <w:jc w:val="center"/>
        <w:rPr>
          <w:rFonts w:hint="eastAsia" w:ascii="仿宋" w:hAnsi="仿宋" w:eastAsia="仿宋" w:cs="仿宋"/>
          <w:b/>
          <w:color w:val="auto"/>
          <w:szCs w:val="84"/>
          <w:highlight w:val="none"/>
        </w:rPr>
      </w:pPr>
    </w:p>
    <w:p w14:paraId="41C20BB2">
      <w:pPr>
        <w:spacing w:line="360" w:lineRule="auto"/>
        <w:jc w:val="center"/>
        <w:rPr>
          <w:rFonts w:hint="eastAsia" w:ascii="仿宋" w:hAnsi="仿宋" w:eastAsia="仿宋" w:cs="仿宋"/>
          <w:b/>
          <w:color w:val="auto"/>
          <w:w w:val="80"/>
          <w:sz w:val="36"/>
          <w:szCs w:val="36"/>
          <w:highlight w:val="none"/>
          <w:lang w:eastAsia="zh-CN" w:bidi="th-TH"/>
        </w:rPr>
      </w:pPr>
      <w:r>
        <w:rPr>
          <w:rFonts w:hint="eastAsia" w:ascii="仿宋" w:hAnsi="仿宋" w:eastAsia="仿宋" w:cs="仿宋"/>
          <w:b/>
          <w:color w:val="auto"/>
          <w:w w:val="80"/>
          <w:sz w:val="36"/>
          <w:szCs w:val="36"/>
          <w:highlight w:val="none"/>
          <w:lang w:bidi="th-TH"/>
        </w:rPr>
        <w:t>项目编号：</w:t>
      </w:r>
      <w:r>
        <w:rPr>
          <w:rFonts w:hint="eastAsia" w:ascii="仿宋" w:hAnsi="仿宋" w:eastAsia="仿宋" w:cs="仿宋"/>
          <w:b/>
          <w:color w:val="auto"/>
          <w:w w:val="80"/>
          <w:sz w:val="36"/>
          <w:szCs w:val="36"/>
          <w:highlight w:val="none"/>
          <w:lang w:eastAsia="zh-CN" w:bidi="th-TH"/>
        </w:rPr>
        <w:t>QTCG-GK-2024-184</w:t>
      </w:r>
    </w:p>
    <w:p w14:paraId="2C96103D">
      <w:pPr>
        <w:pStyle w:val="30"/>
        <w:ind w:left="5250"/>
        <w:rPr>
          <w:rFonts w:hint="eastAsia" w:ascii="仿宋" w:hAnsi="仿宋" w:eastAsia="仿宋" w:cs="仿宋"/>
          <w:b/>
          <w:color w:val="auto"/>
          <w:szCs w:val="28"/>
          <w:highlight w:val="none"/>
        </w:rPr>
      </w:pPr>
    </w:p>
    <w:p w14:paraId="4EFF6CC8">
      <w:pPr>
        <w:rPr>
          <w:rFonts w:hint="eastAsia" w:ascii="仿宋" w:hAnsi="仿宋" w:eastAsia="仿宋" w:cs="仿宋"/>
          <w:b/>
          <w:color w:val="auto"/>
          <w:highlight w:val="none"/>
        </w:rPr>
      </w:pPr>
    </w:p>
    <w:p w14:paraId="1263F14D">
      <w:pPr>
        <w:rPr>
          <w:rFonts w:hint="eastAsia" w:ascii="仿宋" w:hAnsi="仿宋" w:eastAsia="仿宋" w:cs="仿宋"/>
          <w:b/>
          <w:color w:val="auto"/>
          <w:highlight w:val="none"/>
        </w:rPr>
      </w:pPr>
    </w:p>
    <w:p w14:paraId="1E2BD733">
      <w:pPr>
        <w:rPr>
          <w:rFonts w:hint="eastAsia" w:ascii="仿宋" w:hAnsi="仿宋" w:eastAsia="仿宋" w:cs="仿宋"/>
          <w:b/>
          <w:color w:val="auto"/>
          <w:highlight w:val="none"/>
        </w:rPr>
      </w:pPr>
    </w:p>
    <w:p w14:paraId="6A1A012B">
      <w:pPr>
        <w:rPr>
          <w:rFonts w:hint="eastAsia" w:ascii="仿宋" w:hAnsi="仿宋" w:eastAsia="仿宋" w:cs="仿宋"/>
          <w:b/>
          <w:color w:val="auto"/>
          <w:highlight w:val="none"/>
        </w:rPr>
      </w:pPr>
    </w:p>
    <w:p w14:paraId="67114CEA">
      <w:pPr>
        <w:pStyle w:val="22"/>
        <w:rPr>
          <w:rFonts w:hint="eastAsia" w:ascii="仿宋" w:hAnsi="仿宋" w:eastAsia="仿宋" w:cs="仿宋"/>
          <w:color w:val="auto"/>
          <w:highlight w:val="none"/>
        </w:rPr>
      </w:pPr>
    </w:p>
    <w:p w14:paraId="4A9CB8FD">
      <w:pPr>
        <w:rPr>
          <w:rFonts w:hint="eastAsia" w:ascii="仿宋" w:hAnsi="仿宋" w:eastAsia="仿宋" w:cs="仿宋"/>
          <w:b/>
          <w:color w:val="auto"/>
          <w:highlight w:val="none"/>
        </w:rPr>
      </w:pPr>
    </w:p>
    <w:p w14:paraId="53B765F3">
      <w:pPr>
        <w:rPr>
          <w:rFonts w:hint="eastAsia" w:ascii="仿宋" w:hAnsi="仿宋" w:eastAsia="仿宋" w:cs="仿宋"/>
          <w:b/>
          <w:color w:val="auto"/>
          <w:highlight w:val="none"/>
        </w:rPr>
      </w:pPr>
    </w:p>
    <w:tbl>
      <w:tblPr>
        <w:tblStyle w:val="48"/>
        <w:tblW w:w="6244" w:type="dxa"/>
        <w:jc w:val="center"/>
        <w:tblLayout w:type="fixed"/>
        <w:tblCellMar>
          <w:top w:w="0" w:type="dxa"/>
          <w:left w:w="108" w:type="dxa"/>
          <w:bottom w:w="0" w:type="dxa"/>
          <w:right w:w="108" w:type="dxa"/>
        </w:tblCellMar>
      </w:tblPr>
      <w:tblGrid>
        <w:gridCol w:w="2160"/>
        <w:gridCol w:w="260"/>
        <w:gridCol w:w="3824"/>
      </w:tblGrid>
      <w:tr w14:paraId="2698F8C5">
        <w:tblPrEx>
          <w:tblCellMar>
            <w:top w:w="0" w:type="dxa"/>
            <w:left w:w="108" w:type="dxa"/>
            <w:bottom w:w="0" w:type="dxa"/>
            <w:right w:w="108" w:type="dxa"/>
          </w:tblCellMar>
        </w:tblPrEx>
        <w:trPr>
          <w:trHeight w:val="680" w:hRule="atLeast"/>
          <w:jc w:val="center"/>
        </w:trPr>
        <w:tc>
          <w:tcPr>
            <w:tcW w:w="2160" w:type="dxa"/>
            <w:noWrap/>
            <w:vAlign w:val="center"/>
          </w:tcPr>
          <w:p w14:paraId="3BA2AA5C">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采购人</w:t>
            </w:r>
          </w:p>
        </w:tc>
        <w:tc>
          <w:tcPr>
            <w:tcW w:w="260" w:type="dxa"/>
            <w:noWrap/>
            <w:vAlign w:val="center"/>
          </w:tcPr>
          <w:p w14:paraId="348094BB">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824" w:type="dxa"/>
            <w:noWrap/>
            <w:vAlign w:val="center"/>
          </w:tcPr>
          <w:p w14:paraId="11B6802E">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杭州市钱塘区人民政府</w:t>
            </w:r>
          </w:p>
          <w:p w14:paraId="7B22049C">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白杨街道办事处</w:t>
            </w:r>
          </w:p>
        </w:tc>
      </w:tr>
      <w:tr w14:paraId="74753E61">
        <w:tblPrEx>
          <w:tblCellMar>
            <w:top w:w="0" w:type="dxa"/>
            <w:left w:w="108" w:type="dxa"/>
            <w:bottom w:w="0" w:type="dxa"/>
            <w:right w:w="108" w:type="dxa"/>
          </w:tblCellMar>
        </w:tblPrEx>
        <w:trPr>
          <w:trHeight w:val="297" w:hRule="atLeast"/>
          <w:jc w:val="center"/>
        </w:trPr>
        <w:tc>
          <w:tcPr>
            <w:tcW w:w="2160" w:type="dxa"/>
            <w:noWrap/>
            <w:vAlign w:val="center"/>
          </w:tcPr>
          <w:p w14:paraId="0F38E229">
            <w:pPr>
              <w:snapToGrid w:val="0"/>
              <w:jc w:val="distribute"/>
              <w:rPr>
                <w:rFonts w:hint="eastAsia" w:ascii="仿宋" w:hAnsi="仿宋" w:eastAsia="仿宋" w:cs="仿宋"/>
                <w:b/>
                <w:color w:val="auto"/>
                <w:sz w:val="22"/>
                <w:szCs w:val="22"/>
                <w:highlight w:val="none"/>
              </w:rPr>
            </w:pPr>
          </w:p>
        </w:tc>
        <w:tc>
          <w:tcPr>
            <w:tcW w:w="260" w:type="dxa"/>
            <w:noWrap/>
            <w:vAlign w:val="center"/>
          </w:tcPr>
          <w:p w14:paraId="6899E884">
            <w:pPr>
              <w:snapToGrid w:val="0"/>
              <w:jc w:val="distribute"/>
              <w:rPr>
                <w:rFonts w:hint="eastAsia" w:ascii="仿宋" w:hAnsi="仿宋" w:eastAsia="仿宋" w:cs="仿宋"/>
                <w:b/>
                <w:color w:val="auto"/>
                <w:sz w:val="22"/>
                <w:szCs w:val="22"/>
                <w:highlight w:val="none"/>
              </w:rPr>
            </w:pPr>
          </w:p>
        </w:tc>
        <w:tc>
          <w:tcPr>
            <w:tcW w:w="3824" w:type="dxa"/>
            <w:noWrap/>
            <w:vAlign w:val="center"/>
          </w:tcPr>
          <w:p w14:paraId="426B9FDE">
            <w:pPr>
              <w:snapToGrid w:val="0"/>
              <w:jc w:val="distribute"/>
              <w:rPr>
                <w:rFonts w:hint="eastAsia" w:ascii="仿宋" w:hAnsi="仿宋" w:eastAsia="仿宋" w:cs="仿宋"/>
                <w:b/>
                <w:color w:val="auto"/>
                <w:sz w:val="22"/>
                <w:szCs w:val="22"/>
                <w:highlight w:val="none"/>
              </w:rPr>
            </w:pPr>
          </w:p>
        </w:tc>
      </w:tr>
      <w:tr w14:paraId="3E9989F1">
        <w:tblPrEx>
          <w:tblCellMar>
            <w:top w:w="0" w:type="dxa"/>
            <w:left w:w="108" w:type="dxa"/>
            <w:bottom w:w="0" w:type="dxa"/>
            <w:right w:w="108" w:type="dxa"/>
          </w:tblCellMar>
        </w:tblPrEx>
        <w:trPr>
          <w:trHeight w:val="680" w:hRule="atLeast"/>
          <w:jc w:val="center"/>
        </w:trPr>
        <w:tc>
          <w:tcPr>
            <w:tcW w:w="2160" w:type="dxa"/>
            <w:noWrap/>
            <w:vAlign w:val="center"/>
          </w:tcPr>
          <w:p w14:paraId="4918F310">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p>
        </w:tc>
        <w:tc>
          <w:tcPr>
            <w:tcW w:w="260" w:type="dxa"/>
            <w:noWrap/>
            <w:vAlign w:val="center"/>
          </w:tcPr>
          <w:p w14:paraId="390BF0C0">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824" w:type="dxa"/>
            <w:noWrap/>
            <w:vAlign w:val="center"/>
          </w:tcPr>
          <w:p w14:paraId="269359E0">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浙江国际招投标有限公司</w:t>
            </w:r>
          </w:p>
        </w:tc>
      </w:tr>
      <w:tr w14:paraId="75EB19BE">
        <w:tblPrEx>
          <w:tblCellMar>
            <w:top w:w="0" w:type="dxa"/>
            <w:left w:w="108" w:type="dxa"/>
            <w:bottom w:w="0" w:type="dxa"/>
            <w:right w:w="108" w:type="dxa"/>
          </w:tblCellMar>
        </w:tblPrEx>
        <w:trPr>
          <w:trHeight w:val="462" w:hRule="atLeast"/>
          <w:jc w:val="center"/>
        </w:trPr>
        <w:tc>
          <w:tcPr>
            <w:tcW w:w="2160" w:type="dxa"/>
            <w:noWrap/>
            <w:vAlign w:val="center"/>
          </w:tcPr>
          <w:p w14:paraId="1D6BAD4C">
            <w:pPr>
              <w:snapToGrid w:val="0"/>
              <w:jc w:val="distribute"/>
              <w:rPr>
                <w:rFonts w:hint="eastAsia" w:ascii="仿宋" w:hAnsi="仿宋" w:eastAsia="仿宋" w:cs="仿宋"/>
                <w:b/>
                <w:color w:val="auto"/>
                <w:sz w:val="30"/>
                <w:szCs w:val="30"/>
                <w:highlight w:val="none"/>
              </w:rPr>
            </w:pPr>
          </w:p>
        </w:tc>
        <w:tc>
          <w:tcPr>
            <w:tcW w:w="260" w:type="dxa"/>
            <w:noWrap/>
            <w:vAlign w:val="center"/>
          </w:tcPr>
          <w:p w14:paraId="67B618EF">
            <w:pPr>
              <w:snapToGrid w:val="0"/>
              <w:jc w:val="distribute"/>
              <w:rPr>
                <w:rFonts w:hint="eastAsia" w:ascii="仿宋" w:hAnsi="仿宋" w:eastAsia="仿宋" w:cs="仿宋"/>
                <w:b/>
                <w:color w:val="auto"/>
                <w:sz w:val="30"/>
                <w:szCs w:val="30"/>
                <w:highlight w:val="none"/>
              </w:rPr>
            </w:pPr>
          </w:p>
        </w:tc>
        <w:tc>
          <w:tcPr>
            <w:tcW w:w="3824" w:type="dxa"/>
            <w:noWrap/>
            <w:vAlign w:val="center"/>
          </w:tcPr>
          <w:p w14:paraId="1082FF47">
            <w:pPr>
              <w:snapToGrid w:val="0"/>
              <w:jc w:val="distribute"/>
              <w:rPr>
                <w:rFonts w:hint="eastAsia" w:ascii="仿宋" w:hAnsi="仿宋" w:eastAsia="仿宋" w:cs="仿宋"/>
                <w:b/>
                <w:color w:val="auto"/>
                <w:sz w:val="30"/>
                <w:szCs w:val="30"/>
                <w:highlight w:val="none"/>
              </w:rPr>
            </w:pPr>
          </w:p>
        </w:tc>
      </w:tr>
      <w:tr w14:paraId="4438D1BA">
        <w:tblPrEx>
          <w:tblCellMar>
            <w:top w:w="0" w:type="dxa"/>
            <w:left w:w="108" w:type="dxa"/>
            <w:bottom w:w="0" w:type="dxa"/>
            <w:right w:w="108" w:type="dxa"/>
          </w:tblCellMar>
        </w:tblPrEx>
        <w:trPr>
          <w:trHeight w:val="680" w:hRule="atLeast"/>
          <w:jc w:val="center"/>
        </w:trPr>
        <w:tc>
          <w:tcPr>
            <w:tcW w:w="6244" w:type="dxa"/>
            <w:gridSpan w:val="3"/>
            <w:noWrap/>
            <w:vAlign w:val="bottom"/>
          </w:tcPr>
          <w:p w14:paraId="5B791192">
            <w:pPr>
              <w:snapToGrid w:val="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202</w:t>
            </w: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08</w:t>
            </w:r>
            <w:r>
              <w:rPr>
                <w:rFonts w:hint="eastAsia" w:ascii="仿宋" w:hAnsi="仿宋" w:eastAsia="仿宋" w:cs="仿宋"/>
                <w:b/>
                <w:color w:val="auto"/>
                <w:sz w:val="30"/>
                <w:szCs w:val="30"/>
                <w:highlight w:val="none"/>
              </w:rPr>
              <w:t>月</w:t>
            </w:r>
          </w:p>
        </w:tc>
      </w:tr>
    </w:tbl>
    <w:p w14:paraId="4544EBA5">
      <w:pPr>
        <w:pStyle w:val="28"/>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48"/>
          <w:szCs w:val="48"/>
          <w:highlight w:val="none"/>
        </w:rPr>
        <w:br w:type="page"/>
      </w:r>
      <w:r>
        <w:rPr>
          <w:rFonts w:hint="eastAsia" w:ascii="仿宋" w:hAnsi="仿宋" w:eastAsia="仿宋" w:cs="仿宋"/>
          <w:b/>
          <w:color w:val="auto"/>
          <w:sz w:val="32"/>
          <w:szCs w:val="32"/>
          <w:highlight w:val="none"/>
        </w:rPr>
        <w:t>目    录</w:t>
      </w:r>
    </w:p>
    <w:p w14:paraId="1B39BEC9">
      <w:pPr>
        <w:pStyle w:val="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aps w:val="0"/>
          <w:color w:val="auto"/>
          <w:sz w:val="21"/>
          <w:szCs w:val="21"/>
          <w:highlight w:val="none"/>
        </w:rPr>
        <w:fldChar w:fldCharType="begin"/>
      </w:r>
      <w:r>
        <w:rPr>
          <w:rFonts w:hint="eastAsia" w:ascii="仿宋" w:hAnsi="仿宋" w:eastAsia="仿宋" w:cs="仿宋"/>
          <w:b/>
          <w:caps w:val="0"/>
          <w:color w:val="auto"/>
          <w:sz w:val="21"/>
          <w:szCs w:val="21"/>
          <w:highlight w:val="none"/>
        </w:rPr>
        <w:instrText xml:space="preserve"> TOC \o "1-2" \u </w:instrText>
      </w:r>
      <w:r>
        <w:rPr>
          <w:rFonts w:hint="eastAsia" w:ascii="仿宋" w:hAnsi="仿宋" w:eastAsia="仿宋" w:cs="仿宋"/>
          <w:b/>
          <w:caps w:val="0"/>
          <w:color w:val="auto"/>
          <w:sz w:val="21"/>
          <w:szCs w:val="21"/>
          <w:highlight w:val="none"/>
        </w:rPr>
        <w:fldChar w:fldCharType="separate"/>
      </w:r>
      <w:r>
        <w:rPr>
          <w:rFonts w:hint="eastAsia" w:ascii="仿宋" w:hAnsi="仿宋" w:eastAsia="仿宋" w:cs="仿宋"/>
          <w:color w:val="auto"/>
          <w:sz w:val="24"/>
          <w:szCs w:val="40"/>
          <w:highlight w:val="none"/>
        </w:rPr>
        <w:t>第一部分  采购公告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_Toc13451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fldChar w:fldCharType="end"/>
      </w:r>
    </w:p>
    <w:p w14:paraId="08A3B55D">
      <w:pPr>
        <w:pStyle w:val="40"/>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ind w:left="0" w:leftChars="0" w:firstLine="264" w:firstLineChars="1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0"/>
          <w:highlight w:val="none"/>
        </w:rPr>
        <w:t>前 附 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_Toc1014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fldChar w:fldCharType="end"/>
      </w:r>
    </w:p>
    <w:p w14:paraId="61A5F75E">
      <w:pPr>
        <w:pStyle w:val="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0"/>
          <w:highlight w:val="none"/>
        </w:rPr>
        <w:t>第二部分  投标须知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_Toc28292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rPr>
        <w:fldChar w:fldCharType="end"/>
      </w:r>
    </w:p>
    <w:p w14:paraId="0AA2E69E">
      <w:pPr>
        <w:pStyle w:val="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0"/>
          <w:highlight w:val="none"/>
        </w:rPr>
        <w:t>第三部分  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_Toc11107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rPr>
        <w:fldChar w:fldCharType="end"/>
      </w:r>
    </w:p>
    <w:p w14:paraId="4BF92740">
      <w:pPr>
        <w:pStyle w:val="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0"/>
          <w:highlight w:val="none"/>
        </w:rPr>
        <w:t>第四部分  评标办法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_Toc25398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p>
    <w:p w14:paraId="4B6AE201">
      <w:pPr>
        <w:pStyle w:val="40"/>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ind w:left="0" w:leftChars="0" w:firstLine="264" w:firstLineChars="1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36"/>
          <w:highlight w:val="none"/>
        </w:rPr>
        <w:t>评标办法前附表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_Toc11969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p>
    <w:p w14:paraId="2585D74F">
      <w:pPr>
        <w:pStyle w:val="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0"/>
          <w:highlight w:val="none"/>
        </w:rPr>
        <w:t>第五部分  合同条款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_Toc2880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rPr>
        <w:fldChar w:fldCharType="end"/>
      </w:r>
    </w:p>
    <w:p w14:paraId="0E514CA2">
      <w:pPr>
        <w:pStyle w:val="2"/>
        <w:keepNext w:val="0"/>
        <w:keepLines w:val="0"/>
        <w:pageBreakBefore w:val="0"/>
        <w:widowControl w:val="0"/>
        <w:tabs>
          <w:tab w:val="right" w:leader="dot" w:pos="8306"/>
          <w:tab w:val="clear" w:pos="8720"/>
        </w:tabs>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sz w:val="24"/>
          <w:szCs w:val="40"/>
          <w:highlight w:val="none"/>
        </w:rPr>
        <w:t>第六部分  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_Toc21370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54</w:t>
      </w:r>
      <w:r>
        <w:rPr>
          <w:rFonts w:hint="eastAsia" w:ascii="仿宋" w:hAnsi="仿宋" w:eastAsia="仿宋" w:cs="仿宋"/>
          <w:color w:val="auto"/>
          <w:sz w:val="24"/>
          <w:szCs w:val="24"/>
          <w:highlight w:val="none"/>
        </w:rPr>
        <w:fldChar w:fldCharType="end"/>
      </w:r>
    </w:p>
    <w:p w14:paraId="49D5614E">
      <w:pPr>
        <w:pStyle w:val="40"/>
        <w:tabs>
          <w:tab w:val="right" w:leader="dot" w:pos="8306"/>
          <w:tab w:val="clear" w:pos="8720"/>
        </w:tabs>
        <w:rPr>
          <w:rFonts w:hint="eastAsia" w:ascii="仿宋" w:hAnsi="仿宋" w:eastAsia="仿宋" w:cs="仿宋"/>
          <w:color w:val="auto"/>
          <w:highlight w:val="none"/>
        </w:rPr>
      </w:pPr>
    </w:p>
    <w:p w14:paraId="4A88E7DD">
      <w:pPr>
        <w:pStyle w:val="2"/>
        <w:tabs>
          <w:tab w:val="right" w:leader="dot" w:pos="8306"/>
          <w:tab w:val="clear" w:pos="8720"/>
        </w:tabs>
        <w:rPr>
          <w:rFonts w:hint="eastAsia" w:ascii="仿宋" w:hAnsi="仿宋" w:eastAsia="仿宋" w:cs="仿宋"/>
          <w:color w:val="auto"/>
          <w:highlight w:val="none"/>
        </w:rPr>
      </w:pPr>
    </w:p>
    <w:p w14:paraId="6D669C01">
      <w:pPr>
        <w:jc w:val="center"/>
        <w:rPr>
          <w:rFonts w:hint="eastAsia" w:ascii="仿宋" w:hAnsi="仿宋" w:eastAsia="仿宋" w:cs="仿宋"/>
          <w:color w:val="auto"/>
          <w:szCs w:val="21"/>
          <w:highlight w:val="none"/>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仿宋" w:hAnsi="仿宋" w:eastAsia="仿宋" w:cs="仿宋"/>
          <w:color w:val="auto"/>
          <w:szCs w:val="21"/>
          <w:highlight w:val="none"/>
        </w:rPr>
        <w:fldChar w:fldCharType="end"/>
      </w:r>
    </w:p>
    <w:p w14:paraId="51BFB739">
      <w:pPr>
        <w:adjustRightInd w:val="0"/>
        <w:snapToGrid w:val="0"/>
        <w:spacing w:before="120" w:beforeLines="50" w:after="120" w:afterLines="50" w:line="360" w:lineRule="auto"/>
        <w:jc w:val="center"/>
        <w:outlineLvl w:val="0"/>
        <w:rPr>
          <w:rFonts w:hint="eastAsia" w:ascii="仿宋" w:hAnsi="仿宋" w:eastAsia="仿宋" w:cs="仿宋"/>
          <w:b/>
          <w:color w:val="auto"/>
          <w:sz w:val="30"/>
          <w:szCs w:val="30"/>
          <w:highlight w:val="none"/>
        </w:rPr>
      </w:pPr>
      <w:bookmarkStart w:id="0" w:name="_Toc13451"/>
      <w:bookmarkStart w:id="1" w:name="_Toc21665"/>
      <w:r>
        <w:rPr>
          <w:rFonts w:hint="eastAsia" w:ascii="仿宋" w:hAnsi="仿宋" w:eastAsia="仿宋" w:cs="仿宋"/>
          <w:b/>
          <w:color w:val="auto"/>
          <w:sz w:val="30"/>
          <w:szCs w:val="30"/>
          <w:highlight w:val="none"/>
        </w:rPr>
        <w:t>第一部分  采购公告</w:t>
      </w:r>
      <w:bookmarkEnd w:id="0"/>
      <w:bookmarkEnd w:id="1"/>
    </w:p>
    <w:p w14:paraId="6284EB45">
      <w:pPr>
        <w:pBdr>
          <w:top w:val="single" w:color="auto" w:sz="4" w:space="1"/>
          <w:left w:val="single" w:color="auto" w:sz="4" w:space="0"/>
          <w:bottom w:val="single" w:color="auto" w:sz="4" w:space="3"/>
          <w:right w:val="single" w:color="auto" w:sz="4" w:space="4"/>
        </w:pBd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项目概况                                                    </w:t>
      </w:r>
    </w:p>
    <w:p w14:paraId="2C3A755C">
      <w:pPr>
        <w:pBdr>
          <w:top w:val="single" w:color="auto" w:sz="4" w:space="1"/>
          <w:left w:val="single" w:color="auto" w:sz="4" w:space="0"/>
          <w:bottom w:val="single" w:color="auto" w:sz="4" w:space="3"/>
          <w:right w:val="single" w:color="auto" w:sz="4" w:space="4"/>
        </w:pBd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白杨街道综合执法辅助服务项目（</w:t>
      </w:r>
      <w:r>
        <w:rPr>
          <w:rFonts w:hint="eastAsia" w:ascii="仿宋" w:hAnsi="仿宋" w:eastAsia="仿宋" w:cs="仿宋"/>
          <w:color w:val="auto"/>
          <w:kern w:val="0"/>
          <w:sz w:val="24"/>
          <w:highlight w:val="none"/>
          <w:lang w:val="en-US" w:eastAsia="zh-CN"/>
        </w:rPr>
        <w:t>2024-2025年</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招标项目的潜在投标人应在政采云平台线上获取（下载）招标文件，并于 </w:t>
      </w:r>
      <w:r>
        <w:rPr>
          <w:rFonts w:hint="eastAsia" w:ascii="仿宋" w:hAnsi="仿宋" w:eastAsia="仿宋" w:cs="仿宋"/>
          <w:color w:val="auto"/>
          <w:kern w:val="0"/>
          <w:sz w:val="24"/>
          <w:highlight w:val="none"/>
          <w:lang w:eastAsia="zh-CN"/>
        </w:rPr>
        <w:t>2024年</w:t>
      </w:r>
      <w:r>
        <w:rPr>
          <w:rFonts w:hint="eastAsia" w:ascii="仿宋" w:hAnsi="仿宋" w:eastAsia="仿宋" w:cs="仿宋"/>
          <w:color w:val="auto"/>
          <w:kern w:val="0"/>
          <w:sz w:val="24"/>
          <w:highlight w:val="none"/>
          <w:lang w:val="en-US" w:eastAsia="zh-CN"/>
        </w:rPr>
        <w:t>09月14日</w:t>
      </w:r>
      <w:r>
        <w:rPr>
          <w:rFonts w:hint="eastAsia" w:ascii="仿宋" w:hAnsi="仿宋" w:eastAsia="仿宋" w:cs="仿宋"/>
          <w:color w:val="auto"/>
          <w:kern w:val="0"/>
          <w:sz w:val="24"/>
          <w:highlight w:val="none"/>
        </w:rPr>
        <w:t xml:space="preserve"> 09:30（北京时间）前递交（上传）投标文件。      </w:t>
      </w:r>
    </w:p>
    <w:p w14:paraId="1ED53EFD">
      <w:pPr>
        <w:pStyle w:val="44"/>
        <w:adjustRightInd w:val="0"/>
        <w:snapToGrid w:val="0"/>
        <w:spacing w:beforeAutospacing="0" w:afterAutospacing="0" w:line="360" w:lineRule="auto"/>
        <w:jc w:val="both"/>
        <w:rPr>
          <w:rFonts w:hint="eastAsia" w:ascii="仿宋" w:hAnsi="仿宋" w:eastAsia="仿宋" w:cs="仿宋"/>
          <w:color w:val="auto"/>
          <w:sz w:val="24"/>
          <w:szCs w:val="24"/>
          <w:highlight w:val="none"/>
        </w:rPr>
      </w:pPr>
    </w:p>
    <w:p w14:paraId="20EEB42F">
      <w:pPr>
        <w:pStyle w:val="44"/>
        <w:adjustRightInd w:val="0"/>
        <w:snapToGrid w:val="0"/>
        <w:spacing w:beforeAutospacing="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一、项目基本情况</w:t>
      </w:r>
    </w:p>
    <w:p w14:paraId="264ABB8E">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QTCG-GK-2024-184</w:t>
      </w:r>
    </w:p>
    <w:p w14:paraId="48C9F5E4">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白杨街道综合执法辅助服务项目（</w:t>
      </w:r>
      <w:r>
        <w:rPr>
          <w:rFonts w:hint="eastAsia" w:ascii="仿宋" w:hAnsi="仿宋" w:eastAsia="仿宋" w:cs="仿宋"/>
          <w:color w:val="auto"/>
          <w:sz w:val="24"/>
          <w:szCs w:val="24"/>
          <w:highlight w:val="none"/>
          <w:lang w:val="en-US" w:eastAsia="zh-CN"/>
        </w:rPr>
        <w:t>2024-2025年</w:t>
      </w:r>
      <w:r>
        <w:rPr>
          <w:rFonts w:hint="eastAsia" w:ascii="仿宋" w:hAnsi="仿宋" w:eastAsia="仿宋" w:cs="仿宋"/>
          <w:color w:val="auto"/>
          <w:sz w:val="24"/>
          <w:szCs w:val="24"/>
          <w:highlight w:val="none"/>
          <w:lang w:eastAsia="zh-CN"/>
        </w:rPr>
        <w:t>）</w:t>
      </w:r>
    </w:p>
    <w:p w14:paraId="6F7D2203">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1470000</w:t>
      </w:r>
    </w:p>
    <w:p w14:paraId="016A30FA">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w:t>
      </w:r>
    </w:p>
    <w:p w14:paraId="6D011B39">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采购需求：</w:t>
      </w:r>
    </w:p>
    <w:p w14:paraId="081AE0FD">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p>
    <w:p w14:paraId="0CBA4953">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白杨街道综合执法辅助服务项目（</w:t>
      </w:r>
      <w:r>
        <w:rPr>
          <w:rFonts w:hint="eastAsia" w:ascii="仿宋" w:hAnsi="仿宋" w:eastAsia="仿宋" w:cs="仿宋"/>
          <w:color w:val="auto"/>
          <w:sz w:val="24"/>
          <w:szCs w:val="24"/>
          <w:highlight w:val="none"/>
          <w:lang w:val="en-US" w:eastAsia="zh-CN"/>
        </w:rPr>
        <w:t>2024-2025年</w:t>
      </w:r>
      <w:r>
        <w:rPr>
          <w:rFonts w:hint="eastAsia" w:ascii="仿宋" w:hAnsi="仿宋" w:eastAsia="仿宋" w:cs="仿宋"/>
          <w:color w:val="auto"/>
          <w:sz w:val="24"/>
          <w:szCs w:val="24"/>
          <w:highlight w:val="none"/>
          <w:lang w:eastAsia="zh-CN"/>
        </w:rPr>
        <w:t>）</w:t>
      </w:r>
    </w:p>
    <w:p w14:paraId="60C330CA">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中小企业政策： 中小企业预留</w:t>
      </w:r>
    </w:p>
    <w:p w14:paraId="60B4EC78">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不限</w:t>
      </w:r>
    </w:p>
    <w:p w14:paraId="16933427">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预算金额（元）: </w:t>
      </w:r>
      <w:r>
        <w:rPr>
          <w:rFonts w:hint="eastAsia" w:ascii="仿宋" w:hAnsi="仿宋" w:eastAsia="仿宋" w:cs="仿宋"/>
          <w:color w:val="auto"/>
          <w:sz w:val="24"/>
          <w:szCs w:val="24"/>
          <w:highlight w:val="none"/>
          <w:lang w:val="en-US" w:eastAsia="zh-CN"/>
        </w:rPr>
        <w:t>1470000</w:t>
      </w:r>
    </w:p>
    <w:p w14:paraId="5B4308B1">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简要规格描述或项目基本概况介绍、用途：为进一步提高街道综合行政执法效率，提升基层治理能力和公共服务水平，</w:t>
      </w:r>
      <w:bookmarkStart w:id="174" w:name="_GoBack"/>
      <w:r>
        <w:rPr>
          <w:rFonts w:hint="eastAsia" w:ascii="仿宋" w:hAnsi="仿宋" w:eastAsia="仿宋" w:cs="仿宋"/>
          <w:color w:val="auto"/>
          <w:sz w:val="24"/>
          <w:szCs w:val="24"/>
          <w:highlight w:val="none"/>
        </w:rPr>
        <w:t>预计采购综合执法辅助服务外包</w:t>
      </w:r>
      <w:bookmarkEnd w:id="174"/>
      <w:r>
        <w:rPr>
          <w:rFonts w:hint="eastAsia" w:ascii="仿宋" w:hAnsi="仿宋" w:eastAsia="仿宋" w:cs="仿宋"/>
          <w:color w:val="auto"/>
          <w:sz w:val="24"/>
          <w:szCs w:val="24"/>
          <w:highlight w:val="none"/>
        </w:rPr>
        <w:t>，配合街道综合行政执法队开展燃气安全检查、建筑工地常态化管控、餐饮油烟整治、交通隐患治理、超限整治、渣土整治及省市区各级领导检查等各类重点工作和活动保障，为查处综合执法领域各类违法行为提供辅助服务</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供应商可点击本公告下方“浏览采购文件”查看采购需求。</w:t>
      </w:r>
    </w:p>
    <w:p w14:paraId="436FA854">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05B799C6">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p>
    <w:p w14:paraId="45D79685">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合同履约期限：标项 1，</w:t>
      </w:r>
      <w:r>
        <w:rPr>
          <w:rFonts w:hint="eastAsia" w:ascii="仿宋" w:hAnsi="仿宋" w:eastAsia="仿宋" w:cs="仿宋"/>
          <w:color w:val="auto"/>
          <w:sz w:val="24"/>
          <w:szCs w:val="24"/>
          <w:highlight w:val="none"/>
          <w:lang w:val="en-US" w:eastAsia="zh-CN"/>
        </w:rPr>
        <w:t>整体服务期为1年，具体以合同时间为准。</w:t>
      </w:r>
    </w:p>
    <w:p w14:paraId="21A65592">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本项目（是）接受联合体投标。</w:t>
      </w:r>
    </w:p>
    <w:p w14:paraId="4FF14333">
      <w:pPr>
        <w:pStyle w:val="44"/>
        <w:adjustRightInd w:val="0"/>
        <w:snapToGrid w:val="0"/>
        <w:spacing w:beforeAutospacing="0" w:afterAutospacing="0"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14:paraId="7E9635DD">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CADE336">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r>
        <w:rPr>
          <w:rFonts w:hint="eastAsia" w:ascii="仿宋" w:hAnsi="仿宋" w:eastAsia="仿宋" w:cs="仿宋"/>
          <w:snapToGrid w:val="0"/>
          <w:color w:val="auto"/>
          <w:kern w:val="28"/>
          <w:sz w:val="24"/>
          <w:szCs w:val="20"/>
          <w:highlight w:val="none"/>
          <w:lang w:val="en-US" w:eastAsia="zh-CN"/>
        </w:rPr>
        <w:t>标项1：</w:t>
      </w:r>
      <w:r>
        <w:rPr>
          <w:rFonts w:hint="eastAsia" w:ascii="仿宋" w:hAnsi="仿宋" w:eastAsia="仿宋" w:cs="仿宋"/>
          <w:color w:val="auto"/>
          <w:sz w:val="24"/>
          <w:highlight w:val="none"/>
        </w:rPr>
        <w:t>服务全部由符合政策要求的中小企业承接，提供中小企业声明函</w:t>
      </w:r>
      <w:r>
        <w:rPr>
          <w:rFonts w:hint="eastAsia" w:ascii="仿宋" w:hAnsi="仿宋" w:eastAsia="仿宋" w:cs="仿宋"/>
          <w:snapToGrid w:val="0"/>
          <w:color w:val="auto"/>
          <w:kern w:val="28"/>
          <w:sz w:val="24"/>
          <w:szCs w:val="20"/>
          <w:highlight w:val="none"/>
        </w:rPr>
        <w:t>。</w:t>
      </w:r>
    </w:p>
    <w:p w14:paraId="0CB65F47">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3.本项目的特定资格要求：</w:t>
      </w:r>
      <w:r>
        <w:rPr>
          <w:rFonts w:hint="eastAsia" w:ascii="仿宋" w:hAnsi="仿宋" w:eastAsia="仿宋" w:cs="仿宋"/>
          <w:snapToGrid w:val="0"/>
          <w:color w:val="auto"/>
          <w:kern w:val="28"/>
          <w:sz w:val="24"/>
          <w:szCs w:val="20"/>
          <w:highlight w:val="none"/>
          <w:lang w:val="en-US" w:eastAsia="zh-CN"/>
        </w:rPr>
        <w:t>标项1：</w:t>
      </w:r>
      <w:r>
        <w:rPr>
          <w:rFonts w:hint="eastAsia" w:ascii="仿宋" w:hAnsi="仿宋" w:eastAsia="仿宋" w:cs="仿宋"/>
          <w:snapToGrid w:val="0"/>
          <w:color w:val="auto"/>
          <w:kern w:val="28"/>
          <w:sz w:val="24"/>
          <w:szCs w:val="20"/>
          <w:highlight w:val="none"/>
        </w:rPr>
        <w:t>具有相关行政主管部门颁发的有效的保安服务许可证</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法规依据为《保安服务管理条例》</w:t>
      </w:r>
      <w:r>
        <w:rPr>
          <w:rFonts w:hint="eastAsia" w:ascii="仿宋" w:hAnsi="仿宋" w:eastAsia="仿宋" w:cs="仿宋"/>
          <w:snapToGrid w:val="0"/>
          <w:color w:val="auto"/>
          <w:kern w:val="28"/>
          <w:sz w:val="24"/>
          <w:szCs w:val="20"/>
          <w:highlight w:val="none"/>
        </w:rPr>
        <w:t>。</w:t>
      </w:r>
    </w:p>
    <w:p w14:paraId="2B5FA7C0">
      <w:pPr>
        <w:pStyle w:val="44"/>
        <w:adjustRightInd w:val="0"/>
        <w:snapToGrid w:val="0"/>
        <w:spacing w:beforeAutospacing="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三、获取招标文件</w:t>
      </w:r>
    </w:p>
    <w:p w14:paraId="3E88AAD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09月14日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B82B41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rPr>
        <w:t>政采云平台线上获取</w:t>
      </w:r>
      <w:r>
        <w:rPr>
          <w:rFonts w:hint="eastAsia" w:ascii="仿宋" w:hAnsi="仿宋" w:eastAsia="仿宋" w:cs="仿宋"/>
          <w:color w:val="auto"/>
          <w:sz w:val="24"/>
          <w:highlight w:val="none"/>
        </w:rPr>
        <w:t xml:space="preserve"> </w:t>
      </w:r>
    </w:p>
    <w:p w14:paraId="24444D3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7DF293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6B4221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13371F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09月14日</w:t>
      </w:r>
      <w:r>
        <w:rPr>
          <w:rFonts w:hint="eastAsia" w:ascii="仿宋" w:hAnsi="仿宋" w:eastAsia="仿宋" w:cs="仿宋"/>
          <w:color w:val="auto"/>
          <w:sz w:val="24"/>
          <w:highlight w:val="none"/>
          <w:u w:val="single"/>
        </w:rPr>
        <w:t>09:30</w:t>
      </w:r>
      <w:r>
        <w:rPr>
          <w:rFonts w:hint="eastAsia" w:ascii="仿宋" w:hAnsi="仿宋" w:eastAsia="仿宋" w:cs="仿宋"/>
          <w:color w:val="auto"/>
          <w:sz w:val="24"/>
          <w:highlight w:val="none"/>
        </w:rPr>
        <w:t>（北京时间）</w:t>
      </w:r>
    </w:p>
    <w:p w14:paraId="4F96FB2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投标地点（网址）：请登录政采云投标客户端投标</w:t>
      </w:r>
      <w:r>
        <w:rPr>
          <w:rFonts w:hint="eastAsia" w:ascii="仿宋" w:hAnsi="仿宋" w:eastAsia="仿宋" w:cs="仿宋"/>
          <w:color w:val="auto"/>
          <w:sz w:val="24"/>
          <w:highlight w:val="none"/>
        </w:rPr>
        <w:t xml:space="preserve"> </w:t>
      </w:r>
    </w:p>
    <w:p w14:paraId="3142E222">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09月14日</w:t>
      </w:r>
      <w:r>
        <w:rPr>
          <w:rFonts w:hint="eastAsia" w:ascii="仿宋" w:hAnsi="仿宋" w:eastAsia="仿宋" w:cs="仿宋"/>
          <w:color w:val="auto"/>
          <w:sz w:val="24"/>
          <w:highlight w:val="none"/>
          <w:u w:val="single"/>
        </w:rPr>
        <w:t>09:30</w:t>
      </w:r>
    </w:p>
    <w:p w14:paraId="3AEBCA3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2074A61">
      <w:pPr>
        <w:spacing w:line="360" w:lineRule="auto"/>
        <w:ind w:firstLine="1446" w:firstLineChars="600"/>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（线下）：</w:t>
      </w:r>
      <w:r>
        <w:rPr>
          <w:rFonts w:hint="eastAsia" w:ascii="仿宋" w:hAnsi="仿宋" w:eastAsia="仿宋" w:cs="仿宋"/>
          <w:color w:val="auto"/>
          <w:sz w:val="24"/>
          <w:highlight w:val="none"/>
          <w:lang w:val="en-US" w:eastAsia="zh-CN"/>
        </w:rPr>
        <w:t>杭州市钱塘区金沙大道600号东楼6楼3号开标室</w:t>
      </w:r>
    </w:p>
    <w:p w14:paraId="4255F33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14:paraId="4029C029">
      <w:pPr>
        <w:spacing w:line="360" w:lineRule="auto"/>
        <w:ind w:firstLine="400" w:firstLineChars="200"/>
        <w:rPr>
          <w:rStyle w:val="56"/>
          <w:rFonts w:hint="eastAsia" w:ascii="仿宋" w:hAnsi="仿宋" w:eastAsia="仿宋" w:cs="仿宋"/>
          <w:color w:val="auto"/>
          <w:sz w:val="20"/>
          <w:szCs w:val="20"/>
          <w:highlight w:val="none"/>
          <w:lang w:eastAsia="zh-CN"/>
        </w:rPr>
      </w:pPr>
      <w:r>
        <w:rPr>
          <w:rStyle w:val="56"/>
          <w:rFonts w:hint="eastAsia" w:ascii="仿宋" w:hAnsi="仿宋" w:eastAsia="仿宋" w:cs="仿宋"/>
          <w:color w:val="auto"/>
          <w:sz w:val="20"/>
          <w:szCs w:val="20"/>
          <w:highlight w:val="none"/>
          <w:lang w:eastAsia="zh-CN"/>
        </w:rPr>
        <w:fldChar w:fldCharType="begin"/>
      </w:r>
      <w:r>
        <w:rPr>
          <w:rStyle w:val="56"/>
          <w:rFonts w:hint="eastAsia" w:ascii="仿宋" w:hAnsi="仿宋" w:eastAsia="仿宋" w:cs="仿宋"/>
          <w:color w:val="auto"/>
          <w:sz w:val="20"/>
          <w:szCs w:val="20"/>
          <w:highlight w:val="none"/>
          <w:lang w:eastAsia="zh-CN"/>
        </w:rPr>
        <w:instrText xml:space="preserve"> HYPERLINK "https://zfcg.czt.zj.gov.cn/luban/detail?parentId=600007&amp;articleId=bIIsdqssRo+GBahTXKW16g==&amp;utm=app-announcement-front.124d4c4f.0.0.34748030338211ef9da0912feeb84f47，" </w:instrText>
      </w:r>
      <w:r>
        <w:rPr>
          <w:rStyle w:val="56"/>
          <w:rFonts w:hint="eastAsia" w:ascii="仿宋" w:hAnsi="仿宋" w:eastAsia="仿宋" w:cs="仿宋"/>
          <w:color w:val="auto"/>
          <w:sz w:val="20"/>
          <w:szCs w:val="20"/>
          <w:highlight w:val="none"/>
          <w:lang w:eastAsia="zh-CN"/>
        </w:rPr>
        <w:fldChar w:fldCharType="separate"/>
      </w:r>
      <w:r>
        <w:rPr>
          <w:rStyle w:val="56"/>
          <w:rFonts w:hint="eastAsia" w:ascii="仿宋" w:hAnsi="仿宋" w:eastAsia="仿宋" w:cs="仿宋"/>
          <w:color w:val="auto"/>
          <w:sz w:val="20"/>
          <w:szCs w:val="20"/>
          <w:highlight w:val="none"/>
          <w:lang w:eastAsia="zh-CN"/>
        </w:rPr>
        <w:t>https://zfcg.czt.zj.gov.cn/luban/detail?parentId=600007&amp;articleId=bIIsdqssRo+GBahTXKW16g==&amp;utm=app-announcement-front.124d4c4f.0.0.34748030338211ef9da0912feeb84f47，</w:t>
      </w:r>
      <w:r>
        <w:rPr>
          <w:rStyle w:val="56"/>
          <w:rFonts w:hint="eastAsia" w:ascii="仿宋" w:hAnsi="仿宋" w:eastAsia="仿宋" w:cs="仿宋"/>
          <w:color w:val="auto"/>
          <w:sz w:val="20"/>
          <w:szCs w:val="20"/>
          <w:highlight w:val="none"/>
          <w:lang w:eastAsia="zh-CN"/>
        </w:rPr>
        <w:fldChar w:fldCharType="end"/>
      </w:r>
    </w:p>
    <w:p w14:paraId="34A9A3C7">
      <w:pPr>
        <w:spacing w:line="360" w:lineRule="auto"/>
        <w:ind w:firstLine="400" w:firstLineChars="200"/>
        <w:rPr>
          <w:rStyle w:val="56"/>
          <w:rFonts w:hint="eastAsia" w:ascii="仿宋" w:hAnsi="仿宋" w:eastAsia="仿宋" w:cs="仿宋"/>
          <w:color w:val="auto"/>
          <w:sz w:val="20"/>
          <w:szCs w:val="20"/>
          <w:highlight w:val="none"/>
          <w:lang w:eastAsia="zh-CN"/>
        </w:rPr>
      </w:pPr>
      <w:r>
        <w:rPr>
          <w:rStyle w:val="56"/>
          <w:rFonts w:hint="eastAsia" w:ascii="仿宋" w:hAnsi="仿宋" w:eastAsia="仿宋" w:cs="仿宋"/>
          <w:color w:val="auto"/>
          <w:sz w:val="20"/>
          <w:szCs w:val="20"/>
          <w:highlight w:val="none"/>
          <w:lang w:eastAsia="zh-CN"/>
        </w:rPr>
        <w:t>https://zfcg.czt.zj.gov.cn/luban/detail?parentId=600007&amp;articleId=bIIsdqssRo+GBahTXKW16g==&amp;utm=app-announcement-front.124d4c4f.0.0.34748030338211ef9da0912feeb84f47</w:t>
      </w:r>
    </w:p>
    <w:p w14:paraId="714B0844">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430A49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3ECCDF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35E639C4">
      <w:pPr>
        <w:pStyle w:val="44"/>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6920F74C">
      <w:pPr>
        <w:pStyle w:val="44"/>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8B96F7">
      <w:pPr>
        <w:pStyle w:val="44"/>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62B61A">
      <w:pPr>
        <w:pStyle w:val="44"/>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p>
    <w:p w14:paraId="422B1571">
      <w:pPr>
        <w:pStyle w:val="44"/>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p>
    <w:p w14:paraId="4970C3A9">
      <w:pPr>
        <w:pStyle w:val="44"/>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5C31854C">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szCs w:val="24"/>
          <w:highlight w:val="none"/>
        </w:rPr>
        <w:t>钱塘区政府采购支持中小企业信用融资：</w:t>
      </w:r>
    </w:p>
    <w:p w14:paraId="7568DB41">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14:paraId="3706E695">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A.适用对象：在浙江“政采云”平台注册入库，并取得钱塘区政府采购合同的中小企业供应商。</w:t>
      </w:r>
    </w:p>
    <w:p w14:paraId="28CB9DD8">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B.相关信息获取方式：具体合作银行及联系方式详见采购文件。</w:t>
      </w:r>
      <w:r>
        <w:rPr>
          <w:rFonts w:hint="eastAsia" w:ascii="仿宋" w:hAnsi="仿宋" w:eastAsia="仿宋" w:cs="仿宋"/>
          <w:color w:val="auto"/>
          <w:sz w:val="24"/>
          <w:szCs w:val="24"/>
          <w:highlight w:val="none"/>
          <w:lang w:val="en-US" w:eastAsia="zh-CN"/>
        </w:rPr>
        <w:t>登陆</w:t>
      </w:r>
      <w:r>
        <w:rPr>
          <w:rFonts w:hint="eastAsia" w:ascii="仿宋" w:hAnsi="仿宋" w:eastAsia="仿宋" w:cs="仿宋"/>
          <w:color w:val="auto"/>
          <w:sz w:val="24"/>
          <w:szCs w:val="24"/>
          <w:highlight w:val="none"/>
        </w:rPr>
        <w:t>杭州钱塘区管理委员会官网（http://qt.hangzhou.gov.cn） “公告公示”专栏，可查看信用融资政策文件及各相关银行服务方案。</w:t>
      </w:r>
    </w:p>
    <w:p w14:paraId="75B34EB8">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申请方式和步骤：①供应商若有融资意向，需先与钱塘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14:paraId="25143468">
      <w:pPr>
        <w:pStyle w:val="44"/>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DE6411">
      <w:pPr>
        <w:pStyle w:val="44"/>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（5）本项目采购文件公告期限为本公告发布之日起5个工作日。</w:t>
      </w:r>
    </w:p>
    <w:p w14:paraId="28332586">
      <w:pPr>
        <w:pStyle w:val="44"/>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八、对本次采购提出询问、质疑、投诉，请按以下方式联系　　　</w:t>
      </w:r>
      <w:r>
        <w:rPr>
          <w:rFonts w:hint="eastAsia" w:ascii="仿宋" w:hAnsi="仿宋" w:eastAsia="仿宋" w:cs="仿宋"/>
          <w:color w:val="auto"/>
          <w:sz w:val="24"/>
          <w:szCs w:val="24"/>
          <w:highlight w:val="none"/>
        </w:rPr>
        <w:t>　　　　　　　　　</w:t>
      </w:r>
    </w:p>
    <w:p w14:paraId="06B73228">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1FC4F795">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名称：</w:t>
      </w:r>
      <w:r>
        <w:rPr>
          <w:rFonts w:hint="eastAsia" w:ascii="仿宋" w:hAnsi="仿宋" w:eastAsia="仿宋" w:cs="仿宋"/>
          <w:color w:val="auto"/>
          <w:sz w:val="24"/>
          <w:szCs w:val="24"/>
          <w:highlight w:val="none"/>
          <w:lang w:eastAsia="zh-CN"/>
        </w:rPr>
        <w:t>杭州市钱塘区人民政府白杨街道办事处</w:t>
      </w:r>
      <w:r>
        <w:rPr>
          <w:rFonts w:hint="eastAsia" w:ascii="仿宋" w:hAnsi="仿宋" w:eastAsia="仿宋" w:cs="仿宋"/>
          <w:color w:val="auto"/>
          <w:sz w:val="24"/>
          <w:szCs w:val="24"/>
          <w:highlight w:val="none"/>
        </w:rPr>
        <w:t>　　　　　　　　　</w:t>
      </w:r>
    </w:p>
    <w:p w14:paraId="6652A121">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地址：</w:t>
      </w:r>
      <w:r>
        <w:rPr>
          <w:rFonts w:hint="eastAsia" w:ascii="仿宋" w:hAnsi="仿宋" w:eastAsia="仿宋" w:cs="仿宋"/>
          <w:color w:val="auto"/>
          <w:sz w:val="24"/>
          <w:szCs w:val="24"/>
          <w:highlight w:val="none"/>
          <w:lang w:val="en-US" w:eastAsia="zh-CN"/>
        </w:rPr>
        <w:t>杭州市钱塘区4号大街17-6号</w:t>
      </w:r>
    </w:p>
    <w:p w14:paraId="37C901C3">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 </w:t>
      </w:r>
    </w:p>
    <w:p w14:paraId="6B4F62B1">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 xml:space="preserve">高海燕 </w:t>
      </w:r>
      <w:r>
        <w:rPr>
          <w:rFonts w:hint="eastAsia" w:ascii="仿宋" w:hAnsi="仿宋" w:eastAsia="仿宋" w:cs="仿宋"/>
          <w:color w:val="auto"/>
          <w:sz w:val="24"/>
          <w:szCs w:val="24"/>
          <w:highlight w:val="none"/>
        </w:rPr>
        <w:t>　　　　　　　</w:t>
      </w:r>
    </w:p>
    <w:p w14:paraId="2C4857F4">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项目联系方式（询</w:t>
      </w:r>
      <w:r>
        <w:rPr>
          <w:rFonts w:hint="eastAsia" w:ascii="仿宋" w:hAnsi="仿宋" w:eastAsia="仿宋" w:cs="仿宋"/>
          <w:color w:val="auto"/>
          <w:sz w:val="24"/>
          <w:szCs w:val="24"/>
          <w:highlight w:val="none"/>
          <w:lang w:val="en-US" w:eastAsia="zh-CN"/>
        </w:rPr>
        <w:t xml:space="preserve">问）：0571-86636397 </w:t>
      </w:r>
    </w:p>
    <w:p w14:paraId="400BF5F9">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质疑联系人：</w:t>
      </w:r>
      <w:r>
        <w:rPr>
          <w:rFonts w:hint="eastAsia" w:ascii="仿宋" w:hAnsi="仿宋" w:eastAsia="仿宋" w:cs="仿宋"/>
          <w:color w:val="auto"/>
          <w:sz w:val="24"/>
          <w:szCs w:val="24"/>
          <w:highlight w:val="none"/>
          <w:lang w:eastAsia="zh-CN"/>
        </w:rPr>
        <w:t>周俊铭</w:t>
      </w:r>
    </w:p>
    <w:p w14:paraId="6E65983D">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w:t>
      </w:r>
      <w:r>
        <w:rPr>
          <w:rFonts w:hint="eastAsia" w:ascii="仿宋" w:hAnsi="仿宋" w:eastAsia="仿宋" w:cs="仿宋"/>
          <w:color w:val="auto"/>
          <w:sz w:val="24"/>
          <w:szCs w:val="24"/>
          <w:highlight w:val="none"/>
          <w:lang w:val="en-US" w:eastAsia="zh-CN"/>
        </w:rPr>
        <w:t>：0571-85258525</w:t>
      </w:r>
      <w:r>
        <w:rPr>
          <w:rFonts w:hint="eastAsia" w:ascii="仿宋" w:hAnsi="仿宋" w:eastAsia="仿宋" w:cs="仿宋"/>
          <w:color w:val="auto"/>
          <w:sz w:val="24"/>
          <w:szCs w:val="24"/>
          <w:highlight w:val="none"/>
        </w:rPr>
        <w:t>（请通过以下路径在线提起质疑：政采云-项目采购-询问质疑投诉-质疑列表）　　　</w:t>
      </w:r>
    </w:p>
    <w:p w14:paraId="0E02817C">
      <w:pPr>
        <w:pStyle w:val="44"/>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5F6E06F7">
      <w:pPr>
        <w:pStyle w:val="44"/>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名称：浙江国际招投标有限公司 　　　　　　　　　　　</w:t>
      </w:r>
    </w:p>
    <w:p w14:paraId="3327A252">
      <w:pPr>
        <w:pStyle w:val="44"/>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地址：浙江省杭州市西湖区文三路90号东部软件园1号楼3楼 </w:t>
      </w:r>
    </w:p>
    <w:p w14:paraId="05F55DAF">
      <w:pPr>
        <w:pStyle w:val="44"/>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0571-88473411   　</w:t>
      </w:r>
    </w:p>
    <w:p w14:paraId="7B283D64">
      <w:pPr>
        <w:pStyle w:val="44"/>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项目联系人（询问）：唐稳 　   　　　　　　　　　　　</w:t>
      </w:r>
    </w:p>
    <w:p w14:paraId="6807FDFF">
      <w:pPr>
        <w:pStyle w:val="44"/>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项目联系方式（询问）：0571-81061825 </w:t>
      </w:r>
    </w:p>
    <w:p w14:paraId="4C7525B2">
      <w:pPr>
        <w:pStyle w:val="44"/>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质疑联系人：赵娟 </w:t>
      </w:r>
    </w:p>
    <w:p w14:paraId="4115E09C">
      <w:pPr>
        <w:pStyle w:val="44"/>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质疑联系方式：0571-81061819（请通过以下路径在线提起质疑：政采云-项目采购-询问质疑投诉-质疑列表）　</w:t>
      </w:r>
    </w:p>
    <w:p w14:paraId="5BE29300">
      <w:pPr>
        <w:pStyle w:val="44"/>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3.同级政府采购监督管理部门</w:t>
      </w:r>
    </w:p>
    <w:p w14:paraId="3FEE7FC9">
      <w:pPr>
        <w:pStyle w:val="44"/>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名称：杭州市钱塘区财政局、浙江省政府采购行政裁决服务中心 (杭州)</w:t>
      </w:r>
    </w:p>
    <w:p w14:paraId="4AF76FDA">
      <w:pPr>
        <w:pStyle w:val="44"/>
        <w:adjustRightInd w:val="0"/>
        <w:snapToGrid w:val="0"/>
        <w:spacing w:beforeAutospacing="0" w:afterAutospacing="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地址：杭州市上城区四季青街道新业路市民之家GO3办公室 (快递仅限ems或顺丰)             </w:t>
      </w:r>
    </w:p>
    <w:p w14:paraId="3DAAB3EA">
      <w:pPr>
        <w:pStyle w:val="44"/>
        <w:adjustRightInd w:val="0"/>
        <w:snapToGrid w:val="0"/>
        <w:spacing w:beforeAutospacing="0" w:afterAutospacing="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p w14:paraId="3C5F57D8">
      <w:pPr>
        <w:pStyle w:val="44"/>
        <w:adjustRightInd w:val="0"/>
        <w:snapToGrid w:val="0"/>
        <w:spacing w:beforeAutospacing="0" w:afterAutospacing="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联系人：朱女士、王女士      </w:t>
      </w:r>
    </w:p>
    <w:p w14:paraId="6284DC21">
      <w:pPr>
        <w:pStyle w:val="44"/>
        <w:adjustRightInd w:val="0"/>
        <w:snapToGrid w:val="0"/>
        <w:spacing w:beforeAutospacing="0" w:afterAutospacing="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监督投诉电话：0571-85252453  （仅限投诉事项）</w:t>
      </w:r>
    </w:p>
    <w:p w14:paraId="0DD23C91">
      <w:pPr>
        <w:pStyle w:val="44"/>
        <w:adjustRightInd w:val="0"/>
        <w:snapToGrid w:val="0"/>
        <w:spacing w:beforeAutospacing="0" w:afterAutospacing="0" w:line="360" w:lineRule="auto"/>
        <w:rPr>
          <w:rFonts w:hint="eastAsia" w:ascii="仿宋" w:hAnsi="仿宋" w:eastAsia="仿宋" w:cs="仿宋"/>
          <w:color w:val="auto"/>
          <w:sz w:val="24"/>
          <w:szCs w:val="24"/>
          <w:highlight w:val="none"/>
        </w:rPr>
      </w:pPr>
    </w:p>
    <w:p w14:paraId="48AFC3D9">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49326849">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 400-888-4636；天谷CA 400-087-8198。</w:t>
      </w:r>
    </w:p>
    <w:p w14:paraId="2743C546">
      <w:pPr>
        <w:widowControl/>
        <w:tabs>
          <w:tab w:val="left" w:pos="8647"/>
        </w:tabs>
        <w:adjustRightInd w:val="0"/>
        <w:snapToGrid w:val="0"/>
        <w:spacing w:line="360" w:lineRule="auto"/>
        <w:jc w:val="center"/>
        <w:outlineLvl w:val="1"/>
        <w:rPr>
          <w:rFonts w:hint="eastAsia" w:ascii="仿宋" w:hAnsi="仿宋" w:eastAsia="仿宋" w:cs="仿宋"/>
          <w:b/>
          <w:color w:val="auto"/>
          <w:sz w:val="30"/>
          <w:szCs w:val="30"/>
          <w:highlight w:val="none"/>
        </w:rPr>
      </w:pPr>
      <w:r>
        <w:rPr>
          <w:rFonts w:hint="eastAsia" w:ascii="仿宋" w:hAnsi="仿宋" w:eastAsia="仿宋" w:cs="仿宋"/>
          <w:b/>
          <w:bCs/>
          <w:color w:val="auto"/>
          <w:sz w:val="28"/>
          <w:szCs w:val="21"/>
          <w:highlight w:val="none"/>
        </w:rPr>
        <w:br w:type="page"/>
      </w:r>
      <w:bookmarkStart w:id="2" w:name="_Toc1014"/>
      <w:r>
        <w:rPr>
          <w:rFonts w:hint="eastAsia" w:ascii="仿宋" w:hAnsi="仿宋" w:eastAsia="仿宋" w:cs="仿宋"/>
          <w:b/>
          <w:color w:val="auto"/>
          <w:sz w:val="30"/>
          <w:szCs w:val="30"/>
          <w:highlight w:val="none"/>
        </w:rPr>
        <w:t>前 附 表</w:t>
      </w:r>
      <w:bookmarkEnd w:id="2"/>
    </w:p>
    <w:tbl>
      <w:tblPr>
        <w:tblStyle w:val="48"/>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5E8A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14:paraId="1544BED2">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30087018">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725819E7">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505B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64889680">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7C912A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0EC1E23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服务类</w:t>
            </w:r>
          </w:p>
        </w:tc>
      </w:tr>
      <w:tr w14:paraId="0A908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0" w:hRule="atLeast"/>
        </w:trPr>
        <w:tc>
          <w:tcPr>
            <w:tcW w:w="629" w:type="dxa"/>
            <w:vMerge w:val="restart"/>
            <w:tcBorders>
              <w:top w:val="single" w:color="auto" w:sz="4" w:space="0"/>
              <w:left w:val="single" w:color="auto" w:sz="4" w:space="0"/>
              <w:right w:val="single" w:color="auto" w:sz="4" w:space="0"/>
            </w:tcBorders>
            <w:noWrap/>
            <w:vAlign w:val="center"/>
          </w:tcPr>
          <w:p w14:paraId="699A18E9">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p>
        </w:tc>
        <w:tc>
          <w:tcPr>
            <w:tcW w:w="1843" w:type="dxa"/>
            <w:vMerge w:val="restart"/>
            <w:tcBorders>
              <w:top w:val="single" w:color="000000" w:sz="8" w:space="0"/>
              <w:left w:val="single" w:color="auto" w:sz="4" w:space="0"/>
              <w:right w:val="single" w:color="000000" w:sz="8" w:space="0"/>
            </w:tcBorders>
            <w:noWrap/>
            <w:vAlign w:val="center"/>
          </w:tcPr>
          <w:p w14:paraId="255C47C7">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0BAF2E2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color w:val="auto"/>
                <w:kern w:val="0"/>
                <w:sz w:val="24"/>
                <w:highlight w:val="none"/>
              </w:rPr>
            </w:pPr>
            <w:r>
              <w:rPr>
                <w:rFonts w:hint="eastAsia" w:ascii="仿宋" w:hAnsi="仿宋" w:eastAsia="仿宋" w:cs="仿宋"/>
                <w:b/>
                <w:bCs/>
                <w:color w:val="auto"/>
                <w:kern w:val="0"/>
                <w:sz w:val="24"/>
                <w:szCs w:val="24"/>
                <w:highlight w:val="none"/>
              </w:rPr>
              <w:t>标的</w:t>
            </w:r>
            <w:r>
              <w:rPr>
                <w:rFonts w:hint="eastAsia" w:ascii="仿宋" w:hAnsi="仿宋" w:eastAsia="仿宋" w:cs="仿宋"/>
                <w:b/>
                <w:bCs/>
                <w:color w:val="auto"/>
                <w:kern w:val="0"/>
                <w:sz w:val="24"/>
                <w:szCs w:val="24"/>
                <w:highlight w:val="none"/>
                <w:lang w:val="en-US" w:eastAsia="zh-CN"/>
              </w:rPr>
              <w:t>为</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u w:val="single"/>
                <w:lang w:val="en-US" w:eastAsia="zh-CN"/>
              </w:rPr>
              <w:t xml:space="preserve">白杨街道综合执法辅助服务项目（2024-2025年） </w:t>
            </w:r>
            <w:r>
              <w:rPr>
                <w:rFonts w:hint="eastAsia" w:ascii="仿宋" w:hAnsi="仿宋" w:eastAsia="仿宋" w:cs="仿宋"/>
                <w:b/>
                <w:bCs/>
                <w:color w:val="auto"/>
                <w:kern w:val="0"/>
                <w:sz w:val="24"/>
                <w:szCs w:val="24"/>
                <w:highlight w:val="none"/>
              </w:rPr>
              <w:t>，属于</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u w:val="single"/>
                <w:lang w:val="en-US" w:eastAsia="zh-CN"/>
              </w:rPr>
              <w:t xml:space="preserve">租赁和商务服务业 </w:t>
            </w:r>
          </w:p>
        </w:tc>
      </w:tr>
      <w:tr w14:paraId="2F2CA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rPr>
        <w:tc>
          <w:tcPr>
            <w:tcW w:w="629" w:type="dxa"/>
            <w:vMerge w:val="continue"/>
            <w:tcBorders>
              <w:left w:val="single" w:color="auto" w:sz="4" w:space="0"/>
              <w:right w:val="single" w:color="auto" w:sz="4" w:space="0"/>
            </w:tcBorders>
            <w:noWrap/>
            <w:vAlign w:val="center"/>
          </w:tcPr>
          <w:p w14:paraId="40DFC0E8">
            <w:pPr>
              <w:adjustRightInd w:val="0"/>
              <w:snapToGrid w:val="0"/>
              <w:spacing w:line="400" w:lineRule="exact"/>
              <w:jc w:val="center"/>
              <w:rPr>
                <w:rFonts w:hint="eastAsia" w:ascii="仿宋" w:hAnsi="仿宋" w:eastAsia="仿宋" w:cs="仿宋"/>
                <w:color w:val="auto"/>
                <w:sz w:val="24"/>
                <w:highlight w:val="none"/>
                <w:lang w:val="en-US" w:eastAsia="zh-CN"/>
              </w:rPr>
            </w:pPr>
          </w:p>
        </w:tc>
        <w:tc>
          <w:tcPr>
            <w:tcW w:w="1843" w:type="dxa"/>
            <w:vMerge w:val="continue"/>
            <w:tcBorders>
              <w:left w:val="single" w:color="auto" w:sz="4" w:space="0"/>
              <w:right w:val="single" w:color="000000" w:sz="8" w:space="0"/>
            </w:tcBorders>
            <w:noWrap/>
            <w:vAlign w:val="center"/>
          </w:tcPr>
          <w:p w14:paraId="0F88B952">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729F1B8A">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szCs w:val="24"/>
                <w:highlight w:val="none"/>
                <w:u w:val="single"/>
                <w:lang w:val="en-US" w:eastAsia="zh-CN"/>
              </w:rPr>
              <w:t>租赁和商务服务业</w:t>
            </w:r>
            <w:r>
              <w:rPr>
                <w:rFonts w:hint="eastAsia" w:ascii="仿宋" w:hAnsi="仿宋" w:eastAsia="仿宋" w:cs="仿宋"/>
                <w:b/>
                <w:bCs/>
                <w:color w:val="auto"/>
                <w:kern w:val="0"/>
                <w:sz w:val="24"/>
                <w:szCs w:val="24"/>
                <w:highlight w:val="none"/>
                <w:lang w:val="en-US" w:eastAsia="zh-CN"/>
              </w:rPr>
              <w:t>中，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7078B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rPr>
        <w:tc>
          <w:tcPr>
            <w:tcW w:w="629" w:type="dxa"/>
            <w:vMerge w:val="continue"/>
            <w:tcBorders>
              <w:left w:val="single" w:color="auto" w:sz="4" w:space="0"/>
              <w:bottom w:val="single" w:color="auto" w:sz="4" w:space="0"/>
              <w:right w:val="single" w:color="auto" w:sz="4" w:space="0"/>
            </w:tcBorders>
            <w:noWrap/>
            <w:vAlign w:val="center"/>
          </w:tcPr>
          <w:p w14:paraId="7052CDB3">
            <w:pPr>
              <w:adjustRightInd w:val="0"/>
              <w:snapToGrid w:val="0"/>
              <w:spacing w:line="400" w:lineRule="exact"/>
              <w:jc w:val="center"/>
              <w:rPr>
                <w:rFonts w:hint="eastAsia" w:ascii="仿宋" w:hAnsi="仿宋" w:eastAsia="仿宋" w:cs="仿宋"/>
                <w:color w:val="auto"/>
                <w:sz w:val="24"/>
                <w:highlight w:val="none"/>
                <w:lang w:val="en-US" w:eastAsia="zh-CN"/>
              </w:rPr>
            </w:pPr>
          </w:p>
        </w:tc>
        <w:tc>
          <w:tcPr>
            <w:tcW w:w="1843" w:type="dxa"/>
            <w:vMerge w:val="continue"/>
            <w:tcBorders>
              <w:left w:val="single" w:color="auto" w:sz="4" w:space="0"/>
              <w:bottom w:val="single" w:color="000000" w:sz="8" w:space="0"/>
              <w:right w:val="single" w:color="000000" w:sz="8" w:space="0"/>
            </w:tcBorders>
            <w:noWrap/>
            <w:vAlign w:val="center"/>
          </w:tcPr>
          <w:p w14:paraId="005B8FF0">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45E8365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（1）投标人填写中小企业声明函时，标的为</w:t>
            </w:r>
            <w:r>
              <w:rPr>
                <w:rFonts w:hint="eastAsia" w:ascii="仿宋" w:hAnsi="仿宋" w:eastAsia="仿宋" w:cs="仿宋"/>
                <w:b/>
                <w:bCs/>
                <w:color w:val="auto"/>
                <w:kern w:val="0"/>
                <w:sz w:val="24"/>
                <w:szCs w:val="24"/>
                <w:highlight w:val="none"/>
                <w:u w:val="single"/>
                <w:lang w:val="en-US" w:eastAsia="zh-CN"/>
              </w:rPr>
              <w:t>白杨街道综合执法辅助服务项目（2024-2025年）</w:t>
            </w:r>
            <w:r>
              <w:rPr>
                <w:rFonts w:hint="eastAsia" w:ascii="仿宋" w:hAnsi="仿宋" w:eastAsia="仿宋" w:cs="仿宋"/>
                <w:b/>
                <w:bCs/>
                <w:color w:val="auto"/>
                <w:kern w:val="0"/>
                <w:sz w:val="24"/>
                <w:szCs w:val="24"/>
                <w:highlight w:val="none"/>
                <w:lang w:val="en-US" w:eastAsia="zh-CN"/>
              </w:rPr>
              <w:t>，所属行业为</w:t>
            </w:r>
            <w:r>
              <w:rPr>
                <w:rFonts w:hint="eastAsia" w:ascii="仿宋" w:hAnsi="仿宋" w:eastAsia="仿宋" w:cs="仿宋"/>
                <w:b/>
                <w:bCs/>
                <w:color w:val="auto"/>
                <w:kern w:val="0"/>
                <w:sz w:val="24"/>
                <w:szCs w:val="24"/>
                <w:highlight w:val="none"/>
                <w:u w:val="single"/>
                <w:lang w:val="en-US" w:eastAsia="zh-CN"/>
              </w:rPr>
              <w:t>租赁和商务服务业</w:t>
            </w:r>
            <w:r>
              <w:rPr>
                <w:rFonts w:hint="eastAsia" w:ascii="仿宋" w:hAnsi="仿宋" w:eastAsia="仿宋" w:cs="仿宋"/>
                <w:b/>
                <w:bCs/>
                <w:color w:val="auto"/>
                <w:kern w:val="0"/>
                <w:sz w:val="24"/>
                <w:szCs w:val="24"/>
                <w:highlight w:val="none"/>
                <w:lang w:val="en-US" w:eastAsia="zh-CN"/>
              </w:rPr>
              <w:t>；</w:t>
            </w:r>
          </w:p>
          <w:p w14:paraId="0B665B6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从业人员、营业收入、资产总额填报上一年度数据，无上一年度数据的新成立企业可不填报</w:t>
            </w:r>
            <w:r>
              <w:rPr>
                <w:rFonts w:hint="eastAsia" w:ascii="仿宋" w:hAnsi="仿宋" w:eastAsia="仿宋" w:cs="仿宋"/>
                <w:b/>
                <w:bCs/>
                <w:color w:val="auto"/>
                <w:kern w:val="0"/>
                <w:sz w:val="24"/>
                <w:szCs w:val="24"/>
                <w:highlight w:val="none"/>
                <w:lang w:eastAsia="zh-CN"/>
              </w:rPr>
              <w:t>；</w:t>
            </w:r>
          </w:p>
          <w:p w14:paraId="6BF3346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中型企业、小型企业、微型企业等3种企业类型，结合以上数据，依据《中小企业划型标准规定》（工信部联企业〔2011〕300号）确定</w:t>
            </w:r>
            <w:r>
              <w:rPr>
                <w:rFonts w:hint="eastAsia" w:ascii="仿宋" w:hAnsi="仿宋" w:eastAsia="仿宋" w:cs="仿宋"/>
                <w:b/>
                <w:bCs/>
                <w:color w:val="auto"/>
                <w:kern w:val="0"/>
                <w:sz w:val="24"/>
                <w:szCs w:val="24"/>
                <w:highlight w:val="none"/>
                <w:lang w:val="en-US" w:eastAsia="zh-CN"/>
              </w:rPr>
              <w:t>的</w:t>
            </w:r>
            <w:r>
              <w:rPr>
                <w:rFonts w:hint="eastAsia" w:ascii="仿宋" w:hAnsi="仿宋" w:eastAsia="仿宋" w:cs="仿宋"/>
                <w:b/>
                <w:bCs/>
                <w:color w:val="auto"/>
                <w:kern w:val="0"/>
                <w:sz w:val="24"/>
                <w:szCs w:val="24"/>
                <w:highlight w:val="none"/>
                <w:u w:val="single"/>
                <w:lang w:val="en-US" w:eastAsia="zh-CN"/>
              </w:rPr>
              <w:t>租赁和商务服务业</w:t>
            </w:r>
            <w:r>
              <w:rPr>
                <w:rFonts w:hint="eastAsia" w:ascii="仿宋" w:hAnsi="仿宋" w:eastAsia="仿宋" w:cs="仿宋"/>
                <w:b/>
                <w:bCs/>
                <w:color w:val="auto"/>
                <w:kern w:val="0"/>
                <w:sz w:val="24"/>
                <w:szCs w:val="24"/>
                <w:highlight w:val="none"/>
              </w:rPr>
              <w:t>，</w:t>
            </w:r>
            <w:r>
              <w:rPr>
                <w:rFonts w:hint="eastAsia" w:ascii="仿宋" w:hAnsi="仿宋" w:eastAsia="仿宋" w:cs="仿宋"/>
                <w:b/>
                <w:bCs/>
                <w:strike w:val="0"/>
                <w:dstrike w:val="0"/>
                <w:color w:val="auto"/>
                <w:kern w:val="0"/>
                <w:sz w:val="24"/>
                <w:szCs w:val="24"/>
                <w:highlight w:val="none"/>
                <w:u w:val="single"/>
              </w:rPr>
              <w:t>填写时应明确是中型或小型或微型</w:t>
            </w:r>
            <w:r>
              <w:rPr>
                <w:rFonts w:hint="eastAsia" w:ascii="仿宋" w:hAnsi="仿宋" w:eastAsia="仿宋" w:cs="仿宋"/>
                <w:b/>
                <w:bCs/>
                <w:color w:val="auto"/>
                <w:kern w:val="0"/>
                <w:sz w:val="24"/>
                <w:szCs w:val="24"/>
                <w:highlight w:val="none"/>
                <w:lang w:eastAsia="zh-CN"/>
              </w:rPr>
              <w:t>。</w:t>
            </w:r>
          </w:p>
        </w:tc>
      </w:tr>
      <w:tr w14:paraId="26E7B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5AE809FF">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77CE72E8">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051D930A">
            <w:p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本项目不允许采购进口产品。</w:t>
            </w:r>
          </w:p>
          <w:p w14:paraId="1F5C4CED">
            <w:p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F8A5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7F0822CF">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11A96486">
            <w:pPr>
              <w:adjustRightInd w:val="0"/>
              <w:snapToGrid w:val="0"/>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1CE9FB35">
            <w:pPr>
              <w:adjustRightInd w:val="0"/>
              <w:snapToGrid w:val="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584F220A">
            <w:pPr>
              <w:adjustRightInd w:val="0"/>
              <w:snapToGrid w:val="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同意向小微企业合理分包。</w:t>
            </w:r>
          </w:p>
          <w:p w14:paraId="1E001739">
            <w:p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C</w:t>
            </w:r>
            <w:r>
              <w:rPr>
                <w:rFonts w:hint="eastAsia" w:ascii="仿宋" w:hAnsi="仿宋" w:eastAsia="仿宋" w:cs="仿宋"/>
                <w:color w:val="auto"/>
                <w:sz w:val="24"/>
                <w:highlight w:val="none"/>
              </w:rPr>
              <w:t>不同意分包。</w:t>
            </w:r>
          </w:p>
        </w:tc>
      </w:tr>
      <w:tr w14:paraId="596E0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5F94C3CE">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70F58EC6">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45B5C903">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9CC8F35">
            <w:p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w:t>
            </w:r>
            <w:r>
              <w:rPr>
                <w:rFonts w:hint="eastAsia" w:ascii="仿宋" w:hAnsi="仿宋" w:eastAsia="仿宋" w:cs="仿宋"/>
                <w:color w:val="auto"/>
                <w:sz w:val="24"/>
                <w:szCs w:val="20"/>
                <w:highlight w:val="none"/>
              </w:rPr>
              <w:t>。</w:t>
            </w:r>
          </w:p>
        </w:tc>
      </w:tr>
      <w:tr w14:paraId="70B6B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5CE2DAE7">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35E9545D">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4C94E4AF">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1A71EC2">
            <w:p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p>
          <w:p w14:paraId="37766BD6">
            <w:pPr>
              <w:numPr>
                <w:ilvl w:val="0"/>
                <w:numId w:val="1"/>
              </w:num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single"/>
              </w:rPr>
              <w:t xml:space="preserve">  /  </w:t>
            </w:r>
            <w:r>
              <w:rPr>
                <w:rFonts w:hint="eastAsia" w:ascii="仿宋" w:hAnsi="仿宋" w:eastAsia="仿宋" w:cs="仿宋"/>
                <w:snapToGrid w:val="0"/>
                <w:color w:val="auto"/>
                <w:kern w:val="28"/>
                <w:sz w:val="24"/>
                <w:highlight w:val="none"/>
              </w:rPr>
              <w:t>；</w:t>
            </w:r>
          </w:p>
          <w:p w14:paraId="40A0057C">
            <w:pPr>
              <w:numPr>
                <w:ilvl w:val="0"/>
                <w:numId w:val="1"/>
              </w:num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0"/>
                <w:sz w:val="24"/>
                <w:highlight w:val="none"/>
              </w:rPr>
              <w:t>；</w:t>
            </w:r>
          </w:p>
          <w:p w14:paraId="62C7A05D">
            <w:pPr>
              <w:numPr>
                <w:ilvl w:val="0"/>
                <w:numId w:val="1"/>
              </w:num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rPr>
              <w:t>；</w:t>
            </w:r>
          </w:p>
          <w:p w14:paraId="7CCD97FC">
            <w:pPr>
              <w:numPr>
                <w:ilvl w:val="0"/>
                <w:numId w:val="1"/>
              </w:num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是否需要随样品提交检测报告：</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否；</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70290969">
            <w:pPr>
              <w:numPr>
                <w:ilvl w:val="0"/>
                <w:numId w:val="1"/>
              </w:num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644A89F9">
            <w:pPr>
              <w:numPr>
                <w:ilvl w:val="0"/>
                <w:numId w:val="1"/>
              </w:num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1B2EFEF">
            <w:pPr>
              <w:numPr>
                <w:ilvl w:val="0"/>
                <w:numId w:val="1"/>
              </w:numPr>
              <w:adjustRightInd w:val="0"/>
              <w:snapToGrid w:val="0"/>
              <w:spacing w:line="400" w:lineRule="exact"/>
              <w:ind w:left="425" w:leftChars="0" w:hanging="425" w:firstLineChars="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制作、运输、安装和保管样品所发生的一切费用由投标人自理。</w:t>
            </w:r>
          </w:p>
        </w:tc>
      </w:tr>
      <w:tr w14:paraId="44845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775F4FCE">
            <w:pPr>
              <w:adjustRightInd w:val="0"/>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52EDFE04">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2543D8E4">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A77FFE2">
            <w:p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p>
          <w:p w14:paraId="7FB148E6">
            <w:pPr>
              <w:adjustRightInd w:val="0"/>
              <w:snapToGrid w:val="0"/>
              <w:spacing w:line="400" w:lineRule="exact"/>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（1）在评标时安排每个投标人进行方案讲解演示。每个投标人时间不超过20分钟，讲解次序以投标文件解密时间先后次序为准，讲解演示人员不超过3人。讲解演示结束后按要求解答评标委员会提问。</w:t>
            </w:r>
          </w:p>
          <w:p w14:paraId="5F18009A">
            <w:pPr>
              <w:adjustRightInd w:val="0"/>
              <w:snapToGrid w:val="0"/>
              <w:spacing w:line="400" w:lineRule="exact"/>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（2）方案讲解演示可选择以下其中一种方式：</w:t>
            </w:r>
          </w:p>
          <w:p w14:paraId="4142BB5B">
            <w:pPr>
              <w:adjustRightInd w:val="0"/>
              <w:snapToGrid w:val="0"/>
              <w:spacing w:line="400" w:lineRule="exact"/>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方式一：政采云平台在线讲解演示。政采云平台在线讲解需投标人根据政采云平台操作要求做好准备工作，提前完善软硬件配置环境。</w:t>
            </w:r>
          </w:p>
          <w:p w14:paraId="6C0BF399">
            <w:pPr>
              <w:adjustRightInd w:val="0"/>
              <w:snapToGrid w:val="0"/>
              <w:spacing w:line="400" w:lineRule="exact"/>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方式二：交易中心现场讲解演示。现场讲解地点为    ，讲解演示所用电脑等设备由投标人自备。现场讲解演示人员进场时提供讲解人员名单（加盖公章）及身份证明，否则不得讲解演示。</w:t>
            </w:r>
          </w:p>
          <w:p w14:paraId="1BA7B9F2">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55258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noWrap/>
            <w:vAlign w:val="center"/>
          </w:tcPr>
          <w:p w14:paraId="72134C12">
            <w:pPr>
              <w:adjustRightInd w:val="0"/>
              <w:snapToGrid w:val="0"/>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843" w:type="dxa"/>
            <w:vMerge w:val="restart"/>
            <w:tcBorders>
              <w:top w:val="single" w:color="000000" w:sz="8" w:space="0"/>
              <w:left w:val="single" w:color="auto" w:sz="4" w:space="0"/>
              <w:right w:val="single" w:color="000000" w:sz="8" w:space="0"/>
            </w:tcBorders>
            <w:noWrap/>
            <w:vAlign w:val="center"/>
          </w:tcPr>
          <w:p w14:paraId="377AA8FC">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ign w:val="center"/>
          </w:tcPr>
          <w:p w14:paraId="17952FE4">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7B8B77D">
            <w:pPr>
              <w:adjustRightInd w:val="0"/>
              <w:snapToGrid w:val="0"/>
              <w:spacing w:line="400" w:lineRule="exact"/>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D97F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noWrap/>
            <w:vAlign w:val="center"/>
          </w:tcPr>
          <w:p w14:paraId="5779E74C">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ign w:val="center"/>
          </w:tcPr>
          <w:p w14:paraId="4745308B">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ign w:val="center"/>
          </w:tcPr>
          <w:p w14:paraId="7FF5D1B4">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07D5B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tcBorders>
              <w:left w:val="single" w:color="auto" w:sz="4" w:space="0"/>
              <w:bottom w:val="single" w:color="auto" w:sz="4" w:space="0"/>
              <w:right w:val="single" w:color="auto" w:sz="4" w:space="0"/>
            </w:tcBorders>
            <w:noWrap/>
            <w:vAlign w:val="center"/>
          </w:tcPr>
          <w:p w14:paraId="1C2BBA85">
            <w:pPr>
              <w:adjustRightInd w:val="0"/>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843" w:type="dxa"/>
            <w:tcBorders>
              <w:left w:val="single" w:color="auto" w:sz="4" w:space="0"/>
              <w:bottom w:val="single" w:color="000000" w:sz="8" w:space="0"/>
              <w:right w:val="single" w:color="000000" w:sz="8" w:space="0"/>
            </w:tcBorders>
            <w:noWrap/>
            <w:vAlign w:val="center"/>
          </w:tcPr>
          <w:p w14:paraId="3389EBFA">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auto" w:sz="4" w:space="0"/>
              <w:left w:val="single" w:color="000000" w:sz="2" w:space="0"/>
              <w:bottom w:val="single" w:color="000000" w:sz="8" w:space="0"/>
              <w:right w:val="single" w:color="000000" w:sz="8" w:space="0"/>
            </w:tcBorders>
            <w:noWrap/>
            <w:vAlign w:val="center"/>
          </w:tcPr>
          <w:p w14:paraId="0B9212DB">
            <w:pPr>
              <w:pStyle w:val="18"/>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48E21021">
            <w:pPr>
              <w:pStyle w:val="18"/>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A无</w:t>
            </w:r>
          </w:p>
          <w:p w14:paraId="71A95F57">
            <w:pPr>
              <w:pStyle w:val="18"/>
              <w:rPr>
                <w:rFonts w:hint="eastAsia" w:ascii="仿宋" w:hAnsi="仿宋" w:eastAsia="仿宋" w:cs="仿宋"/>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color w:val="auto"/>
                <w:kern w:val="0"/>
                <w:sz w:val="24"/>
                <w:highlight w:val="none"/>
              </w:rPr>
              <w:t>B 政府</w:t>
            </w:r>
            <w:r>
              <w:rPr>
                <w:rFonts w:hint="eastAsia" w:ascii="仿宋" w:hAnsi="仿宋" w:eastAsia="仿宋" w:cs="仿宋"/>
                <w:color w:val="auto"/>
                <w:sz w:val="24"/>
                <w:highlight w:val="none"/>
              </w:rPr>
              <w:t>强制采购节能产品</w:t>
            </w:r>
            <w:r>
              <w:rPr>
                <w:rFonts w:hint="eastAsia" w:ascii="仿宋" w:hAnsi="仿宋" w:eastAsia="仿宋" w:cs="仿宋"/>
                <w:color w:val="auto"/>
                <w:kern w:val="0"/>
                <w:sz w:val="24"/>
                <w:highlight w:val="none"/>
              </w:rPr>
              <w:t>：</w:t>
            </w:r>
          </w:p>
          <w:p w14:paraId="054D7784">
            <w:pPr>
              <w:pStyle w:val="1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w:t>
            </w:r>
          </w:p>
          <w:p w14:paraId="06B57431">
            <w:pPr>
              <w:pStyle w:val="18"/>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p w14:paraId="5C58388E">
            <w:pPr>
              <w:pStyle w:val="18"/>
              <w:rPr>
                <w:rFonts w:hint="eastAsia" w:ascii="仿宋" w:hAnsi="仿宋" w:eastAsia="仿宋" w:cs="仿宋"/>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color w:val="auto"/>
                <w:kern w:val="0"/>
                <w:sz w:val="24"/>
                <w:highlight w:val="none"/>
              </w:rPr>
              <w:t xml:space="preserve">C </w:t>
            </w:r>
            <w:r>
              <w:rPr>
                <w:rFonts w:hint="eastAsia" w:ascii="仿宋" w:hAnsi="仿宋" w:eastAsia="仿宋" w:cs="仿宋"/>
                <w:color w:val="auto"/>
                <w:sz w:val="24"/>
                <w:highlight w:val="none"/>
              </w:rPr>
              <w:t>政府优先采购节能产品</w:t>
            </w:r>
            <w:r>
              <w:rPr>
                <w:rFonts w:hint="eastAsia" w:ascii="仿宋" w:hAnsi="仿宋" w:eastAsia="仿宋" w:cs="仿宋"/>
                <w:color w:val="auto"/>
                <w:kern w:val="0"/>
                <w:sz w:val="24"/>
                <w:highlight w:val="none"/>
              </w:rPr>
              <w:t>：</w:t>
            </w:r>
          </w:p>
          <w:p w14:paraId="5D7B1DDE">
            <w:pPr>
              <w:pStyle w:val="18"/>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14:paraId="31875302">
            <w:pPr>
              <w:pStyle w:val="18"/>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p w14:paraId="4A07FEA3">
            <w:pPr>
              <w:pStyle w:val="1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☐D </w:t>
            </w:r>
            <w:r>
              <w:rPr>
                <w:rFonts w:hint="eastAsia" w:ascii="仿宋" w:hAnsi="仿宋" w:eastAsia="仿宋" w:cs="仿宋"/>
                <w:color w:val="auto"/>
                <w:sz w:val="24"/>
                <w:highlight w:val="none"/>
              </w:rPr>
              <w:t>政府优先采购环境标志产品</w:t>
            </w:r>
            <w:r>
              <w:rPr>
                <w:rFonts w:hint="eastAsia" w:ascii="仿宋" w:hAnsi="仿宋" w:eastAsia="仿宋" w:cs="仿宋"/>
                <w:color w:val="auto"/>
                <w:kern w:val="0"/>
                <w:sz w:val="24"/>
                <w:highlight w:val="none"/>
              </w:rPr>
              <w:t>：</w:t>
            </w:r>
          </w:p>
          <w:p w14:paraId="5C407F72">
            <w:pPr>
              <w:pStyle w:val="18"/>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14:paraId="03EBE152">
            <w:pPr>
              <w:pStyle w:val="18"/>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075DA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098C78E9">
            <w:pPr>
              <w:adjustRightInd w:val="0"/>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0645A981">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2E245015">
            <w:pPr>
              <w:keepNext w:val="0"/>
              <w:keepLines w:val="0"/>
              <w:pageBreakBefore w:val="0"/>
              <w:widowControl w:val="0"/>
              <w:tabs>
                <w:tab w:val="left" w:pos="3570"/>
              </w:tabs>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4436876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FDD080A">
            <w:pPr>
              <w:numPr>
                <w:ilvl w:val="0"/>
                <w:numId w:val="2"/>
              </w:numPr>
              <w:adjustRightInd w:val="0"/>
              <w:snapToGrid w:val="0"/>
              <w:spacing w:line="40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3FBCA1E8">
            <w:pPr>
              <w:numPr>
                <w:ilvl w:val="0"/>
                <w:numId w:val="2"/>
              </w:numPr>
              <w:adjustRightInd w:val="0"/>
              <w:snapToGrid w:val="0"/>
              <w:spacing w:line="40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3F34763E">
            <w:pPr>
              <w:numPr>
                <w:ilvl w:val="0"/>
                <w:numId w:val="2"/>
              </w:numPr>
              <w:adjustRightInd w:val="0"/>
              <w:snapToGrid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50BB0192">
            <w:pPr>
              <w:numPr>
                <w:ilvl w:val="0"/>
                <w:numId w:val="2"/>
              </w:numPr>
              <w:adjustRightInd w:val="0"/>
              <w:snapToGrid w:val="0"/>
              <w:spacing w:line="400" w:lineRule="exact"/>
              <w:ind w:left="425" w:leftChars="0" w:hanging="425" w:firstLineChars="0"/>
              <w:rPr>
                <w:rFonts w:hint="eastAsia" w:ascii="仿宋" w:hAnsi="仿宋" w:eastAsia="仿宋" w:cs="仿宋"/>
                <w:color w:val="auto"/>
                <w:sz w:val="24"/>
                <w:szCs w:val="20"/>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D2DA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vMerge w:val="restart"/>
            <w:tcBorders>
              <w:top w:val="single" w:color="auto" w:sz="4" w:space="0"/>
              <w:left w:val="single" w:color="auto" w:sz="4" w:space="0"/>
              <w:right w:val="single" w:color="auto" w:sz="4" w:space="0"/>
            </w:tcBorders>
            <w:noWrap/>
            <w:vAlign w:val="center"/>
          </w:tcPr>
          <w:p w14:paraId="7962B357">
            <w:pPr>
              <w:adjustRightInd w:val="0"/>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843" w:type="dxa"/>
            <w:vMerge w:val="restart"/>
            <w:tcBorders>
              <w:top w:val="single" w:color="000000" w:sz="8" w:space="0"/>
              <w:left w:val="single" w:color="auto" w:sz="4" w:space="0"/>
              <w:right w:val="single" w:color="000000" w:sz="8" w:space="0"/>
            </w:tcBorders>
            <w:noWrap/>
            <w:vAlign w:val="center"/>
          </w:tcPr>
          <w:p w14:paraId="5920167C">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578ED119">
            <w:pPr>
              <w:adjustRightInd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为支持和促进中小企业发展，进一步发挥政府采购政策功能，根据《杭州市政府采购支持中小企业信用融资管理办法》和《关于钱塘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政府采购支持中小企业信用融资有关事项的通知》，供应商若有融资意向，详见本采购文件尾页《关于钱塘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政府采购支持中小企业信用融资相关事项通知》，或登录杭州钱塘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管理委员会官网查看信用融资相关政策及各相关银行服务方案、联系方式。</w:t>
            </w:r>
          </w:p>
        </w:tc>
      </w:tr>
      <w:tr w14:paraId="0D657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vMerge w:val="continue"/>
            <w:tcBorders>
              <w:left w:val="single" w:color="auto" w:sz="4" w:space="0"/>
              <w:bottom w:val="single" w:color="auto" w:sz="4" w:space="0"/>
              <w:right w:val="single" w:color="auto" w:sz="4" w:space="0"/>
            </w:tcBorders>
            <w:noWrap/>
            <w:vAlign w:val="center"/>
          </w:tcPr>
          <w:p w14:paraId="240D273E">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ign w:val="center"/>
          </w:tcPr>
          <w:p w14:paraId="25E94112">
            <w:pPr>
              <w:adjustRightInd w:val="0"/>
              <w:snapToGrid w:val="0"/>
              <w:spacing w:line="400" w:lineRule="exact"/>
              <w:ind w:firstLine="482" w:firstLineChars="200"/>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33D9B31C">
            <w:pPr>
              <w:adjustRightInd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761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14:paraId="1B446D3D">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ign w:val="center"/>
          </w:tcPr>
          <w:p w14:paraId="3CD1A28E">
            <w:pPr>
              <w:adjustRightInd w:val="0"/>
              <w:snapToGrid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1510DC8A">
            <w:pPr>
              <w:pStyle w:val="28"/>
              <w:adjustRightInd w:val="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杭州市文三路90号东部软件园一号楼319室  </w:t>
            </w:r>
            <w:r>
              <w:rPr>
                <w:rFonts w:hint="eastAsia" w:ascii="仿宋" w:hAnsi="仿宋" w:eastAsia="仿宋" w:cs="仿宋"/>
                <w:color w:val="auto"/>
                <w:kern w:val="28"/>
                <w:sz w:val="24"/>
                <w:szCs w:val="24"/>
                <w:highlight w:val="none"/>
              </w:rPr>
              <w:t>；</w:t>
            </w:r>
          </w:p>
          <w:p w14:paraId="158F3D26">
            <w:pPr>
              <w:pStyle w:val="28"/>
              <w:adjustRightInd w:val="0"/>
              <w:snapToGrid w:val="0"/>
              <w:spacing w:line="400" w:lineRule="exact"/>
              <w:rPr>
                <w:rFonts w:hint="eastAsia" w:ascii="仿宋" w:hAnsi="仿宋" w:eastAsia="仿宋" w:cs="仿宋"/>
                <w:color w:val="auto"/>
                <w:kern w:val="28"/>
                <w:sz w:val="24"/>
                <w:szCs w:val="24"/>
                <w:highlight w:val="none"/>
                <w:lang w:val="en-US" w:eastAsia="zh-CN"/>
              </w:rPr>
            </w:pPr>
            <w:r>
              <w:rPr>
                <w:rFonts w:hint="eastAsia" w:ascii="仿宋" w:hAnsi="仿宋" w:eastAsia="仿宋" w:cs="仿宋"/>
                <w:b/>
                <w:bCs/>
                <w:color w:val="auto"/>
                <w:kern w:val="28"/>
                <w:sz w:val="24"/>
                <w:szCs w:val="24"/>
                <w:highlight w:val="none"/>
                <w:lang w:val="en-US" w:eastAsia="zh-CN"/>
              </w:rPr>
              <w:t>因开标地点与代理机构办公地点不在同一处，备份文件如开标当天送出或可以收到的，</w:t>
            </w:r>
            <w:r>
              <w:rPr>
                <w:rFonts w:hint="eastAsia" w:ascii="仿宋" w:hAnsi="仿宋" w:eastAsia="仿宋" w:cs="仿宋"/>
                <w:color w:val="auto"/>
                <w:kern w:val="28"/>
                <w:sz w:val="24"/>
                <w:szCs w:val="24"/>
                <w:highlight w:val="none"/>
                <w:lang w:val="en-US" w:eastAsia="zh-CN"/>
              </w:rPr>
              <w:t>请在投标截止时间之前，送至</w:t>
            </w:r>
            <w:r>
              <w:rPr>
                <w:rFonts w:hint="eastAsia" w:ascii="仿宋" w:hAnsi="仿宋" w:eastAsia="仿宋" w:cs="仿宋"/>
                <w:color w:val="auto"/>
                <w:sz w:val="24"/>
                <w:highlight w:val="none"/>
                <w:u w:val="single"/>
                <w:lang w:val="en-US" w:eastAsia="zh-CN"/>
              </w:rPr>
              <w:t>杭州市钱塘区金沙大道600号东楼6楼3号开标室</w:t>
            </w:r>
            <w:r>
              <w:rPr>
                <w:rFonts w:hint="eastAsia" w:ascii="仿宋" w:hAnsi="仿宋" w:eastAsia="仿宋" w:cs="仿宋"/>
                <w:color w:val="auto"/>
                <w:sz w:val="24"/>
                <w:highlight w:val="none"/>
                <w:lang w:val="en-US" w:eastAsia="zh-CN"/>
              </w:rPr>
              <w:t>。</w:t>
            </w:r>
          </w:p>
          <w:p w14:paraId="0B22940F">
            <w:pPr>
              <w:pStyle w:val="28"/>
              <w:adjustRightInd w:val="0"/>
              <w:snapToGrid w:val="0"/>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唐稳，13777483506   </w:t>
            </w:r>
            <w:r>
              <w:rPr>
                <w:rFonts w:hint="eastAsia" w:ascii="仿宋" w:hAnsi="仿宋" w:eastAsia="仿宋" w:cs="仿宋"/>
                <w:color w:val="auto"/>
                <w:sz w:val="24"/>
                <w:szCs w:val="24"/>
                <w:highlight w:val="none"/>
              </w:rPr>
              <w:t>。</w:t>
            </w:r>
          </w:p>
          <w:p w14:paraId="6C2E25EB">
            <w:pPr>
              <w:pStyle w:val="28"/>
              <w:adjustRightInd w:val="0"/>
              <w:snapToGrid w:val="0"/>
              <w:spacing w:line="400" w:lineRule="exact"/>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szCs w:val="24"/>
                <w:highlight w:val="none"/>
              </w:rPr>
              <w:t>采购人、采购机构不强制或变相强制投标人提交备份投标文件。</w:t>
            </w:r>
          </w:p>
        </w:tc>
      </w:tr>
      <w:tr w14:paraId="02180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14:paraId="1A727534">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ign w:val="center"/>
          </w:tcPr>
          <w:p w14:paraId="362AC258">
            <w:pPr>
              <w:adjustRightInd w:val="0"/>
              <w:snapToGrid w:val="0"/>
              <w:jc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4B25BF3C">
            <w:pPr>
              <w:pStyle w:val="28"/>
              <w:adjustRightInd w:val="0"/>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1.本项目的采购代理费由中标人支付；以</w:t>
            </w:r>
            <w:r>
              <w:rPr>
                <w:rFonts w:hint="eastAsia" w:ascii="仿宋" w:hAnsi="仿宋" w:eastAsia="仿宋" w:cs="仿宋"/>
                <w:color w:val="auto"/>
                <w:sz w:val="24"/>
                <w:highlight w:val="none"/>
                <w:lang w:val="en-US" w:eastAsia="zh-CN"/>
              </w:rPr>
              <w:t>中标金额</w:t>
            </w:r>
            <w:r>
              <w:rPr>
                <w:rFonts w:hint="eastAsia" w:ascii="仿宋" w:hAnsi="仿宋" w:eastAsia="仿宋" w:cs="仿宋"/>
                <w:color w:val="auto"/>
                <w:sz w:val="24"/>
                <w:highlight w:val="none"/>
              </w:rPr>
              <w:t>为计费基准，计费标准按《计价格［2002］1980号》及《发改办价格［2003］857号》文件中服务类收费标准</w:t>
            </w:r>
            <w:r>
              <w:rPr>
                <w:rFonts w:hint="eastAsia" w:ascii="仿宋" w:hAnsi="仿宋" w:eastAsia="仿宋" w:cs="仿宋"/>
                <w:color w:val="auto"/>
                <w:sz w:val="24"/>
                <w:highlight w:val="none"/>
                <w:lang w:val="en-US" w:eastAsia="zh-CN"/>
              </w:rPr>
              <w:t>的80%</w:t>
            </w:r>
            <w:r>
              <w:rPr>
                <w:rFonts w:hint="eastAsia" w:ascii="仿宋" w:hAnsi="仿宋" w:eastAsia="仿宋" w:cs="仿宋"/>
                <w:color w:val="auto"/>
                <w:sz w:val="24"/>
                <w:highlight w:val="none"/>
              </w:rPr>
              <w:t>计算；</w:t>
            </w:r>
            <w:r>
              <w:rPr>
                <w:rFonts w:hint="eastAsia" w:ascii="仿宋" w:hAnsi="仿宋" w:eastAsia="仿宋" w:cs="仿宋"/>
                <w:color w:val="auto"/>
                <w:sz w:val="24"/>
                <w:highlight w:val="none"/>
                <w:lang w:val="en-US" w:eastAsia="zh-CN"/>
              </w:rPr>
              <w:t>服务类收费标准如下（差额累计法）：</w:t>
            </w:r>
          </w:p>
          <w:tbl>
            <w:tblPr>
              <w:tblStyle w:val="48"/>
              <w:tblW w:w="5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14:paraId="7416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14:paraId="4ECEF3AF">
                  <w:pPr>
                    <w:pStyle w:val="28"/>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中标金额</w:t>
                  </w:r>
                </w:p>
              </w:tc>
              <w:tc>
                <w:tcPr>
                  <w:tcW w:w="1288" w:type="dxa"/>
                  <w:noWrap w:val="0"/>
                  <w:vAlign w:val="top"/>
                </w:tcPr>
                <w:p w14:paraId="14CD8E06">
                  <w:pPr>
                    <w:pStyle w:val="28"/>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标准费率</w:t>
                  </w:r>
                </w:p>
              </w:tc>
              <w:tc>
                <w:tcPr>
                  <w:tcW w:w="1925" w:type="dxa"/>
                  <w:noWrap w:val="0"/>
                  <w:vAlign w:val="top"/>
                </w:tcPr>
                <w:p w14:paraId="3CB37164">
                  <w:pPr>
                    <w:pStyle w:val="28"/>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八折费率</w:t>
                  </w:r>
                </w:p>
              </w:tc>
            </w:tr>
            <w:tr w14:paraId="0284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14:paraId="76A1F287">
                  <w:pPr>
                    <w:pStyle w:val="28"/>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≤100万元</w:t>
                  </w:r>
                </w:p>
              </w:tc>
              <w:tc>
                <w:tcPr>
                  <w:tcW w:w="1288" w:type="dxa"/>
                  <w:noWrap w:val="0"/>
                  <w:vAlign w:val="top"/>
                </w:tcPr>
                <w:p w14:paraId="45C9ED33">
                  <w:pPr>
                    <w:pStyle w:val="28"/>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925" w:type="dxa"/>
                  <w:noWrap w:val="0"/>
                  <w:vAlign w:val="center"/>
                </w:tcPr>
                <w:p w14:paraId="270EF0D6">
                  <w:pPr>
                    <w:pStyle w:val="28"/>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r>
            <w:tr w14:paraId="431B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14:paraId="4C153518">
                  <w:pPr>
                    <w:pStyle w:val="28"/>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100-500</w:t>
                  </w:r>
                </w:p>
              </w:tc>
              <w:tc>
                <w:tcPr>
                  <w:tcW w:w="1288" w:type="dxa"/>
                  <w:noWrap w:val="0"/>
                  <w:vAlign w:val="top"/>
                </w:tcPr>
                <w:p w14:paraId="22851D7E">
                  <w:pPr>
                    <w:pStyle w:val="28"/>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0.8%</w:t>
                  </w:r>
                </w:p>
              </w:tc>
              <w:tc>
                <w:tcPr>
                  <w:tcW w:w="1925" w:type="dxa"/>
                  <w:noWrap w:val="0"/>
                  <w:vAlign w:val="center"/>
                </w:tcPr>
                <w:p w14:paraId="0656AF6D">
                  <w:pPr>
                    <w:pStyle w:val="28"/>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0.64%</w:t>
                  </w:r>
                </w:p>
              </w:tc>
            </w:tr>
            <w:tr w14:paraId="2068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47" w:type="dxa"/>
                  <w:noWrap w:val="0"/>
                  <w:vAlign w:val="top"/>
                </w:tcPr>
                <w:p w14:paraId="1B67A567">
                  <w:pPr>
                    <w:pStyle w:val="28"/>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500-1000</w:t>
                  </w:r>
                </w:p>
              </w:tc>
              <w:tc>
                <w:tcPr>
                  <w:tcW w:w="1288" w:type="dxa"/>
                  <w:noWrap w:val="0"/>
                  <w:vAlign w:val="top"/>
                </w:tcPr>
                <w:p w14:paraId="4D638739">
                  <w:pPr>
                    <w:pStyle w:val="28"/>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0.45%</w:t>
                  </w:r>
                </w:p>
              </w:tc>
              <w:tc>
                <w:tcPr>
                  <w:tcW w:w="1925" w:type="dxa"/>
                  <w:noWrap w:val="0"/>
                  <w:vAlign w:val="center"/>
                </w:tcPr>
                <w:p w14:paraId="66BC4B24">
                  <w:pPr>
                    <w:pStyle w:val="28"/>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0.36%</w:t>
                  </w:r>
                </w:p>
              </w:tc>
            </w:tr>
          </w:tbl>
          <w:p w14:paraId="6F7C7142">
            <w:pPr>
              <w:pStyle w:val="28"/>
              <w:adjustRightInd w:val="0"/>
              <w:snapToGrid w:val="0"/>
              <w:rPr>
                <w:rFonts w:hint="eastAsia" w:ascii="仿宋" w:hAnsi="仿宋" w:eastAsia="仿宋" w:cs="仿宋"/>
                <w:color w:val="auto"/>
                <w:sz w:val="24"/>
                <w:highlight w:val="none"/>
              </w:rPr>
            </w:pPr>
          </w:p>
          <w:p w14:paraId="08E7E0FE">
            <w:pPr>
              <w:pStyle w:val="28"/>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2.结算方式及时间为：在</w:t>
            </w:r>
            <w:r>
              <w:rPr>
                <w:rFonts w:hint="eastAsia" w:ascii="仿宋" w:hAnsi="仿宋" w:eastAsia="仿宋" w:cs="仿宋"/>
                <w:color w:val="auto"/>
                <w:sz w:val="24"/>
                <w:highlight w:val="none"/>
                <w:lang w:val="en-US" w:eastAsia="zh-CN"/>
              </w:rPr>
              <w:t>结果公告发布5个工作日内</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人一次性向采购代理机构付清。</w:t>
            </w:r>
          </w:p>
          <w:p w14:paraId="33AE172B">
            <w:pPr>
              <w:pStyle w:val="28"/>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3.代理机构账号信息：</w:t>
            </w:r>
          </w:p>
          <w:p w14:paraId="49D5BFDB">
            <w:pPr>
              <w:pStyle w:val="28"/>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（1）收款人（全称）：浙江国际招投标有限公司</w:t>
            </w:r>
          </w:p>
          <w:p w14:paraId="364218FF">
            <w:pPr>
              <w:pStyle w:val="28"/>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（2）开户银行：中国工商银行杭州武林支行</w:t>
            </w:r>
          </w:p>
          <w:p w14:paraId="35B76C86">
            <w:pPr>
              <w:pStyle w:val="28"/>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（3）帐    号：1202 0212 0990 6782 015</w:t>
            </w:r>
          </w:p>
          <w:p w14:paraId="3BF79C53">
            <w:pPr>
              <w:pStyle w:val="28"/>
              <w:adjustRightInd w:val="0"/>
              <w:snapToGrid w:val="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4、中标、成交供应商放弃中标、成交资格导致重新采购的，应当承担支付代理费和专家评审费等费用在内的赔偿责任。</w:t>
            </w:r>
          </w:p>
        </w:tc>
      </w:tr>
      <w:tr w14:paraId="785F0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restart"/>
            <w:tcBorders>
              <w:top w:val="single" w:color="auto" w:sz="4" w:space="0"/>
              <w:left w:val="single" w:color="000000" w:sz="8" w:space="0"/>
              <w:bottom w:val="single" w:color="auto" w:sz="4" w:space="0"/>
              <w:right w:val="single" w:color="000000" w:sz="2" w:space="0"/>
            </w:tcBorders>
            <w:noWrap/>
            <w:vAlign w:val="center"/>
          </w:tcPr>
          <w:p w14:paraId="4AA233D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p w14:paraId="2F9FCBFE">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restart"/>
            <w:tcBorders>
              <w:top w:val="single" w:color="000000" w:sz="8" w:space="0"/>
              <w:left w:val="single" w:color="000000" w:sz="2" w:space="0"/>
              <w:bottom w:val="single" w:color="000000" w:sz="8" w:space="0"/>
              <w:right w:val="single" w:color="000000" w:sz="8" w:space="0"/>
            </w:tcBorders>
            <w:noWrap/>
            <w:vAlign w:val="center"/>
          </w:tcPr>
          <w:p w14:paraId="68CFDEE9">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联合体投标说明</w:t>
            </w:r>
          </w:p>
          <w:p w14:paraId="6ECE7E05">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06CF3D6B">
            <w:pPr>
              <w:pStyle w:val="28"/>
              <w:adjustRightInd w:val="0"/>
              <w:snapToGrid w:val="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以联合体形式参与投标的，</w:t>
            </w:r>
            <w:r>
              <w:rPr>
                <w:rFonts w:hint="eastAsia" w:ascii="仿宋" w:hAnsi="仿宋" w:eastAsia="仿宋" w:cs="仿宋"/>
                <w:color w:val="auto"/>
                <w:kern w:val="28"/>
                <w:sz w:val="24"/>
                <w:szCs w:val="24"/>
                <w:highlight w:val="none"/>
              </w:rPr>
              <w:t>资格文件中：</w:t>
            </w:r>
          </w:p>
          <w:p w14:paraId="0C81E6D2">
            <w:pPr>
              <w:pStyle w:val="28"/>
              <w:adjustRightInd w:val="0"/>
              <w:snapToGrid w:val="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1、联合体各方均应提供“符合参加采购活动应当具备的一般条件的承诺函”，否则资格审查不通过。（承诺函格式见采购文件第六</w:t>
            </w:r>
            <w:r>
              <w:rPr>
                <w:rFonts w:hint="eastAsia" w:ascii="仿宋" w:hAnsi="仿宋" w:eastAsia="仿宋" w:cs="仿宋"/>
                <w:color w:val="auto"/>
                <w:kern w:val="28"/>
                <w:sz w:val="24"/>
                <w:szCs w:val="24"/>
                <w:highlight w:val="none"/>
                <w:lang w:val="en-US" w:eastAsia="zh-CN"/>
              </w:rPr>
              <w:t>部分</w:t>
            </w:r>
            <w:r>
              <w:rPr>
                <w:rFonts w:hint="eastAsia" w:ascii="仿宋" w:hAnsi="仿宋" w:eastAsia="仿宋" w:cs="仿宋"/>
                <w:color w:val="auto"/>
                <w:kern w:val="28"/>
                <w:sz w:val="24"/>
                <w:szCs w:val="24"/>
                <w:highlight w:val="none"/>
              </w:rPr>
              <w:t>）</w:t>
            </w:r>
          </w:p>
          <w:p w14:paraId="0DF50F49">
            <w:pPr>
              <w:pStyle w:val="28"/>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rPr>
              <w:t>2、资格文件中必须提供联合协议</w:t>
            </w: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rPr>
              <w:t>否则资格审查不通过。（联合协议格式见采购文件第六</w:t>
            </w:r>
            <w:r>
              <w:rPr>
                <w:rFonts w:hint="eastAsia" w:ascii="仿宋" w:hAnsi="仿宋" w:eastAsia="仿宋" w:cs="仿宋"/>
                <w:color w:val="auto"/>
                <w:kern w:val="28"/>
                <w:sz w:val="24"/>
                <w:szCs w:val="24"/>
                <w:highlight w:val="none"/>
                <w:lang w:val="en-US" w:eastAsia="zh-CN"/>
              </w:rPr>
              <w:t>部分</w:t>
            </w:r>
            <w:r>
              <w:rPr>
                <w:rFonts w:hint="eastAsia" w:ascii="仿宋" w:hAnsi="仿宋" w:eastAsia="仿宋" w:cs="仿宋"/>
                <w:color w:val="auto"/>
                <w:kern w:val="28"/>
                <w:sz w:val="24"/>
                <w:szCs w:val="24"/>
                <w:highlight w:val="none"/>
              </w:rPr>
              <w:t>）</w:t>
            </w:r>
          </w:p>
        </w:tc>
      </w:tr>
      <w:tr w14:paraId="506F7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continue"/>
            <w:tcBorders>
              <w:left w:val="single" w:color="000000" w:sz="8" w:space="0"/>
              <w:right w:val="single" w:color="000000" w:sz="2" w:space="0"/>
            </w:tcBorders>
            <w:noWrap/>
            <w:vAlign w:val="center"/>
          </w:tcPr>
          <w:p w14:paraId="4CA08670">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noWrap/>
            <w:vAlign w:val="center"/>
          </w:tcPr>
          <w:p w14:paraId="380DC11D">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145A1D05">
            <w:pPr>
              <w:pStyle w:val="28"/>
              <w:adjustRightInd w:val="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14:paraId="6688682A">
            <w:pPr>
              <w:pStyle w:val="28"/>
              <w:adjustRightInd w:val="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14:paraId="719DEDCF">
            <w:pPr>
              <w:pStyle w:val="28"/>
              <w:adjustRightInd w:val="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w:char="00FE"/>
            </w:r>
            <w:r>
              <w:rPr>
                <w:rFonts w:hint="eastAsia" w:ascii="仿宋" w:hAnsi="仿宋" w:eastAsia="仿宋" w:cs="仿宋"/>
                <w:color w:val="auto"/>
                <w:kern w:val="28"/>
                <w:sz w:val="24"/>
                <w:szCs w:val="24"/>
                <w:highlight w:val="none"/>
              </w:rPr>
              <w:t>联合体投标的，由联合体牵头方出具相应的业绩证明材料。</w:t>
            </w:r>
          </w:p>
          <w:p w14:paraId="133F4F6F">
            <w:pPr>
              <w:pStyle w:val="28"/>
              <w:adjustRightInd w:val="0"/>
              <w:snapToGrid w:val="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          </w:t>
            </w:r>
          </w:p>
        </w:tc>
      </w:tr>
      <w:tr w14:paraId="66688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continue"/>
            <w:tcBorders>
              <w:top w:val="single" w:color="auto" w:sz="4" w:space="0"/>
              <w:left w:val="single" w:color="000000" w:sz="8" w:space="0"/>
              <w:bottom w:val="single" w:color="auto" w:sz="4" w:space="0"/>
              <w:right w:val="single" w:color="000000" w:sz="2" w:space="0"/>
            </w:tcBorders>
            <w:noWrap/>
            <w:vAlign w:val="center"/>
          </w:tcPr>
          <w:p w14:paraId="4183172F">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noWrap/>
            <w:vAlign w:val="center"/>
          </w:tcPr>
          <w:p w14:paraId="1825192E">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699A01C9">
            <w:pPr>
              <w:pStyle w:val="28"/>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14:paraId="6A09FA04">
            <w:pPr>
              <w:pStyle w:val="28"/>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14:paraId="08A25F79">
            <w:pPr>
              <w:pStyle w:val="28"/>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A8"/>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14:paraId="3A7661A4">
            <w:pPr>
              <w:pStyle w:val="28"/>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bl>
    <w:p w14:paraId="59409706">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p>
    <w:p w14:paraId="37BD171B">
      <w:pPr>
        <w:rPr>
          <w:rFonts w:hint="eastAsia" w:ascii="仿宋" w:hAnsi="仿宋" w:eastAsia="仿宋" w:cs="仿宋"/>
          <w:color w:val="auto"/>
          <w:szCs w:val="21"/>
          <w:highlight w:val="none"/>
        </w:rPr>
      </w:pPr>
    </w:p>
    <w:p w14:paraId="1C002A1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注：以上内容如有变化将另行书面通知。如通知其中某一内容发生变化，其余未提及的将不作变动。</w:t>
      </w:r>
      <w:bookmarkStart w:id="3" w:name="_Toc240450076"/>
      <w:bookmarkStart w:id="4" w:name="_Toc251566649"/>
    </w:p>
    <w:p w14:paraId="477F2205">
      <w:pPr>
        <w:adjustRightInd w:val="0"/>
        <w:snapToGrid w:val="0"/>
        <w:spacing w:before="120" w:beforeLines="50" w:after="120" w:afterLines="50" w:line="360" w:lineRule="auto"/>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bookmarkStart w:id="5" w:name="_Toc2187"/>
      <w:bookmarkStart w:id="6" w:name="_Toc28292"/>
      <w:r>
        <w:rPr>
          <w:rFonts w:hint="eastAsia" w:ascii="仿宋" w:hAnsi="仿宋" w:eastAsia="仿宋" w:cs="仿宋"/>
          <w:b/>
          <w:color w:val="auto"/>
          <w:sz w:val="30"/>
          <w:szCs w:val="30"/>
          <w:highlight w:val="none"/>
        </w:rPr>
        <w:t>第二部分  投标须知</w:t>
      </w:r>
      <w:bookmarkEnd w:id="3"/>
      <w:bookmarkEnd w:id="4"/>
      <w:bookmarkEnd w:id="5"/>
      <w:bookmarkEnd w:id="6"/>
    </w:p>
    <w:p w14:paraId="1878887C">
      <w:pPr>
        <w:adjustRightInd/>
        <w:spacing w:line="360" w:lineRule="auto"/>
        <w:jc w:val="center"/>
        <w:outlineLvl w:val="1"/>
        <w:rPr>
          <w:rFonts w:hint="eastAsia" w:ascii="仿宋" w:hAnsi="仿宋" w:eastAsia="仿宋" w:cs="仿宋"/>
          <w:b/>
          <w:color w:val="auto"/>
          <w:sz w:val="32"/>
          <w:szCs w:val="20"/>
          <w:highlight w:val="none"/>
        </w:rPr>
      </w:pPr>
      <w:bookmarkStart w:id="7" w:name="_Toc29733"/>
      <w:bookmarkStart w:id="8" w:name="_Toc5875"/>
      <w:bookmarkStart w:id="9" w:name="_Toc3612"/>
      <w:r>
        <w:rPr>
          <w:rFonts w:hint="eastAsia" w:ascii="仿宋" w:hAnsi="仿宋" w:eastAsia="仿宋" w:cs="仿宋"/>
          <w:b/>
          <w:color w:val="auto"/>
          <w:sz w:val="32"/>
          <w:szCs w:val="20"/>
          <w:highlight w:val="none"/>
          <w:lang w:val="en-US" w:eastAsia="zh-CN"/>
        </w:rPr>
        <w:t>一、总则</w:t>
      </w:r>
      <w:bookmarkEnd w:id="7"/>
      <w:bookmarkEnd w:id="8"/>
      <w:bookmarkEnd w:id="9"/>
    </w:p>
    <w:p w14:paraId="14666E2E">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适用范围</w:t>
      </w:r>
    </w:p>
    <w:p w14:paraId="4D18FB23">
      <w:pPr>
        <w:snapToGrid w:val="0"/>
        <w:spacing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0F0BF7E">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0F7B989B">
      <w:pPr>
        <w:numPr>
          <w:ilvl w:val="1"/>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“采购人”系指招标公告中载明的本项目的采购人。</w:t>
      </w:r>
    </w:p>
    <w:p w14:paraId="2EE17410">
      <w:pPr>
        <w:numPr>
          <w:ilvl w:val="1"/>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“采购代理机构”系指招标公告中载明的本项目的采购代理机构。</w:t>
      </w:r>
    </w:p>
    <w:p w14:paraId="7E78AA2C">
      <w:pPr>
        <w:numPr>
          <w:ilvl w:val="1"/>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“投标人”系指响应招标、参加投标竞争的法人、其他组织或者自然人。</w:t>
      </w:r>
    </w:p>
    <w:p w14:paraId="0516117B">
      <w:pPr>
        <w:numPr>
          <w:ilvl w:val="1"/>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“负责人”系指法人企业的法定负责人，或其他组织为法律、行政法规规定代表单位行使职权的主要负责人，或自然人本人。</w:t>
      </w:r>
    </w:p>
    <w:p w14:paraId="1AD0B43A">
      <w:pPr>
        <w:numPr>
          <w:ilvl w:val="1"/>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AC0075">
      <w:pPr>
        <w:numPr>
          <w:ilvl w:val="1"/>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“电子交易平台”是指本项目政府采购活动所依托的政府采购云平台（https://www.zcygov.cn/）。</w:t>
      </w:r>
    </w:p>
    <w:p w14:paraId="3DA869C1">
      <w:pPr>
        <w:numPr>
          <w:ilvl w:val="1"/>
          <w:numId w:val="3"/>
        </w:num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系指实质性要求条款，“★”系关键技术指标，“</w:t>
      </w:r>
      <w:r>
        <w:rPr>
          <w:rFonts w:hint="eastAsia" w:ascii="仿宋" w:hAnsi="仿宋" w:eastAsia="仿宋" w:cs="仿宋"/>
          <w:color w:val="auto"/>
          <w:kern w:val="28"/>
          <w:sz w:val="24"/>
          <w:highlight w:val="none"/>
        </w:rPr>
        <w:sym w:font="Wingdings" w:char="00FE"/>
      </w:r>
      <w:r>
        <w:rPr>
          <w:rFonts w:hint="eastAsia" w:ascii="仿宋" w:hAnsi="仿宋" w:eastAsia="仿宋" w:cs="仿宋"/>
          <w:color w:val="auto"/>
          <w:sz w:val="24"/>
          <w:highlight w:val="none"/>
        </w:rPr>
        <w:t>” 系指适用本项目的要求，“☐” 系指不适用本项目的要求。</w:t>
      </w:r>
    </w:p>
    <w:p w14:paraId="19DAAAC0">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采购项目需要落实的政府采购政策</w:t>
      </w:r>
    </w:p>
    <w:p w14:paraId="23DF520A">
      <w:pPr>
        <w:numPr>
          <w:ilvl w:val="1"/>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EC9194A">
      <w:pPr>
        <w:numPr>
          <w:ilvl w:val="1"/>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支持绿色发展</w:t>
      </w:r>
    </w:p>
    <w:p w14:paraId="430C9D8A">
      <w:pPr>
        <w:numPr>
          <w:ilvl w:val="2"/>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687A5B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2542EA01">
      <w:pPr>
        <w:numPr>
          <w:ilvl w:val="2"/>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5ACA6328">
      <w:pPr>
        <w:numPr>
          <w:ilvl w:val="2"/>
          <w:numId w:val="3"/>
        </w:numPr>
        <w:spacing w:line="360" w:lineRule="auto"/>
        <w:ind w:left="850" w:leftChars="0" w:hanging="85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B59FB76">
      <w:pPr>
        <w:numPr>
          <w:ilvl w:val="2"/>
          <w:numId w:val="3"/>
        </w:numPr>
        <w:spacing w:line="360" w:lineRule="auto"/>
        <w:ind w:left="850" w:leftChars="0" w:hanging="85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26C32BA">
      <w:pPr>
        <w:numPr>
          <w:ilvl w:val="1"/>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支持中小企业发展</w:t>
      </w:r>
    </w:p>
    <w:p w14:paraId="03D6059E">
      <w:pPr>
        <w:numPr>
          <w:ilvl w:val="2"/>
          <w:numId w:val="3"/>
        </w:num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98CEA34">
      <w:pPr>
        <w:spacing w:line="360" w:lineRule="auto"/>
        <w:ind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2C2E928">
      <w:pPr>
        <w:numPr>
          <w:ilvl w:val="2"/>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6CD6663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1EB64AA9">
      <w:pPr>
        <w:numPr>
          <w:ilvl w:val="2"/>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highlight w:val="none"/>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73E80390">
      <w:pPr>
        <w:numPr>
          <w:ilvl w:val="2"/>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14:paraId="5853CE20">
      <w:pPr>
        <w:numPr>
          <w:ilvl w:val="2"/>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C0EA36B">
      <w:pPr>
        <w:numPr>
          <w:ilvl w:val="2"/>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2CBA744">
      <w:pPr>
        <w:numPr>
          <w:ilvl w:val="2"/>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中小企业享受扶持政策获得政府采购合同的，小微企业不得将合同分包给大中型企业，中型企业不得将合同分包给大型企业。</w:t>
      </w:r>
    </w:p>
    <w:p w14:paraId="6F55E2D8">
      <w:pPr>
        <w:numPr>
          <w:ilvl w:val="1"/>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支持创新发展</w:t>
      </w:r>
    </w:p>
    <w:p w14:paraId="68BF6819">
      <w:pPr>
        <w:numPr>
          <w:ilvl w:val="2"/>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采购人优先采购被认定为首台套产品和“制造精品”的自主创新产品。</w:t>
      </w:r>
    </w:p>
    <w:p w14:paraId="1E4FCF97">
      <w:pPr>
        <w:numPr>
          <w:ilvl w:val="2"/>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10B2D94">
      <w:pPr>
        <w:numPr>
          <w:ilvl w:val="1"/>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w:t>
      </w:r>
    </w:p>
    <w:p w14:paraId="30E3B4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45852897">
      <w:pPr>
        <w:numPr>
          <w:ilvl w:val="1"/>
          <w:numId w:val="3"/>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中小企业信用融资：为支持和促进中小企业发展，进一步发挥政府采购政策功能，</w:t>
      </w: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B944A36">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询问、质疑、投诉</w:t>
      </w:r>
    </w:p>
    <w:p w14:paraId="6C7E6547">
      <w:pPr>
        <w:numPr>
          <w:ilvl w:val="1"/>
          <w:numId w:val="3"/>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AE85D4">
      <w:pPr>
        <w:numPr>
          <w:ilvl w:val="1"/>
          <w:numId w:val="3"/>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供应商询问</w:t>
      </w:r>
    </w:p>
    <w:p w14:paraId="0E22FA0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BF1561">
      <w:pPr>
        <w:numPr>
          <w:ilvl w:val="1"/>
          <w:numId w:val="3"/>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供应商质疑</w:t>
      </w:r>
    </w:p>
    <w:p w14:paraId="1D8B993C">
      <w:pPr>
        <w:numPr>
          <w:ilvl w:val="2"/>
          <w:numId w:val="3"/>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提出质疑的供应商应当是参与所质疑项目采购活动的供应商。潜在供应商已依法获取其可质疑的招标文件的，可以对该文件提出质疑。</w:t>
      </w:r>
    </w:p>
    <w:p w14:paraId="10229BF3">
      <w:pPr>
        <w:numPr>
          <w:ilvl w:val="2"/>
          <w:numId w:val="3"/>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CBF7DF9">
      <w:pPr>
        <w:numPr>
          <w:ilvl w:val="3"/>
          <w:numId w:val="3"/>
        </w:numPr>
        <w:tabs>
          <w:tab w:val="left" w:pos="210"/>
          <w:tab w:val="left" w:pos="1050"/>
        </w:tabs>
        <w:snapToGrid w:val="0"/>
        <w:spacing w:line="360" w:lineRule="auto"/>
        <w:ind w:left="1050" w:hanging="105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对招标文件提出质疑的，质疑期限为供应商获得招标文件之日或者招标文件公告期限届满之日起计算。</w:t>
      </w:r>
    </w:p>
    <w:p w14:paraId="73282141">
      <w:pPr>
        <w:numPr>
          <w:ilvl w:val="3"/>
          <w:numId w:val="3"/>
        </w:numPr>
        <w:tabs>
          <w:tab w:val="left" w:pos="210"/>
          <w:tab w:val="left" w:pos="1050"/>
        </w:tabs>
        <w:snapToGrid w:val="0"/>
        <w:spacing w:line="360" w:lineRule="auto"/>
        <w:ind w:left="1050" w:hanging="105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对采购过程提出质疑的，质疑期限为各采购程序环节结束之日起计算。</w:t>
      </w:r>
    </w:p>
    <w:p w14:paraId="34A7BF6F">
      <w:pPr>
        <w:numPr>
          <w:ilvl w:val="3"/>
          <w:numId w:val="3"/>
        </w:numPr>
        <w:tabs>
          <w:tab w:val="left" w:pos="210"/>
          <w:tab w:val="left" w:pos="1050"/>
        </w:tabs>
        <w:snapToGrid w:val="0"/>
        <w:spacing w:line="360" w:lineRule="auto"/>
        <w:ind w:left="1050" w:hanging="105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对采购结果提出质疑的，质疑期限自采购结果公告期限届满之日起计算。</w:t>
      </w:r>
    </w:p>
    <w:p w14:paraId="60155235">
      <w:pPr>
        <w:numPr>
          <w:ilvl w:val="2"/>
          <w:numId w:val="3"/>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供应商提出质疑应当提交质疑函和必要的证明材料。质疑函应当包括下列内容：</w:t>
      </w:r>
    </w:p>
    <w:p w14:paraId="4C8673E0">
      <w:pPr>
        <w:numPr>
          <w:ilvl w:val="3"/>
          <w:numId w:val="3"/>
        </w:numPr>
        <w:tabs>
          <w:tab w:val="left" w:pos="210"/>
          <w:tab w:val="left" w:pos="1050"/>
        </w:tabs>
        <w:snapToGrid w:val="0"/>
        <w:spacing w:line="360" w:lineRule="auto"/>
        <w:ind w:hanging="21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供应商的姓名或者名称、地址、邮编、联系人及联系电话；</w:t>
      </w:r>
    </w:p>
    <w:p w14:paraId="319B5915">
      <w:pPr>
        <w:numPr>
          <w:ilvl w:val="3"/>
          <w:numId w:val="3"/>
        </w:numPr>
        <w:tabs>
          <w:tab w:val="left" w:pos="210"/>
          <w:tab w:val="left" w:pos="1050"/>
        </w:tabs>
        <w:snapToGrid w:val="0"/>
        <w:spacing w:line="360" w:lineRule="auto"/>
        <w:ind w:hanging="21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质疑项目的名称、编号；</w:t>
      </w:r>
    </w:p>
    <w:p w14:paraId="2C72A3D5">
      <w:pPr>
        <w:numPr>
          <w:ilvl w:val="3"/>
          <w:numId w:val="3"/>
        </w:numPr>
        <w:tabs>
          <w:tab w:val="left" w:pos="210"/>
          <w:tab w:val="left" w:pos="1050"/>
        </w:tabs>
        <w:snapToGrid w:val="0"/>
        <w:spacing w:line="360" w:lineRule="auto"/>
        <w:ind w:hanging="21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具体、明确的质疑事项和与质疑事项相关的请求；</w:t>
      </w:r>
    </w:p>
    <w:p w14:paraId="3588A1C2">
      <w:pPr>
        <w:numPr>
          <w:ilvl w:val="3"/>
          <w:numId w:val="3"/>
        </w:numPr>
        <w:tabs>
          <w:tab w:val="left" w:pos="210"/>
          <w:tab w:val="left" w:pos="1050"/>
        </w:tabs>
        <w:snapToGrid w:val="0"/>
        <w:spacing w:line="360" w:lineRule="auto"/>
        <w:ind w:hanging="21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事实依据；</w:t>
      </w:r>
    </w:p>
    <w:p w14:paraId="6CBCF5E9">
      <w:pPr>
        <w:numPr>
          <w:ilvl w:val="3"/>
          <w:numId w:val="3"/>
        </w:numPr>
        <w:tabs>
          <w:tab w:val="left" w:pos="210"/>
          <w:tab w:val="left" w:pos="1050"/>
        </w:tabs>
        <w:snapToGrid w:val="0"/>
        <w:spacing w:line="360" w:lineRule="auto"/>
        <w:ind w:hanging="21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必要的法律依据；</w:t>
      </w:r>
    </w:p>
    <w:p w14:paraId="67E6AF70">
      <w:pPr>
        <w:numPr>
          <w:ilvl w:val="3"/>
          <w:numId w:val="3"/>
        </w:numPr>
        <w:tabs>
          <w:tab w:val="left" w:pos="210"/>
          <w:tab w:val="left" w:pos="1050"/>
        </w:tabs>
        <w:snapToGrid w:val="0"/>
        <w:spacing w:line="360" w:lineRule="auto"/>
        <w:ind w:hanging="21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提出质疑的日期。</w:t>
      </w:r>
    </w:p>
    <w:p w14:paraId="0F2BBA82">
      <w:pPr>
        <w:tabs>
          <w:tab w:val="left" w:pos="210"/>
        </w:tabs>
        <w:snapToGrid w:val="0"/>
        <w:spacing w:line="360" w:lineRule="auto"/>
        <w:ind w:firstLine="480" w:firstLineChars="20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F08F43A">
      <w:pPr>
        <w:tabs>
          <w:tab w:val="left" w:pos="210"/>
        </w:tabs>
        <w:snapToGrid w:val="0"/>
        <w:spacing w:line="360" w:lineRule="auto"/>
        <w:ind w:firstLine="480" w:firstLineChars="20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质疑函范本及制作说明详见附件2。</w:t>
      </w:r>
    </w:p>
    <w:p w14:paraId="56EBF5E8">
      <w:pPr>
        <w:numPr>
          <w:ilvl w:val="2"/>
          <w:numId w:val="3"/>
        </w:numPr>
        <w:tabs>
          <w:tab w:val="left" w:pos="210"/>
          <w:tab w:val="left" w:pos="84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对同一采购程序环节的质疑，供应商须在法定质疑期内一次性提出。</w:t>
      </w:r>
    </w:p>
    <w:p w14:paraId="09551962">
      <w:pPr>
        <w:keepNext w:val="0"/>
        <w:keepLines w:val="0"/>
        <w:pageBreakBefore w:val="0"/>
        <w:widowControl w:val="0"/>
        <w:numPr>
          <w:ilvl w:val="2"/>
          <w:numId w:val="3"/>
        </w:numPr>
        <w:tabs>
          <w:tab w:val="left" w:pos="21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采购人负责供应商质疑答复。采购人委托采购代理机构采购的，采购代理机构对委托授权范围内质疑事项作出答复。委托授权范围应当在采购代理协议中明确。</w:t>
      </w:r>
    </w:p>
    <w:p w14:paraId="6AB88A72">
      <w:pPr>
        <w:keepNext w:val="0"/>
        <w:keepLines w:val="0"/>
        <w:pageBreakBefore w:val="0"/>
        <w:widowControl w:val="0"/>
        <w:numPr>
          <w:ilvl w:val="2"/>
          <w:numId w:val="3"/>
        </w:numPr>
        <w:tabs>
          <w:tab w:val="left" w:pos="21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采购人或者</w:t>
      </w:r>
      <w:r>
        <w:rPr>
          <w:rFonts w:hint="eastAsia" w:ascii="仿宋" w:hAnsi="仿宋" w:eastAsia="仿宋" w:cs="仿宋"/>
          <w:b w:val="0"/>
          <w:bCs/>
          <w:color w:val="auto"/>
          <w:sz w:val="24"/>
          <w:highlight w:val="none"/>
          <w:lang w:val="zh-CN" w:eastAsia="zh-CN"/>
        </w:rPr>
        <w:t>采购代理机构</w:t>
      </w:r>
      <w:r>
        <w:rPr>
          <w:rFonts w:hint="eastAsia" w:ascii="仿宋" w:hAnsi="仿宋" w:eastAsia="仿宋" w:cs="仿宋"/>
          <w:b w:val="0"/>
          <w:bCs/>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b w:val="0"/>
          <w:bCs/>
          <w:color w:val="auto"/>
          <w:sz w:val="24"/>
          <w:highlight w:val="none"/>
          <w:lang w:val="zh-CN" w:eastAsia="zh-CN"/>
        </w:rPr>
        <w:t>采购代理机构</w:t>
      </w:r>
      <w:r>
        <w:rPr>
          <w:rFonts w:hint="eastAsia" w:ascii="仿宋" w:hAnsi="仿宋" w:eastAsia="仿宋" w:cs="仿宋"/>
          <w:b w:val="0"/>
          <w:bCs/>
          <w:color w:val="auto"/>
          <w:sz w:val="24"/>
          <w:highlight w:val="none"/>
          <w:lang w:val="zh-CN"/>
        </w:rPr>
        <w:t>在质疑回复后5个工作日内，在浙江政府采购网的“其他公告”栏目公开质疑答复，答复内容应当完整。质疑函作为附件上传。</w:t>
      </w:r>
    </w:p>
    <w:p w14:paraId="07C84238">
      <w:pPr>
        <w:keepNext w:val="0"/>
        <w:keepLines w:val="0"/>
        <w:pageBreakBefore w:val="0"/>
        <w:widowControl w:val="0"/>
        <w:numPr>
          <w:ilvl w:val="2"/>
          <w:numId w:val="3"/>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询问或者质疑事项可能影响采购结果的，采购人应当暂停签订合同，已经签订合同的，应当中止履行合同。</w:t>
      </w:r>
    </w:p>
    <w:p w14:paraId="11076DC2">
      <w:pPr>
        <w:numPr>
          <w:ilvl w:val="1"/>
          <w:numId w:val="3"/>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w:t>
      </w:r>
    </w:p>
    <w:p w14:paraId="20E41F49">
      <w:pPr>
        <w:numPr>
          <w:ilvl w:val="2"/>
          <w:numId w:val="3"/>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62BAEFA8">
      <w:pPr>
        <w:numPr>
          <w:ilvl w:val="2"/>
          <w:numId w:val="3"/>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供应商投诉的事项不得超出已质疑事项的范围，基于质疑答复内容提出的投诉事项除外。</w:t>
      </w:r>
    </w:p>
    <w:p w14:paraId="5BB38BDA">
      <w:pPr>
        <w:numPr>
          <w:ilvl w:val="2"/>
          <w:numId w:val="3"/>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供应商投诉应当有明确的请求和必要的证明材料。</w:t>
      </w:r>
    </w:p>
    <w:p w14:paraId="0E314C4F">
      <w:pPr>
        <w:numPr>
          <w:ilvl w:val="2"/>
          <w:numId w:val="3"/>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以联合体形式参加政府采购活动的，其投诉应当由组成联合体的所有供应商共同提出。</w:t>
      </w:r>
    </w:p>
    <w:p w14:paraId="2FDF30DF">
      <w:pPr>
        <w:numPr>
          <w:ilvl w:val="2"/>
          <w:numId w:val="3"/>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政府采购项目投诉材料可寄送浙江省政府采购行政裁决服务中心（杭州），地址：杭州市上城区四季青街道新业路市民之家G03办公室，收件人：朱女士，电话：15121014815。</w:t>
      </w:r>
    </w:p>
    <w:p w14:paraId="7601BB8C">
      <w:pPr>
        <w:tabs>
          <w:tab w:val="left" w:pos="210"/>
        </w:tabs>
        <w:snapToGrid w:val="0"/>
        <w:spacing w:line="360" w:lineRule="auto"/>
        <w:ind w:firstLine="480" w:firstLineChars="200"/>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投诉书范本及制作说明详见附件3。</w:t>
      </w:r>
    </w:p>
    <w:p w14:paraId="73A8070B">
      <w:pPr>
        <w:rPr>
          <w:rFonts w:hint="eastAsia" w:ascii="仿宋" w:hAnsi="仿宋" w:eastAsia="仿宋" w:cs="仿宋"/>
          <w:color w:val="auto"/>
          <w:highlight w:val="none"/>
        </w:rPr>
      </w:pPr>
    </w:p>
    <w:p w14:paraId="5D87471C">
      <w:pPr>
        <w:spacing w:line="360" w:lineRule="auto"/>
        <w:jc w:val="center"/>
        <w:outlineLvl w:val="1"/>
        <w:rPr>
          <w:rFonts w:hint="eastAsia" w:ascii="仿宋" w:hAnsi="仿宋" w:eastAsia="仿宋" w:cs="仿宋"/>
          <w:b/>
          <w:color w:val="auto"/>
          <w:sz w:val="32"/>
          <w:szCs w:val="20"/>
          <w:highlight w:val="none"/>
        </w:rPr>
      </w:pPr>
      <w:bookmarkStart w:id="10" w:name="_Toc5240"/>
      <w:bookmarkStart w:id="11" w:name="_Toc30065"/>
      <w:bookmarkStart w:id="12" w:name="_Toc14473"/>
      <w:bookmarkStart w:id="13" w:name="_Toc28192"/>
      <w:bookmarkStart w:id="14" w:name="_Toc27887"/>
      <w:r>
        <w:rPr>
          <w:rFonts w:hint="eastAsia" w:ascii="仿宋" w:hAnsi="仿宋" w:eastAsia="仿宋" w:cs="仿宋"/>
          <w:b/>
          <w:color w:val="auto"/>
          <w:sz w:val="32"/>
          <w:szCs w:val="20"/>
          <w:highlight w:val="none"/>
        </w:rPr>
        <w:t>二、招标文件的构成、澄清、修改</w:t>
      </w:r>
      <w:bookmarkEnd w:id="10"/>
      <w:bookmarkEnd w:id="11"/>
      <w:bookmarkEnd w:id="12"/>
      <w:bookmarkEnd w:id="13"/>
      <w:bookmarkEnd w:id="14"/>
    </w:p>
    <w:p w14:paraId="4BCEA0AA">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招标文件的构成</w:t>
      </w:r>
    </w:p>
    <w:p w14:paraId="7EC3BC1E">
      <w:pPr>
        <w:numPr>
          <w:ilvl w:val="1"/>
          <w:numId w:val="3"/>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招标文件包括下列文件及附件：</w:t>
      </w:r>
    </w:p>
    <w:p w14:paraId="26320A52">
      <w:pPr>
        <w:numPr>
          <w:ilvl w:val="2"/>
          <w:numId w:val="3"/>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招标公告；</w:t>
      </w:r>
    </w:p>
    <w:p w14:paraId="3987E3FB">
      <w:pPr>
        <w:numPr>
          <w:ilvl w:val="2"/>
          <w:numId w:val="3"/>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投标人须知；</w:t>
      </w:r>
    </w:p>
    <w:p w14:paraId="45B3601C">
      <w:pPr>
        <w:numPr>
          <w:ilvl w:val="2"/>
          <w:numId w:val="3"/>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采购需求；</w:t>
      </w:r>
    </w:p>
    <w:p w14:paraId="1A1D4BE3">
      <w:pPr>
        <w:numPr>
          <w:ilvl w:val="2"/>
          <w:numId w:val="3"/>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评标办法；</w:t>
      </w:r>
    </w:p>
    <w:p w14:paraId="478871E1">
      <w:pPr>
        <w:numPr>
          <w:ilvl w:val="2"/>
          <w:numId w:val="3"/>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拟签订的合同文本；</w:t>
      </w:r>
    </w:p>
    <w:p w14:paraId="7F03A666">
      <w:pPr>
        <w:numPr>
          <w:ilvl w:val="2"/>
          <w:numId w:val="3"/>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应提交的有关格式范例。</w:t>
      </w:r>
    </w:p>
    <w:p w14:paraId="33BCAF1A">
      <w:pPr>
        <w:numPr>
          <w:ilvl w:val="1"/>
          <w:numId w:val="3"/>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与本项目有关的澄清或者修改的内容为招标文件的组成部分。</w:t>
      </w:r>
    </w:p>
    <w:p w14:paraId="40F1384B">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招标文件的澄清、修改</w:t>
      </w:r>
    </w:p>
    <w:p w14:paraId="3009E372">
      <w:pPr>
        <w:numPr>
          <w:ilvl w:val="1"/>
          <w:numId w:val="3"/>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已获取招标文件的潜在投标人，若有问题需要澄清，应于投标截止时间前，以书面形式向采购代理机构提出。</w:t>
      </w:r>
    </w:p>
    <w:p w14:paraId="371F5E00">
      <w:pPr>
        <w:numPr>
          <w:ilvl w:val="1"/>
          <w:numId w:val="3"/>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4AD5DA2">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22C3D1A">
      <w:pPr>
        <w:spacing w:line="360" w:lineRule="auto"/>
        <w:jc w:val="center"/>
        <w:outlineLvl w:val="1"/>
        <w:rPr>
          <w:rFonts w:hint="eastAsia" w:ascii="仿宋" w:hAnsi="仿宋" w:eastAsia="仿宋" w:cs="仿宋"/>
          <w:b/>
          <w:color w:val="auto"/>
          <w:sz w:val="30"/>
          <w:szCs w:val="20"/>
          <w:highlight w:val="none"/>
        </w:rPr>
      </w:pPr>
      <w:bookmarkStart w:id="15" w:name="_Toc10627"/>
      <w:bookmarkStart w:id="16" w:name="_Toc2344"/>
      <w:bookmarkStart w:id="17" w:name="_Toc8085"/>
      <w:bookmarkStart w:id="18" w:name="_Toc25644"/>
      <w:bookmarkStart w:id="19" w:name="_Toc484"/>
      <w:r>
        <w:rPr>
          <w:rFonts w:hint="eastAsia" w:ascii="仿宋" w:hAnsi="仿宋" w:eastAsia="仿宋" w:cs="仿宋"/>
          <w:b/>
          <w:color w:val="auto"/>
          <w:sz w:val="30"/>
          <w:szCs w:val="20"/>
          <w:highlight w:val="none"/>
        </w:rPr>
        <w:t>三、投标</w:t>
      </w:r>
      <w:bookmarkEnd w:id="15"/>
      <w:bookmarkEnd w:id="16"/>
      <w:bookmarkEnd w:id="17"/>
      <w:bookmarkEnd w:id="18"/>
      <w:bookmarkEnd w:id="19"/>
    </w:p>
    <w:p w14:paraId="73780667">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招标文件的获取</w:t>
      </w:r>
    </w:p>
    <w:p w14:paraId="642DF4F0">
      <w:pPr>
        <w:spacing w:line="360" w:lineRule="auto"/>
        <w:ind w:firstLine="42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D5E52D3">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5B1CD2BB">
      <w:pPr>
        <w:pStyle w:val="28"/>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D50C574">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投标保证金</w:t>
      </w:r>
    </w:p>
    <w:p w14:paraId="48AE1706">
      <w:pPr>
        <w:pStyle w:val="11"/>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94E5350">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投标文件的语言</w:t>
      </w:r>
    </w:p>
    <w:p w14:paraId="3C5A264D">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FC1CACB">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p>
    <w:p w14:paraId="15EEC451">
      <w:pPr>
        <w:numPr>
          <w:ilvl w:val="1"/>
          <w:numId w:val="3"/>
        </w:numPr>
        <w:tabs>
          <w:tab w:val="left" w:pos="210"/>
          <w:tab w:val="left" w:pos="630"/>
          <w:tab w:val="left" w:pos="840"/>
        </w:tabs>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资格文件：</w:t>
      </w:r>
    </w:p>
    <w:p w14:paraId="2309E996">
      <w:pPr>
        <w:numPr>
          <w:ilvl w:val="2"/>
          <w:numId w:val="3"/>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符合参加政府采购活动应当具备的一般条件的承诺函；</w:t>
      </w:r>
    </w:p>
    <w:p w14:paraId="5DB6D0C4">
      <w:pPr>
        <w:numPr>
          <w:ilvl w:val="2"/>
          <w:numId w:val="3"/>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联合协议；（如果有）</w:t>
      </w:r>
    </w:p>
    <w:p w14:paraId="6A545E0B">
      <w:pPr>
        <w:numPr>
          <w:ilvl w:val="2"/>
          <w:numId w:val="3"/>
        </w:numPr>
        <w:tabs>
          <w:tab w:val="left" w:pos="210"/>
          <w:tab w:val="left" w:pos="630"/>
          <w:tab w:val="left" w:pos="840"/>
        </w:tabs>
        <w:snapToGrid w:val="0"/>
        <w:spacing w:line="360" w:lineRule="auto"/>
        <w:jc w:val="left"/>
        <w:rPr>
          <w:rFonts w:hint="eastAsia" w:ascii="仿宋" w:hAnsi="仿宋" w:eastAsia="仿宋" w:cs="仿宋"/>
          <w:snapToGrid w:val="0"/>
          <w:color w:val="auto"/>
          <w:kern w:val="0"/>
          <w:sz w:val="24"/>
          <w:highlight w:val="none"/>
        </w:rPr>
      </w:pPr>
      <w:r>
        <w:rPr>
          <w:rFonts w:hint="eastAsia" w:ascii="仿宋" w:hAnsi="仿宋" w:eastAsia="仿宋" w:cs="仿宋"/>
          <w:bCs/>
          <w:color w:val="auto"/>
          <w:sz w:val="24"/>
          <w:highlight w:val="none"/>
        </w:rPr>
        <w:t>落实政府采购政策需满足的资格要求；</w:t>
      </w:r>
      <w:r>
        <w:rPr>
          <w:rFonts w:hint="eastAsia" w:ascii="仿宋" w:hAnsi="仿宋" w:eastAsia="仿宋" w:cs="仿宋"/>
          <w:snapToGrid w:val="0"/>
          <w:color w:val="auto"/>
          <w:kern w:val="0"/>
          <w:sz w:val="24"/>
          <w:highlight w:val="none"/>
        </w:rPr>
        <w:t>（本项目专门面向中小企业</w:t>
      </w:r>
      <w:r>
        <w:rPr>
          <w:rFonts w:hint="eastAsia" w:ascii="仿宋" w:hAnsi="仿宋" w:eastAsia="仿宋" w:cs="仿宋"/>
          <w:snapToGrid w:val="0"/>
          <w:color w:val="auto"/>
          <w:kern w:val="0"/>
          <w:sz w:val="24"/>
          <w:highlight w:val="none"/>
          <w:lang w:eastAsia="zh-CN"/>
        </w:rPr>
        <w:t>，</w:t>
      </w:r>
      <w:r>
        <w:rPr>
          <w:rFonts w:hint="eastAsia" w:ascii="仿宋" w:hAnsi="仿宋" w:eastAsia="仿宋" w:cs="仿宋"/>
          <w:snapToGrid w:val="0"/>
          <w:color w:val="auto"/>
          <w:kern w:val="0"/>
          <w:sz w:val="24"/>
          <w:highlight w:val="none"/>
          <w:lang w:val="en-US" w:eastAsia="zh-CN"/>
        </w:rPr>
        <w:t>提供中小企业声明函</w:t>
      </w:r>
      <w:r>
        <w:rPr>
          <w:rFonts w:hint="eastAsia" w:ascii="仿宋" w:hAnsi="仿宋" w:eastAsia="仿宋" w:cs="仿宋"/>
          <w:snapToGrid w:val="0"/>
          <w:color w:val="auto"/>
          <w:kern w:val="0"/>
          <w:sz w:val="24"/>
          <w:highlight w:val="none"/>
        </w:rPr>
        <w:t>）</w:t>
      </w:r>
    </w:p>
    <w:p w14:paraId="0319A441">
      <w:pPr>
        <w:numPr>
          <w:ilvl w:val="2"/>
          <w:numId w:val="3"/>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本项目的特定资格要求。</w:t>
      </w:r>
      <w:r>
        <w:rPr>
          <w:rFonts w:hint="eastAsia" w:ascii="仿宋" w:hAnsi="仿宋" w:eastAsia="仿宋" w:cs="仿宋"/>
          <w:bCs/>
          <w:color w:val="auto"/>
          <w:sz w:val="24"/>
          <w:highlight w:val="none"/>
          <w:lang w:eastAsia="zh-CN"/>
        </w:rPr>
        <w:t>（提供有效的保安服务许可证扫描件）</w:t>
      </w:r>
    </w:p>
    <w:p w14:paraId="008C2D0D">
      <w:pPr>
        <w:numPr>
          <w:ilvl w:val="1"/>
          <w:numId w:val="3"/>
        </w:numPr>
        <w:tabs>
          <w:tab w:val="left" w:pos="210"/>
          <w:tab w:val="left" w:pos="630"/>
          <w:tab w:val="left" w:pos="840"/>
        </w:tabs>
        <w:snapToGrid w:val="0"/>
        <w:spacing w:line="360" w:lineRule="auto"/>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商务技术</w:t>
      </w:r>
      <w:r>
        <w:rPr>
          <w:rFonts w:hint="eastAsia" w:ascii="仿宋" w:hAnsi="仿宋" w:eastAsia="仿宋" w:cs="仿宋"/>
          <w:b/>
          <w:color w:val="auto"/>
          <w:sz w:val="24"/>
          <w:highlight w:val="none"/>
          <w:lang w:val="zh-CN"/>
        </w:rPr>
        <w:t>文件：</w:t>
      </w:r>
    </w:p>
    <w:p w14:paraId="3E5528BB">
      <w:pPr>
        <w:numPr>
          <w:ilvl w:val="2"/>
          <w:numId w:val="3"/>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投标函；</w:t>
      </w:r>
      <w:r>
        <w:rPr>
          <w:rFonts w:hint="eastAsia" w:ascii="仿宋" w:hAnsi="仿宋" w:eastAsia="仿宋" w:cs="仿宋"/>
          <w:bCs/>
          <w:color w:val="auto"/>
          <w:sz w:val="24"/>
          <w:highlight w:val="none"/>
          <w:lang w:val="zh-CN"/>
        </w:rPr>
        <w:t xml:space="preserve"> </w:t>
      </w:r>
    </w:p>
    <w:p w14:paraId="40C1B45B">
      <w:pPr>
        <w:numPr>
          <w:ilvl w:val="2"/>
          <w:numId w:val="3"/>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授权委托书或法定代表人（单位负责人、自然人本人）身份证明</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以及为授权代表缴纳、距投标截止时间3个月内任意时间出具的社保证明材料</w:t>
      </w:r>
      <w:r>
        <w:rPr>
          <w:rFonts w:hint="eastAsia" w:ascii="仿宋" w:hAnsi="仿宋" w:eastAsia="仿宋" w:cs="仿宋"/>
          <w:bCs/>
          <w:color w:val="auto"/>
          <w:sz w:val="24"/>
          <w:highlight w:val="none"/>
        </w:rPr>
        <w:t>；</w:t>
      </w:r>
    </w:p>
    <w:p w14:paraId="70D601D9">
      <w:pPr>
        <w:numPr>
          <w:ilvl w:val="2"/>
          <w:numId w:val="3"/>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分包意向协议；（如果有）</w:t>
      </w:r>
    </w:p>
    <w:p w14:paraId="3B96025B">
      <w:pPr>
        <w:numPr>
          <w:ilvl w:val="2"/>
          <w:numId w:val="3"/>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符合性审查资料；</w:t>
      </w:r>
    </w:p>
    <w:p w14:paraId="7BCC6A88">
      <w:pPr>
        <w:numPr>
          <w:ilvl w:val="2"/>
          <w:numId w:val="3"/>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评标标准相应的商务技术资料；</w:t>
      </w:r>
    </w:p>
    <w:p w14:paraId="702DE86B">
      <w:pPr>
        <w:numPr>
          <w:ilvl w:val="2"/>
          <w:numId w:val="3"/>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投标标的清单；</w:t>
      </w:r>
    </w:p>
    <w:p w14:paraId="78FEC1CF">
      <w:pPr>
        <w:numPr>
          <w:ilvl w:val="2"/>
          <w:numId w:val="3"/>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商务技术偏离表；</w:t>
      </w:r>
    </w:p>
    <w:p w14:paraId="0E2A45F3">
      <w:pPr>
        <w:numPr>
          <w:ilvl w:val="2"/>
          <w:numId w:val="3"/>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政府采购供应商廉洁自律承诺书。</w:t>
      </w:r>
    </w:p>
    <w:p w14:paraId="4DA955E1">
      <w:pPr>
        <w:numPr>
          <w:ilvl w:val="1"/>
          <w:numId w:val="3"/>
        </w:numPr>
        <w:tabs>
          <w:tab w:val="left" w:pos="210"/>
          <w:tab w:val="left" w:pos="630"/>
          <w:tab w:val="left" w:pos="840"/>
        </w:tabs>
        <w:snapToGrid w:val="0"/>
        <w:spacing w:line="360" w:lineRule="auto"/>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 xml:space="preserve">报价文件： </w:t>
      </w:r>
    </w:p>
    <w:p w14:paraId="46409D48">
      <w:pPr>
        <w:numPr>
          <w:ilvl w:val="2"/>
          <w:numId w:val="3"/>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开标一览表（报价表）；</w:t>
      </w:r>
    </w:p>
    <w:p w14:paraId="703D4C84">
      <w:pPr>
        <w:numPr>
          <w:ilvl w:val="2"/>
          <w:numId w:val="3"/>
        </w:numPr>
        <w:tabs>
          <w:tab w:val="left" w:pos="210"/>
          <w:tab w:val="left" w:pos="630"/>
          <w:tab w:val="left" w:pos="8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报价明细表</w:t>
      </w:r>
      <w:r>
        <w:rPr>
          <w:rFonts w:hint="eastAsia" w:ascii="仿宋" w:hAnsi="仿宋" w:eastAsia="仿宋" w:cs="仿宋"/>
          <w:bCs/>
          <w:color w:val="auto"/>
          <w:sz w:val="24"/>
          <w:highlight w:val="none"/>
        </w:rPr>
        <w:t>。（自拟）</w:t>
      </w:r>
    </w:p>
    <w:p w14:paraId="30623D1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D94427D">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投标人提供虚假材料投标的，投标无效</w:t>
      </w:r>
      <w:r>
        <w:rPr>
          <w:rFonts w:hint="eastAsia" w:ascii="仿宋" w:hAnsi="仿宋" w:eastAsia="仿宋" w:cs="仿宋"/>
          <w:b/>
          <w:color w:val="auto"/>
          <w:sz w:val="24"/>
          <w:highlight w:val="none"/>
          <w:lang w:eastAsia="zh-CN"/>
        </w:rPr>
        <w:t>；</w:t>
      </w:r>
    </w:p>
    <w:p w14:paraId="77BF6DCF">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投标人应对投标文件中材料的真实性、合法性负责。</w:t>
      </w:r>
    </w:p>
    <w:p w14:paraId="7F944267">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投标文件的编制</w:t>
      </w:r>
    </w:p>
    <w:p w14:paraId="55F52BB5">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59F013C">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26756B6D">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使用“政采云电子交易客户端”需要提前申领CA数字证书，申领流程请自行前往“浙江政府采购网-下载专区-电子交易客户端-CA驱动和申领流程”进行查阅。</w:t>
      </w:r>
    </w:p>
    <w:p w14:paraId="1156A7B6">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03FECA96">
      <w:pPr>
        <w:numPr>
          <w:ilvl w:val="1"/>
          <w:numId w:val="3"/>
        </w:numPr>
        <w:tabs>
          <w:tab w:val="left" w:pos="210"/>
          <w:tab w:val="left" w:pos="6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投标文件按照招标文件第六部分格式要求进行签署、盖章。</w:t>
      </w:r>
    </w:p>
    <w:p w14:paraId="26FD262F">
      <w:pPr>
        <w:pStyle w:val="118"/>
        <w:snapToGrid w:val="0"/>
        <w:spacing w:before="0"/>
        <w:ind w:firstLine="489"/>
        <w:rPr>
          <w:rFonts w:hint="eastAsia" w:ascii="仿宋" w:hAnsi="仿宋" w:eastAsia="仿宋" w:cs="仿宋"/>
          <w:b/>
          <w:color w:val="auto"/>
          <w:highlight w:val="none"/>
        </w:rPr>
      </w:pP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34D3F9D5">
      <w:pPr>
        <w:numPr>
          <w:ilvl w:val="1"/>
          <w:numId w:val="3"/>
        </w:numPr>
        <w:tabs>
          <w:tab w:val="left" w:pos="210"/>
          <w:tab w:val="left" w:pos="640"/>
        </w:tabs>
        <w:snapToGrid w:val="0"/>
        <w:spacing w:line="360" w:lineRule="auto"/>
        <w:ind w:left="627" w:hanging="627"/>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为确保网上操作合法、有效和安全，投标人应当在投标截止时间前完成在“政府采购云平台”的身份认证，确保在电子投标过程中能够对相关数据电文进行加密和使用电子签名。</w:t>
      </w:r>
    </w:p>
    <w:p w14:paraId="1B402594">
      <w:pPr>
        <w:numPr>
          <w:ilvl w:val="1"/>
          <w:numId w:val="3"/>
        </w:numPr>
        <w:tabs>
          <w:tab w:val="left" w:pos="210"/>
          <w:tab w:val="left" w:pos="640"/>
        </w:tabs>
        <w:snapToGrid w:val="0"/>
        <w:spacing w:line="360" w:lineRule="auto"/>
        <w:ind w:left="627" w:hanging="627"/>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招标文件对投标文件签署、盖章的要求适用于电子签名。</w:t>
      </w:r>
    </w:p>
    <w:p w14:paraId="05555C0A">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投标文件的提交、补充、修改、撤回</w:t>
      </w:r>
    </w:p>
    <w:p w14:paraId="36FA8E0B">
      <w:pPr>
        <w:numPr>
          <w:ilvl w:val="1"/>
          <w:numId w:val="3"/>
        </w:numPr>
        <w:tabs>
          <w:tab w:val="left" w:pos="210"/>
          <w:tab w:val="left" w:pos="640"/>
        </w:tabs>
        <w:snapToGrid w:val="0"/>
        <w:spacing w:line="360" w:lineRule="auto"/>
        <w:ind w:left="627" w:hanging="627"/>
        <w:jc w:val="left"/>
        <w:rPr>
          <w:rFonts w:hint="eastAsia" w:ascii="仿宋" w:hAnsi="仿宋" w:eastAsia="仿宋" w:cs="仿宋"/>
          <w:bCs/>
          <w:color w:val="auto"/>
          <w:sz w:val="24"/>
          <w:highlight w:val="none"/>
        </w:rPr>
      </w:pPr>
      <w:r>
        <w:rPr>
          <w:rFonts w:hint="eastAsia" w:ascii="仿宋" w:hAnsi="仿宋" w:eastAsia="仿宋" w:cs="仿宋"/>
          <w:b w:val="0"/>
          <w:bCs/>
          <w:color w:val="auto"/>
          <w:sz w:val="24"/>
          <w:highlight w:val="none"/>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DD8FDAF">
      <w:pPr>
        <w:numPr>
          <w:ilvl w:val="1"/>
          <w:numId w:val="3"/>
        </w:numPr>
        <w:tabs>
          <w:tab w:val="left" w:pos="210"/>
          <w:tab w:val="left" w:pos="6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68270108">
      <w:pPr>
        <w:numPr>
          <w:ilvl w:val="1"/>
          <w:numId w:val="3"/>
        </w:numPr>
        <w:tabs>
          <w:tab w:val="left" w:pos="210"/>
          <w:tab w:val="left" w:pos="6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191493CE">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p w14:paraId="6CCB4850">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投标人在电子交易平台传输递交投标文件后，还可以在投标截止时间前直接提交或者以邮政快递方式递交备份投标文件1份，</w:t>
      </w:r>
      <w:r>
        <w:rPr>
          <w:rFonts w:hint="eastAsia" w:ascii="仿宋" w:hAnsi="仿宋" w:eastAsia="仿宋" w:cs="仿宋"/>
          <w:b/>
          <w:color w:val="auto"/>
          <w:sz w:val="24"/>
          <w:highlight w:val="none"/>
        </w:rPr>
        <w:t>但采购人、采购代理机构不强制或变相强制投标人提交备份投标文件</w:t>
      </w:r>
      <w:r>
        <w:rPr>
          <w:rFonts w:hint="eastAsia" w:ascii="仿宋" w:hAnsi="仿宋" w:eastAsia="仿宋" w:cs="仿宋"/>
          <w:bCs/>
          <w:color w:val="auto"/>
          <w:sz w:val="24"/>
          <w:highlight w:val="none"/>
        </w:rPr>
        <w:t>。</w:t>
      </w:r>
    </w:p>
    <w:p w14:paraId="580766AB">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不符合上述制作、存储、密封规定的备份投标文件将被视为无效或者被拒绝接收。</w:t>
      </w:r>
    </w:p>
    <w:p w14:paraId="26E16A04">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直接提交备份投标文件的，投标人应于投标截止时间前在招标公告中载明的开标地点将备份投标文件提交给采购代理机构，</w:t>
      </w:r>
      <w:r>
        <w:rPr>
          <w:rFonts w:hint="eastAsia" w:ascii="仿宋" w:hAnsi="仿宋" w:eastAsia="仿宋" w:cs="仿宋"/>
          <w:b/>
          <w:color w:val="auto"/>
          <w:sz w:val="24"/>
          <w:highlight w:val="none"/>
        </w:rPr>
        <w:t>采购代理机构将拒绝接受逾期送达的备份投标文件</w:t>
      </w:r>
      <w:r>
        <w:rPr>
          <w:rFonts w:hint="eastAsia" w:ascii="仿宋" w:hAnsi="仿宋" w:eastAsia="仿宋" w:cs="仿宋"/>
          <w:bCs/>
          <w:color w:val="auto"/>
          <w:sz w:val="24"/>
          <w:highlight w:val="none"/>
        </w:rPr>
        <w:t>。</w:t>
      </w:r>
    </w:p>
    <w:p w14:paraId="7298316B">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8BEE9DC">
      <w:pPr>
        <w:numPr>
          <w:ilvl w:val="1"/>
          <w:numId w:val="3"/>
        </w:numPr>
        <w:tabs>
          <w:tab w:val="left" w:pos="210"/>
          <w:tab w:val="left" w:pos="640"/>
        </w:tabs>
        <w:snapToGrid w:val="0"/>
        <w:spacing w:line="360" w:lineRule="auto"/>
        <w:ind w:left="629" w:hanging="629"/>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投标人仅提交备份投标文件，未在电子交易平台传输递交投标文件的，投标无效。</w:t>
      </w:r>
    </w:p>
    <w:p w14:paraId="37307073">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投标文件的无效处理</w:t>
      </w:r>
    </w:p>
    <w:p w14:paraId="6C0C3ABD">
      <w:pPr>
        <w:pStyle w:val="20"/>
        <w:ind w:firstLine="360" w:firstLineChars="1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r>
        <w:rPr>
          <w:rFonts w:hint="eastAsia" w:ascii="仿宋" w:hAnsi="仿宋" w:eastAsia="仿宋" w:cs="仿宋"/>
          <w:color w:val="auto"/>
          <w:szCs w:val="21"/>
          <w:highlight w:val="none"/>
          <w:lang w:eastAsia="zh-CN"/>
        </w:rPr>
        <w:t>。</w:t>
      </w:r>
    </w:p>
    <w:p w14:paraId="4EC6A463">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投标有效期</w:t>
      </w:r>
    </w:p>
    <w:p w14:paraId="2959A3D6">
      <w:pPr>
        <w:numPr>
          <w:ilvl w:val="1"/>
          <w:numId w:val="3"/>
        </w:numPr>
        <w:tabs>
          <w:tab w:val="left" w:pos="210"/>
          <w:tab w:val="left" w:pos="64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投标有效期为从提交投标文件的截止之日起90天。</w:t>
      </w:r>
    </w:p>
    <w:p w14:paraId="2EFF7147">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CEE418D">
      <w:pPr>
        <w:numPr>
          <w:ilvl w:val="1"/>
          <w:numId w:val="3"/>
        </w:numPr>
        <w:tabs>
          <w:tab w:val="left" w:pos="210"/>
          <w:tab w:val="left" w:pos="640"/>
        </w:tabs>
        <w:snapToGrid w:val="0"/>
        <w:spacing w:line="360" w:lineRule="auto"/>
        <w:ind w:left="627" w:hanging="627"/>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投标文件合格投递后，自投标截止日期起，在投标有效期内有效。</w:t>
      </w:r>
    </w:p>
    <w:p w14:paraId="49CB3A94">
      <w:pPr>
        <w:numPr>
          <w:ilvl w:val="1"/>
          <w:numId w:val="3"/>
        </w:numPr>
        <w:tabs>
          <w:tab w:val="left" w:pos="210"/>
          <w:tab w:val="left" w:pos="640"/>
        </w:tabs>
        <w:snapToGrid w:val="0"/>
        <w:spacing w:line="360" w:lineRule="auto"/>
        <w:ind w:left="627" w:hanging="627"/>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16926D97">
      <w:pPr>
        <w:numPr>
          <w:ilvl w:val="1"/>
          <w:numId w:val="3"/>
        </w:numPr>
        <w:tabs>
          <w:tab w:val="left" w:pos="210"/>
          <w:tab w:val="left" w:pos="640"/>
        </w:tabs>
        <w:snapToGrid w:val="0"/>
        <w:spacing w:line="360" w:lineRule="auto"/>
        <w:ind w:left="627" w:leftChars="0" w:hanging="627" w:firstLineChars="0"/>
        <w:jc w:val="left"/>
        <w:outlineLvl w:val="2"/>
        <w:rPr>
          <w:rFonts w:hint="eastAsia" w:ascii="仿宋" w:hAnsi="仿宋" w:eastAsia="仿宋" w:cs="仿宋"/>
          <w:color w:val="auto"/>
          <w:highlight w:val="none"/>
        </w:rPr>
      </w:pPr>
      <w:r>
        <w:rPr>
          <w:rFonts w:hint="eastAsia" w:ascii="仿宋" w:hAnsi="仿宋" w:eastAsia="仿宋" w:cs="仿宋"/>
          <w:b w:val="0"/>
          <w:bCs/>
          <w:color w:val="auto"/>
          <w:sz w:val="24"/>
          <w:highlight w:val="none"/>
          <w:lang w:val="en-US" w:eastAsia="zh-CN"/>
        </w:rPr>
        <w:t>自</w:t>
      </w:r>
      <w:r>
        <w:rPr>
          <w:rFonts w:hint="eastAsia" w:ascii="仿宋" w:hAnsi="仿宋" w:eastAsia="仿宋" w:cs="仿宋"/>
          <w:b w:val="0"/>
          <w:bCs/>
          <w:color w:val="auto"/>
          <w:sz w:val="24"/>
          <w:highlight w:val="none"/>
        </w:rPr>
        <w:t>投标截止时间起至投标有效期届满，供应商投标文件不可撤销。</w:t>
      </w:r>
    </w:p>
    <w:p w14:paraId="18248B84">
      <w:pPr>
        <w:pStyle w:val="118"/>
        <w:spacing w:before="0"/>
        <w:ind w:firstLine="653"/>
        <w:rPr>
          <w:rFonts w:hint="eastAsia" w:ascii="仿宋" w:hAnsi="仿宋" w:eastAsia="仿宋" w:cs="仿宋"/>
          <w:b/>
          <w:color w:val="auto"/>
          <w:sz w:val="32"/>
          <w:highlight w:val="none"/>
        </w:rPr>
      </w:pPr>
    </w:p>
    <w:p w14:paraId="59052E66">
      <w:pPr>
        <w:spacing w:line="360" w:lineRule="auto"/>
        <w:jc w:val="center"/>
        <w:outlineLvl w:val="1"/>
        <w:rPr>
          <w:rFonts w:hint="eastAsia" w:ascii="仿宋" w:hAnsi="仿宋" w:eastAsia="仿宋" w:cs="仿宋"/>
          <w:b/>
          <w:color w:val="auto"/>
          <w:sz w:val="30"/>
          <w:szCs w:val="20"/>
          <w:highlight w:val="none"/>
        </w:rPr>
      </w:pPr>
      <w:bookmarkStart w:id="20" w:name="_Toc25497"/>
      <w:bookmarkStart w:id="21" w:name="_Toc16113"/>
      <w:bookmarkStart w:id="22" w:name="_Toc11837"/>
      <w:bookmarkStart w:id="23" w:name="_Toc533"/>
      <w:bookmarkStart w:id="24" w:name="_Toc3728"/>
      <w:r>
        <w:rPr>
          <w:rFonts w:hint="eastAsia" w:ascii="仿宋" w:hAnsi="仿宋" w:eastAsia="仿宋" w:cs="仿宋"/>
          <w:b/>
          <w:color w:val="auto"/>
          <w:sz w:val="30"/>
          <w:szCs w:val="20"/>
          <w:highlight w:val="none"/>
        </w:rPr>
        <w:t>四、开标、资格审查与信用信息查询</w:t>
      </w:r>
      <w:bookmarkEnd w:id="20"/>
      <w:bookmarkEnd w:id="21"/>
      <w:bookmarkEnd w:id="22"/>
      <w:bookmarkEnd w:id="23"/>
      <w:bookmarkEnd w:id="24"/>
    </w:p>
    <w:p w14:paraId="6E717C23">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开标 </w:t>
      </w:r>
    </w:p>
    <w:p w14:paraId="65322F89">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采购代理机构按照招标文件规定的时间通过电子交易平台组织开标，所有投标人均应当准时在线参加。投标人不足3家的，不得开标。</w:t>
      </w:r>
    </w:p>
    <w:p w14:paraId="22F38CD6">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1CF78DD0">
      <w:pPr>
        <w:numPr>
          <w:ilvl w:val="1"/>
          <w:numId w:val="3"/>
        </w:numPr>
        <w:tabs>
          <w:tab w:val="left" w:pos="210"/>
          <w:tab w:val="left" w:pos="640"/>
        </w:tabs>
        <w:snapToGrid w:val="0"/>
        <w:spacing w:line="360" w:lineRule="auto"/>
        <w:ind w:left="629" w:hanging="629"/>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7D59E34">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w:t>
      </w:r>
    </w:p>
    <w:p w14:paraId="5B570601">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 w:val="0"/>
          <w:bCs/>
          <w:color w:val="auto"/>
          <w:sz w:val="24"/>
          <w:highlight w:val="none"/>
          <w:lang w:eastAsia="zh-CN"/>
        </w:rPr>
        <w:t>开标后，</w:t>
      </w:r>
      <w:r>
        <w:rPr>
          <w:rFonts w:hint="eastAsia" w:ascii="仿宋" w:hAnsi="仿宋" w:eastAsia="仿宋" w:cs="仿宋"/>
          <w:b w:val="0"/>
          <w:bCs/>
          <w:color w:val="auto"/>
          <w:sz w:val="24"/>
          <w:highlight w:val="none"/>
        </w:rPr>
        <w:t>采购人或采购代理机构依据法律法规和招标文件的规定，对投标人的资格进行审查</w:t>
      </w:r>
      <w:r>
        <w:rPr>
          <w:rFonts w:hint="eastAsia" w:ascii="仿宋" w:hAnsi="仿宋" w:eastAsia="仿宋" w:cs="仿宋"/>
          <w:bCs/>
          <w:color w:val="auto"/>
          <w:sz w:val="24"/>
          <w:highlight w:val="none"/>
        </w:rPr>
        <w:t>。</w:t>
      </w:r>
    </w:p>
    <w:p w14:paraId="6CE4A7FF">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采购人或采购代理机构依据法律法规和招标文件的规定，对投标人的基本资格条件、特定资格条件进行审查。</w:t>
      </w:r>
    </w:p>
    <w:p w14:paraId="4E2740EF">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投标人未按照招标文件要求提供与基本资格条件、特定资格条件相应的有效资格证明材料的，视为投标人不具备招标文件中规定的资格要求，其投标无效。</w:t>
      </w:r>
    </w:p>
    <w:p w14:paraId="76260BF4">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对未通过资格审查的投标人，采购人或采购代理机构告知其未通过的原因。</w:t>
      </w:r>
    </w:p>
    <w:p w14:paraId="789E361C">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合格投标人不足3家的，不再评标。</w:t>
      </w:r>
    </w:p>
    <w:p w14:paraId="18A62807">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w:t>
      </w:r>
    </w:p>
    <w:p w14:paraId="5B34E733">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信用信息查询渠道及截止时间：采购代理机构将通过“信用中国”网站(www.creditchina.gov.cn)、中国政府采购网(www.ccgp.gov.cn)渠道查询投标人投标截止时间当天的信用记录。</w:t>
      </w:r>
    </w:p>
    <w:p w14:paraId="1F6E3C8A">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信用信息查询记录和证据留存的具体方式：现场查询的投标人的信用记录、查询结果经确认后将与采购文件一起存档。</w:t>
      </w:r>
    </w:p>
    <w:p w14:paraId="754DA693">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信用信息的使用规则：经查询列入失信被执行人名单、重大税收违法案件当事人名单、政府采购严重违法失信行为记录名单的投标人将被拒绝参与政府采购活动。</w:t>
      </w:r>
    </w:p>
    <w:p w14:paraId="0D365D89">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7CA601">
      <w:pPr>
        <w:snapToGrid w:val="0"/>
        <w:spacing w:line="360" w:lineRule="auto"/>
        <w:jc w:val="center"/>
        <w:outlineLvl w:val="1"/>
        <w:rPr>
          <w:rFonts w:hint="eastAsia" w:ascii="仿宋" w:hAnsi="仿宋" w:eastAsia="仿宋" w:cs="仿宋"/>
          <w:b/>
          <w:color w:val="auto"/>
          <w:sz w:val="36"/>
          <w:szCs w:val="36"/>
          <w:highlight w:val="none"/>
        </w:rPr>
      </w:pPr>
      <w:bookmarkStart w:id="25" w:name="_Toc19433"/>
      <w:bookmarkStart w:id="26" w:name="_Toc7171"/>
      <w:bookmarkStart w:id="27" w:name="_Toc22552"/>
      <w:bookmarkStart w:id="28" w:name="_Toc9793"/>
      <w:bookmarkStart w:id="29" w:name="_Toc24431"/>
      <w:r>
        <w:rPr>
          <w:rFonts w:hint="eastAsia" w:ascii="仿宋" w:hAnsi="仿宋" w:eastAsia="仿宋" w:cs="仿宋"/>
          <w:b/>
          <w:color w:val="auto"/>
          <w:sz w:val="36"/>
          <w:szCs w:val="36"/>
          <w:highlight w:val="none"/>
        </w:rPr>
        <w:t>五、评标</w:t>
      </w:r>
      <w:bookmarkEnd w:id="25"/>
      <w:bookmarkEnd w:id="26"/>
      <w:bookmarkEnd w:id="27"/>
      <w:bookmarkEnd w:id="28"/>
      <w:bookmarkEnd w:id="29"/>
    </w:p>
    <w:p w14:paraId="197C4AC9">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w:t>
      </w:r>
    </w:p>
    <w:p w14:paraId="72AC98C3">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6F73471">
      <w:pPr>
        <w:snapToGrid w:val="0"/>
        <w:spacing w:line="360" w:lineRule="auto"/>
        <w:jc w:val="center"/>
        <w:outlineLvl w:val="1"/>
        <w:rPr>
          <w:rFonts w:hint="eastAsia" w:ascii="仿宋" w:hAnsi="仿宋" w:eastAsia="仿宋" w:cs="仿宋"/>
          <w:b/>
          <w:color w:val="auto"/>
          <w:sz w:val="36"/>
          <w:szCs w:val="36"/>
          <w:highlight w:val="none"/>
        </w:rPr>
      </w:pPr>
      <w:bookmarkStart w:id="30" w:name="_Toc30302"/>
      <w:bookmarkStart w:id="31" w:name="_Toc7518"/>
      <w:bookmarkStart w:id="32" w:name="_Toc31668"/>
      <w:bookmarkStart w:id="33" w:name="_Toc20749"/>
      <w:bookmarkStart w:id="34" w:name="_Toc29939"/>
      <w:r>
        <w:rPr>
          <w:rFonts w:hint="eastAsia" w:ascii="仿宋" w:hAnsi="仿宋" w:eastAsia="仿宋" w:cs="仿宋"/>
          <w:b/>
          <w:color w:val="auto"/>
          <w:sz w:val="36"/>
          <w:szCs w:val="36"/>
          <w:highlight w:val="none"/>
        </w:rPr>
        <w:t>六、定 标</w:t>
      </w:r>
      <w:bookmarkEnd w:id="30"/>
      <w:bookmarkEnd w:id="31"/>
      <w:bookmarkEnd w:id="32"/>
      <w:bookmarkEnd w:id="33"/>
      <w:bookmarkEnd w:id="34"/>
    </w:p>
    <w:p w14:paraId="30B0FC49">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确定中标供应商</w:t>
      </w:r>
    </w:p>
    <w:p w14:paraId="0AA7E318">
      <w:pPr>
        <w:pStyle w:val="118"/>
        <w:snapToGrid w:val="0"/>
        <w:spacing w:before="0"/>
        <w:ind w:firstLine="420" w:firstLineChars="175"/>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w:t>
      </w:r>
      <w:r>
        <w:rPr>
          <w:rFonts w:hint="eastAsia" w:ascii="仿宋" w:hAnsi="仿宋" w:eastAsia="仿宋" w:cs="仿宋"/>
          <w:color w:val="auto"/>
          <w:szCs w:val="24"/>
          <w:highlight w:val="none"/>
          <w:lang w:eastAsia="zh-CN"/>
        </w:rPr>
        <w:t>中标候选人并列的，</w:t>
      </w:r>
      <w:r>
        <w:rPr>
          <w:rFonts w:hint="eastAsia" w:ascii="仿宋" w:hAnsi="仿宋" w:eastAsia="仿宋" w:cs="仿宋"/>
          <w:color w:val="auto"/>
          <w:szCs w:val="24"/>
          <w:highlight w:val="none"/>
        </w:rPr>
        <w:t>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14:paraId="5ED03DDB">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中标通知与中标结果公告</w:t>
      </w:r>
    </w:p>
    <w:p w14:paraId="3C5166A9">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自中标人确定之日起2个工作日内，采购代理机构通过电子交易平台向中标人发出中标通知书，同时编制发布采购结果公告。采购代理机构也可以以纸质形式进行中标通知。</w:t>
      </w:r>
    </w:p>
    <w:p w14:paraId="58E23838">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628241BA">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公告期限为1个工作日。</w:t>
      </w:r>
    </w:p>
    <w:p w14:paraId="37BC0087">
      <w:pPr>
        <w:rPr>
          <w:rFonts w:hint="eastAsia" w:ascii="仿宋" w:hAnsi="仿宋" w:eastAsia="仿宋" w:cs="仿宋"/>
          <w:color w:val="auto"/>
          <w:highlight w:val="none"/>
        </w:rPr>
      </w:pPr>
    </w:p>
    <w:p w14:paraId="1AD596CC">
      <w:pPr>
        <w:snapToGrid w:val="0"/>
        <w:spacing w:line="360" w:lineRule="auto"/>
        <w:jc w:val="center"/>
        <w:outlineLvl w:val="1"/>
        <w:rPr>
          <w:rFonts w:hint="eastAsia" w:ascii="仿宋" w:hAnsi="仿宋" w:eastAsia="仿宋" w:cs="仿宋"/>
          <w:b/>
          <w:color w:val="auto"/>
          <w:sz w:val="36"/>
          <w:szCs w:val="36"/>
          <w:highlight w:val="none"/>
        </w:rPr>
      </w:pPr>
      <w:bookmarkStart w:id="35" w:name="_Toc21438"/>
      <w:bookmarkStart w:id="36" w:name="_Toc16906"/>
      <w:bookmarkStart w:id="37" w:name="_Toc5538"/>
      <w:bookmarkStart w:id="38" w:name="_Toc12684"/>
      <w:r>
        <w:rPr>
          <w:rFonts w:hint="eastAsia" w:ascii="仿宋" w:hAnsi="仿宋" w:eastAsia="仿宋" w:cs="仿宋"/>
          <w:b/>
          <w:color w:val="auto"/>
          <w:sz w:val="36"/>
          <w:szCs w:val="36"/>
          <w:highlight w:val="none"/>
        </w:rPr>
        <w:t>七、合同授予</w:t>
      </w:r>
      <w:bookmarkEnd w:id="35"/>
      <w:bookmarkEnd w:id="36"/>
      <w:bookmarkEnd w:id="37"/>
      <w:bookmarkEnd w:id="38"/>
    </w:p>
    <w:p w14:paraId="1CB0CC10">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合同授予</w:t>
      </w:r>
    </w:p>
    <w:p w14:paraId="1E350B41">
      <w:pPr>
        <w:widowControl/>
        <w:shd w:val="clear" w:color="auto" w:fill="FFFFFF"/>
        <w:spacing w:line="360" w:lineRule="auto"/>
        <w:ind w:firstLine="420"/>
        <w:jc w:val="left"/>
        <w:rPr>
          <w:rFonts w:hint="eastAsia" w:ascii="仿宋" w:hAnsi="仿宋" w:eastAsia="仿宋" w:cs="仿宋"/>
          <w:b/>
          <w:color w:val="auto"/>
          <w:highlight w:val="none"/>
        </w:rPr>
      </w:pPr>
      <w:r>
        <w:rPr>
          <w:rFonts w:hint="eastAsia" w:ascii="仿宋" w:hAnsi="仿宋" w:eastAsia="仿宋" w:cs="仿宋"/>
          <w:color w:val="auto"/>
          <w:sz w:val="24"/>
          <w:highlight w:val="none"/>
        </w:rPr>
        <w:t>合同主要条款详见第五部分拟签订的合同文本。</w:t>
      </w:r>
    </w:p>
    <w:p w14:paraId="4C5A1C8D">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合同的签订</w:t>
      </w:r>
    </w:p>
    <w:p w14:paraId="18649DB1">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1D79835">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16115ACE">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如签订合同并生效后，供应商无故拒绝或延期，除按照合同条款处理外，列入不良行为记录一次，并给予通报。</w:t>
      </w:r>
    </w:p>
    <w:p w14:paraId="1D26581D">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中标供应商拒绝与采购人签订合同的，采购人可以按照评审报告推荐的中标或者成交候选人名单排序，确定下一候选人为中标供应商，也可以重新开展政府采购活动。</w:t>
      </w:r>
    </w:p>
    <w:p w14:paraId="3DD6E56F">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采购合同由采购人与中标供应商根据招标文件、投标文件等内容通过政府采购电子交易平台在线签订，自动备案。</w:t>
      </w:r>
    </w:p>
    <w:p w14:paraId="320FD57F">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p w14:paraId="36672B96">
      <w:pPr>
        <w:numPr>
          <w:ilvl w:val="1"/>
          <w:numId w:val="3"/>
        </w:numPr>
        <w:tabs>
          <w:tab w:val="left" w:pos="210"/>
          <w:tab w:val="left" w:pos="640"/>
        </w:tabs>
        <w:snapToGrid w:val="0"/>
        <w:spacing w:line="360" w:lineRule="auto"/>
        <w:ind w:left="627" w:hanging="627"/>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p>
    <w:p w14:paraId="4C97E895">
      <w:pPr>
        <w:numPr>
          <w:ilvl w:val="1"/>
          <w:numId w:val="3"/>
        </w:numPr>
        <w:tabs>
          <w:tab w:val="left" w:pos="210"/>
          <w:tab w:val="left" w:pos="640"/>
        </w:tabs>
        <w:snapToGrid w:val="0"/>
        <w:spacing w:line="360" w:lineRule="auto"/>
        <w:ind w:left="627" w:hanging="627"/>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w:t>
      </w:r>
      <w:r>
        <w:rPr>
          <w:rFonts w:hint="eastAsia" w:ascii="仿宋" w:hAnsi="仿宋" w:eastAsia="仿宋" w:cs="仿宋"/>
          <w:bCs/>
          <w:color w:val="auto"/>
          <w:sz w:val="24"/>
          <w:highlight w:val="none"/>
        </w:rPr>
        <w:t>可</w:t>
      </w:r>
      <w:r>
        <w:rPr>
          <w:rFonts w:hint="eastAsia" w:ascii="仿宋" w:hAnsi="仿宋" w:eastAsia="仿宋" w:cs="仿宋"/>
          <w:bCs/>
          <w:color w:val="auto"/>
          <w:sz w:val="24"/>
          <w:highlight w:val="none"/>
          <w:lang w:val="zh-CN"/>
        </w:rPr>
        <w:t>登录政采云平台-【金融服务】—【我的项目】—【已备案合同】以保函形式提供：</w:t>
      </w:r>
    </w:p>
    <w:p w14:paraId="78E5ED16">
      <w:pPr>
        <w:numPr>
          <w:ilvl w:val="2"/>
          <w:numId w:val="3"/>
        </w:numPr>
        <w:tabs>
          <w:tab w:val="left" w:pos="210"/>
        </w:tabs>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供应商在合同列表选择需要投保的合同，点击【保函推荐】。</w:t>
      </w:r>
    </w:p>
    <w:p w14:paraId="29C3DE9B">
      <w:pPr>
        <w:numPr>
          <w:ilvl w:val="2"/>
          <w:numId w:val="3"/>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zh-CN"/>
        </w:rPr>
        <w:t>在弹框里查看推荐的保函产品，供应商自行选择保函产品，点击【立即申请】。</w:t>
      </w:r>
    </w:p>
    <w:p w14:paraId="4EC514A9">
      <w:pPr>
        <w:numPr>
          <w:ilvl w:val="2"/>
          <w:numId w:val="3"/>
        </w:numPr>
        <w:tabs>
          <w:tab w:val="left" w:pos="21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zh-CN"/>
        </w:rPr>
        <w:t>在弹框里填写保函申请信息。具体步骤：选择产品—填写供应商信息—选择中标项目—确认信息—等待保险/保函受理—确认保单—支付保费—成功出单。政采云金融专线400-903-9583。</w:t>
      </w:r>
    </w:p>
    <w:p w14:paraId="30737DC0">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预付款</w:t>
      </w:r>
    </w:p>
    <w:p w14:paraId="1B08C200">
      <w:pPr>
        <w:tabs>
          <w:tab w:val="left" w:pos="210"/>
          <w:tab w:val="left" w:pos="640"/>
        </w:tabs>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74D90E3">
      <w:pPr>
        <w:snapToGrid w:val="0"/>
        <w:spacing w:line="360" w:lineRule="auto"/>
        <w:ind w:firstLine="3357" w:firstLineChars="1045"/>
        <w:rPr>
          <w:rFonts w:hint="eastAsia" w:ascii="仿宋" w:hAnsi="仿宋" w:eastAsia="仿宋" w:cs="仿宋"/>
          <w:b/>
          <w:color w:val="auto"/>
          <w:sz w:val="32"/>
          <w:highlight w:val="none"/>
        </w:rPr>
      </w:pPr>
    </w:p>
    <w:p w14:paraId="3781F5E6">
      <w:pPr>
        <w:snapToGrid w:val="0"/>
        <w:spacing w:line="360" w:lineRule="auto"/>
        <w:jc w:val="center"/>
        <w:outlineLvl w:val="1"/>
        <w:rPr>
          <w:rFonts w:hint="eastAsia" w:ascii="仿宋" w:hAnsi="仿宋" w:eastAsia="仿宋" w:cs="仿宋"/>
          <w:b/>
          <w:color w:val="auto"/>
          <w:sz w:val="36"/>
          <w:szCs w:val="36"/>
          <w:highlight w:val="none"/>
        </w:rPr>
      </w:pPr>
      <w:bookmarkStart w:id="39" w:name="_Toc12260"/>
      <w:bookmarkStart w:id="40" w:name="_Toc32079"/>
      <w:bookmarkStart w:id="41" w:name="_Toc24890"/>
      <w:r>
        <w:rPr>
          <w:rFonts w:hint="eastAsia" w:ascii="仿宋" w:hAnsi="仿宋" w:eastAsia="仿宋" w:cs="仿宋"/>
          <w:b/>
          <w:color w:val="auto"/>
          <w:sz w:val="36"/>
          <w:szCs w:val="36"/>
          <w:highlight w:val="none"/>
        </w:rPr>
        <w:t>八、电子交易活动的中止</w:t>
      </w:r>
      <w:bookmarkEnd w:id="39"/>
      <w:bookmarkEnd w:id="40"/>
      <w:bookmarkEnd w:id="41"/>
    </w:p>
    <w:p w14:paraId="3692A113">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电子交易活动的中止</w:t>
      </w:r>
    </w:p>
    <w:p w14:paraId="2E08B223">
      <w:pPr>
        <w:pStyle w:val="11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99FAB37">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 xml:space="preserve">电子交易平台发生故障而无法登录访问的； </w:t>
      </w:r>
    </w:p>
    <w:p w14:paraId="0A062CDB">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电子交易平台应用或数据库出现错误，不能进行正常操作的；</w:t>
      </w:r>
    </w:p>
    <w:p w14:paraId="06F819A2">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电子交易平台发现严重安全漏洞，有潜在泄密危险的；</w:t>
      </w:r>
    </w:p>
    <w:p w14:paraId="6917636F">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 xml:space="preserve">病毒发作导致不能进行正常操作的； </w:t>
      </w:r>
    </w:p>
    <w:p w14:paraId="54F895EA">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其他无法保证电子交易的公平、公正和安全的情况。</w:t>
      </w:r>
    </w:p>
    <w:p w14:paraId="04CEC7A7">
      <w:pPr>
        <w:numPr>
          <w:ilvl w:val="0"/>
          <w:numId w:val="3"/>
        </w:numPr>
        <w:tabs>
          <w:tab w:val="left" w:pos="210"/>
        </w:tabs>
        <w:snapToGrid w:val="0"/>
        <w:spacing w:line="360" w:lineRule="auto"/>
        <w:ind w:left="403" w:hanging="403"/>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7B4E0FE">
      <w:pPr>
        <w:tabs>
          <w:tab w:val="left" w:pos="0"/>
        </w:tabs>
        <w:spacing w:line="360" w:lineRule="auto"/>
        <w:ind w:firstLine="480"/>
        <w:rPr>
          <w:rFonts w:hint="eastAsia" w:ascii="仿宋" w:hAnsi="仿宋" w:eastAsia="仿宋" w:cs="仿宋"/>
          <w:color w:val="auto"/>
          <w:sz w:val="24"/>
          <w:highlight w:val="none"/>
        </w:rPr>
      </w:pPr>
    </w:p>
    <w:p w14:paraId="4EE30627">
      <w:pPr>
        <w:snapToGrid w:val="0"/>
        <w:spacing w:line="360" w:lineRule="auto"/>
        <w:jc w:val="center"/>
        <w:outlineLvl w:val="1"/>
        <w:rPr>
          <w:rFonts w:hint="eastAsia" w:ascii="仿宋" w:hAnsi="仿宋" w:eastAsia="仿宋" w:cs="仿宋"/>
          <w:b/>
          <w:color w:val="auto"/>
          <w:sz w:val="36"/>
          <w:szCs w:val="36"/>
          <w:highlight w:val="none"/>
        </w:rPr>
      </w:pPr>
      <w:bookmarkStart w:id="42" w:name="_Toc18624"/>
      <w:bookmarkStart w:id="43" w:name="_Toc26192"/>
      <w:bookmarkStart w:id="44" w:name="_Toc24777"/>
      <w:r>
        <w:rPr>
          <w:rFonts w:hint="eastAsia" w:ascii="仿宋" w:hAnsi="仿宋" w:eastAsia="仿宋" w:cs="仿宋"/>
          <w:b/>
          <w:color w:val="auto"/>
          <w:sz w:val="36"/>
          <w:szCs w:val="36"/>
          <w:highlight w:val="none"/>
        </w:rPr>
        <w:t>九、验收</w:t>
      </w:r>
      <w:bookmarkEnd w:id="42"/>
      <w:bookmarkEnd w:id="43"/>
      <w:bookmarkEnd w:id="44"/>
    </w:p>
    <w:p w14:paraId="509F5411">
      <w:pPr>
        <w:numPr>
          <w:ilvl w:val="0"/>
          <w:numId w:val="3"/>
        </w:numPr>
        <w:tabs>
          <w:tab w:val="left" w:pos="210"/>
        </w:tabs>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验收</w:t>
      </w:r>
    </w:p>
    <w:p w14:paraId="76975789">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093B76">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采购人可以邀请参加本项目的其他投标人或者第三方机构参与验收。参与验收的投标人或者第三方机构的意见作为验收书的参考资料一并存档。</w:t>
      </w:r>
    </w:p>
    <w:p w14:paraId="3D0EA2AC">
      <w:pPr>
        <w:numPr>
          <w:ilvl w:val="1"/>
          <w:numId w:val="3"/>
        </w:numPr>
        <w:tabs>
          <w:tab w:val="left" w:pos="210"/>
          <w:tab w:val="left" w:pos="640"/>
        </w:tabs>
        <w:snapToGrid w:val="0"/>
        <w:spacing w:line="360" w:lineRule="auto"/>
        <w:ind w:left="629" w:hanging="629"/>
        <w:jc w:val="left"/>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6D8E3B">
      <w:pPr>
        <w:numPr>
          <w:ilvl w:val="1"/>
          <w:numId w:val="3"/>
        </w:numP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Cs/>
          <w:color w:val="auto"/>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375CA5">
      <w:pPr>
        <w:adjustRightInd w:val="0"/>
        <w:snapToGrid w:val="0"/>
        <w:spacing w:before="120" w:beforeLines="50" w:after="120" w:afterLines="50" w:line="360" w:lineRule="auto"/>
        <w:jc w:val="center"/>
        <w:outlineLvl w:val="0"/>
        <w:rPr>
          <w:rFonts w:hint="eastAsia" w:ascii="仿宋" w:hAnsi="仿宋" w:eastAsia="仿宋" w:cs="仿宋"/>
          <w:color w:val="auto"/>
          <w:sz w:val="36"/>
          <w:highlight w:val="none"/>
        </w:rPr>
      </w:pPr>
      <w:r>
        <w:rPr>
          <w:rFonts w:hint="eastAsia" w:ascii="仿宋" w:hAnsi="仿宋" w:eastAsia="仿宋" w:cs="仿宋"/>
          <w:b/>
          <w:bCs/>
          <w:color w:val="auto"/>
          <w:sz w:val="28"/>
          <w:szCs w:val="21"/>
          <w:highlight w:val="none"/>
        </w:rPr>
        <w:br w:type="page"/>
      </w:r>
      <w:bookmarkStart w:id="45" w:name="_Toc242012796"/>
      <w:bookmarkStart w:id="46" w:name="_Toc31190"/>
      <w:bookmarkStart w:id="47" w:name="_Toc83616202"/>
      <w:bookmarkStart w:id="48" w:name="_Toc11107"/>
      <w:r>
        <w:rPr>
          <w:rFonts w:hint="eastAsia" w:ascii="仿宋" w:hAnsi="仿宋" w:eastAsia="仿宋" w:cs="仿宋"/>
          <w:b/>
          <w:color w:val="auto"/>
          <w:sz w:val="30"/>
          <w:szCs w:val="30"/>
          <w:highlight w:val="none"/>
        </w:rPr>
        <w:t>第三部分</w:t>
      </w:r>
      <w:bookmarkEnd w:id="45"/>
      <w:bookmarkEnd w:id="46"/>
      <w:bookmarkEnd w:id="47"/>
      <w:r>
        <w:rPr>
          <w:rFonts w:hint="eastAsia" w:ascii="仿宋" w:hAnsi="仿宋" w:eastAsia="仿宋" w:cs="仿宋"/>
          <w:b/>
          <w:color w:val="auto"/>
          <w:sz w:val="30"/>
          <w:szCs w:val="30"/>
          <w:highlight w:val="none"/>
        </w:rPr>
        <w:t xml:space="preserve">  采购需求</w:t>
      </w:r>
      <w:bookmarkEnd w:id="48"/>
    </w:p>
    <w:p w14:paraId="3FC04139">
      <w:pPr>
        <w:pStyle w:val="4"/>
        <w:keepNext/>
        <w:keepLines/>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仿宋" w:hAnsi="仿宋" w:eastAsia="仿宋" w:cs="仿宋"/>
          <w:color w:val="auto"/>
          <w:sz w:val="24"/>
          <w:szCs w:val="24"/>
          <w:highlight w:val="none"/>
        </w:rPr>
      </w:pPr>
      <w:bookmarkStart w:id="49" w:name="_Toc22609"/>
      <w:bookmarkStart w:id="50" w:name="_Toc3945"/>
      <w:bookmarkStart w:id="51" w:name="_Toc418846105"/>
      <w:bookmarkStart w:id="52" w:name="_Toc30857"/>
      <w:bookmarkStart w:id="53" w:name="_Toc32543"/>
      <w:bookmarkStart w:id="54" w:name="_Toc28332"/>
      <w:bookmarkStart w:id="55" w:name="_Toc194983818"/>
      <w:bookmarkStart w:id="56" w:name="_Toc203558307"/>
      <w:bookmarkStart w:id="57" w:name="_Toc306304665"/>
      <w:bookmarkStart w:id="58" w:name="_Toc12471"/>
      <w:bookmarkStart w:id="59" w:name="_Toc342633574"/>
      <w:r>
        <w:rPr>
          <w:rFonts w:hint="eastAsia" w:ascii="仿宋" w:hAnsi="仿宋" w:eastAsia="仿宋" w:cs="仿宋"/>
          <w:color w:val="auto"/>
          <w:sz w:val="24"/>
          <w:szCs w:val="24"/>
          <w:highlight w:val="none"/>
        </w:rPr>
        <w:t>一、项目概况</w:t>
      </w:r>
      <w:bookmarkEnd w:id="49"/>
      <w:bookmarkEnd w:id="50"/>
      <w:bookmarkEnd w:id="51"/>
      <w:bookmarkEnd w:id="52"/>
      <w:bookmarkEnd w:id="53"/>
      <w:bookmarkEnd w:id="54"/>
    </w:p>
    <w:p w14:paraId="486C33EB">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bookmarkStart w:id="60" w:name="_Toc418846106"/>
      <w:r>
        <w:rPr>
          <w:rFonts w:hint="eastAsia" w:ascii="仿宋" w:hAnsi="仿宋" w:eastAsia="仿宋" w:cs="仿宋"/>
          <w:color w:val="auto"/>
          <w:sz w:val="24"/>
          <w:highlight w:val="none"/>
        </w:rPr>
        <w:t>1、项目名称：</w:t>
      </w:r>
      <w:r>
        <w:rPr>
          <w:rFonts w:hint="eastAsia" w:ascii="仿宋" w:hAnsi="仿宋" w:eastAsia="仿宋" w:cs="仿宋"/>
          <w:color w:val="auto"/>
          <w:sz w:val="24"/>
          <w:highlight w:val="none"/>
          <w:lang w:eastAsia="zh-CN"/>
        </w:rPr>
        <w:t>白杨街道综合执法辅助服务项目（</w:t>
      </w:r>
      <w:r>
        <w:rPr>
          <w:rFonts w:hint="eastAsia" w:ascii="仿宋" w:hAnsi="仿宋" w:eastAsia="仿宋" w:cs="仿宋"/>
          <w:color w:val="auto"/>
          <w:sz w:val="24"/>
          <w:highlight w:val="none"/>
          <w:lang w:val="en-US" w:eastAsia="zh-CN"/>
        </w:rPr>
        <w:t>2024-2025年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66A0AB24">
      <w:pPr>
        <w:pStyle w:val="18"/>
        <w:adjustRightInd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2、项目地点：按采购人指定地点。</w:t>
      </w:r>
    </w:p>
    <w:p w14:paraId="2F059047">
      <w:pPr>
        <w:pStyle w:val="18"/>
        <w:adjustRightInd w:val="0"/>
        <w:snapToGrid w:val="0"/>
        <w:spacing w:after="0"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3、实施期限：</w:t>
      </w:r>
      <w:r>
        <w:rPr>
          <w:rFonts w:hint="eastAsia" w:ascii="仿宋" w:hAnsi="仿宋" w:eastAsia="仿宋" w:cs="仿宋"/>
          <w:b w:val="0"/>
          <w:bCs w:val="0"/>
          <w:color w:val="auto"/>
          <w:sz w:val="24"/>
          <w:highlight w:val="none"/>
          <w:lang w:val="en-US" w:eastAsia="zh-CN"/>
        </w:rPr>
        <w:t>整体服务期为1年</w:t>
      </w:r>
      <w:r>
        <w:rPr>
          <w:rFonts w:hint="eastAsia" w:ascii="仿宋" w:hAnsi="仿宋" w:eastAsia="仿宋" w:cs="仿宋"/>
          <w:b w:val="0"/>
          <w:bCs w:val="0"/>
          <w:color w:val="auto"/>
          <w:sz w:val="24"/>
          <w:highlight w:val="none"/>
        </w:rPr>
        <w:t>。具体时间根据采购人要求安排。</w:t>
      </w:r>
    </w:p>
    <w:p w14:paraId="42086EE3">
      <w:pPr>
        <w:pStyle w:val="18"/>
        <w:adjustRightInd w:val="0"/>
        <w:snapToGrid w:val="0"/>
        <w:spacing w:after="0" w:line="360" w:lineRule="auto"/>
        <w:ind w:firstLine="480" w:firstLineChars="200"/>
        <w:rPr>
          <w:rFonts w:hint="eastAsia" w:ascii="仿宋" w:hAnsi="仿宋" w:eastAsia="仿宋" w:cs="仿宋"/>
          <w:b/>
          <w:bCs/>
          <w:color w:val="auto"/>
          <w:sz w:val="24"/>
          <w:highlight w:val="none"/>
          <w:lang w:eastAsia="zh-CN"/>
        </w:rPr>
      </w:pPr>
      <w:r>
        <w:rPr>
          <w:rFonts w:hint="eastAsia" w:ascii="仿宋" w:hAnsi="仿宋" w:eastAsia="仿宋" w:cs="仿宋"/>
          <w:b w:val="0"/>
          <w:bCs w:val="0"/>
          <w:color w:val="auto"/>
          <w:sz w:val="24"/>
          <w:highlight w:val="none"/>
        </w:rPr>
        <w:t>4、</w:t>
      </w:r>
      <w:r>
        <w:rPr>
          <w:rFonts w:hint="eastAsia" w:ascii="仿宋" w:hAnsi="仿宋" w:eastAsia="仿宋" w:cs="仿宋"/>
          <w:b w:val="0"/>
          <w:bCs w:val="0"/>
          <w:color w:val="auto"/>
          <w:sz w:val="24"/>
          <w:highlight w:val="none"/>
          <w:lang w:val="en-US" w:eastAsia="zh-CN"/>
        </w:rPr>
        <w:t>基本内容：为进一步提高街道综合行政执法效率，提升基层治理能力和公共服务水平，拟实施白杨街道综合执法辅助服务项目，配合街道综合行政执法队开展燃气安全检查、建筑工地常态化管控、餐饮油烟整治、交通隐患治理、超限整治、渣土整治及省市区各级领导检查等各类重点工作和活动保障，为查处综合执法领域各类违法行为提供辅助服务。</w:t>
      </w:r>
    </w:p>
    <w:bookmarkEnd w:id="60"/>
    <w:p w14:paraId="1E7EC0A7">
      <w:pPr>
        <w:pStyle w:val="18"/>
        <w:adjustRightInd w:val="0"/>
        <w:snapToGrid w:val="0"/>
        <w:spacing w:after="0" w:line="360" w:lineRule="auto"/>
        <w:ind w:firstLine="480" w:firstLineChars="200"/>
        <w:rPr>
          <w:rFonts w:hint="eastAsia" w:ascii="仿宋" w:hAnsi="仿宋" w:eastAsia="仿宋" w:cs="仿宋"/>
          <w:b w:val="0"/>
          <w:bCs w:val="0"/>
          <w:color w:val="auto"/>
          <w:sz w:val="24"/>
          <w:highlight w:val="none"/>
          <w:lang w:val="en-US" w:eastAsia="zh-CN"/>
        </w:rPr>
      </w:pPr>
      <w:bookmarkStart w:id="61" w:name="_Toc18368"/>
      <w:r>
        <w:rPr>
          <w:rFonts w:hint="eastAsia" w:ascii="仿宋" w:hAnsi="仿宋" w:eastAsia="仿宋" w:cs="仿宋"/>
          <w:b w:val="0"/>
          <w:bCs w:val="0"/>
          <w:color w:val="auto"/>
          <w:sz w:val="24"/>
          <w:highlight w:val="none"/>
          <w:lang w:val="en-US" w:eastAsia="zh-CN"/>
        </w:rPr>
        <w:t>5、服务区域现状：杭州市钱塘区白杨街道，隶属于浙江省杭州市钱塘区，地处钱塘区东部偏南，东、南临钱塘江与萧山区红山农场、钱江农场隔江相望，西、北与下沙街道毗邻。管辖总面积54.9平方公里，下辖25个社区，64个居民小区，总人口约54万人。</w:t>
      </w:r>
    </w:p>
    <w:p w14:paraId="204E3F7D">
      <w:pPr>
        <w:tabs>
          <w:tab w:val="left" w:pos="0"/>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、投标人提供的</w:t>
      </w:r>
      <w:r>
        <w:rPr>
          <w:rFonts w:hint="eastAsia" w:ascii="仿宋" w:hAnsi="仿宋" w:eastAsia="仿宋" w:cs="仿宋"/>
          <w:color w:val="auto"/>
          <w:sz w:val="24"/>
          <w:highlight w:val="none"/>
          <w:lang w:val="en-US" w:eastAsia="zh-CN"/>
        </w:rPr>
        <w:t>服务、证明材料等</w:t>
      </w:r>
      <w:r>
        <w:rPr>
          <w:rFonts w:hint="eastAsia" w:ascii="仿宋" w:hAnsi="仿宋" w:eastAsia="仿宋" w:cs="仿宋"/>
          <w:color w:val="auto"/>
          <w:sz w:val="24"/>
          <w:highlight w:val="none"/>
        </w:rPr>
        <w:t>实际情况与投标文件中所承诺</w:t>
      </w:r>
      <w:r>
        <w:rPr>
          <w:rFonts w:hint="eastAsia" w:ascii="仿宋" w:hAnsi="仿宋" w:eastAsia="仿宋" w:cs="仿宋"/>
          <w:color w:val="auto"/>
          <w:sz w:val="24"/>
          <w:highlight w:val="none"/>
          <w:lang w:val="en-US" w:eastAsia="zh-CN"/>
        </w:rPr>
        <w:t>或响应内容</w:t>
      </w:r>
      <w:r>
        <w:rPr>
          <w:rFonts w:hint="eastAsia" w:ascii="仿宋" w:hAnsi="仿宋" w:eastAsia="仿宋" w:cs="仿宋"/>
          <w:color w:val="auto"/>
          <w:sz w:val="24"/>
          <w:highlight w:val="none"/>
        </w:rPr>
        <w:t>不符合，可视为虚假应标及欺诈行为，并追究相应责任。</w:t>
      </w:r>
    </w:p>
    <w:p w14:paraId="033138BD">
      <w:pPr>
        <w:pStyle w:val="4"/>
        <w:keepNext/>
        <w:keepLines/>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二、工作内容及目标</w:t>
      </w:r>
    </w:p>
    <w:p w14:paraId="21331F3E">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包括但不限于：</w:t>
      </w:r>
    </w:p>
    <w:p w14:paraId="0A4404B0">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1、配合采购人（或街道综合行政执法队）开展燃气安全检查。</w:t>
      </w:r>
    </w:p>
    <w:p w14:paraId="31E36AE3">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szCs w:val="24"/>
          <w:highlight w:val="none"/>
          <w:lang w:val="en-US" w:eastAsia="zh-CN"/>
        </w:rPr>
        <w:t>配合采购人开展建筑工地常态化管控</w:t>
      </w:r>
      <w:r>
        <w:rPr>
          <w:rFonts w:hint="eastAsia" w:ascii="仿宋" w:hAnsi="仿宋" w:eastAsia="仿宋" w:cs="仿宋"/>
          <w:color w:val="auto"/>
          <w:sz w:val="24"/>
          <w:highlight w:val="none"/>
          <w:lang w:val="en-US" w:eastAsia="zh-CN"/>
        </w:rPr>
        <w:t>。</w:t>
      </w:r>
    </w:p>
    <w:p w14:paraId="2916B95C">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szCs w:val="24"/>
          <w:highlight w:val="none"/>
          <w:lang w:val="en-US" w:eastAsia="zh-CN"/>
        </w:rPr>
        <w:t>配合采购人开展餐饮油烟整治</w:t>
      </w:r>
      <w:r>
        <w:rPr>
          <w:rFonts w:hint="eastAsia" w:ascii="仿宋" w:hAnsi="仿宋" w:eastAsia="仿宋" w:cs="仿宋"/>
          <w:color w:val="auto"/>
          <w:sz w:val="24"/>
          <w:highlight w:val="none"/>
          <w:lang w:val="en-US" w:eastAsia="zh-CN"/>
        </w:rPr>
        <w:t>。</w:t>
      </w:r>
    </w:p>
    <w:p w14:paraId="72E1FE27">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szCs w:val="24"/>
          <w:highlight w:val="none"/>
          <w:lang w:val="en-US" w:eastAsia="zh-CN"/>
        </w:rPr>
        <w:t>配合采购人开展交通隐患治理</w:t>
      </w:r>
      <w:r>
        <w:rPr>
          <w:rFonts w:hint="eastAsia" w:ascii="仿宋" w:hAnsi="仿宋" w:eastAsia="仿宋" w:cs="仿宋"/>
          <w:color w:val="auto"/>
          <w:sz w:val="24"/>
          <w:highlight w:val="none"/>
          <w:lang w:val="en-US" w:eastAsia="zh-CN"/>
        </w:rPr>
        <w:t>。</w:t>
      </w:r>
    </w:p>
    <w:p w14:paraId="37E13DCD">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szCs w:val="24"/>
          <w:highlight w:val="none"/>
          <w:lang w:val="en-US" w:eastAsia="zh-CN"/>
        </w:rPr>
        <w:t>配合采购人开展超限整治</w:t>
      </w:r>
      <w:r>
        <w:rPr>
          <w:rFonts w:hint="eastAsia" w:ascii="仿宋" w:hAnsi="仿宋" w:eastAsia="仿宋" w:cs="仿宋"/>
          <w:color w:val="auto"/>
          <w:sz w:val="24"/>
          <w:highlight w:val="none"/>
          <w:lang w:val="en-US" w:eastAsia="zh-CN"/>
        </w:rPr>
        <w:t>。</w:t>
      </w:r>
    </w:p>
    <w:p w14:paraId="3A69A009">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szCs w:val="24"/>
          <w:highlight w:val="none"/>
          <w:lang w:val="en-US" w:eastAsia="zh-CN"/>
        </w:rPr>
        <w:t>配合采购人开展渣土整治</w:t>
      </w:r>
      <w:r>
        <w:rPr>
          <w:rFonts w:hint="eastAsia" w:ascii="仿宋" w:hAnsi="仿宋" w:eastAsia="仿宋" w:cs="仿宋"/>
          <w:color w:val="auto"/>
          <w:sz w:val="24"/>
          <w:highlight w:val="none"/>
          <w:lang w:val="en-US" w:eastAsia="zh-CN"/>
        </w:rPr>
        <w:t>。</w:t>
      </w:r>
    </w:p>
    <w:p w14:paraId="1D8BE20D">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7、协助采购人完成</w:t>
      </w:r>
      <w:r>
        <w:rPr>
          <w:rFonts w:hint="eastAsia" w:ascii="仿宋" w:hAnsi="仿宋" w:eastAsia="仿宋" w:cs="仿宋"/>
          <w:color w:val="auto"/>
          <w:sz w:val="24"/>
          <w:szCs w:val="24"/>
          <w:highlight w:val="none"/>
          <w:lang w:val="en-US" w:eastAsia="zh-CN"/>
        </w:rPr>
        <w:t>省市区各级领导检查等各类重点工作和活动保障。</w:t>
      </w:r>
    </w:p>
    <w:p w14:paraId="686ACF85">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8、辅助执法人员做好案件归档等相关工作。</w:t>
      </w:r>
    </w:p>
    <w:p w14:paraId="35AE7551">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9</w:t>
      </w:r>
      <w:r>
        <w:rPr>
          <w:rFonts w:hint="eastAsia" w:ascii="仿宋" w:hAnsi="仿宋" w:eastAsia="仿宋" w:cs="仿宋"/>
          <w:color w:val="auto"/>
          <w:sz w:val="24"/>
          <w:highlight w:val="none"/>
          <w:lang w:val="en-US" w:eastAsia="zh-CN"/>
        </w:rPr>
        <w:t>、完成街道</w:t>
      </w:r>
      <w:r>
        <w:rPr>
          <w:rFonts w:hint="eastAsia" w:ascii="仿宋" w:hAnsi="仿宋" w:eastAsia="仿宋" w:cs="仿宋"/>
          <w:color w:val="auto"/>
          <w:sz w:val="24"/>
          <w:highlight w:val="none"/>
          <w:lang w:eastAsia="zh-CN"/>
        </w:rPr>
        <w:t>执法队</w:t>
      </w:r>
      <w:r>
        <w:rPr>
          <w:rFonts w:hint="eastAsia" w:ascii="仿宋" w:hAnsi="仿宋" w:eastAsia="仿宋" w:cs="仿宋"/>
          <w:color w:val="auto"/>
          <w:sz w:val="24"/>
          <w:highlight w:val="none"/>
          <w:lang w:val="en-US" w:eastAsia="zh-CN"/>
        </w:rPr>
        <w:t>赋予的其他任务。</w:t>
      </w:r>
    </w:p>
    <w:bookmarkEnd w:id="61"/>
    <w:p w14:paraId="65E75B12">
      <w:pPr>
        <w:pStyle w:val="4"/>
        <w:keepNext/>
        <w:keepLines/>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仿宋" w:hAnsi="仿宋" w:eastAsia="仿宋" w:cs="仿宋"/>
          <w:color w:val="auto"/>
          <w:sz w:val="24"/>
          <w:szCs w:val="24"/>
          <w:highlight w:val="none"/>
        </w:rPr>
      </w:pPr>
      <w:bookmarkStart w:id="62" w:name="_Toc378"/>
      <w:bookmarkStart w:id="63" w:name="_Toc24826"/>
      <w:bookmarkStart w:id="64" w:name="_Toc3088"/>
      <w:bookmarkStart w:id="65" w:name="_Toc3585"/>
      <w:r>
        <w:rPr>
          <w:rFonts w:hint="eastAsia" w:ascii="仿宋" w:hAnsi="仿宋" w:eastAsia="仿宋" w:cs="仿宋"/>
          <w:color w:val="auto"/>
          <w:sz w:val="24"/>
          <w:szCs w:val="24"/>
          <w:highlight w:val="none"/>
          <w:lang w:val="en-US" w:eastAsia="zh-CN"/>
        </w:rPr>
        <w:t>三、服务响应要求</w:t>
      </w:r>
      <w:bookmarkEnd w:id="62"/>
      <w:bookmarkEnd w:id="63"/>
      <w:bookmarkEnd w:id="64"/>
      <w:bookmarkEnd w:id="65"/>
    </w:p>
    <w:p w14:paraId="54EA9E2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仿宋" w:hAnsi="仿宋" w:eastAsia="仿宋" w:cs="仿宋"/>
          <w:b/>
          <w:bCs/>
          <w:snapToGrid w:val="0"/>
          <w:color w:val="auto"/>
          <w:kern w:val="0"/>
          <w:sz w:val="24"/>
          <w:szCs w:val="24"/>
          <w:highlight w:val="none"/>
          <w:lang w:val="en-US" w:eastAsia="zh-CN"/>
        </w:rPr>
      </w:pPr>
      <w:bookmarkStart w:id="66" w:name="_Toc437333312"/>
      <w:bookmarkStart w:id="67" w:name="_Toc447205610"/>
      <w:bookmarkStart w:id="68" w:name="_Toc441479867"/>
      <w:bookmarkStart w:id="69" w:name="_Toc8027"/>
      <w:r>
        <w:rPr>
          <w:rFonts w:hint="eastAsia" w:ascii="仿宋" w:hAnsi="仿宋" w:eastAsia="仿宋" w:cs="仿宋"/>
          <w:b/>
          <w:bCs/>
          <w:snapToGrid w:val="0"/>
          <w:color w:val="auto"/>
          <w:kern w:val="0"/>
          <w:sz w:val="24"/>
          <w:szCs w:val="24"/>
          <w:highlight w:val="none"/>
          <w:lang w:eastAsia="zh-CN"/>
        </w:rPr>
        <w:t>（</w:t>
      </w:r>
      <w:r>
        <w:rPr>
          <w:rFonts w:hint="eastAsia" w:ascii="仿宋" w:hAnsi="仿宋" w:eastAsia="仿宋" w:cs="仿宋"/>
          <w:b/>
          <w:bCs/>
          <w:snapToGrid w:val="0"/>
          <w:color w:val="auto"/>
          <w:kern w:val="0"/>
          <w:sz w:val="24"/>
          <w:szCs w:val="24"/>
          <w:highlight w:val="none"/>
          <w:lang w:val="en-US" w:eastAsia="zh-CN"/>
        </w:rPr>
        <w:t>一</w:t>
      </w:r>
      <w:r>
        <w:rPr>
          <w:rFonts w:hint="eastAsia" w:ascii="仿宋" w:hAnsi="仿宋" w:eastAsia="仿宋" w:cs="仿宋"/>
          <w:b/>
          <w:bCs/>
          <w:snapToGrid w:val="0"/>
          <w:color w:val="auto"/>
          <w:kern w:val="0"/>
          <w:sz w:val="24"/>
          <w:szCs w:val="24"/>
          <w:highlight w:val="none"/>
          <w:lang w:eastAsia="zh-CN"/>
        </w:rPr>
        <w:t>）</w:t>
      </w:r>
      <w:r>
        <w:rPr>
          <w:rFonts w:hint="eastAsia" w:ascii="仿宋" w:hAnsi="仿宋" w:eastAsia="仿宋" w:cs="仿宋"/>
          <w:b/>
          <w:bCs/>
          <w:snapToGrid w:val="0"/>
          <w:color w:val="auto"/>
          <w:kern w:val="0"/>
          <w:sz w:val="24"/>
          <w:szCs w:val="24"/>
          <w:highlight w:val="none"/>
          <w:lang w:val="en-US" w:eastAsia="zh-CN"/>
        </w:rPr>
        <w:t>项目管理团队</w:t>
      </w:r>
    </w:p>
    <w:p w14:paraId="41789573">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1、为本项目组建专门的项目管理团队，至少2人。该部分人员应提供投标人为其缴纳的、距投标截止时间3个月任意时间的社保证明。否则人员不予认可。</w:t>
      </w:r>
    </w:p>
    <w:p w14:paraId="36E0A729">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项目管理团队设项目负责人1名，从事公安或安保行业工作至少3年，具有保安师证书（即二级或一级保安员），为退伍军人，具有大专及以上文化水平，主要负责本项目人员的招录、培训、督察及日常工作管理指导，确保队员建设的完整和规范化。</w:t>
      </w:r>
    </w:p>
    <w:p w14:paraId="48F1E8D7">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3、委派项目队长1名，具有保安师证书（即二级或一级保安员）证书，具有大专及以上文化水平。</w:t>
      </w:r>
    </w:p>
    <w:p w14:paraId="43EB73BB">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4、项目管理团队费用均由中标人承担，以管理费形式体现。</w:t>
      </w:r>
    </w:p>
    <w:p w14:paraId="2BD7671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（二）执法辅助服务人员</w:t>
      </w:r>
    </w:p>
    <w:bookmarkEnd w:id="66"/>
    <w:bookmarkEnd w:id="67"/>
    <w:bookmarkEnd w:id="68"/>
    <w:p w14:paraId="1CE05CA5">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1、投标人根据自身经验、技术实力、对项目的理解等综合情况，为项目投入执法辅助服务人员，完成招标人下达的工作任务、达成相应工作目标。</w:t>
      </w:r>
    </w:p>
    <w:p w14:paraId="7F3C8E8D">
      <w:pPr>
        <w:adjustRightInd w:val="0"/>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投标文件中提供人员投入方案，方案应尽量细化，具有完整性、可落实性、项目匹配性。</w:t>
      </w:r>
    </w:p>
    <w:p w14:paraId="5A23A789">
      <w:pPr>
        <w:adjustRightInd w:val="0"/>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2、服务时间：</w:t>
      </w:r>
    </w:p>
    <w:p w14:paraId="07D6044A">
      <w:pPr>
        <w:adjustRightInd w:val="0"/>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（1）投标人按本项目要求的工作或服务相关内容，提供巡查。处置。整治等各项工作。</w:t>
      </w:r>
    </w:p>
    <w:p w14:paraId="649CEAEA">
      <w:pPr>
        <w:adjustRightInd w:val="0"/>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（2）如遇特殊实际情况，服务时间需调整的（包括延长、加班、紧急情形等等），在确保服务效果、质量等达到采购人要求前提下，中标人应按照采购人的服务要求执行。</w:t>
      </w:r>
    </w:p>
    <w:p w14:paraId="6DF62722">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3、人员基本</w:t>
      </w:r>
      <w:r>
        <w:rPr>
          <w:rFonts w:hint="eastAsia" w:ascii="仿宋" w:hAnsi="仿宋" w:eastAsia="仿宋" w:cs="仿宋"/>
          <w:snapToGrid w:val="0"/>
          <w:color w:val="auto"/>
          <w:kern w:val="0"/>
          <w:sz w:val="24"/>
          <w:szCs w:val="24"/>
          <w:highlight w:val="none"/>
          <w:lang w:eastAsia="zh-CN"/>
        </w:rPr>
        <w:t>要求</w:t>
      </w:r>
      <w:r>
        <w:rPr>
          <w:rFonts w:hint="eastAsia" w:ascii="仿宋" w:hAnsi="仿宋" w:eastAsia="仿宋" w:cs="仿宋"/>
          <w:snapToGrid w:val="0"/>
          <w:color w:val="auto"/>
          <w:kern w:val="0"/>
          <w:sz w:val="24"/>
          <w:szCs w:val="24"/>
          <w:highlight w:val="none"/>
        </w:rPr>
        <w:t>：</w:t>
      </w:r>
    </w:p>
    <w:p w14:paraId="79C706EC">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户籍不限，面向全国；</w:t>
      </w:r>
    </w:p>
    <w:p w14:paraId="54936615">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遵守中华人民共和国宪法，遵守国家法律法规，品行端正；具备一定法律素养；无违法犯罪记录；</w:t>
      </w:r>
    </w:p>
    <w:p w14:paraId="297514A5">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具备履行职责所需要的身体素质和工作能力</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近三年未受到行政主管部门的行政处罚；</w:t>
      </w:r>
    </w:p>
    <w:p w14:paraId="50EAA7CB">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五官端正</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无有损社会形象纹身的，无影响工作的生理缺陷，无癫痫、精神病、传染病等其他严重疾病的；</w:t>
      </w:r>
    </w:p>
    <w:p w14:paraId="3F64C6A5">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eastAsia="zh-CN"/>
        </w:rPr>
        <w:t>）男性,身高</w:t>
      </w:r>
      <w:r>
        <w:rPr>
          <w:rFonts w:hint="eastAsia" w:ascii="仿宋" w:hAnsi="仿宋" w:eastAsia="仿宋" w:cs="仿宋"/>
          <w:snapToGrid w:val="0"/>
          <w:color w:val="auto"/>
          <w:kern w:val="0"/>
          <w:sz w:val="24"/>
          <w:szCs w:val="24"/>
          <w:highlight w:val="none"/>
          <w:lang w:val="en-US" w:eastAsia="zh-CN"/>
        </w:rPr>
        <w:t>一般</w:t>
      </w:r>
      <w:r>
        <w:rPr>
          <w:rFonts w:hint="eastAsia" w:ascii="仿宋" w:hAnsi="仿宋" w:eastAsia="仿宋" w:cs="仿宋"/>
          <w:snapToGrid w:val="0"/>
          <w:color w:val="auto"/>
          <w:kern w:val="0"/>
          <w:sz w:val="24"/>
          <w:szCs w:val="24"/>
          <w:highlight w:val="none"/>
          <w:lang w:eastAsia="zh-CN"/>
        </w:rPr>
        <w:t>不低于 1.70 米,女性，身高</w:t>
      </w:r>
      <w:r>
        <w:rPr>
          <w:rFonts w:hint="eastAsia" w:ascii="仿宋" w:hAnsi="仿宋" w:eastAsia="仿宋" w:cs="仿宋"/>
          <w:snapToGrid w:val="0"/>
          <w:color w:val="auto"/>
          <w:kern w:val="0"/>
          <w:sz w:val="24"/>
          <w:szCs w:val="24"/>
          <w:highlight w:val="none"/>
          <w:lang w:val="en-US" w:eastAsia="zh-CN"/>
        </w:rPr>
        <w:t>一般</w:t>
      </w:r>
      <w:r>
        <w:rPr>
          <w:rFonts w:hint="eastAsia" w:ascii="仿宋" w:hAnsi="仿宋" w:eastAsia="仿宋" w:cs="仿宋"/>
          <w:snapToGrid w:val="0"/>
          <w:color w:val="auto"/>
          <w:kern w:val="0"/>
          <w:sz w:val="24"/>
          <w:szCs w:val="24"/>
          <w:highlight w:val="none"/>
          <w:lang w:eastAsia="zh-CN"/>
        </w:rPr>
        <w:t>不低于1.</w:t>
      </w:r>
      <w:r>
        <w:rPr>
          <w:rFonts w:hint="eastAsia" w:ascii="仿宋" w:hAnsi="仿宋" w:eastAsia="仿宋" w:cs="仿宋"/>
          <w:snapToGrid w:val="0"/>
          <w:color w:val="auto"/>
          <w:kern w:val="0"/>
          <w:sz w:val="24"/>
          <w:szCs w:val="24"/>
          <w:highlight w:val="none"/>
          <w:lang w:val="en-US" w:eastAsia="zh-CN"/>
        </w:rPr>
        <w:t>58</w:t>
      </w:r>
      <w:r>
        <w:rPr>
          <w:rFonts w:hint="eastAsia" w:ascii="仿宋" w:hAnsi="仿宋" w:eastAsia="仿宋" w:cs="仿宋"/>
          <w:snapToGrid w:val="0"/>
          <w:color w:val="auto"/>
          <w:kern w:val="0"/>
          <w:sz w:val="24"/>
          <w:szCs w:val="24"/>
          <w:highlight w:val="none"/>
          <w:lang w:eastAsia="zh-CN"/>
        </w:rPr>
        <w:t>米；（</w:t>
      </w:r>
      <w:r>
        <w:rPr>
          <w:rFonts w:hint="eastAsia" w:ascii="仿宋" w:hAnsi="仿宋" w:eastAsia="仿宋" w:cs="仿宋"/>
          <w:snapToGrid w:val="0"/>
          <w:color w:val="auto"/>
          <w:kern w:val="0"/>
          <w:sz w:val="24"/>
          <w:szCs w:val="24"/>
          <w:highlight w:val="none"/>
        </w:rPr>
        <w:t>退伍军人或有</w:t>
      </w:r>
      <w:r>
        <w:rPr>
          <w:rFonts w:hint="eastAsia" w:ascii="仿宋" w:hAnsi="仿宋" w:eastAsia="仿宋" w:cs="仿宋"/>
          <w:snapToGrid w:val="0"/>
          <w:color w:val="auto"/>
          <w:kern w:val="0"/>
          <w:sz w:val="24"/>
          <w:szCs w:val="24"/>
          <w:highlight w:val="none"/>
          <w:lang w:val="en-US" w:eastAsia="zh-CN"/>
        </w:rPr>
        <w:t>本项目相关</w:t>
      </w:r>
      <w:r>
        <w:rPr>
          <w:rFonts w:hint="eastAsia" w:ascii="仿宋" w:hAnsi="仿宋" w:eastAsia="仿宋" w:cs="仿宋"/>
          <w:snapToGrid w:val="0"/>
          <w:color w:val="auto"/>
          <w:kern w:val="0"/>
          <w:sz w:val="24"/>
          <w:szCs w:val="24"/>
          <w:highlight w:val="none"/>
        </w:rPr>
        <w:t>管理</w:t>
      </w:r>
      <w:r>
        <w:rPr>
          <w:rFonts w:hint="eastAsia" w:ascii="仿宋" w:hAnsi="仿宋" w:eastAsia="仿宋" w:cs="仿宋"/>
          <w:snapToGrid w:val="0"/>
          <w:color w:val="auto"/>
          <w:kern w:val="0"/>
          <w:sz w:val="24"/>
          <w:szCs w:val="24"/>
          <w:highlight w:val="none"/>
          <w:lang w:val="en-US" w:eastAsia="zh-CN"/>
        </w:rPr>
        <w:t>等</w:t>
      </w:r>
      <w:r>
        <w:rPr>
          <w:rFonts w:hint="eastAsia" w:ascii="仿宋" w:hAnsi="仿宋" w:eastAsia="仿宋" w:cs="仿宋"/>
          <w:snapToGrid w:val="0"/>
          <w:color w:val="auto"/>
          <w:kern w:val="0"/>
          <w:sz w:val="24"/>
          <w:szCs w:val="24"/>
          <w:highlight w:val="none"/>
        </w:rPr>
        <w:t>工作经验的可视情况适当放宽条件</w:t>
      </w:r>
      <w:r>
        <w:rPr>
          <w:rFonts w:hint="eastAsia" w:ascii="仿宋" w:hAnsi="仿宋" w:eastAsia="仿宋" w:cs="仿宋"/>
          <w:snapToGrid w:val="0"/>
          <w:color w:val="auto"/>
          <w:kern w:val="0"/>
          <w:sz w:val="24"/>
          <w:szCs w:val="24"/>
          <w:highlight w:val="none"/>
          <w:lang w:eastAsia="zh-CN"/>
        </w:rPr>
        <w:t>）</w:t>
      </w:r>
    </w:p>
    <w:p w14:paraId="4CEA1049">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lang w:eastAsia="zh-CN"/>
        </w:rPr>
        <w:t>）任何一眼矫正视力不低于 4.8 或矫正度数不超过 600度</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退伍军人或有</w:t>
      </w:r>
      <w:r>
        <w:rPr>
          <w:rFonts w:hint="eastAsia" w:ascii="仿宋" w:hAnsi="仿宋" w:eastAsia="仿宋" w:cs="仿宋"/>
          <w:snapToGrid w:val="0"/>
          <w:color w:val="auto"/>
          <w:kern w:val="0"/>
          <w:sz w:val="24"/>
          <w:szCs w:val="24"/>
          <w:highlight w:val="none"/>
          <w:lang w:val="en-US" w:eastAsia="zh-CN"/>
        </w:rPr>
        <w:t>本项目相关</w:t>
      </w:r>
      <w:r>
        <w:rPr>
          <w:rFonts w:hint="eastAsia" w:ascii="仿宋" w:hAnsi="仿宋" w:eastAsia="仿宋" w:cs="仿宋"/>
          <w:snapToGrid w:val="0"/>
          <w:color w:val="auto"/>
          <w:kern w:val="0"/>
          <w:sz w:val="24"/>
          <w:szCs w:val="24"/>
          <w:highlight w:val="none"/>
        </w:rPr>
        <w:t>管理</w:t>
      </w:r>
      <w:r>
        <w:rPr>
          <w:rFonts w:hint="eastAsia" w:ascii="仿宋" w:hAnsi="仿宋" w:eastAsia="仿宋" w:cs="仿宋"/>
          <w:snapToGrid w:val="0"/>
          <w:color w:val="auto"/>
          <w:kern w:val="0"/>
          <w:sz w:val="24"/>
          <w:szCs w:val="24"/>
          <w:highlight w:val="none"/>
          <w:lang w:val="en-US" w:eastAsia="zh-CN"/>
        </w:rPr>
        <w:t>等</w:t>
      </w:r>
      <w:r>
        <w:rPr>
          <w:rFonts w:hint="eastAsia" w:ascii="仿宋" w:hAnsi="仿宋" w:eastAsia="仿宋" w:cs="仿宋"/>
          <w:snapToGrid w:val="0"/>
          <w:color w:val="auto"/>
          <w:kern w:val="0"/>
          <w:sz w:val="24"/>
          <w:szCs w:val="24"/>
          <w:highlight w:val="none"/>
        </w:rPr>
        <w:t>工作经验的可视情况适当放宽条件</w:t>
      </w:r>
      <w:r>
        <w:rPr>
          <w:rFonts w:hint="eastAsia" w:ascii="仿宋" w:hAnsi="仿宋" w:eastAsia="仿宋" w:cs="仿宋"/>
          <w:snapToGrid w:val="0"/>
          <w:color w:val="auto"/>
          <w:kern w:val="0"/>
          <w:sz w:val="24"/>
          <w:szCs w:val="24"/>
          <w:highlight w:val="none"/>
          <w:lang w:eastAsia="zh-CN"/>
        </w:rPr>
        <w:t>）</w:t>
      </w:r>
    </w:p>
    <w:p w14:paraId="41F47465">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lang w:eastAsia="zh-CN"/>
        </w:rPr>
        <w:t>）年龄一般为4</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eastAsia="zh-CN"/>
        </w:rPr>
        <w:t>周岁（含4</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lang w:eastAsia="zh-CN"/>
        </w:rPr>
        <w:t>周岁）以下</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退伍军人或有</w:t>
      </w:r>
      <w:r>
        <w:rPr>
          <w:rFonts w:hint="eastAsia" w:ascii="仿宋" w:hAnsi="仿宋" w:eastAsia="仿宋" w:cs="仿宋"/>
          <w:snapToGrid w:val="0"/>
          <w:color w:val="auto"/>
          <w:kern w:val="0"/>
          <w:sz w:val="24"/>
          <w:szCs w:val="24"/>
          <w:highlight w:val="none"/>
          <w:lang w:val="en-US" w:eastAsia="zh-CN"/>
        </w:rPr>
        <w:t>本项目相关</w:t>
      </w:r>
      <w:r>
        <w:rPr>
          <w:rFonts w:hint="eastAsia" w:ascii="仿宋" w:hAnsi="仿宋" w:eastAsia="仿宋" w:cs="仿宋"/>
          <w:snapToGrid w:val="0"/>
          <w:color w:val="auto"/>
          <w:kern w:val="0"/>
          <w:sz w:val="24"/>
          <w:szCs w:val="24"/>
          <w:highlight w:val="none"/>
        </w:rPr>
        <w:t>管理</w:t>
      </w:r>
      <w:r>
        <w:rPr>
          <w:rFonts w:hint="eastAsia" w:ascii="仿宋" w:hAnsi="仿宋" w:eastAsia="仿宋" w:cs="仿宋"/>
          <w:snapToGrid w:val="0"/>
          <w:color w:val="auto"/>
          <w:kern w:val="0"/>
          <w:sz w:val="24"/>
          <w:szCs w:val="24"/>
          <w:highlight w:val="none"/>
          <w:lang w:val="en-US" w:eastAsia="zh-CN"/>
        </w:rPr>
        <w:t>等</w:t>
      </w:r>
      <w:r>
        <w:rPr>
          <w:rFonts w:hint="eastAsia" w:ascii="仿宋" w:hAnsi="仿宋" w:eastAsia="仿宋" w:cs="仿宋"/>
          <w:snapToGrid w:val="0"/>
          <w:color w:val="auto"/>
          <w:kern w:val="0"/>
          <w:sz w:val="24"/>
          <w:szCs w:val="24"/>
          <w:highlight w:val="none"/>
        </w:rPr>
        <w:t>工作经验的可视情况适当放宽条件</w:t>
      </w:r>
      <w:r>
        <w:rPr>
          <w:rFonts w:hint="eastAsia" w:ascii="仿宋" w:hAnsi="仿宋" w:eastAsia="仿宋" w:cs="仿宋"/>
          <w:snapToGrid w:val="0"/>
          <w:color w:val="auto"/>
          <w:kern w:val="0"/>
          <w:sz w:val="24"/>
          <w:szCs w:val="24"/>
          <w:highlight w:val="none"/>
          <w:lang w:eastAsia="zh-CN"/>
        </w:rPr>
        <w:t>）</w:t>
      </w:r>
    </w:p>
    <w:p w14:paraId="05B1C387">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lang w:eastAsia="zh-CN"/>
        </w:rPr>
        <w:t>）高中以上学历；（</w:t>
      </w:r>
      <w:r>
        <w:rPr>
          <w:rFonts w:hint="eastAsia" w:ascii="仿宋" w:hAnsi="仿宋" w:eastAsia="仿宋" w:cs="仿宋"/>
          <w:snapToGrid w:val="0"/>
          <w:color w:val="auto"/>
          <w:kern w:val="0"/>
          <w:sz w:val="24"/>
          <w:szCs w:val="24"/>
          <w:highlight w:val="none"/>
        </w:rPr>
        <w:t>退伍军人或有</w:t>
      </w:r>
      <w:r>
        <w:rPr>
          <w:rFonts w:hint="eastAsia" w:ascii="仿宋" w:hAnsi="仿宋" w:eastAsia="仿宋" w:cs="仿宋"/>
          <w:snapToGrid w:val="0"/>
          <w:color w:val="auto"/>
          <w:kern w:val="0"/>
          <w:sz w:val="24"/>
          <w:szCs w:val="24"/>
          <w:highlight w:val="none"/>
          <w:lang w:val="en-US" w:eastAsia="zh-CN"/>
        </w:rPr>
        <w:t>本项目相关</w:t>
      </w:r>
      <w:r>
        <w:rPr>
          <w:rFonts w:hint="eastAsia" w:ascii="仿宋" w:hAnsi="仿宋" w:eastAsia="仿宋" w:cs="仿宋"/>
          <w:snapToGrid w:val="0"/>
          <w:color w:val="auto"/>
          <w:kern w:val="0"/>
          <w:sz w:val="24"/>
          <w:szCs w:val="24"/>
          <w:highlight w:val="none"/>
        </w:rPr>
        <w:t>管理</w:t>
      </w:r>
      <w:r>
        <w:rPr>
          <w:rFonts w:hint="eastAsia" w:ascii="仿宋" w:hAnsi="仿宋" w:eastAsia="仿宋" w:cs="仿宋"/>
          <w:snapToGrid w:val="0"/>
          <w:color w:val="auto"/>
          <w:kern w:val="0"/>
          <w:sz w:val="24"/>
          <w:szCs w:val="24"/>
          <w:highlight w:val="none"/>
          <w:lang w:val="en-US" w:eastAsia="zh-CN"/>
        </w:rPr>
        <w:t>等</w:t>
      </w:r>
      <w:r>
        <w:rPr>
          <w:rFonts w:hint="eastAsia" w:ascii="仿宋" w:hAnsi="仿宋" w:eastAsia="仿宋" w:cs="仿宋"/>
          <w:snapToGrid w:val="0"/>
          <w:color w:val="auto"/>
          <w:kern w:val="0"/>
          <w:sz w:val="24"/>
          <w:szCs w:val="24"/>
          <w:highlight w:val="none"/>
        </w:rPr>
        <w:t>工作经验的可视情况适当放宽条件</w:t>
      </w:r>
      <w:r>
        <w:rPr>
          <w:rFonts w:hint="eastAsia" w:ascii="仿宋" w:hAnsi="仿宋" w:eastAsia="仿宋" w:cs="仿宋"/>
          <w:snapToGrid w:val="0"/>
          <w:color w:val="auto"/>
          <w:kern w:val="0"/>
          <w:sz w:val="24"/>
          <w:szCs w:val="24"/>
          <w:highlight w:val="none"/>
          <w:lang w:eastAsia="zh-CN"/>
        </w:rPr>
        <w:t>）</w:t>
      </w:r>
    </w:p>
    <w:p w14:paraId="26D30B88">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9</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没有传染病、精神病及不能控制自己行为能力的疾病(病史）等。</w:t>
      </w:r>
    </w:p>
    <w:p w14:paraId="6B5D5D4F">
      <w:pPr>
        <w:pStyle w:val="18"/>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投标文件中提供承诺：本项目投入的执法辅助服务人员，纳入采购人对服务单位的考核，并确保无以下情形之一，否则投标无效：如中标，查实有以下情形之一的，中标人承担虚假应标法律责任，并向采购人作相应赔偿。</w:t>
      </w:r>
    </w:p>
    <w:p w14:paraId="77F5DF10">
      <w:pPr>
        <w:pStyle w:val="18"/>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（1）受过刑事处罚或治安管理处罚；</w:t>
      </w:r>
    </w:p>
    <w:p w14:paraId="62A1BFA6">
      <w:pPr>
        <w:pStyle w:val="18"/>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（2）有较为严重的个人不良信用记录；</w:t>
      </w:r>
    </w:p>
    <w:p w14:paraId="5EF1E22B">
      <w:pPr>
        <w:pStyle w:val="18"/>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（3）因违纪违规被开除、辞退、解聘的人员；</w:t>
      </w:r>
    </w:p>
    <w:p w14:paraId="7F1961B1">
      <w:pPr>
        <w:pStyle w:val="18"/>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（4）本人或家庭成员、近亲属参加非法组织、邪教组织或从事危害国家安全活动的人员；</w:t>
      </w:r>
    </w:p>
    <w:p w14:paraId="28F131A3">
      <w:pPr>
        <w:pStyle w:val="18"/>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（5）有吸毒、犯罪记录；</w:t>
      </w:r>
    </w:p>
    <w:p w14:paraId="04B208AB">
      <w:pPr>
        <w:pStyle w:val="18"/>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（6）有其他兼职工作或其他不宜从事与本项目相关管理工作的人员。</w:t>
      </w:r>
    </w:p>
    <w:p w14:paraId="169597EB">
      <w:pPr>
        <w:pStyle w:val="18"/>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5、执法辅助服务人员相关费用均由中标人承担。</w:t>
      </w:r>
    </w:p>
    <w:p w14:paraId="750D9565">
      <w:pPr>
        <w:pStyle w:val="18"/>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6、由于具体工作根据实际情况可能调整，投标人在上述要求基础上投入执法辅助服务人员，并可根据实际情况进行调整，但最终服务效果、质量等应确保达到采购人要求。投标文件中提供该内容承诺函。</w:t>
      </w:r>
    </w:p>
    <w:p w14:paraId="6212454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仿宋" w:hAnsi="仿宋" w:eastAsia="仿宋" w:cs="仿宋"/>
          <w:b/>
          <w:bCs/>
          <w:snapToGrid w:val="0"/>
          <w:color w:val="auto"/>
          <w:kern w:val="0"/>
          <w:sz w:val="24"/>
          <w:szCs w:val="24"/>
          <w:highlight w:val="none"/>
          <w:lang w:val="en-US" w:eastAsia="zh-CN"/>
        </w:rPr>
      </w:pPr>
      <w:bookmarkStart w:id="70" w:name="_Toc18439"/>
      <w:r>
        <w:rPr>
          <w:rFonts w:hint="eastAsia" w:ascii="仿宋" w:hAnsi="仿宋" w:eastAsia="仿宋" w:cs="仿宋"/>
          <w:b/>
          <w:bCs/>
          <w:snapToGrid w:val="0"/>
          <w:color w:val="auto"/>
          <w:kern w:val="0"/>
          <w:sz w:val="24"/>
          <w:szCs w:val="24"/>
          <w:highlight w:val="none"/>
          <w:lang w:val="en-US" w:eastAsia="zh-CN"/>
        </w:rPr>
        <w:t>（三）后勤保障要求</w:t>
      </w:r>
      <w:bookmarkEnd w:id="70"/>
    </w:p>
    <w:p w14:paraId="533F94C9">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1、个人服装及装备</w:t>
      </w:r>
    </w:p>
    <w:tbl>
      <w:tblPr>
        <w:tblStyle w:val="48"/>
        <w:tblW w:w="0" w:type="auto"/>
        <w:tblInd w:w="93" w:type="dxa"/>
        <w:tblLayout w:type="fixed"/>
        <w:tblCellMar>
          <w:top w:w="0" w:type="dxa"/>
          <w:left w:w="108" w:type="dxa"/>
          <w:bottom w:w="0" w:type="dxa"/>
          <w:right w:w="108" w:type="dxa"/>
        </w:tblCellMar>
      </w:tblPr>
      <w:tblGrid>
        <w:gridCol w:w="780"/>
        <w:gridCol w:w="5189"/>
        <w:gridCol w:w="2410"/>
      </w:tblGrid>
      <w:tr w14:paraId="59038A54">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70A9FAEC">
            <w:pPr>
              <w:widowControl/>
              <w:adjustRightInd w:val="0"/>
              <w:snapToGrid w:val="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5189" w:type="dxa"/>
            <w:tcBorders>
              <w:top w:val="single" w:color="auto" w:sz="4" w:space="0"/>
              <w:left w:val="nil"/>
              <w:bottom w:val="single" w:color="auto" w:sz="4" w:space="0"/>
              <w:right w:val="single" w:color="auto" w:sz="4" w:space="0"/>
            </w:tcBorders>
            <w:noWrap w:val="0"/>
            <w:vAlign w:val="center"/>
          </w:tcPr>
          <w:p w14:paraId="43509E0C">
            <w:pPr>
              <w:widowControl/>
              <w:adjustRightInd w:val="0"/>
              <w:snapToGrid w:val="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品  名</w:t>
            </w:r>
          </w:p>
        </w:tc>
        <w:tc>
          <w:tcPr>
            <w:tcW w:w="2410" w:type="dxa"/>
            <w:tcBorders>
              <w:top w:val="single" w:color="auto" w:sz="4" w:space="0"/>
              <w:left w:val="nil"/>
              <w:bottom w:val="single" w:color="auto" w:sz="4" w:space="0"/>
              <w:right w:val="single" w:color="auto" w:sz="4" w:space="0"/>
            </w:tcBorders>
            <w:noWrap w:val="0"/>
            <w:vAlign w:val="center"/>
          </w:tcPr>
          <w:p w14:paraId="2ADE0393">
            <w:pPr>
              <w:widowControl/>
              <w:adjustRightInd w:val="0"/>
              <w:snapToGrid w:val="0"/>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  注</w:t>
            </w:r>
          </w:p>
        </w:tc>
      </w:tr>
      <w:tr w14:paraId="45EB2224">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BB0F0FC">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5189" w:type="dxa"/>
            <w:tcBorders>
              <w:top w:val="single" w:color="auto" w:sz="4" w:space="0"/>
              <w:left w:val="nil"/>
              <w:bottom w:val="single" w:color="auto" w:sz="4" w:space="0"/>
              <w:right w:val="single" w:color="auto" w:sz="4" w:space="0"/>
            </w:tcBorders>
            <w:noWrap w:val="0"/>
            <w:vAlign w:val="center"/>
          </w:tcPr>
          <w:p w14:paraId="4F6009AA">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四件套（对讲机、强光手电、甩棍、防割手套）</w:t>
            </w:r>
          </w:p>
        </w:tc>
        <w:tc>
          <w:tcPr>
            <w:tcW w:w="2410" w:type="dxa"/>
            <w:tcBorders>
              <w:top w:val="single" w:color="auto" w:sz="4" w:space="0"/>
              <w:left w:val="nil"/>
              <w:bottom w:val="single" w:color="auto" w:sz="4" w:space="0"/>
              <w:right w:val="single" w:color="auto" w:sz="4" w:space="0"/>
            </w:tcBorders>
            <w:noWrap w:val="0"/>
            <w:vAlign w:val="center"/>
          </w:tcPr>
          <w:p w14:paraId="6BB789A5">
            <w:pPr>
              <w:widowControl/>
              <w:adjustRightInd w:val="0"/>
              <w:snapToGrid w:val="0"/>
              <w:jc w:val="center"/>
              <w:rPr>
                <w:rFonts w:hint="eastAsia" w:ascii="仿宋" w:hAnsi="仿宋" w:eastAsia="仿宋" w:cs="仿宋"/>
                <w:color w:val="auto"/>
                <w:kern w:val="0"/>
                <w:sz w:val="24"/>
                <w:szCs w:val="24"/>
                <w:highlight w:val="none"/>
              </w:rPr>
            </w:pPr>
          </w:p>
        </w:tc>
      </w:tr>
      <w:tr w14:paraId="1A55E3F6">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B769FEF">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5189" w:type="dxa"/>
            <w:tcBorders>
              <w:top w:val="single" w:color="auto" w:sz="4" w:space="0"/>
              <w:left w:val="nil"/>
              <w:bottom w:val="single" w:color="auto" w:sz="4" w:space="0"/>
              <w:right w:val="single" w:color="auto" w:sz="4" w:space="0"/>
            </w:tcBorders>
            <w:noWrap w:val="0"/>
            <w:vAlign w:val="center"/>
          </w:tcPr>
          <w:p w14:paraId="7E41A17F">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执勤服（冬季制服，春秋、夏季制服）</w:t>
            </w:r>
          </w:p>
        </w:tc>
        <w:tc>
          <w:tcPr>
            <w:tcW w:w="2410" w:type="dxa"/>
            <w:tcBorders>
              <w:top w:val="single" w:color="auto" w:sz="4" w:space="0"/>
              <w:left w:val="nil"/>
              <w:bottom w:val="single" w:color="auto" w:sz="4" w:space="0"/>
              <w:right w:val="single" w:color="auto" w:sz="4" w:space="0"/>
            </w:tcBorders>
            <w:noWrap w:val="0"/>
            <w:vAlign w:val="center"/>
          </w:tcPr>
          <w:p w14:paraId="1D55237A">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清单附下</w:t>
            </w:r>
          </w:p>
        </w:tc>
      </w:tr>
      <w:tr w14:paraId="1F21AF82">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08BBD9F">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5189" w:type="dxa"/>
            <w:tcBorders>
              <w:top w:val="single" w:color="auto" w:sz="4" w:space="0"/>
              <w:left w:val="nil"/>
              <w:bottom w:val="single" w:color="auto" w:sz="4" w:space="0"/>
              <w:right w:val="single" w:color="auto" w:sz="4" w:space="0"/>
            </w:tcBorders>
            <w:noWrap w:val="0"/>
            <w:vAlign w:val="center"/>
          </w:tcPr>
          <w:p w14:paraId="7CED18D4">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警用肩灯</w:t>
            </w:r>
          </w:p>
        </w:tc>
        <w:tc>
          <w:tcPr>
            <w:tcW w:w="2410" w:type="dxa"/>
            <w:tcBorders>
              <w:top w:val="single" w:color="auto" w:sz="4" w:space="0"/>
              <w:left w:val="nil"/>
              <w:bottom w:val="single" w:color="auto" w:sz="4" w:space="0"/>
              <w:right w:val="single" w:color="auto" w:sz="4" w:space="0"/>
            </w:tcBorders>
            <w:noWrap w:val="0"/>
            <w:vAlign w:val="center"/>
          </w:tcPr>
          <w:p w14:paraId="303703D1">
            <w:pPr>
              <w:widowControl/>
              <w:adjustRightInd w:val="0"/>
              <w:snapToGrid w:val="0"/>
              <w:jc w:val="center"/>
              <w:rPr>
                <w:rFonts w:hint="eastAsia" w:ascii="仿宋" w:hAnsi="仿宋" w:eastAsia="仿宋" w:cs="仿宋"/>
                <w:color w:val="auto"/>
                <w:kern w:val="0"/>
                <w:sz w:val="24"/>
                <w:szCs w:val="24"/>
                <w:highlight w:val="none"/>
              </w:rPr>
            </w:pPr>
          </w:p>
        </w:tc>
      </w:tr>
      <w:tr w14:paraId="142FC90F">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01E73D7">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5189" w:type="dxa"/>
            <w:tcBorders>
              <w:top w:val="single" w:color="auto" w:sz="4" w:space="0"/>
              <w:left w:val="nil"/>
              <w:bottom w:val="single" w:color="auto" w:sz="4" w:space="0"/>
              <w:right w:val="single" w:color="auto" w:sz="4" w:space="0"/>
            </w:tcBorders>
            <w:noWrap w:val="0"/>
            <w:vAlign w:val="center"/>
          </w:tcPr>
          <w:p w14:paraId="572D0AAE">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雨衣</w:t>
            </w:r>
          </w:p>
        </w:tc>
        <w:tc>
          <w:tcPr>
            <w:tcW w:w="2410" w:type="dxa"/>
            <w:tcBorders>
              <w:top w:val="single" w:color="auto" w:sz="4" w:space="0"/>
              <w:left w:val="nil"/>
              <w:bottom w:val="single" w:color="auto" w:sz="4" w:space="0"/>
              <w:right w:val="single" w:color="auto" w:sz="4" w:space="0"/>
            </w:tcBorders>
            <w:noWrap w:val="0"/>
            <w:vAlign w:val="center"/>
          </w:tcPr>
          <w:p w14:paraId="35EE90C8">
            <w:pPr>
              <w:widowControl/>
              <w:adjustRightInd w:val="0"/>
              <w:snapToGrid w:val="0"/>
              <w:jc w:val="center"/>
              <w:rPr>
                <w:rFonts w:hint="eastAsia" w:ascii="仿宋" w:hAnsi="仿宋" w:eastAsia="仿宋" w:cs="仿宋"/>
                <w:color w:val="auto"/>
                <w:kern w:val="0"/>
                <w:sz w:val="24"/>
                <w:szCs w:val="24"/>
                <w:highlight w:val="none"/>
              </w:rPr>
            </w:pPr>
          </w:p>
        </w:tc>
      </w:tr>
      <w:tr w14:paraId="233159BD">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2A462F1">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5189" w:type="dxa"/>
            <w:tcBorders>
              <w:top w:val="single" w:color="auto" w:sz="4" w:space="0"/>
              <w:left w:val="nil"/>
              <w:bottom w:val="single" w:color="auto" w:sz="4" w:space="0"/>
              <w:right w:val="single" w:color="auto" w:sz="4" w:space="0"/>
            </w:tcBorders>
            <w:noWrap w:val="0"/>
            <w:vAlign w:val="center"/>
          </w:tcPr>
          <w:p w14:paraId="3FD68AE7">
            <w:pPr>
              <w:widowControl/>
              <w:adjustRightInd w:val="0"/>
              <w:snapToGrid w:val="0"/>
              <w:jc w:val="center"/>
              <w:rPr>
                <w:rFonts w:hint="eastAsia" w:ascii="仿宋" w:hAnsi="仿宋" w:eastAsia="仿宋" w:cs="仿宋"/>
                <w:color w:val="auto"/>
                <w:kern w:val="0"/>
                <w:sz w:val="24"/>
                <w:szCs w:val="24"/>
                <w:highlight w:val="none"/>
              </w:rPr>
            </w:pPr>
          </w:p>
        </w:tc>
        <w:tc>
          <w:tcPr>
            <w:tcW w:w="2410" w:type="dxa"/>
            <w:tcBorders>
              <w:top w:val="single" w:color="auto" w:sz="4" w:space="0"/>
              <w:left w:val="nil"/>
              <w:bottom w:val="single" w:color="auto" w:sz="4" w:space="0"/>
              <w:right w:val="single" w:color="auto" w:sz="4" w:space="0"/>
            </w:tcBorders>
            <w:noWrap w:val="0"/>
            <w:vAlign w:val="center"/>
          </w:tcPr>
          <w:p w14:paraId="7E3670E1">
            <w:pPr>
              <w:widowControl/>
              <w:adjustRightInd w:val="0"/>
              <w:snapToGrid w:val="0"/>
              <w:jc w:val="center"/>
              <w:rPr>
                <w:rFonts w:hint="eastAsia" w:ascii="仿宋" w:hAnsi="仿宋" w:eastAsia="仿宋" w:cs="仿宋"/>
                <w:color w:val="auto"/>
                <w:kern w:val="0"/>
                <w:sz w:val="24"/>
                <w:szCs w:val="24"/>
                <w:highlight w:val="none"/>
              </w:rPr>
            </w:pPr>
          </w:p>
        </w:tc>
      </w:tr>
      <w:tr w14:paraId="7F18B5D0">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3BA737F">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5189" w:type="dxa"/>
            <w:tcBorders>
              <w:top w:val="single" w:color="auto" w:sz="4" w:space="0"/>
              <w:left w:val="nil"/>
              <w:bottom w:val="single" w:color="auto" w:sz="4" w:space="0"/>
              <w:right w:val="single" w:color="auto" w:sz="4" w:space="0"/>
            </w:tcBorders>
            <w:noWrap w:val="0"/>
            <w:vAlign w:val="center"/>
          </w:tcPr>
          <w:p w14:paraId="5B1D5F7D">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2410" w:type="dxa"/>
            <w:tcBorders>
              <w:top w:val="single" w:color="auto" w:sz="4" w:space="0"/>
              <w:left w:val="nil"/>
              <w:bottom w:val="single" w:color="auto" w:sz="4" w:space="0"/>
              <w:right w:val="single" w:color="auto" w:sz="4" w:space="0"/>
            </w:tcBorders>
            <w:noWrap w:val="0"/>
            <w:vAlign w:val="center"/>
          </w:tcPr>
          <w:p w14:paraId="1351F4C6">
            <w:pPr>
              <w:widowControl/>
              <w:adjustRightInd w:val="0"/>
              <w:snapToGrid w:val="0"/>
              <w:jc w:val="center"/>
              <w:rPr>
                <w:rFonts w:hint="eastAsia" w:ascii="仿宋" w:hAnsi="仿宋" w:eastAsia="仿宋" w:cs="仿宋"/>
                <w:color w:val="auto"/>
                <w:kern w:val="0"/>
                <w:sz w:val="24"/>
                <w:szCs w:val="24"/>
                <w:highlight w:val="none"/>
              </w:rPr>
            </w:pPr>
          </w:p>
        </w:tc>
      </w:tr>
    </w:tbl>
    <w:p w14:paraId="61D2EB4E">
      <w:pPr>
        <w:adjustRightInd w:val="0"/>
        <w:snapToGrid w:val="0"/>
        <w:spacing w:before="120" w:beforeLines="50"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执勤服配置</w:t>
      </w:r>
      <w:r>
        <w:rPr>
          <w:rFonts w:hint="eastAsia" w:ascii="仿宋" w:hAnsi="仿宋" w:eastAsia="仿宋" w:cs="仿宋"/>
          <w:snapToGrid w:val="0"/>
          <w:color w:val="auto"/>
          <w:kern w:val="0"/>
          <w:sz w:val="24"/>
          <w:szCs w:val="24"/>
          <w:highlight w:val="none"/>
          <w:lang w:eastAsia="zh-CN"/>
        </w:rPr>
        <w:t>清单</w:t>
      </w:r>
      <w:r>
        <w:rPr>
          <w:rFonts w:hint="eastAsia" w:ascii="仿宋" w:hAnsi="仿宋" w:eastAsia="仿宋" w:cs="仿宋"/>
          <w:snapToGrid w:val="0"/>
          <w:color w:val="auto"/>
          <w:kern w:val="0"/>
          <w:sz w:val="24"/>
          <w:szCs w:val="24"/>
          <w:highlight w:val="none"/>
        </w:rPr>
        <w:t xml:space="preserve">如下： </w:t>
      </w:r>
    </w:p>
    <w:tbl>
      <w:tblPr>
        <w:tblStyle w:val="48"/>
        <w:tblW w:w="0" w:type="auto"/>
        <w:tblInd w:w="97" w:type="dxa"/>
        <w:tblLayout w:type="fixed"/>
        <w:tblCellMar>
          <w:top w:w="0" w:type="dxa"/>
          <w:left w:w="108" w:type="dxa"/>
          <w:bottom w:w="0" w:type="dxa"/>
          <w:right w:w="108" w:type="dxa"/>
        </w:tblCellMar>
      </w:tblPr>
      <w:tblGrid>
        <w:gridCol w:w="1080"/>
        <w:gridCol w:w="4897"/>
        <w:gridCol w:w="2417"/>
      </w:tblGrid>
      <w:tr w14:paraId="1C93A7A8">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257F87A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4897" w:type="dxa"/>
            <w:tcBorders>
              <w:top w:val="single" w:color="auto" w:sz="4" w:space="0"/>
              <w:left w:val="nil"/>
              <w:bottom w:val="single" w:color="auto" w:sz="4" w:space="0"/>
              <w:right w:val="single" w:color="auto" w:sz="4" w:space="0"/>
            </w:tcBorders>
            <w:noWrap/>
            <w:vAlign w:val="center"/>
          </w:tcPr>
          <w:p w14:paraId="7757727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品名</w:t>
            </w:r>
          </w:p>
        </w:tc>
        <w:tc>
          <w:tcPr>
            <w:tcW w:w="2417" w:type="dxa"/>
            <w:tcBorders>
              <w:top w:val="single" w:color="auto" w:sz="4" w:space="0"/>
              <w:left w:val="nil"/>
              <w:bottom w:val="single" w:color="auto" w:sz="4" w:space="0"/>
              <w:right w:val="single" w:color="auto" w:sz="4" w:space="0"/>
            </w:tcBorders>
            <w:noWrap/>
            <w:vAlign w:val="center"/>
          </w:tcPr>
          <w:p w14:paraId="780AB88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r>
      <w:tr w14:paraId="11A5AB56">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4281E0C8">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897" w:type="dxa"/>
            <w:tcBorders>
              <w:top w:val="nil"/>
              <w:left w:val="nil"/>
              <w:bottom w:val="single" w:color="auto" w:sz="4" w:space="0"/>
              <w:right w:val="single" w:color="auto" w:sz="4" w:space="0"/>
            </w:tcBorders>
            <w:noWrap/>
            <w:vAlign w:val="center"/>
          </w:tcPr>
          <w:p w14:paraId="26994231">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大檐帽/卷边帽</w:t>
            </w:r>
          </w:p>
        </w:tc>
        <w:tc>
          <w:tcPr>
            <w:tcW w:w="2417" w:type="dxa"/>
            <w:tcBorders>
              <w:top w:val="nil"/>
              <w:left w:val="nil"/>
              <w:bottom w:val="single" w:color="auto" w:sz="4" w:space="0"/>
              <w:right w:val="single" w:color="auto" w:sz="4" w:space="0"/>
            </w:tcBorders>
            <w:noWrap/>
            <w:vAlign w:val="center"/>
          </w:tcPr>
          <w:p w14:paraId="515110C5">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顶</w:t>
            </w:r>
          </w:p>
        </w:tc>
      </w:tr>
      <w:tr w14:paraId="0951F37E">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523542E3">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4897" w:type="dxa"/>
            <w:tcBorders>
              <w:top w:val="nil"/>
              <w:left w:val="nil"/>
              <w:bottom w:val="single" w:color="auto" w:sz="4" w:space="0"/>
              <w:right w:val="single" w:color="auto" w:sz="4" w:space="0"/>
            </w:tcBorders>
            <w:noWrap/>
            <w:vAlign w:val="center"/>
          </w:tcPr>
          <w:p w14:paraId="5CC8E14D">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大檐凉帽/卷边凉帽</w:t>
            </w:r>
          </w:p>
        </w:tc>
        <w:tc>
          <w:tcPr>
            <w:tcW w:w="2417" w:type="dxa"/>
            <w:tcBorders>
              <w:top w:val="nil"/>
              <w:left w:val="nil"/>
              <w:bottom w:val="single" w:color="auto" w:sz="4" w:space="0"/>
              <w:right w:val="single" w:color="auto" w:sz="4" w:space="0"/>
            </w:tcBorders>
            <w:noWrap/>
            <w:vAlign w:val="center"/>
          </w:tcPr>
          <w:p w14:paraId="02DAE67F">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顶</w:t>
            </w:r>
          </w:p>
        </w:tc>
      </w:tr>
      <w:tr w14:paraId="7B7396DD">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47E48B2E">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4897" w:type="dxa"/>
            <w:tcBorders>
              <w:top w:val="nil"/>
              <w:left w:val="nil"/>
              <w:bottom w:val="single" w:color="auto" w:sz="4" w:space="0"/>
              <w:right w:val="single" w:color="auto" w:sz="4" w:space="0"/>
            </w:tcBorders>
            <w:noWrap/>
            <w:vAlign w:val="center"/>
          </w:tcPr>
          <w:p w14:paraId="449A6477">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执勤帽</w:t>
            </w:r>
          </w:p>
        </w:tc>
        <w:tc>
          <w:tcPr>
            <w:tcW w:w="2417" w:type="dxa"/>
            <w:tcBorders>
              <w:top w:val="nil"/>
              <w:left w:val="nil"/>
              <w:bottom w:val="single" w:color="auto" w:sz="4" w:space="0"/>
              <w:right w:val="single" w:color="auto" w:sz="4" w:space="0"/>
            </w:tcBorders>
            <w:noWrap/>
            <w:vAlign w:val="center"/>
          </w:tcPr>
          <w:p w14:paraId="1ED61F7F">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顶</w:t>
            </w:r>
          </w:p>
        </w:tc>
      </w:tr>
      <w:tr w14:paraId="0DB68641">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2AE44C12">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4897" w:type="dxa"/>
            <w:tcBorders>
              <w:top w:val="nil"/>
              <w:left w:val="nil"/>
              <w:bottom w:val="single" w:color="auto" w:sz="4" w:space="0"/>
              <w:right w:val="single" w:color="auto" w:sz="4" w:space="0"/>
            </w:tcBorders>
            <w:noWrap/>
            <w:vAlign w:val="center"/>
          </w:tcPr>
          <w:p w14:paraId="602222A2">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春秋夹克执勤服</w:t>
            </w:r>
          </w:p>
        </w:tc>
        <w:tc>
          <w:tcPr>
            <w:tcW w:w="2417" w:type="dxa"/>
            <w:tcBorders>
              <w:top w:val="nil"/>
              <w:left w:val="nil"/>
              <w:bottom w:val="single" w:color="auto" w:sz="4" w:space="0"/>
              <w:right w:val="single" w:color="auto" w:sz="4" w:space="0"/>
            </w:tcBorders>
            <w:noWrap/>
            <w:vAlign w:val="center"/>
          </w:tcPr>
          <w:p w14:paraId="673AFC45">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14:paraId="1E7939AC">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1B4E636C">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4897" w:type="dxa"/>
            <w:tcBorders>
              <w:top w:val="nil"/>
              <w:left w:val="nil"/>
              <w:bottom w:val="single" w:color="auto" w:sz="4" w:space="0"/>
              <w:right w:val="single" w:color="auto" w:sz="4" w:space="0"/>
            </w:tcBorders>
            <w:noWrap/>
            <w:vAlign w:val="center"/>
          </w:tcPr>
          <w:p w14:paraId="440E1BE7">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冬夹克执勤服</w:t>
            </w:r>
          </w:p>
        </w:tc>
        <w:tc>
          <w:tcPr>
            <w:tcW w:w="2417" w:type="dxa"/>
            <w:tcBorders>
              <w:top w:val="nil"/>
              <w:left w:val="nil"/>
              <w:bottom w:val="single" w:color="auto" w:sz="4" w:space="0"/>
              <w:right w:val="single" w:color="auto" w:sz="4" w:space="0"/>
            </w:tcBorders>
            <w:noWrap/>
            <w:vAlign w:val="center"/>
          </w:tcPr>
          <w:p w14:paraId="0AB2F44C">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r>
      <w:tr w14:paraId="1DA4C5DE">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5B419D6B">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4897" w:type="dxa"/>
            <w:tcBorders>
              <w:top w:val="nil"/>
              <w:left w:val="nil"/>
              <w:bottom w:val="single" w:color="auto" w:sz="4" w:space="0"/>
              <w:right w:val="single" w:color="auto" w:sz="4" w:space="0"/>
            </w:tcBorders>
            <w:noWrap/>
            <w:vAlign w:val="center"/>
          </w:tcPr>
          <w:p w14:paraId="670F201B">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夏装短袖制式衬衫（短袖）</w:t>
            </w:r>
          </w:p>
        </w:tc>
        <w:tc>
          <w:tcPr>
            <w:tcW w:w="2417" w:type="dxa"/>
            <w:tcBorders>
              <w:top w:val="nil"/>
              <w:left w:val="nil"/>
              <w:bottom w:val="single" w:color="auto" w:sz="4" w:space="0"/>
              <w:right w:val="single" w:color="auto" w:sz="4" w:space="0"/>
            </w:tcBorders>
            <w:noWrap/>
            <w:vAlign w:val="center"/>
          </w:tcPr>
          <w:p w14:paraId="5E604566">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r>
      <w:tr w14:paraId="0C0D5849">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359F6144">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4897" w:type="dxa"/>
            <w:tcBorders>
              <w:top w:val="nil"/>
              <w:left w:val="nil"/>
              <w:bottom w:val="single" w:color="auto" w:sz="4" w:space="0"/>
              <w:right w:val="single" w:color="auto" w:sz="4" w:space="0"/>
            </w:tcBorders>
            <w:noWrap/>
            <w:vAlign w:val="center"/>
          </w:tcPr>
          <w:p w14:paraId="6CBDBA15">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夏装长袖制式衬衫（长袖）</w:t>
            </w:r>
          </w:p>
        </w:tc>
        <w:tc>
          <w:tcPr>
            <w:tcW w:w="2417" w:type="dxa"/>
            <w:tcBorders>
              <w:top w:val="nil"/>
              <w:left w:val="nil"/>
              <w:bottom w:val="single" w:color="auto" w:sz="4" w:space="0"/>
              <w:right w:val="single" w:color="auto" w:sz="4" w:space="0"/>
            </w:tcBorders>
            <w:noWrap/>
            <w:vAlign w:val="center"/>
          </w:tcPr>
          <w:p w14:paraId="66124017">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r>
      <w:tr w14:paraId="1AAC90C4">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16ED1FA0">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4897" w:type="dxa"/>
            <w:tcBorders>
              <w:top w:val="nil"/>
              <w:left w:val="nil"/>
              <w:bottom w:val="single" w:color="auto" w:sz="4" w:space="0"/>
              <w:right w:val="single" w:color="auto" w:sz="4" w:space="0"/>
            </w:tcBorders>
            <w:noWrap/>
            <w:vAlign w:val="center"/>
          </w:tcPr>
          <w:p w14:paraId="61E40423">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夏裤</w:t>
            </w:r>
          </w:p>
        </w:tc>
        <w:tc>
          <w:tcPr>
            <w:tcW w:w="2417" w:type="dxa"/>
            <w:tcBorders>
              <w:top w:val="nil"/>
              <w:left w:val="nil"/>
              <w:bottom w:val="single" w:color="auto" w:sz="4" w:space="0"/>
              <w:right w:val="single" w:color="auto" w:sz="4" w:space="0"/>
            </w:tcBorders>
            <w:noWrap/>
            <w:vAlign w:val="center"/>
          </w:tcPr>
          <w:p w14:paraId="239602C5">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条</w:t>
            </w:r>
          </w:p>
        </w:tc>
      </w:tr>
      <w:tr w14:paraId="67491FAE">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51F1EF4B">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4897" w:type="dxa"/>
            <w:tcBorders>
              <w:top w:val="nil"/>
              <w:left w:val="nil"/>
              <w:bottom w:val="single" w:color="auto" w:sz="4" w:space="0"/>
              <w:right w:val="single" w:color="auto" w:sz="4" w:space="0"/>
            </w:tcBorders>
            <w:noWrap/>
            <w:vAlign w:val="center"/>
          </w:tcPr>
          <w:p w14:paraId="6A67ED43">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大帽徽</w:t>
            </w:r>
          </w:p>
        </w:tc>
        <w:tc>
          <w:tcPr>
            <w:tcW w:w="2417" w:type="dxa"/>
            <w:tcBorders>
              <w:top w:val="nil"/>
              <w:left w:val="nil"/>
              <w:bottom w:val="single" w:color="auto" w:sz="4" w:space="0"/>
              <w:right w:val="single" w:color="auto" w:sz="4" w:space="0"/>
            </w:tcBorders>
            <w:noWrap/>
            <w:vAlign w:val="center"/>
          </w:tcPr>
          <w:p w14:paraId="2B6D7425">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枚</w:t>
            </w:r>
          </w:p>
        </w:tc>
      </w:tr>
      <w:tr w14:paraId="419EA3CF">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52E9FD38">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4897" w:type="dxa"/>
            <w:tcBorders>
              <w:top w:val="nil"/>
              <w:left w:val="nil"/>
              <w:bottom w:val="single" w:color="auto" w:sz="4" w:space="0"/>
              <w:right w:val="single" w:color="auto" w:sz="4" w:space="0"/>
            </w:tcBorders>
            <w:noWrap/>
            <w:vAlign w:val="center"/>
          </w:tcPr>
          <w:p w14:paraId="24A23EBF">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软肩章</w:t>
            </w:r>
          </w:p>
        </w:tc>
        <w:tc>
          <w:tcPr>
            <w:tcW w:w="2417" w:type="dxa"/>
            <w:tcBorders>
              <w:top w:val="nil"/>
              <w:left w:val="nil"/>
              <w:bottom w:val="single" w:color="auto" w:sz="4" w:space="0"/>
              <w:right w:val="single" w:color="auto" w:sz="4" w:space="0"/>
            </w:tcBorders>
            <w:noWrap/>
            <w:vAlign w:val="center"/>
          </w:tcPr>
          <w:p w14:paraId="5120C704">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副</w:t>
            </w:r>
          </w:p>
        </w:tc>
      </w:tr>
      <w:tr w14:paraId="03FCCBC0">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28E71B75">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4897" w:type="dxa"/>
            <w:tcBorders>
              <w:top w:val="nil"/>
              <w:left w:val="nil"/>
              <w:bottom w:val="single" w:color="auto" w:sz="4" w:space="0"/>
              <w:right w:val="single" w:color="auto" w:sz="4" w:space="0"/>
            </w:tcBorders>
            <w:noWrap/>
            <w:vAlign w:val="center"/>
          </w:tcPr>
          <w:p w14:paraId="21F4D7BB">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套肩章</w:t>
            </w:r>
          </w:p>
        </w:tc>
        <w:tc>
          <w:tcPr>
            <w:tcW w:w="2417" w:type="dxa"/>
            <w:tcBorders>
              <w:top w:val="nil"/>
              <w:left w:val="nil"/>
              <w:bottom w:val="single" w:color="auto" w:sz="4" w:space="0"/>
              <w:right w:val="single" w:color="auto" w:sz="4" w:space="0"/>
            </w:tcBorders>
            <w:noWrap/>
            <w:vAlign w:val="center"/>
          </w:tcPr>
          <w:p w14:paraId="2810D515">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副</w:t>
            </w:r>
          </w:p>
        </w:tc>
      </w:tr>
      <w:tr w14:paraId="0975BCEB">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6CA8ECD8">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4897" w:type="dxa"/>
            <w:tcBorders>
              <w:top w:val="nil"/>
              <w:left w:val="nil"/>
              <w:bottom w:val="single" w:color="auto" w:sz="4" w:space="0"/>
              <w:right w:val="single" w:color="auto" w:sz="4" w:space="0"/>
            </w:tcBorders>
            <w:noWrap/>
            <w:vAlign w:val="center"/>
          </w:tcPr>
          <w:p w14:paraId="1DE33D87">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挂式臂章</w:t>
            </w:r>
          </w:p>
        </w:tc>
        <w:tc>
          <w:tcPr>
            <w:tcW w:w="2417" w:type="dxa"/>
            <w:tcBorders>
              <w:top w:val="nil"/>
              <w:left w:val="nil"/>
              <w:bottom w:val="single" w:color="auto" w:sz="4" w:space="0"/>
              <w:right w:val="single" w:color="auto" w:sz="4" w:space="0"/>
            </w:tcBorders>
            <w:noWrap/>
            <w:vAlign w:val="center"/>
          </w:tcPr>
          <w:p w14:paraId="50B94598">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枚</w:t>
            </w:r>
          </w:p>
        </w:tc>
      </w:tr>
      <w:tr w14:paraId="020AD214">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2645ECFC">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4897" w:type="dxa"/>
            <w:tcBorders>
              <w:top w:val="nil"/>
              <w:left w:val="nil"/>
              <w:bottom w:val="single" w:color="auto" w:sz="4" w:space="0"/>
              <w:right w:val="single" w:color="auto" w:sz="4" w:space="0"/>
            </w:tcBorders>
            <w:noWrap/>
            <w:vAlign w:val="center"/>
          </w:tcPr>
          <w:p w14:paraId="7C18324A">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软胸牌</w:t>
            </w:r>
          </w:p>
        </w:tc>
        <w:tc>
          <w:tcPr>
            <w:tcW w:w="2417" w:type="dxa"/>
            <w:tcBorders>
              <w:top w:val="nil"/>
              <w:left w:val="nil"/>
              <w:bottom w:val="single" w:color="auto" w:sz="4" w:space="0"/>
              <w:right w:val="single" w:color="auto" w:sz="4" w:space="0"/>
            </w:tcBorders>
            <w:noWrap/>
            <w:vAlign w:val="center"/>
          </w:tcPr>
          <w:p w14:paraId="36DD7057">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枚</w:t>
            </w:r>
          </w:p>
        </w:tc>
      </w:tr>
      <w:tr w14:paraId="5A62FD1B">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58130EE0">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4897" w:type="dxa"/>
            <w:tcBorders>
              <w:top w:val="nil"/>
              <w:left w:val="nil"/>
              <w:bottom w:val="single" w:color="auto" w:sz="4" w:space="0"/>
              <w:right w:val="single" w:color="auto" w:sz="4" w:space="0"/>
            </w:tcBorders>
            <w:noWrap/>
            <w:vAlign w:val="center"/>
          </w:tcPr>
          <w:p w14:paraId="2A219924">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软胸号</w:t>
            </w:r>
          </w:p>
        </w:tc>
        <w:tc>
          <w:tcPr>
            <w:tcW w:w="2417" w:type="dxa"/>
            <w:tcBorders>
              <w:top w:val="nil"/>
              <w:left w:val="nil"/>
              <w:bottom w:val="single" w:color="auto" w:sz="4" w:space="0"/>
              <w:right w:val="single" w:color="auto" w:sz="4" w:space="0"/>
            </w:tcBorders>
            <w:noWrap/>
            <w:vAlign w:val="center"/>
          </w:tcPr>
          <w:p w14:paraId="27F80619">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枚</w:t>
            </w:r>
          </w:p>
        </w:tc>
      </w:tr>
      <w:tr w14:paraId="4E5D1E0E">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70102974">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4897" w:type="dxa"/>
            <w:tcBorders>
              <w:top w:val="nil"/>
              <w:left w:val="nil"/>
              <w:bottom w:val="single" w:color="auto" w:sz="4" w:space="0"/>
              <w:right w:val="single" w:color="auto" w:sz="4" w:space="0"/>
            </w:tcBorders>
            <w:noWrap/>
            <w:vAlign w:val="center"/>
          </w:tcPr>
          <w:p w14:paraId="29C0181F">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内腰带</w:t>
            </w:r>
          </w:p>
        </w:tc>
        <w:tc>
          <w:tcPr>
            <w:tcW w:w="2417" w:type="dxa"/>
            <w:tcBorders>
              <w:top w:val="nil"/>
              <w:left w:val="nil"/>
              <w:bottom w:val="single" w:color="auto" w:sz="4" w:space="0"/>
              <w:right w:val="single" w:color="auto" w:sz="4" w:space="0"/>
            </w:tcBorders>
            <w:noWrap/>
            <w:vAlign w:val="center"/>
          </w:tcPr>
          <w:p w14:paraId="0A735E4A">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条</w:t>
            </w:r>
          </w:p>
        </w:tc>
      </w:tr>
      <w:tr w14:paraId="28E61364">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015E6888">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4897" w:type="dxa"/>
            <w:tcBorders>
              <w:top w:val="nil"/>
              <w:left w:val="nil"/>
              <w:bottom w:val="single" w:color="auto" w:sz="4" w:space="0"/>
              <w:right w:val="single" w:color="auto" w:sz="4" w:space="0"/>
            </w:tcBorders>
            <w:noWrap/>
            <w:vAlign w:val="center"/>
          </w:tcPr>
          <w:p w14:paraId="1AB14AA1">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反光背心</w:t>
            </w:r>
          </w:p>
        </w:tc>
        <w:tc>
          <w:tcPr>
            <w:tcW w:w="2417" w:type="dxa"/>
            <w:tcBorders>
              <w:top w:val="nil"/>
              <w:left w:val="nil"/>
              <w:bottom w:val="single" w:color="auto" w:sz="4" w:space="0"/>
              <w:right w:val="single" w:color="auto" w:sz="4" w:space="0"/>
            </w:tcBorders>
            <w:noWrap/>
            <w:vAlign w:val="center"/>
          </w:tcPr>
          <w:p w14:paraId="664FD77D">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件</w:t>
            </w:r>
          </w:p>
        </w:tc>
      </w:tr>
    </w:tbl>
    <w:p w14:paraId="48C52229">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p>
    <w:p w14:paraId="04D7112B">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2、招标人可提供办公场地及办公电脑，但其他办公用品（指对讲机、强光手电、甩棍、防割手套等自行根据需要配置，由中标人自身使用的物品）由投标人自行解决。</w:t>
      </w:r>
    </w:p>
    <w:p w14:paraId="00E90C90">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3、说明：</w:t>
      </w:r>
    </w:p>
    <w:p w14:paraId="515BEF66">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（1）损坏或不宜使用的个人服装及装备，中标人应有充足的备件。</w:t>
      </w:r>
    </w:p>
    <w:p w14:paraId="17B1D0C0">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夏天降温消暑用品、冬天御寒用品等配备妥当。</w:t>
      </w:r>
      <w:bookmarkEnd w:id="69"/>
      <w:bookmarkStart w:id="71" w:name="_Toc13313"/>
      <w:bookmarkStart w:id="72" w:name="_Toc5589"/>
    </w:p>
    <w:bookmarkEnd w:id="71"/>
    <w:p w14:paraId="234EF58D">
      <w:pPr>
        <w:pStyle w:val="4"/>
        <w:keepNext/>
        <w:keepLines/>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仿宋" w:hAnsi="仿宋" w:eastAsia="仿宋" w:cs="仿宋"/>
          <w:color w:val="auto"/>
          <w:sz w:val="24"/>
          <w:szCs w:val="24"/>
          <w:highlight w:val="none"/>
          <w:lang w:val="en-US" w:eastAsia="zh-CN"/>
        </w:rPr>
      </w:pPr>
      <w:bookmarkStart w:id="73" w:name="_Toc27779"/>
      <w:bookmarkStart w:id="74" w:name="_Toc3197"/>
      <w:bookmarkStart w:id="75" w:name="_Toc13080"/>
      <w:bookmarkStart w:id="76" w:name="_Toc126"/>
      <w:r>
        <w:rPr>
          <w:rFonts w:hint="eastAsia" w:ascii="仿宋" w:hAnsi="仿宋" w:eastAsia="仿宋" w:cs="仿宋"/>
          <w:color w:val="auto"/>
          <w:sz w:val="24"/>
          <w:szCs w:val="24"/>
          <w:highlight w:val="none"/>
          <w:lang w:val="en-US" w:eastAsia="zh-CN"/>
        </w:rPr>
        <w:t>四、</w:t>
      </w:r>
      <w:bookmarkEnd w:id="73"/>
      <w:bookmarkEnd w:id="74"/>
      <w:bookmarkEnd w:id="75"/>
      <w:bookmarkEnd w:id="76"/>
      <w:r>
        <w:rPr>
          <w:rFonts w:hint="eastAsia" w:ascii="仿宋" w:hAnsi="仿宋" w:eastAsia="仿宋" w:cs="仿宋"/>
          <w:color w:val="auto"/>
          <w:sz w:val="24"/>
          <w:szCs w:val="24"/>
          <w:highlight w:val="none"/>
          <w:lang w:val="en-US" w:eastAsia="zh-CN"/>
        </w:rPr>
        <w:t>服务质量及标准</w:t>
      </w:r>
    </w:p>
    <w:p w14:paraId="3A4B41F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（一）管理制度</w:t>
      </w:r>
    </w:p>
    <w:p w14:paraId="739505D7">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投标人根据本项目要求制定项目日常管理制度。管理制度应贴合本项目实际，具有针对性。</w:t>
      </w:r>
    </w:p>
    <w:p w14:paraId="76374D7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（二）培训制度</w:t>
      </w:r>
    </w:p>
    <w:p w14:paraId="391735E0">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0"/>
          <w:sz w:val="24"/>
          <w:szCs w:val="24"/>
          <w:highlight w:val="none"/>
          <w:lang w:val="en-US" w:eastAsia="zh-CN"/>
        </w:rPr>
        <w:t>为确保项目正常开展，应具备培训制度，</w:t>
      </w:r>
      <w:r>
        <w:rPr>
          <w:rFonts w:hint="eastAsia" w:ascii="仿宋" w:hAnsi="仿宋" w:eastAsia="仿宋" w:cs="仿宋"/>
          <w:color w:val="auto"/>
          <w:sz w:val="24"/>
          <w:szCs w:val="24"/>
          <w:highlight w:val="none"/>
          <w:lang w:val="en-US" w:eastAsia="zh-CN"/>
        </w:rPr>
        <w:t>包括政治思想、专业技能、理论知识等诸方面内容。</w:t>
      </w:r>
      <w:r>
        <w:rPr>
          <w:rFonts w:hint="eastAsia" w:ascii="仿宋" w:hAnsi="仿宋" w:eastAsia="仿宋" w:cs="仿宋"/>
          <w:color w:val="auto"/>
          <w:sz w:val="24"/>
          <w:highlight w:val="none"/>
          <w:lang w:val="en-US" w:eastAsia="zh-CN"/>
        </w:rPr>
        <w:t>培训应有方案，包括岗前培训、跟班实训、日常训练响应方案，有培训讲师情况（讲师需是退伍军人或持有保安员高级、技师职业资格证等）、培训场所、培训教材。</w:t>
      </w:r>
    </w:p>
    <w:p w14:paraId="384732E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（三）日常考核</w:t>
      </w:r>
    </w:p>
    <w:p w14:paraId="200B1EFE">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1、按服务时间要求提供服务。如遇特殊实际情况，服务时间需调整的（包括延长、加班、紧急情形等等），在确保</w:t>
      </w:r>
      <w:r>
        <w:rPr>
          <w:rFonts w:hint="eastAsia" w:ascii="仿宋" w:hAnsi="仿宋" w:eastAsia="仿宋" w:cs="仿宋"/>
          <w:snapToGrid w:val="0"/>
          <w:color w:val="auto"/>
          <w:kern w:val="0"/>
          <w:sz w:val="24"/>
          <w:szCs w:val="24"/>
          <w:highlight w:val="none"/>
          <w:lang w:val="en-US" w:eastAsia="zh-CN"/>
        </w:rPr>
        <w:t>服务效果、质量等达到采购人要求前提下，中标人应</w:t>
      </w:r>
      <w:r>
        <w:rPr>
          <w:rFonts w:hint="eastAsia" w:ascii="仿宋" w:hAnsi="仿宋" w:eastAsia="仿宋" w:cs="仿宋"/>
          <w:color w:val="auto"/>
          <w:sz w:val="24"/>
          <w:highlight w:val="none"/>
          <w:lang w:eastAsia="zh-CN"/>
        </w:rPr>
        <w:t>按照</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人的</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lang w:eastAsia="zh-CN"/>
        </w:rPr>
        <w:t>要求执行</w:t>
      </w:r>
      <w:r>
        <w:rPr>
          <w:rFonts w:hint="eastAsia" w:ascii="仿宋" w:hAnsi="仿宋" w:eastAsia="仿宋" w:cs="仿宋"/>
          <w:color w:val="auto"/>
          <w:sz w:val="24"/>
          <w:highlight w:val="none"/>
          <w:lang w:val="en-US" w:eastAsia="zh-CN"/>
        </w:rPr>
        <w:t>。</w:t>
      </w:r>
    </w:p>
    <w:p w14:paraId="5AB5C314">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2、不办私事，严禁吃拿卡要和徇私舞弊，不得向辖区巡查对象索取财物或提出违法、违规要求。</w:t>
      </w:r>
    </w:p>
    <w:p w14:paraId="5C22FE28">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3、按规定着装，携带装备。</w:t>
      </w:r>
    </w:p>
    <w:p w14:paraId="754AB5E7">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4、文明执勤，实事求是，不包庇不纵容。</w:t>
      </w:r>
    </w:p>
    <w:p w14:paraId="032EB719">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5、严格遵守白杨街道要求的行为规范和工作职责。</w:t>
      </w:r>
    </w:p>
    <w:p w14:paraId="2A4DA7ED">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color w:val="auto"/>
          <w:sz w:val="24"/>
          <w:highlight w:val="none"/>
          <w:lang w:val="en-US" w:eastAsia="zh-CN"/>
        </w:rPr>
        <w:t>6、中标人做好自身人员、装备等安全保障，不因自身原因导致其无法正常开展工作。投标人须自行考虑服务成本，后期不能以任何理由要求补偿。</w:t>
      </w:r>
    </w:p>
    <w:p w14:paraId="4C2601F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（四）服务交接</w:t>
      </w:r>
    </w:p>
    <w:p w14:paraId="7AD5C11A">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本项目交接时间以采购人通知为准。投标人应为本项目制定项目平稳交接过渡方案，确保不出现纠纷、投诉、或引起服务无法保障的情形。</w:t>
      </w:r>
    </w:p>
    <w:p w14:paraId="7E2A8BF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（五）项目开展的注意事项</w:t>
      </w:r>
    </w:p>
    <w:p w14:paraId="444ADFCC">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服务期间，如因中标人原因发生人身事故</w:t>
      </w:r>
      <w:r>
        <w:rPr>
          <w:rFonts w:hint="eastAsia" w:ascii="仿宋" w:hAnsi="仿宋" w:eastAsia="仿宋" w:cs="仿宋"/>
          <w:color w:val="auto"/>
          <w:sz w:val="24"/>
          <w:highlight w:val="none"/>
          <w:lang w:val="en-US" w:eastAsia="zh-CN"/>
        </w:rPr>
        <w:t>或经济纠纷</w:t>
      </w:r>
      <w:r>
        <w:rPr>
          <w:rFonts w:hint="eastAsia" w:ascii="仿宋" w:hAnsi="仿宋" w:eastAsia="仿宋" w:cs="仿宋"/>
          <w:color w:val="auto"/>
          <w:sz w:val="24"/>
          <w:highlight w:val="none"/>
        </w:rPr>
        <w:t>，由中标人承担全部责任，所产生费用由中标人全部承担；因中标人自身管理不善或使用不当造成的损失由中标人负责赔偿。</w:t>
      </w:r>
    </w:p>
    <w:p w14:paraId="231215BA">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做好元旦、春节、清明节、劳动节、端午节、中秋节、国庆节等节假日及重大活动的配合和保障工作。</w:t>
      </w:r>
    </w:p>
    <w:p w14:paraId="12A498BF">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配合做好防汛抗台、疫情防控等突发事件应急处理工作，确保突发事件及时处置得当。</w:t>
      </w:r>
    </w:p>
    <w:p w14:paraId="2D27B537">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2" w:firstLineChars="200"/>
        <w:jc w:val="both"/>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在服务期内采购人遇到突发事件时，中标人应</w:t>
      </w:r>
      <w:r>
        <w:rPr>
          <w:rFonts w:hint="eastAsia" w:ascii="仿宋" w:hAnsi="仿宋" w:eastAsia="仿宋" w:cs="仿宋"/>
          <w:b/>
          <w:bCs/>
          <w:color w:val="auto"/>
          <w:sz w:val="24"/>
          <w:highlight w:val="none"/>
          <w:lang w:val="en-US" w:eastAsia="zh-CN"/>
        </w:rPr>
        <w:t>服从大局</w:t>
      </w:r>
      <w:r>
        <w:rPr>
          <w:rFonts w:hint="eastAsia" w:ascii="仿宋" w:hAnsi="仿宋" w:eastAsia="仿宋" w:cs="仿宋"/>
          <w:b/>
          <w:bCs/>
          <w:color w:val="auto"/>
          <w:sz w:val="24"/>
          <w:highlight w:val="none"/>
        </w:rPr>
        <w:t>，服从采购人安排；一般情形下，应确保不少于2人次能半小时内赶赴现场保障到位。</w:t>
      </w:r>
    </w:p>
    <w:p w14:paraId="227F7C1C">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5、因自身服务原因，</w:t>
      </w:r>
      <w:r>
        <w:rPr>
          <w:rFonts w:hint="eastAsia" w:ascii="仿宋" w:hAnsi="仿宋" w:eastAsia="仿宋" w:cs="仿宋"/>
          <w:color w:val="auto"/>
          <w:sz w:val="24"/>
          <w:highlight w:val="none"/>
        </w:rPr>
        <w:t>接到责任区域</w:t>
      </w:r>
      <w:r>
        <w:rPr>
          <w:rFonts w:hint="eastAsia" w:ascii="仿宋" w:hAnsi="仿宋" w:eastAsia="仿宋" w:cs="仿宋"/>
          <w:color w:val="auto"/>
          <w:sz w:val="24"/>
          <w:highlight w:val="none"/>
          <w:lang w:eastAsia="zh-CN"/>
        </w:rPr>
        <w:t>投诉电话</w:t>
      </w:r>
      <w:r>
        <w:rPr>
          <w:rFonts w:hint="eastAsia" w:ascii="仿宋" w:hAnsi="仿宋" w:eastAsia="仿宋" w:cs="仿宋"/>
          <w:color w:val="auto"/>
          <w:sz w:val="24"/>
          <w:highlight w:val="none"/>
        </w:rPr>
        <w:t>和新闻舆论批评，中标人应在24小时内处理完毕和及时进行信息反馈。</w:t>
      </w:r>
    </w:p>
    <w:p w14:paraId="481FD761">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投标人所有的工作除应按投标人的内部流程实施外还应接受采购人或采购人组织的检查组的检查。</w:t>
      </w:r>
      <w:r>
        <w:rPr>
          <w:rFonts w:hint="eastAsia" w:ascii="仿宋" w:hAnsi="仿宋" w:eastAsia="仿宋" w:cs="仿宋"/>
          <w:color w:val="auto"/>
          <w:sz w:val="24"/>
          <w:highlight w:val="none"/>
        </w:rPr>
        <w:t xml:space="preserve"> </w:t>
      </w:r>
    </w:p>
    <w:p w14:paraId="55D2DBB8">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如采购人检查发现中标人提供的服务不符合标准要求，中标人应立即进行整改，直到符合要求为止。</w:t>
      </w:r>
      <w:r>
        <w:rPr>
          <w:rFonts w:hint="eastAsia" w:ascii="仿宋" w:hAnsi="仿宋" w:eastAsia="仿宋" w:cs="仿宋"/>
          <w:color w:val="auto"/>
          <w:sz w:val="24"/>
          <w:highlight w:val="none"/>
          <w:lang w:val="en-US" w:eastAsia="zh-CN"/>
        </w:rPr>
        <w:t>对</w:t>
      </w:r>
      <w:r>
        <w:rPr>
          <w:rFonts w:hint="eastAsia" w:ascii="仿宋" w:hAnsi="仿宋" w:eastAsia="仿宋" w:cs="仿宋"/>
          <w:color w:val="auto"/>
          <w:sz w:val="24"/>
          <w:highlight w:val="none"/>
        </w:rPr>
        <w:t>达不到采购人要求及投标人投标时各项服务承诺</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，采购人有权扣款或终止合同</w:t>
      </w:r>
      <w:r>
        <w:rPr>
          <w:rFonts w:hint="eastAsia" w:ascii="仿宋" w:hAnsi="仿宋" w:eastAsia="仿宋" w:cs="仿宋"/>
          <w:color w:val="auto"/>
          <w:sz w:val="24"/>
          <w:highlight w:val="none"/>
          <w:lang w:eastAsia="zh-CN"/>
        </w:rPr>
        <w:t>。</w:t>
      </w:r>
    </w:p>
    <w:p w14:paraId="74C84E09">
      <w:pPr>
        <w:pStyle w:val="20"/>
        <w:rPr>
          <w:rFonts w:hint="eastAsia" w:ascii="仿宋" w:hAnsi="仿宋" w:eastAsia="仿宋" w:cs="仿宋"/>
          <w:bCs/>
          <w:color w:val="auto"/>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bCs/>
          <w:color w:val="auto"/>
          <w:highlight w:val="none"/>
          <w:lang w:val="en-US" w:eastAsia="zh-CN"/>
        </w:rPr>
        <w:t>如中标，应为所有执法辅助服务人员缴纳社保及购买</w:t>
      </w:r>
      <w:r>
        <w:rPr>
          <w:rFonts w:hint="eastAsia" w:ascii="仿宋" w:hAnsi="仿宋" w:eastAsia="仿宋" w:cs="仿宋"/>
          <w:bCs/>
          <w:color w:val="auto"/>
          <w:highlight w:val="none"/>
        </w:rPr>
        <w:t>人员意外险</w:t>
      </w:r>
      <w:r>
        <w:rPr>
          <w:rFonts w:hint="eastAsia" w:ascii="仿宋" w:hAnsi="仿宋" w:eastAsia="仿宋" w:cs="仿宋"/>
          <w:bCs/>
          <w:color w:val="auto"/>
          <w:highlight w:val="none"/>
          <w:lang w:eastAsia="zh-CN"/>
        </w:rPr>
        <w:t>。</w:t>
      </w:r>
    </w:p>
    <w:p w14:paraId="788801F2">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9、服务未达要求的处置：</w:t>
      </w:r>
    </w:p>
    <w:p w14:paraId="0C0210BA">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（1）中标人按采购人要求做好各种工作报表、记录，以备检查及验收。如果未按要求做好工作报表与记录，被检查发现一次，则扣罚500元。累计发现三次同类情况，扣罚2000元。</w:t>
      </w:r>
    </w:p>
    <w:p w14:paraId="7BB54481">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（2）如未按照工作要求或未配置夜间整治组、信访处置组的落实工作任务，视情扣罚100-2000元。</w:t>
      </w:r>
    </w:p>
    <w:p w14:paraId="3447B1A2">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（3）中标人必须对下属人员严格管理，如发现服务人员有赌博、滋事、扰乱治安、偷盗物资等情况，发现一次则扣罚500元。累计发现三次同类情况，扣罚2000元。</w:t>
      </w:r>
    </w:p>
    <w:p w14:paraId="30912B1B">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（4）在服务期间，根据采购人实际需求、中标人投标响应情况进行配置人员及装备。若发现配置的人员有空缺现象的，根据空缺人数按300元/人/次扣减服务费；若发现未按要求配置装备的，扣减相应装备费。</w:t>
      </w:r>
    </w:p>
    <w:p w14:paraId="69853AB7">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（5）项目实施过程中，采购人有权对中标人的服务质量进行考核。考核频率为每月度一次，如达不到要求的服务质量水平的，采购人将发出书面整改通知要求中标人予以整改,未及时整改扣当月考核分。</w:t>
      </w:r>
    </w:p>
    <w:p w14:paraId="7C69FA1F">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除不可抗力外，如果中标人没有按照合同约定的期限、地点和方式履行，或者未按要求整改，那么采购人可要求中标人支付违约金，违约金按每迟延履行一日的合同价格的 0.05 %计算，最高限额为合同总价的20%；迟延履行的违约金计算数额达到前述最高限额之日起，采购人有权在要求中标人支付违约金的同时，书面通知其解除合同。</w:t>
      </w:r>
    </w:p>
    <w:p w14:paraId="68A735D4">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（6）若有其他违反工作纪律造成恶劣影响和后果的，依据实际情况减扣服务费。具体考核细则由采购人制定。</w:t>
      </w:r>
    </w:p>
    <w:p w14:paraId="7A850DE4">
      <w:pPr>
        <w:pStyle w:val="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（7）未尽事宜按合同条款</w:t>
      </w:r>
      <w:r>
        <w:rPr>
          <w:rFonts w:hint="eastAsia" w:ascii="仿宋" w:hAnsi="仿宋" w:eastAsia="仿宋" w:cs="仿宋"/>
          <w:bCs/>
          <w:color w:val="auto"/>
          <w:highlight w:val="none"/>
          <w:lang w:eastAsia="zh-CN"/>
        </w:rPr>
        <w:t>。</w:t>
      </w:r>
      <w:r>
        <w:rPr>
          <w:rFonts w:hint="eastAsia" w:ascii="仿宋" w:hAnsi="仿宋" w:eastAsia="仿宋" w:cs="仿宋"/>
          <w:color w:val="auto"/>
          <w:sz w:val="24"/>
          <w:highlight w:val="none"/>
          <w:lang w:val="en-US" w:eastAsia="zh-CN"/>
        </w:rPr>
        <w:t>。</w:t>
      </w:r>
    </w:p>
    <w:p w14:paraId="54FF8AE2">
      <w:pPr>
        <w:pStyle w:val="4"/>
        <w:keepNext/>
        <w:keepLines/>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仿宋" w:hAnsi="仿宋" w:eastAsia="仿宋" w:cs="仿宋"/>
          <w:color w:val="auto"/>
          <w:sz w:val="24"/>
          <w:szCs w:val="24"/>
          <w:highlight w:val="none"/>
          <w:lang w:val="en-US" w:eastAsia="zh-CN"/>
        </w:rPr>
      </w:pPr>
      <w:bookmarkStart w:id="77" w:name="_Toc11953"/>
      <w:bookmarkStart w:id="78" w:name="_Toc17154"/>
      <w:bookmarkStart w:id="79" w:name="_Toc13515"/>
      <w:bookmarkStart w:id="80" w:name="_Toc16266"/>
      <w:r>
        <w:rPr>
          <w:rFonts w:hint="eastAsia" w:ascii="仿宋" w:hAnsi="仿宋" w:eastAsia="仿宋" w:cs="仿宋"/>
          <w:color w:val="auto"/>
          <w:sz w:val="24"/>
          <w:szCs w:val="24"/>
          <w:highlight w:val="none"/>
          <w:lang w:val="en-US" w:eastAsia="zh-CN"/>
        </w:rPr>
        <w:t>五、验收</w:t>
      </w:r>
      <w:bookmarkEnd w:id="77"/>
      <w:bookmarkEnd w:id="78"/>
      <w:bookmarkEnd w:id="79"/>
      <w:bookmarkEnd w:id="80"/>
    </w:p>
    <w:p w14:paraId="67064D3B">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1.验收主体：杭州市钱塘区人民政府白杨街道办事处。</w:t>
      </w:r>
    </w:p>
    <w:p w14:paraId="10DA18EE">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2.采购人在中标人提供服务的过程中，有权不定期对服务内容和质量进行检查考核。中标人应当配合进行。</w:t>
      </w:r>
    </w:p>
    <w:p w14:paraId="37D3F871">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3.最终验收时间：服务内容执行完毕、服务期截止后。</w:t>
      </w:r>
    </w:p>
    <w:p w14:paraId="6C34A244">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4.验收程序：中标人向采购人提出申请验收，采购人按验收方案组织履约验收。中标人应将项目执行过程及时记录、收集、整理，向采购人递交验收申请资料。</w:t>
      </w:r>
    </w:p>
    <w:p w14:paraId="258DD02B">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5.验收内容：中标人实际完成的情况是否符合采购文件要求和中标人在投标响应文件中的商务、技术承诺。</w:t>
      </w:r>
    </w:p>
    <w:p w14:paraId="3BF11F70">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6.验收标准：中标人已经按采购文件要求和中标人在投标响应文件中的商务、技术承诺完成项目执行。</w:t>
      </w:r>
    </w:p>
    <w:p w14:paraId="1320AC22">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7.验收时中标人应在现场，验收完毕后作出验收结果报告；验收产生的费用，由采购人承担。</w:t>
      </w:r>
    </w:p>
    <w:p w14:paraId="580442C6">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eastAsia="zh-CN"/>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bookmarkEnd w:id="72"/>
    <w:p w14:paraId="3529F1F4">
      <w:pPr>
        <w:pStyle w:val="4"/>
        <w:keepNext/>
        <w:keepLines/>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仿宋" w:hAnsi="仿宋" w:eastAsia="仿宋" w:cs="仿宋"/>
          <w:color w:val="auto"/>
          <w:sz w:val="24"/>
          <w:szCs w:val="24"/>
          <w:highlight w:val="none"/>
          <w:lang w:val="en-US" w:eastAsia="zh-CN"/>
        </w:rPr>
      </w:pPr>
      <w:bookmarkStart w:id="81" w:name="_Toc4113"/>
      <w:bookmarkStart w:id="82" w:name="_Toc24123"/>
      <w:bookmarkStart w:id="83" w:name="_Toc24940"/>
      <w:bookmarkStart w:id="84" w:name="_Toc24056"/>
      <w:bookmarkStart w:id="85" w:name="_Toc19274"/>
      <w:r>
        <w:rPr>
          <w:rFonts w:hint="eastAsia" w:ascii="仿宋" w:hAnsi="仿宋" w:eastAsia="仿宋" w:cs="仿宋"/>
          <w:color w:val="auto"/>
          <w:sz w:val="24"/>
          <w:szCs w:val="24"/>
          <w:highlight w:val="none"/>
          <w:lang w:val="en-US" w:eastAsia="zh-CN"/>
        </w:rPr>
        <w:t>六、商务要求</w:t>
      </w:r>
      <w:bookmarkEnd w:id="81"/>
      <w:bookmarkEnd w:id="82"/>
      <w:bookmarkEnd w:id="83"/>
      <w:bookmarkEnd w:id="84"/>
      <w:bookmarkEnd w:id="85"/>
    </w:p>
    <w:p w14:paraId="1F54CCCC">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（一）投标报价</w:t>
      </w:r>
    </w:p>
    <w:p w14:paraId="6E07810C">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1、本项目采用总价包干方式。</w:t>
      </w:r>
    </w:p>
    <w:p w14:paraId="1CCEC50D">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投标人应考虑企业自身实力、经验及项目实施过程中的各种因素，根据采购要求，详细说明所能提供的各项具体服务内容，自主确定报价，并按服务的内容分别独立报价并提供报价组成与成本分析</w:t>
      </w:r>
      <w:r>
        <w:rPr>
          <w:rFonts w:hint="eastAsia" w:ascii="仿宋" w:hAnsi="仿宋" w:eastAsia="仿宋" w:cs="仿宋"/>
          <w:color w:val="auto"/>
          <w:sz w:val="24"/>
          <w:highlight w:val="none"/>
          <w:lang w:val="en-US" w:eastAsia="zh-CN"/>
        </w:rPr>
        <w:t>。</w:t>
      </w:r>
    </w:p>
    <w:p w14:paraId="1129939A">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color w:val="auto"/>
          <w:sz w:val="24"/>
          <w:highlight w:val="none"/>
          <w:lang w:val="en-US" w:eastAsia="zh-CN"/>
        </w:rPr>
        <w:t>2、投标人填报的价格应综合考虑完成本项目各项服务可能发生的全部费用及投标人的利润和应交纳的税金等（包括人员工资、《劳动合同法》规定的各种社会保险费、人员工作服（特殊防护服除外）、装备、人员食宿与交通、工具、办公费、车辆使用费用等。投标人对合同内容的费用、质量、安全、文明服务等实行全面承包。</w:t>
      </w:r>
    </w:p>
    <w:p w14:paraId="0A99F4A2">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完成本项目服务所涉及的一切费用由供应商承担。费用清单需详细列明，不详细的部分采购人有权按最好效果、最高标准执行。</w:t>
      </w:r>
    </w:p>
    <w:p w14:paraId="47CA36FC">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报价低于50%（不含）的，应当在报价文件中出具《报价情况说明》，针对工作内容的覆盖面、及时性、质量保障等内容提供该报价的原因，详细阐述不影响服务质量或者诚信履约的具体理由及依据。经评标委员会讨论认为供应商的报价说明不能证明其报价合理性，或有可能影响服务质量，或者影响诚信履约的，评标委员会将对其作无效投标处理。</w:t>
      </w:r>
    </w:p>
    <w:p w14:paraId="6B990CCD">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3、中标单位服务人员</w:t>
      </w:r>
      <w:r>
        <w:rPr>
          <w:rFonts w:hint="eastAsia" w:ascii="仿宋" w:hAnsi="仿宋" w:eastAsia="仿宋" w:cs="仿宋"/>
          <w:color w:val="auto"/>
          <w:sz w:val="24"/>
          <w:highlight w:val="none"/>
          <w:lang w:val="en-US" w:eastAsia="zh-CN"/>
        </w:rPr>
        <w:t>的报酬必须满足劳动法、地方劳动部门的相关规定。</w:t>
      </w:r>
    </w:p>
    <w:p w14:paraId="53A4F04E">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4、设施设备费用、用车费用、办公费用、其他管理费用、利润、税金等均应包含在总价中。</w:t>
      </w:r>
    </w:p>
    <w:p w14:paraId="3FEE4A13">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5、报价格式如下：</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1"/>
        <w:gridCol w:w="6"/>
        <w:gridCol w:w="2372"/>
        <w:gridCol w:w="2027"/>
        <w:gridCol w:w="1"/>
        <w:gridCol w:w="3497"/>
      </w:tblGrid>
      <w:tr w14:paraId="4662C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6D1102C7">
            <w:pPr>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049704C1">
            <w:pPr>
              <w:jc w:val="center"/>
              <w:rPr>
                <w:rFonts w:hint="eastAsia" w:ascii="仿宋" w:hAnsi="仿宋" w:eastAsia="仿宋" w:cs="仿宋"/>
                <w:b/>
                <w:color w:val="auto"/>
                <w:highlight w:val="none"/>
              </w:rPr>
            </w:pPr>
            <w:r>
              <w:rPr>
                <w:rFonts w:hint="eastAsia" w:ascii="仿宋" w:hAnsi="仿宋" w:eastAsia="仿宋" w:cs="仿宋"/>
                <w:b/>
                <w:color w:val="auto"/>
                <w:highlight w:val="none"/>
              </w:rPr>
              <w:t>科  目</w:t>
            </w: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4903D63E">
            <w:pPr>
              <w:jc w:val="center"/>
              <w:rPr>
                <w:rFonts w:hint="eastAsia" w:ascii="仿宋" w:hAnsi="仿宋" w:eastAsia="仿宋" w:cs="仿宋"/>
                <w:b/>
                <w:color w:val="auto"/>
                <w:highlight w:val="none"/>
              </w:rPr>
            </w:pPr>
            <w:r>
              <w:rPr>
                <w:rFonts w:hint="eastAsia" w:ascii="仿宋" w:hAnsi="仿宋" w:eastAsia="仿宋" w:cs="仿宋"/>
                <w:b/>
                <w:color w:val="auto"/>
                <w:highlight w:val="none"/>
              </w:rPr>
              <w:t>（元）</w:t>
            </w:r>
          </w:p>
        </w:tc>
        <w:tc>
          <w:tcPr>
            <w:tcW w:w="3497" w:type="dxa"/>
            <w:tcBorders>
              <w:top w:val="single" w:color="auto" w:sz="4" w:space="0"/>
              <w:left w:val="single" w:color="auto" w:sz="4" w:space="0"/>
              <w:bottom w:val="single" w:color="auto" w:sz="4" w:space="0"/>
              <w:right w:val="single" w:color="auto" w:sz="4" w:space="0"/>
            </w:tcBorders>
            <w:noWrap w:val="0"/>
            <w:vAlign w:val="center"/>
          </w:tcPr>
          <w:p w14:paraId="3B30508D">
            <w:pPr>
              <w:jc w:val="center"/>
              <w:rPr>
                <w:rFonts w:hint="eastAsia" w:ascii="仿宋" w:hAnsi="仿宋" w:eastAsia="仿宋" w:cs="仿宋"/>
                <w:b/>
                <w:color w:val="auto"/>
                <w:highlight w:val="none"/>
              </w:rPr>
            </w:pPr>
            <w:r>
              <w:rPr>
                <w:rFonts w:hint="eastAsia" w:ascii="仿宋" w:hAnsi="仿宋" w:eastAsia="仿宋" w:cs="仿宋"/>
                <w:b/>
                <w:color w:val="auto"/>
                <w:highlight w:val="none"/>
              </w:rPr>
              <w:t>说  明</w:t>
            </w:r>
          </w:p>
        </w:tc>
      </w:tr>
      <w:tr w14:paraId="28FF5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784" w:type="dxa"/>
            <w:gridSpan w:val="6"/>
            <w:tcBorders>
              <w:top w:val="single" w:color="auto" w:sz="4" w:space="0"/>
              <w:left w:val="single" w:color="auto" w:sz="4" w:space="0"/>
              <w:bottom w:val="single" w:color="auto" w:sz="4" w:space="0"/>
              <w:right w:val="single" w:color="auto" w:sz="4" w:space="0"/>
            </w:tcBorders>
            <w:noWrap w:val="0"/>
            <w:vAlign w:val="center"/>
          </w:tcPr>
          <w:p w14:paraId="45D7DCB6">
            <w:pP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管理费用</w:t>
            </w:r>
          </w:p>
        </w:tc>
      </w:tr>
      <w:tr w14:paraId="2ED83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5B6317B4">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1.1</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1635D303">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14BC9A69">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7771659D">
            <w:pPr>
              <w:pStyle w:val="225"/>
              <w:jc w:val="center"/>
              <w:rPr>
                <w:rFonts w:hint="eastAsia" w:ascii="仿宋" w:hAnsi="仿宋" w:eastAsia="仿宋" w:cs="仿宋"/>
                <w:color w:val="auto"/>
                <w:sz w:val="24"/>
                <w:szCs w:val="24"/>
                <w:highlight w:val="none"/>
              </w:rPr>
            </w:pPr>
          </w:p>
        </w:tc>
      </w:tr>
      <w:tr w14:paraId="42FC9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0A734905">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1.2</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46363B76">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58C8B8D9">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413CAC46">
            <w:pPr>
              <w:jc w:val="center"/>
              <w:rPr>
                <w:rFonts w:hint="eastAsia" w:ascii="仿宋" w:hAnsi="仿宋" w:eastAsia="仿宋" w:cs="仿宋"/>
                <w:color w:val="auto"/>
                <w:highlight w:val="none"/>
              </w:rPr>
            </w:pPr>
          </w:p>
        </w:tc>
      </w:tr>
      <w:tr w14:paraId="68F25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690DEAAC">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1.3</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1A59D879">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3908AFEA">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6ED2AD45">
            <w:pPr>
              <w:jc w:val="center"/>
              <w:rPr>
                <w:rFonts w:hint="eastAsia" w:ascii="仿宋" w:hAnsi="仿宋" w:eastAsia="仿宋" w:cs="仿宋"/>
                <w:color w:val="auto"/>
                <w:highlight w:val="none"/>
              </w:rPr>
            </w:pPr>
          </w:p>
        </w:tc>
      </w:tr>
      <w:tr w14:paraId="50C19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4D975071">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272451CC">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68A19823">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59573F57">
            <w:pPr>
              <w:jc w:val="center"/>
              <w:rPr>
                <w:rFonts w:hint="eastAsia" w:ascii="仿宋" w:hAnsi="仿宋" w:eastAsia="仿宋" w:cs="仿宋"/>
                <w:color w:val="auto"/>
                <w:highlight w:val="none"/>
              </w:rPr>
            </w:pPr>
          </w:p>
        </w:tc>
      </w:tr>
      <w:tr w14:paraId="5CF66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784" w:type="dxa"/>
            <w:gridSpan w:val="6"/>
            <w:tcBorders>
              <w:top w:val="single" w:color="auto" w:sz="4" w:space="0"/>
              <w:left w:val="single" w:color="auto" w:sz="4" w:space="0"/>
              <w:bottom w:val="single" w:color="auto" w:sz="4" w:space="0"/>
              <w:right w:val="single" w:color="auto" w:sz="4" w:space="0"/>
            </w:tcBorders>
            <w:noWrap w:val="0"/>
            <w:vAlign w:val="center"/>
          </w:tcPr>
          <w:p w14:paraId="1EB75FDF">
            <w:pPr>
              <w:jc w:val="both"/>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2、执法辅助服务人员投入部分的服务费用</w:t>
            </w:r>
          </w:p>
        </w:tc>
      </w:tr>
      <w:tr w14:paraId="6E082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6A98661F">
            <w:pPr>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2.1</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645C24CF">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3AD58390">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6F119158">
            <w:pPr>
              <w:jc w:val="center"/>
              <w:rPr>
                <w:rFonts w:hint="eastAsia" w:ascii="仿宋" w:hAnsi="仿宋" w:eastAsia="仿宋" w:cs="仿宋"/>
                <w:color w:val="auto"/>
                <w:highlight w:val="none"/>
              </w:rPr>
            </w:pPr>
          </w:p>
        </w:tc>
      </w:tr>
      <w:tr w14:paraId="062E0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452A1BCC">
            <w:pPr>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2.2</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2FBB23D7">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445B1CD3">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7FF6F3FC">
            <w:pPr>
              <w:jc w:val="center"/>
              <w:rPr>
                <w:rFonts w:hint="eastAsia" w:ascii="仿宋" w:hAnsi="仿宋" w:eastAsia="仿宋" w:cs="仿宋"/>
                <w:color w:val="auto"/>
                <w:highlight w:val="none"/>
              </w:rPr>
            </w:pPr>
          </w:p>
        </w:tc>
      </w:tr>
      <w:tr w14:paraId="39107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0D97D3FD">
            <w:pPr>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2.3</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62DF0201">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34AD5463">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017C72DA">
            <w:pPr>
              <w:jc w:val="center"/>
              <w:rPr>
                <w:rFonts w:hint="eastAsia" w:ascii="仿宋" w:hAnsi="仿宋" w:eastAsia="仿宋" w:cs="仿宋"/>
                <w:color w:val="auto"/>
                <w:highlight w:val="none"/>
              </w:rPr>
            </w:pPr>
          </w:p>
        </w:tc>
      </w:tr>
      <w:tr w14:paraId="29A5E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5000B91F">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585AF380">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768D900B">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3E1C2AD0">
            <w:pPr>
              <w:jc w:val="center"/>
              <w:rPr>
                <w:rFonts w:hint="eastAsia" w:ascii="仿宋" w:hAnsi="仿宋" w:eastAsia="仿宋" w:cs="仿宋"/>
                <w:color w:val="auto"/>
                <w:highlight w:val="none"/>
              </w:rPr>
            </w:pPr>
          </w:p>
        </w:tc>
      </w:tr>
      <w:tr w14:paraId="4421A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84" w:type="dxa"/>
            <w:gridSpan w:val="6"/>
            <w:tcBorders>
              <w:top w:val="single" w:color="auto" w:sz="4" w:space="0"/>
              <w:left w:val="single" w:color="auto" w:sz="4" w:space="0"/>
              <w:bottom w:val="single" w:color="auto" w:sz="4" w:space="0"/>
              <w:right w:val="single" w:color="auto" w:sz="4" w:space="0"/>
            </w:tcBorders>
            <w:noWrap w:val="0"/>
            <w:vAlign w:val="center"/>
          </w:tcPr>
          <w:p w14:paraId="6C3EBD72">
            <w:pPr>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3、装备</w:t>
            </w:r>
            <w:r>
              <w:rPr>
                <w:rFonts w:hint="eastAsia" w:ascii="仿宋" w:hAnsi="仿宋" w:eastAsia="仿宋" w:cs="仿宋"/>
                <w:color w:val="auto"/>
                <w:highlight w:val="none"/>
              </w:rPr>
              <w:t>费用及其它</w:t>
            </w:r>
            <w:r>
              <w:rPr>
                <w:rFonts w:hint="eastAsia" w:ascii="仿宋" w:hAnsi="仿宋" w:eastAsia="仿宋" w:cs="仿宋"/>
                <w:color w:val="auto"/>
                <w:highlight w:val="none"/>
                <w:lang w:val="en-US" w:eastAsia="zh-CN"/>
              </w:rPr>
              <w:t>投入部分的服务费用</w:t>
            </w:r>
          </w:p>
        </w:tc>
      </w:tr>
      <w:tr w14:paraId="323D9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C9B2C3B">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7B0F779A">
            <w:pPr>
              <w:jc w:val="both"/>
              <w:rPr>
                <w:rFonts w:hint="eastAsia" w:ascii="仿宋" w:hAnsi="仿宋" w:eastAsia="仿宋" w:cs="仿宋"/>
                <w:color w:val="auto"/>
                <w:highlight w:val="none"/>
                <w:lang w:val="en-US" w:eastAsia="zh-CN"/>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540265D8">
            <w:pPr>
              <w:jc w:val="both"/>
              <w:rPr>
                <w:rFonts w:hint="eastAsia" w:ascii="仿宋" w:hAnsi="仿宋" w:eastAsia="仿宋" w:cs="仿宋"/>
                <w:color w:val="auto"/>
                <w:highlight w:val="none"/>
                <w:lang w:val="en-US" w:eastAsia="zh-CN"/>
              </w:rPr>
            </w:pPr>
          </w:p>
        </w:tc>
        <w:tc>
          <w:tcPr>
            <w:tcW w:w="3498" w:type="dxa"/>
            <w:gridSpan w:val="2"/>
            <w:tcBorders>
              <w:top w:val="single" w:color="auto" w:sz="4" w:space="0"/>
              <w:left w:val="single" w:color="auto" w:sz="4" w:space="0"/>
              <w:bottom w:val="single" w:color="auto" w:sz="4" w:space="0"/>
              <w:right w:val="single" w:color="auto" w:sz="4" w:space="0"/>
            </w:tcBorders>
            <w:noWrap w:val="0"/>
            <w:vAlign w:val="center"/>
          </w:tcPr>
          <w:p w14:paraId="59ACB99E">
            <w:pPr>
              <w:jc w:val="both"/>
              <w:rPr>
                <w:rFonts w:hint="eastAsia" w:ascii="仿宋" w:hAnsi="仿宋" w:eastAsia="仿宋" w:cs="仿宋"/>
                <w:color w:val="auto"/>
                <w:highlight w:val="none"/>
                <w:lang w:val="en-US" w:eastAsia="zh-CN"/>
              </w:rPr>
            </w:pPr>
          </w:p>
        </w:tc>
      </w:tr>
      <w:tr w14:paraId="76A54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C7EA173">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3.2</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4AA3E0EE">
            <w:pPr>
              <w:jc w:val="both"/>
              <w:rPr>
                <w:rFonts w:hint="eastAsia" w:ascii="仿宋" w:hAnsi="仿宋" w:eastAsia="仿宋" w:cs="仿宋"/>
                <w:color w:val="auto"/>
                <w:highlight w:val="none"/>
                <w:lang w:val="en-US" w:eastAsia="zh-CN"/>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08253C65">
            <w:pPr>
              <w:jc w:val="both"/>
              <w:rPr>
                <w:rFonts w:hint="eastAsia" w:ascii="仿宋" w:hAnsi="仿宋" w:eastAsia="仿宋" w:cs="仿宋"/>
                <w:color w:val="auto"/>
                <w:highlight w:val="none"/>
                <w:lang w:val="en-US" w:eastAsia="zh-CN"/>
              </w:rPr>
            </w:pPr>
          </w:p>
        </w:tc>
        <w:tc>
          <w:tcPr>
            <w:tcW w:w="3498" w:type="dxa"/>
            <w:gridSpan w:val="2"/>
            <w:tcBorders>
              <w:top w:val="single" w:color="auto" w:sz="4" w:space="0"/>
              <w:left w:val="single" w:color="auto" w:sz="4" w:space="0"/>
              <w:bottom w:val="single" w:color="auto" w:sz="4" w:space="0"/>
              <w:right w:val="single" w:color="auto" w:sz="4" w:space="0"/>
            </w:tcBorders>
            <w:noWrap w:val="0"/>
            <w:vAlign w:val="center"/>
          </w:tcPr>
          <w:p w14:paraId="18921B3C">
            <w:pPr>
              <w:jc w:val="both"/>
              <w:rPr>
                <w:rFonts w:hint="eastAsia" w:ascii="仿宋" w:hAnsi="仿宋" w:eastAsia="仿宋" w:cs="仿宋"/>
                <w:color w:val="auto"/>
                <w:highlight w:val="none"/>
                <w:lang w:val="en-US" w:eastAsia="zh-CN"/>
              </w:rPr>
            </w:pPr>
          </w:p>
        </w:tc>
      </w:tr>
      <w:tr w14:paraId="2F11D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369E3EB">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65E24FC2">
            <w:pPr>
              <w:jc w:val="both"/>
              <w:rPr>
                <w:rFonts w:hint="eastAsia" w:ascii="仿宋" w:hAnsi="仿宋" w:eastAsia="仿宋" w:cs="仿宋"/>
                <w:color w:val="auto"/>
                <w:highlight w:val="none"/>
                <w:lang w:val="en-US" w:eastAsia="zh-CN"/>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09C81409">
            <w:pPr>
              <w:jc w:val="both"/>
              <w:rPr>
                <w:rFonts w:hint="eastAsia" w:ascii="仿宋" w:hAnsi="仿宋" w:eastAsia="仿宋" w:cs="仿宋"/>
                <w:color w:val="auto"/>
                <w:highlight w:val="none"/>
                <w:lang w:val="en-US" w:eastAsia="zh-CN"/>
              </w:rPr>
            </w:pPr>
          </w:p>
        </w:tc>
        <w:tc>
          <w:tcPr>
            <w:tcW w:w="3498" w:type="dxa"/>
            <w:gridSpan w:val="2"/>
            <w:tcBorders>
              <w:top w:val="single" w:color="auto" w:sz="4" w:space="0"/>
              <w:left w:val="single" w:color="auto" w:sz="4" w:space="0"/>
              <w:bottom w:val="single" w:color="auto" w:sz="4" w:space="0"/>
              <w:right w:val="single" w:color="auto" w:sz="4" w:space="0"/>
            </w:tcBorders>
            <w:noWrap w:val="0"/>
            <w:vAlign w:val="center"/>
          </w:tcPr>
          <w:p w14:paraId="55CF85BB">
            <w:pPr>
              <w:jc w:val="both"/>
              <w:rPr>
                <w:rFonts w:hint="eastAsia" w:ascii="仿宋" w:hAnsi="仿宋" w:eastAsia="仿宋" w:cs="仿宋"/>
                <w:color w:val="auto"/>
                <w:highlight w:val="none"/>
                <w:lang w:val="en-US" w:eastAsia="zh-CN"/>
              </w:rPr>
            </w:pPr>
          </w:p>
        </w:tc>
      </w:tr>
      <w:tr w14:paraId="73A6B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59" w:type="dxa"/>
            <w:gridSpan w:val="3"/>
            <w:tcBorders>
              <w:top w:val="single" w:color="auto" w:sz="4" w:space="0"/>
              <w:left w:val="single" w:color="auto" w:sz="4" w:space="0"/>
              <w:bottom w:val="single" w:color="auto" w:sz="4" w:space="0"/>
              <w:right w:val="single" w:color="auto" w:sz="4" w:space="0"/>
            </w:tcBorders>
            <w:noWrap w:val="0"/>
            <w:vAlign w:val="center"/>
          </w:tcPr>
          <w:p w14:paraId="3C6DF1C1">
            <w:pPr>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4、项目其他费用</w:t>
            </w: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60F0CE49">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08A819CD">
            <w:pPr>
              <w:jc w:val="center"/>
              <w:rPr>
                <w:rFonts w:hint="eastAsia" w:ascii="仿宋" w:hAnsi="仿宋" w:eastAsia="仿宋" w:cs="仿宋"/>
                <w:color w:val="auto"/>
                <w:highlight w:val="none"/>
              </w:rPr>
            </w:pPr>
          </w:p>
        </w:tc>
      </w:tr>
      <w:tr w14:paraId="1557D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2E55E6FF">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4.1</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1A67E8BD">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7C1897F6">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5C14C81F">
            <w:pPr>
              <w:jc w:val="center"/>
              <w:rPr>
                <w:rFonts w:hint="eastAsia" w:ascii="仿宋" w:hAnsi="仿宋" w:eastAsia="仿宋" w:cs="仿宋"/>
                <w:color w:val="auto"/>
                <w:highlight w:val="none"/>
              </w:rPr>
            </w:pPr>
          </w:p>
        </w:tc>
      </w:tr>
      <w:tr w14:paraId="19964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6CD66C85">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4.2</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5876A35E">
            <w:pPr>
              <w:jc w:val="center"/>
              <w:rPr>
                <w:rFonts w:hint="eastAsia" w:ascii="仿宋" w:hAnsi="仿宋" w:eastAsia="仿宋" w:cs="仿宋"/>
                <w:color w:val="auto"/>
                <w:highlight w:val="none"/>
                <w:lang w:val="en-US" w:eastAsia="zh-CN"/>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2378E946">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4839B1C0">
            <w:pPr>
              <w:jc w:val="center"/>
              <w:rPr>
                <w:rFonts w:hint="eastAsia" w:ascii="仿宋" w:hAnsi="仿宋" w:eastAsia="仿宋" w:cs="仿宋"/>
                <w:color w:val="auto"/>
                <w:highlight w:val="none"/>
              </w:rPr>
            </w:pPr>
          </w:p>
        </w:tc>
      </w:tr>
      <w:tr w14:paraId="1F6AB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5BC53851">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5EDF8ECB">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05436054">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0129F1AE">
            <w:pPr>
              <w:jc w:val="center"/>
              <w:rPr>
                <w:rFonts w:hint="eastAsia" w:ascii="仿宋" w:hAnsi="仿宋" w:eastAsia="仿宋" w:cs="仿宋"/>
                <w:color w:val="auto"/>
                <w:highlight w:val="none"/>
              </w:rPr>
            </w:pPr>
          </w:p>
        </w:tc>
      </w:tr>
      <w:tr w14:paraId="41BB9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3259" w:type="dxa"/>
            <w:gridSpan w:val="3"/>
            <w:tcBorders>
              <w:top w:val="single" w:color="auto" w:sz="4" w:space="0"/>
              <w:left w:val="single" w:color="auto" w:sz="4" w:space="0"/>
              <w:bottom w:val="single" w:color="auto" w:sz="4" w:space="0"/>
              <w:right w:val="single" w:color="auto" w:sz="4" w:space="0"/>
            </w:tcBorders>
            <w:noWrap w:val="0"/>
            <w:vAlign w:val="center"/>
          </w:tcPr>
          <w:p w14:paraId="66BC0EEE">
            <w:pPr>
              <w:jc w:val="center"/>
              <w:rPr>
                <w:rFonts w:hint="eastAsia" w:ascii="仿宋" w:hAnsi="仿宋" w:eastAsia="仿宋" w:cs="仿宋"/>
                <w:b/>
                <w:color w:val="auto"/>
                <w:highlight w:val="none"/>
              </w:rPr>
            </w:pPr>
            <w:r>
              <w:rPr>
                <w:rFonts w:hint="eastAsia" w:ascii="仿宋" w:hAnsi="仿宋" w:eastAsia="仿宋" w:cs="仿宋"/>
                <w:b/>
                <w:color w:val="auto"/>
                <w:highlight w:val="none"/>
              </w:rPr>
              <w:t>合计：</w:t>
            </w: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2BE70D09">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4D6980C4">
            <w:pPr>
              <w:jc w:val="center"/>
              <w:rPr>
                <w:rFonts w:hint="eastAsia" w:ascii="仿宋" w:hAnsi="仿宋" w:eastAsia="仿宋" w:cs="仿宋"/>
                <w:color w:val="auto"/>
                <w:highlight w:val="none"/>
              </w:rPr>
            </w:pPr>
            <w:r>
              <w:rPr>
                <w:rFonts w:hint="eastAsia" w:ascii="仿宋" w:hAnsi="仿宋" w:eastAsia="仿宋" w:cs="仿宋"/>
                <w:color w:val="auto"/>
                <w:highlight w:val="none"/>
              </w:rPr>
              <w:t>以上所有子项的总和</w:t>
            </w:r>
          </w:p>
        </w:tc>
      </w:tr>
    </w:tbl>
    <w:p w14:paraId="625993F4">
      <w:pPr>
        <w:pStyle w:val="19"/>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说明：评审时，以总价为评审价格。</w:t>
      </w:r>
    </w:p>
    <w:p w14:paraId="61399088">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（二）履约保证金</w:t>
      </w:r>
    </w:p>
    <w:p w14:paraId="6C4D964F">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无。如有违约，从应付合同款中扣除。</w:t>
      </w:r>
    </w:p>
    <w:p w14:paraId="1632ECF2">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（三）付款方式</w:t>
      </w:r>
    </w:p>
    <w:p w14:paraId="7B518EFC">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bookmarkStart w:id="86" w:name="_Toc132888838"/>
      <w:bookmarkStart w:id="87" w:name="_Toc19932"/>
      <w:bookmarkStart w:id="88" w:name="_Toc16131"/>
      <w:bookmarkStart w:id="89" w:name="_Toc418865233"/>
      <w:bookmarkStart w:id="90" w:name="_Toc223249716"/>
      <w:r>
        <w:rPr>
          <w:rFonts w:hint="eastAsia" w:ascii="仿宋" w:hAnsi="仿宋" w:eastAsia="仿宋" w:cs="仿宋"/>
          <w:color w:val="auto"/>
          <w:sz w:val="24"/>
          <w:highlight w:val="none"/>
          <w:lang w:val="en-US" w:eastAsia="zh-CN"/>
        </w:rPr>
        <w:t>1、预付款</w:t>
      </w:r>
    </w:p>
    <w:p w14:paraId="533CB4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（1）合同生效后具备实施条件5个工作日内，采购人向中标人支付合同总价的40%作为预付款；（四舍五入进位到千元）</w:t>
      </w:r>
    </w:p>
    <w:p w14:paraId="5E498D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（2）支付了预付款的，采购人有权要求中标人提供预付款金额等额的且不可撤销的预付款保函。预付款金额可抵扣合同款；</w:t>
      </w:r>
    </w:p>
    <w:p w14:paraId="290C31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（3）在签订合同时，中标人明确表示无需预付款或者主动要求降低预付款比例的，可不适用预付款相关规定。</w:t>
      </w:r>
    </w:p>
    <w:p w14:paraId="16A903FE">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2、合同款支付方式</w:t>
      </w:r>
    </w:p>
    <w:p w14:paraId="7BA35DA4">
      <w:pPr>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（1）支付时间：按月支付</w:t>
      </w:r>
      <w:r>
        <w:rPr>
          <w:rFonts w:hint="eastAsia" w:ascii="仿宋" w:hAnsi="仿宋" w:eastAsia="仿宋" w:cs="仿宋"/>
          <w:color w:val="auto"/>
          <w:sz w:val="24"/>
          <w:highlight w:val="none"/>
          <w:lang w:eastAsia="zh-CN"/>
        </w:rPr>
        <w:t>。</w:t>
      </w:r>
    </w:p>
    <w:p w14:paraId="5C72C073">
      <w:pPr>
        <w:adjustRightInd w:val="0"/>
        <w:snapToGrid w:val="0"/>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（2）支付方式：项目过程中，</w:t>
      </w:r>
      <w:r>
        <w:rPr>
          <w:rFonts w:hint="eastAsia" w:ascii="仿宋" w:hAnsi="仿宋" w:eastAsia="仿宋" w:cs="仿宋"/>
          <w:color w:val="auto"/>
          <w:sz w:val="24"/>
          <w:highlight w:val="none"/>
        </w:rPr>
        <w:t>采购人每月20日前支付中标人前一个月服务费用，中标人须于每月10日前给采购人正规、等额、合法、有效的发票和需求单位明确过的</w:t>
      </w:r>
      <w:r>
        <w:rPr>
          <w:rFonts w:hint="eastAsia" w:ascii="仿宋" w:hAnsi="仿宋" w:eastAsia="仿宋" w:cs="仿宋"/>
          <w:color w:val="auto"/>
          <w:sz w:val="24"/>
          <w:highlight w:val="none"/>
          <w:lang w:val="en-US" w:eastAsia="zh-CN"/>
        </w:rPr>
        <w:t>履约台账</w:t>
      </w:r>
      <w:r>
        <w:rPr>
          <w:rFonts w:hint="eastAsia" w:ascii="仿宋" w:hAnsi="仿宋" w:eastAsia="仿宋" w:cs="仿宋"/>
          <w:color w:val="auto"/>
          <w:sz w:val="24"/>
          <w:highlight w:val="none"/>
        </w:rPr>
        <w:t>。</w:t>
      </w:r>
    </w:p>
    <w:bookmarkEnd w:id="86"/>
    <w:bookmarkEnd w:id="87"/>
    <w:bookmarkEnd w:id="88"/>
    <w:bookmarkEnd w:id="89"/>
    <w:bookmarkEnd w:id="90"/>
    <w:p w14:paraId="44AAC10F">
      <w:pPr>
        <w:pStyle w:val="4"/>
        <w:keepNext/>
        <w:keepLines/>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仿宋" w:hAnsi="仿宋" w:eastAsia="仿宋" w:cs="仿宋"/>
          <w:color w:val="auto"/>
          <w:sz w:val="24"/>
          <w:szCs w:val="24"/>
          <w:highlight w:val="none"/>
          <w:lang w:val="en-US" w:eastAsia="zh-CN"/>
        </w:rPr>
      </w:pPr>
      <w:bookmarkStart w:id="91" w:name="_Toc4243"/>
      <w:bookmarkStart w:id="92" w:name="_Toc446"/>
      <w:bookmarkStart w:id="93" w:name="_Toc26835"/>
      <w:bookmarkStart w:id="94" w:name="_Toc31606"/>
      <w:bookmarkStart w:id="95" w:name="_Toc11571"/>
      <w:r>
        <w:rPr>
          <w:rFonts w:hint="eastAsia" w:ascii="仿宋" w:hAnsi="仿宋" w:eastAsia="仿宋" w:cs="仿宋"/>
          <w:color w:val="auto"/>
          <w:sz w:val="24"/>
          <w:szCs w:val="24"/>
          <w:highlight w:val="none"/>
          <w:lang w:val="en-US" w:eastAsia="zh-CN"/>
        </w:rPr>
        <w:t>七、其他投标要求</w:t>
      </w:r>
      <w:bookmarkEnd w:id="91"/>
      <w:bookmarkEnd w:id="92"/>
      <w:bookmarkEnd w:id="93"/>
      <w:bookmarkEnd w:id="94"/>
      <w:bookmarkEnd w:id="95"/>
    </w:p>
    <w:p w14:paraId="3FCFC643">
      <w:pPr>
        <w:pStyle w:val="18"/>
        <w:adjustRightInd w:val="0"/>
        <w:snapToGrid w:val="0"/>
        <w:spacing w:after="0" w:line="360" w:lineRule="auto"/>
        <w:ind w:firstLine="482" w:firstLineChars="200"/>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（一）投标人要求</w:t>
      </w:r>
    </w:p>
    <w:p w14:paraId="651E2AC3">
      <w:pPr>
        <w:pStyle w:val="18"/>
        <w:adjustRightInd w:val="0"/>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1、为确保项目的顺利实施，投标人应有类似项目业绩经验。</w:t>
      </w:r>
      <w:r>
        <w:rPr>
          <w:rFonts w:hint="eastAsia" w:ascii="仿宋" w:hAnsi="仿宋" w:eastAsia="仿宋" w:cs="仿宋"/>
          <w:bCs/>
          <w:color w:val="auto"/>
          <w:sz w:val="24"/>
          <w:highlight w:val="none"/>
          <w:lang w:val="en-US" w:eastAsia="zh-CN"/>
        </w:rPr>
        <w:t>本项目中，类似项目系指临保服务、或者序化服务、或者</w:t>
      </w:r>
      <w:r>
        <w:rPr>
          <w:rFonts w:hint="eastAsia" w:ascii="仿宋" w:hAnsi="仿宋" w:eastAsia="仿宋" w:cs="仿宋"/>
          <w:color w:val="auto"/>
          <w:sz w:val="24"/>
          <w:szCs w:val="24"/>
          <w:highlight w:val="none"/>
        </w:rPr>
        <w:t>特保服务或</w:t>
      </w: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服务</w:t>
      </w:r>
      <w:r>
        <w:rPr>
          <w:rFonts w:hint="eastAsia" w:ascii="仿宋" w:hAnsi="仿宋" w:eastAsia="仿宋" w:cs="仿宋"/>
          <w:bCs/>
          <w:color w:val="auto"/>
          <w:sz w:val="24"/>
          <w:highlight w:val="none"/>
          <w:lang w:val="en-US" w:eastAsia="zh-CN"/>
        </w:rPr>
        <w:t>业绩，</w:t>
      </w:r>
      <w:r>
        <w:rPr>
          <w:rFonts w:hint="eastAsia" w:ascii="仿宋" w:hAnsi="仿宋" w:eastAsia="仿宋" w:cs="仿宋"/>
          <w:color w:val="auto"/>
          <w:sz w:val="24"/>
          <w:highlight w:val="none"/>
          <w:lang w:val="en-US" w:eastAsia="zh-CN"/>
        </w:rPr>
        <w:t>非</w:t>
      </w:r>
      <w:r>
        <w:rPr>
          <w:rFonts w:hint="eastAsia" w:ascii="仿宋" w:hAnsi="仿宋" w:eastAsia="仿宋" w:cs="仿宋"/>
          <w:color w:val="auto"/>
          <w:sz w:val="24"/>
          <w:highlight w:val="none"/>
        </w:rPr>
        <w:t>物业管理</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保安项目</w:t>
      </w:r>
      <w:r>
        <w:rPr>
          <w:rFonts w:hint="eastAsia" w:ascii="仿宋" w:hAnsi="仿宋" w:eastAsia="仿宋" w:cs="仿宋"/>
          <w:color w:val="auto"/>
          <w:sz w:val="24"/>
          <w:highlight w:val="none"/>
          <w:lang w:eastAsia="zh-CN"/>
        </w:rPr>
        <w:t>。</w:t>
      </w:r>
    </w:p>
    <w:p w14:paraId="6FDA84FE">
      <w:pPr>
        <w:pStyle w:val="18"/>
        <w:adjustRightInd w:val="0"/>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2、投标人应能提供快速的服务响应，具有较强的项目管理、技术服务和组织实施能力。</w:t>
      </w:r>
    </w:p>
    <w:p w14:paraId="35363C07">
      <w:pPr>
        <w:pStyle w:val="18"/>
        <w:adjustRightInd w:val="0"/>
        <w:snapToGrid w:val="0"/>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3、具备有效的</w:t>
      </w:r>
      <w:r>
        <w:rPr>
          <w:rFonts w:hint="eastAsia" w:ascii="仿宋" w:hAnsi="仿宋" w:eastAsia="仿宋" w:cs="仿宋"/>
          <w:bCs/>
          <w:color w:val="auto"/>
          <w:sz w:val="24"/>
          <w:highlight w:val="none"/>
        </w:rPr>
        <w:t>质量管理认证体系</w:t>
      </w:r>
      <w:r>
        <w:rPr>
          <w:rFonts w:hint="eastAsia" w:ascii="仿宋" w:hAnsi="仿宋" w:eastAsia="仿宋" w:cs="仿宋"/>
          <w:bCs/>
          <w:color w:val="auto"/>
          <w:sz w:val="24"/>
          <w:highlight w:val="none"/>
          <w:lang w:val="en-US" w:eastAsia="zh-CN"/>
        </w:rPr>
        <w:t>证书</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环境管理认证体系</w:t>
      </w:r>
      <w:r>
        <w:rPr>
          <w:rFonts w:hint="eastAsia" w:ascii="仿宋" w:hAnsi="仿宋" w:eastAsia="仿宋" w:cs="仿宋"/>
          <w:bCs/>
          <w:color w:val="auto"/>
          <w:sz w:val="24"/>
          <w:highlight w:val="none"/>
          <w:lang w:val="en-US" w:eastAsia="zh-CN"/>
        </w:rPr>
        <w:t>证书</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职业健康资格认证体系</w:t>
      </w:r>
      <w:r>
        <w:rPr>
          <w:rFonts w:hint="eastAsia" w:ascii="仿宋" w:hAnsi="仿宋" w:eastAsia="仿宋" w:cs="仿宋"/>
          <w:bCs/>
          <w:color w:val="auto"/>
          <w:sz w:val="24"/>
          <w:highlight w:val="none"/>
          <w:lang w:val="en-US" w:eastAsia="zh-CN"/>
        </w:rPr>
        <w:t>证书，证书可在全国认证认可信息公共服务平台查询。</w:t>
      </w:r>
    </w:p>
    <w:p w14:paraId="3CA878FC">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）投标时对方案的要求</w:t>
      </w:r>
    </w:p>
    <w:p w14:paraId="5197EAE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Cs/>
          <w:color w:val="auto"/>
          <w:sz w:val="24"/>
          <w:highlight w:val="none"/>
          <w:lang w:val="en-US" w:eastAsia="zh-CN"/>
        </w:rPr>
        <w:t>投标人可通过</w:t>
      </w:r>
      <w:r>
        <w:rPr>
          <w:rFonts w:hint="eastAsia" w:ascii="仿宋" w:hAnsi="仿宋" w:eastAsia="仿宋" w:cs="仿宋"/>
          <w:color w:val="auto"/>
          <w:kern w:val="0"/>
          <w:sz w:val="24"/>
          <w:highlight w:val="none"/>
          <w:lang w:val="en-US" w:eastAsia="zh-CN"/>
        </w:rPr>
        <w:t>自行现场踏勘、资料搜集等各种手段，对服务区域的现状进行了解分析，掌握基本情况，确保方案的针对性、合理性、科学性。同时结合自身经验，对项目开展进行</w:t>
      </w:r>
      <w:r>
        <w:rPr>
          <w:rFonts w:hint="eastAsia" w:ascii="仿宋" w:hAnsi="仿宋" w:eastAsia="仿宋" w:cs="仿宋"/>
          <w:color w:val="auto"/>
          <w:kern w:val="0"/>
          <w:sz w:val="24"/>
          <w:highlight w:val="none"/>
        </w:rPr>
        <w:t>重难点分析</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为采购人提供参考。</w:t>
      </w:r>
    </w:p>
    <w:p w14:paraId="7E1156C8">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lang w:val="en-US" w:eastAsia="zh-CN"/>
        </w:rPr>
        <w:t>2、投标文件内容在涵盖对本项目招标内容及需求中列明全部内容的响应之外，还应</w:t>
      </w:r>
      <w:r>
        <w:rPr>
          <w:rFonts w:hint="eastAsia" w:ascii="仿宋" w:hAnsi="仿宋" w:eastAsia="仿宋" w:cs="仿宋"/>
          <w:color w:val="auto"/>
          <w:sz w:val="24"/>
          <w:highlight w:val="none"/>
          <w:lang w:val="en-US" w:eastAsia="zh-CN"/>
        </w:rPr>
        <w:t>包括但不限于以下内容：</w:t>
      </w:r>
    </w:p>
    <w:p w14:paraId="7565AB13">
      <w:pPr>
        <w:adjustRightInd w:val="0"/>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（1）提供人员投入方案；</w:t>
      </w:r>
    </w:p>
    <w:p w14:paraId="2813EECE">
      <w:pPr>
        <w:adjustRightInd w:val="0"/>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（2）提供后勤保障；</w:t>
      </w:r>
    </w:p>
    <w:p w14:paraId="51E53134">
      <w:pPr>
        <w:adjustRightInd w:val="0"/>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（3）投标人需针对本项目的实际情况与需求，根据工作内容及其目标制定各项工作响应方案；</w:t>
      </w:r>
    </w:p>
    <w:p w14:paraId="09471290">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（4）针对本项目的实际情况与需求，投标人需制定完善的制度方案。包括</w:t>
      </w:r>
      <w:r>
        <w:rPr>
          <w:rFonts w:hint="eastAsia" w:ascii="仿宋" w:hAnsi="仿宋" w:eastAsia="仿宋" w:cs="仿宋"/>
          <w:bCs/>
          <w:color w:val="auto"/>
          <w:sz w:val="24"/>
          <w:szCs w:val="24"/>
          <w:highlight w:val="none"/>
          <w:lang w:val="en-US" w:eastAsia="zh-CN"/>
        </w:rPr>
        <w:t>①服务质量保障制度;②档案管理制度;③及时反馈与处理机制制度；④承诺管理指标达到管理标准</w:t>
      </w:r>
      <w:r>
        <w:rPr>
          <w:rFonts w:hint="eastAsia" w:ascii="仿宋" w:hAnsi="仿宋" w:eastAsia="仿宋" w:cs="仿宋"/>
          <w:color w:val="auto"/>
          <w:sz w:val="24"/>
          <w:highlight w:val="none"/>
          <w:lang w:val="en-US" w:eastAsia="zh-CN"/>
        </w:rPr>
        <w:t>。且相关制度需能体现标准化服务，并满足国家和行业相关标准要求。</w:t>
      </w:r>
    </w:p>
    <w:p w14:paraId="2D3EE601">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（5）根据采购人的要求，提供交接过渡方案、培训方案等。</w:t>
      </w:r>
    </w:p>
    <w:p w14:paraId="3D7A0D49">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（6）投标人应针对突发性事件、或者应急事件，有相应的预案，如自然灾害、事故灾难、公共卫生事件、社会安全事件、重大节日和活动的配合方案等，应急人员配备及应急响应时间等情况的应对方案。</w:t>
      </w:r>
    </w:p>
    <w:p w14:paraId="2A41B366">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（7）投标人需结合对本项目采购需求的理解，针对本项目重点、难点进行分析并提出相应解决措施。</w:t>
      </w:r>
    </w:p>
    <w:p w14:paraId="5E39383B">
      <w:pPr>
        <w:pStyle w:val="4"/>
        <w:keepNext/>
        <w:keepLines/>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仿宋" w:hAnsi="仿宋" w:eastAsia="仿宋" w:cs="仿宋"/>
          <w:color w:val="auto"/>
          <w:sz w:val="24"/>
          <w:szCs w:val="24"/>
          <w:highlight w:val="none"/>
          <w:lang w:val="en-US" w:eastAsia="zh-CN"/>
        </w:rPr>
      </w:pPr>
      <w:bookmarkStart w:id="96" w:name="_Toc5721"/>
      <w:bookmarkStart w:id="97" w:name="_Toc5760"/>
      <w:bookmarkStart w:id="98" w:name="_Toc19859"/>
      <w:r>
        <w:rPr>
          <w:rFonts w:hint="eastAsia" w:ascii="仿宋" w:hAnsi="仿宋" w:eastAsia="仿宋" w:cs="仿宋"/>
          <w:color w:val="auto"/>
          <w:sz w:val="24"/>
          <w:szCs w:val="24"/>
          <w:highlight w:val="none"/>
          <w:lang w:val="en-US" w:eastAsia="zh-CN"/>
        </w:rPr>
        <w:t>十、其他</w:t>
      </w:r>
      <w:bookmarkEnd w:id="96"/>
      <w:bookmarkEnd w:id="97"/>
      <w:bookmarkEnd w:id="98"/>
    </w:p>
    <w:p w14:paraId="682E56F6">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1、分包和转包</w:t>
      </w:r>
    </w:p>
    <w:p w14:paraId="22310595">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（1）投标人不得将本合同范围的服务转包由其他单位承担；也不得未经采购人同意擅自部分内容分包给其他单位承担；如有违反以上情形，采购人有权解除合同，并追究中标人的违约责任。 </w:t>
      </w:r>
    </w:p>
    <w:p w14:paraId="1470B311">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（2）享受《政府采购促进中小企业发展管理办法》的通知（财库〔2020〕46 号）的规定扶持政策获得政府采购合同的，小微企业不得将合同分包给大中型企业，中型企业不得将合同分包给大型企业。  </w:t>
      </w:r>
    </w:p>
    <w:p w14:paraId="77E9077B">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rPr>
        <w:t>投标时的证明材料要确保真实有效。如核实虚假的，采购人有权向监管部门反映，取消该投标人的中标资格并追究其法律责任。</w:t>
      </w:r>
    </w:p>
    <w:p w14:paraId="2F47222A">
      <w:pPr>
        <w:adjustRightInd w:val="0"/>
        <w:snapToGrid w:val="0"/>
        <w:spacing w:line="360" w:lineRule="auto"/>
        <w:ind w:firstLine="480" w:firstLineChars="200"/>
        <w:rPr>
          <w:rFonts w:hint="eastAsia" w:ascii="仿宋" w:hAnsi="仿宋" w:eastAsia="仿宋" w:cs="仿宋"/>
          <w:bCs/>
          <w:color w:val="auto"/>
          <w:highlight w:val="none"/>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lang w:val="zh-CN"/>
        </w:rPr>
        <w:t>未尽事宜可进一步参阅合同条款、</w:t>
      </w:r>
      <w:r>
        <w:rPr>
          <w:rFonts w:hint="eastAsia" w:ascii="仿宋" w:hAnsi="仿宋" w:eastAsia="仿宋" w:cs="仿宋"/>
          <w:snapToGrid w:val="0"/>
          <w:color w:val="auto"/>
          <w:kern w:val="0"/>
          <w:sz w:val="24"/>
          <w:highlight w:val="none"/>
        </w:rPr>
        <w:t>招标文件其他内容、</w:t>
      </w:r>
      <w:r>
        <w:rPr>
          <w:rFonts w:hint="eastAsia" w:ascii="仿宋" w:hAnsi="仿宋" w:eastAsia="仿宋" w:cs="仿宋"/>
          <w:snapToGrid w:val="0"/>
          <w:color w:val="auto"/>
          <w:kern w:val="0"/>
          <w:sz w:val="24"/>
          <w:highlight w:val="none"/>
          <w:lang w:val="zh-CN"/>
        </w:rPr>
        <w:t>相关附件。</w:t>
      </w:r>
    </w:p>
    <w:p w14:paraId="65595C25">
      <w:pPr>
        <w:pStyle w:val="20"/>
        <w:rPr>
          <w:rFonts w:hint="eastAsia" w:ascii="仿宋" w:hAnsi="仿宋" w:eastAsia="仿宋" w:cs="仿宋"/>
          <w:color w:val="auto"/>
          <w:highlight w:val="none"/>
        </w:rPr>
      </w:pPr>
    </w:p>
    <w:p w14:paraId="2E5C2DE8">
      <w:pPr>
        <w:rPr>
          <w:rFonts w:hint="eastAsia" w:ascii="仿宋" w:hAnsi="仿宋" w:eastAsia="仿宋" w:cs="仿宋"/>
          <w:color w:val="auto"/>
          <w:highlight w:val="none"/>
        </w:rPr>
      </w:pPr>
      <w:r>
        <w:rPr>
          <w:rFonts w:hint="eastAsia" w:ascii="仿宋" w:hAnsi="仿宋" w:eastAsia="仿宋" w:cs="仿宋"/>
          <w:color w:val="auto"/>
          <w:highlight w:val="none"/>
        </w:rPr>
        <w:br w:type="page"/>
      </w:r>
    </w:p>
    <w:bookmarkEnd w:id="55"/>
    <w:bookmarkEnd w:id="56"/>
    <w:bookmarkEnd w:id="57"/>
    <w:bookmarkEnd w:id="58"/>
    <w:p w14:paraId="1A74E9B7">
      <w:pPr>
        <w:adjustRightInd w:val="0"/>
        <w:snapToGrid w:val="0"/>
        <w:spacing w:before="120" w:beforeLines="50" w:after="120" w:afterLines="50" w:line="360" w:lineRule="auto"/>
        <w:jc w:val="center"/>
        <w:outlineLvl w:val="0"/>
        <w:rPr>
          <w:rFonts w:hint="eastAsia" w:ascii="仿宋" w:hAnsi="仿宋" w:eastAsia="仿宋" w:cs="仿宋"/>
          <w:b/>
          <w:color w:val="auto"/>
          <w:sz w:val="30"/>
          <w:szCs w:val="30"/>
          <w:highlight w:val="none"/>
        </w:rPr>
      </w:pPr>
      <w:bookmarkStart w:id="99" w:name="_Toc25398"/>
      <w:bookmarkStart w:id="100" w:name="_Toc14349"/>
      <w:r>
        <w:rPr>
          <w:rFonts w:hint="eastAsia" w:ascii="仿宋" w:hAnsi="仿宋" w:eastAsia="仿宋" w:cs="仿宋"/>
          <w:b/>
          <w:color w:val="auto"/>
          <w:sz w:val="30"/>
          <w:szCs w:val="30"/>
          <w:highlight w:val="none"/>
        </w:rPr>
        <w:t>第四部分  评标办法</w:t>
      </w:r>
      <w:bookmarkEnd w:id="99"/>
      <w:bookmarkEnd w:id="100"/>
    </w:p>
    <w:p w14:paraId="757FD395">
      <w:pPr>
        <w:pStyle w:val="4"/>
        <w:snapToGrid w:val="0"/>
        <w:spacing w:before="120" w:beforeLines="50" w:after="120" w:afterLines="50" w:line="360" w:lineRule="auto"/>
        <w:rPr>
          <w:rFonts w:hint="eastAsia" w:ascii="仿宋" w:hAnsi="仿宋" w:eastAsia="仿宋" w:cs="仿宋"/>
          <w:color w:val="auto"/>
          <w:sz w:val="24"/>
          <w:szCs w:val="24"/>
          <w:highlight w:val="none"/>
        </w:rPr>
      </w:pPr>
      <w:bookmarkStart w:id="101" w:name="_Toc16598"/>
      <w:bookmarkStart w:id="102" w:name="_Toc11969"/>
      <w:r>
        <w:rPr>
          <w:rFonts w:hint="eastAsia" w:ascii="仿宋" w:hAnsi="仿宋" w:eastAsia="仿宋" w:cs="仿宋"/>
          <w:color w:val="auto"/>
          <w:sz w:val="24"/>
          <w:szCs w:val="24"/>
          <w:highlight w:val="none"/>
        </w:rPr>
        <w:t>评标办法前附表</w:t>
      </w:r>
      <w:bookmarkEnd w:id="101"/>
      <w:bookmarkEnd w:id="102"/>
    </w:p>
    <w:p w14:paraId="6A1FDF80">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p>
    <w:tbl>
      <w:tblPr>
        <w:tblStyle w:val="48"/>
        <w:tblpPr w:leftFromText="180" w:rightFromText="180" w:vertAnchor="text" w:horzAnchor="page" w:tblpX="1512" w:tblpY="460"/>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5974"/>
        <w:gridCol w:w="680"/>
        <w:gridCol w:w="878"/>
        <w:gridCol w:w="1295"/>
      </w:tblGrid>
      <w:tr w14:paraId="6630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53" w:type="dxa"/>
            <w:noWrap w:val="0"/>
            <w:vAlign w:val="center"/>
          </w:tcPr>
          <w:p w14:paraId="5B3F6C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974" w:type="dxa"/>
            <w:noWrap w:val="0"/>
            <w:vAlign w:val="center"/>
          </w:tcPr>
          <w:p w14:paraId="178E96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c>
          <w:tcPr>
            <w:tcW w:w="680" w:type="dxa"/>
            <w:noWrap w:val="0"/>
            <w:vAlign w:val="center"/>
          </w:tcPr>
          <w:p w14:paraId="223212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878" w:type="dxa"/>
            <w:noWrap w:val="0"/>
            <w:vAlign w:val="center"/>
          </w:tcPr>
          <w:p w14:paraId="5C1DFB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主观分/客观分属性</w:t>
            </w:r>
          </w:p>
        </w:tc>
        <w:tc>
          <w:tcPr>
            <w:tcW w:w="1295" w:type="dxa"/>
            <w:noWrap w:val="0"/>
            <w:vAlign w:val="center"/>
          </w:tcPr>
          <w:p w14:paraId="208D81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r>
              <w:rPr>
                <w:rFonts w:hint="eastAsia" w:ascii="仿宋" w:hAnsi="仿宋" w:eastAsia="仿宋" w:cs="仿宋"/>
                <w:color w:val="auto"/>
                <w:sz w:val="24"/>
                <w:szCs w:val="24"/>
                <w:highlight w:val="none"/>
                <w:shd w:val="clear" w:color="auto" w:fill="FFFFFF"/>
              </w:rPr>
              <w:t>*</w:t>
            </w:r>
          </w:p>
        </w:tc>
      </w:tr>
      <w:tr w14:paraId="794A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trPr>
        <w:tc>
          <w:tcPr>
            <w:tcW w:w="753" w:type="dxa"/>
            <w:noWrap w:val="0"/>
            <w:vAlign w:val="center"/>
          </w:tcPr>
          <w:p w14:paraId="4137C8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974" w:type="dxa"/>
            <w:noWrap w:val="0"/>
            <w:vAlign w:val="center"/>
          </w:tcPr>
          <w:p w14:paraId="7561507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投标人资信响应情况</w:t>
            </w:r>
          </w:p>
        </w:tc>
        <w:tc>
          <w:tcPr>
            <w:tcW w:w="680" w:type="dxa"/>
            <w:noWrap w:val="0"/>
            <w:vAlign w:val="center"/>
          </w:tcPr>
          <w:p w14:paraId="1C4A49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14:paraId="163DAA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14:paraId="1E4658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rPr>
            </w:pPr>
          </w:p>
        </w:tc>
      </w:tr>
      <w:tr w14:paraId="1FE6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53" w:type="dxa"/>
            <w:noWrap w:val="0"/>
            <w:vAlign w:val="center"/>
          </w:tcPr>
          <w:p w14:paraId="004ACD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974" w:type="dxa"/>
            <w:noWrap w:val="0"/>
            <w:vAlign w:val="center"/>
          </w:tcPr>
          <w:p w14:paraId="18EA8BD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w:t>
            </w:r>
            <w:r>
              <w:rPr>
                <w:rFonts w:hint="eastAsia" w:ascii="仿宋" w:hAnsi="仿宋" w:eastAsia="仿宋" w:cs="仿宋"/>
                <w:color w:val="auto"/>
                <w:sz w:val="24"/>
                <w:szCs w:val="24"/>
                <w:highlight w:val="none"/>
                <w:lang w:val="en-US" w:eastAsia="zh-CN"/>
              </w:rPr>
              <w:t>有效的</w:t>
            </w:r>
            <w:r>
              <w:rPr>
                <w:rFonts w:hint="eastAsia" w:ascii="仿宋" w:hAnsi="仿宋" w:eastAsia="仿宋" w:cs="仿宋"/>
                <w:color w:val="auto"/>
                <w:sz w:val="24"/>
                <w:szCs w:val="24"/>
                <w:highlight w:val="none"/>
              </w:rPr>
              <w:t>质量管理认证体系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环境管理认证体系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职业健康资格认证体系</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，有一项得1分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满分</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分，没有则不得分。</w:t>
            </w:r>
          </w:p>
          <w:p w14:paraId="79AB1C4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说明：</w:t>
            </w:r>
            <w:r>
              <w:rPr>
                <w:rFonts w:hint="eastAsia" w:ascii="仿宋" w:hAnsi="仿宋" w:eastAsia="仿宋" w:cs="仿宋"/>
                <w:color w:val="auto"/>
                <w:sz w:val="24"/>
                <w:highlight w:val="none"/>
              </w:rPr>
              <w:t>①提供证书复印件或扫描件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证书认证范围与本项目相关（安全服务、或保安、或类似性质）</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lang w:val="en-US" w:eastAsia="zh-CN"/>
              </w:rPr>
              <w:t>证书有效性由评标委员会评审当天在国家认证认可信息公共服务平台可查询，状态为有效。</w:t>
            </w:r>
          </w:p>
        </w:tc>
        <w:tc>
          <w:tcPr>
            <w:tcW w:w="680" w:type="dxa"/>
            <w:noWrap w:val="0"/>
            <w:vAlign w:val="center"/>
          </w:tcPr>
          <w:p w14:paraId="5FEE2E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6B0001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7A2324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rPr>
            </w:pPr>
          </w:p>
        </w:tc>
      </w:tr>
      <w:tr w14:paraId="4328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27D92C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w:t>
            </w:r>
          </w:p>
        </w:tc>
        <w:tc>
          <w:tcPr>
            <w:tcW w:w="5974" w:type="dxa"/>
            <w:noWrap w:val="0"/>
            <w:vAlign w:val="center"/>
          </w:tcPr>
          <w:p w14:paraId="30EA9C26">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投标人自20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月1日以来承接过的类似项目。每提供1个，得0.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分，最高得1分，未提供的不得分</w:t>
            </w:r>
            <w:r>
              <w:rPr>
                <w:rFonts w:hint="eastAsia" w:ascii="仿宋" w:hAnsi="仿宋" w:eastAsia="仿宋" w:cs="仿宋"/>
                <w:color w:val="auto"/>
                <w:sz w:val="24"/>
                <w:szCs w:val="24"/>
                <w:highlight w:val="none"/>
                <w:lang w:eastAsia="zh-CN"/>
              </w:rPr>
              <w:t>。</w:t>
            </w:r>
          </w:p>
          <w:p w14:paraId="13B7A66B">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lang w:val="en-US" w:eastAsia="zh-CN"/>
              </w:rPr>
              <w:t>说明：①</w:t>
            </w:r>
            <w:r>
              <w:rPr>
                <w:rFonts w:hint="eastAsia" w:ascii="仿宋" w:hAnsi="仿宋" w:eastAsia="仿宋" w:cs="仿宋"/>
                <w:bCs/>
                <w:color w:val="auto"/>
                <w:sz w:val="24"/>
                <w:highlight w:val="none"/>
                <w:lang w:val="en-US" w:eastAsia="zh-CN"/>
              </w:rPr>
              <w:t>类似项目系指临保服务、或者序化服务、或者</w:t>
            </w:r>
            <w:r>
              <w:rPr>
                <w:rFonts w:hint="eastAsia" w:ascii="仿宋" w:hAnsi="仿宋" w:eastAsia="仿宋" w:cs="仿宋"/>
                <w:color w:val="auto"/>
                <w:sz w:val="24"/>
                <w:szCs w:val="24"/>
                <w:highlight w:val="none"/>
              </w:rPr>
              <w:t>特保服务或</w:t>
            </w: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服务</w:t>
            </w:r>
            <w:r>
              <w:rPr>
                <w:rFonts w:hint="eastAsia" w:ascii="仿宋" w:hAnsi="仿宋" w:eastAsia="仿宋" w:cs="仿宋"/>
                <w:bCs/>
                <w:color w:val="auto"/>
                <w:sz w:val="24"/>
                <w:highlight w:val="none"/>
                <w:lang w:val="en-US" w:eastAsia="zh-CN"/>
              </w:rPr>
              <w:t>业绩，</w:t>
            </w:r>
            <w:r>
              <w:rPr>
                <w:rFonts w:hint="eastAsia" w:ascii="仿宋" w:hAnsi="仿宋" w:eastAsia="仿宋" w:cs="仿宋"/>
                <w:color w:val="auto"/>
                <w:sz w:val="24"/>
                <w:highlight w:val="none"/>
                <w:lang w:val="en-US" w:eastAsia="zh-CN"/>
              </w:rPr>
              <w:t>非</w:t>
            </w:r>
            <w:r>
              <w:rPr>
                <w:rFonts w:hint="eastAsia" w:ascii="仿宋" w:hAnsi="仿宋" w:eastAsia="仿宋" w:cs="仿宋"/>
                <w:color w:val="auto"/>
                <w:sz w:val="24"/>
                <w:highlight w:val="none"/>
              </w:rPr>
              <w:t>物业管理</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保安项目</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lang w:val="en-US" w:eastAsia="zh-CN"/>
              </w:rPr>
              <w:t>提供合同的复印件或扫描件，时间以合同签署时间为准。</w:t>
            </w:r>
          </w:p>
        </w:tc>
        <w:tc>
          <w:tcPr>
            <w:tcW w:w="680" w:type="dxa"/>
            <w:noWrap w:val="0"/>
            <w:vAlign w:val="center"/>
          </w:tcPr>
          <w:p w14:paraId="6B7A70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8" w:type="dxa"/>
            <w:noWrap w:val="0"/>
            <w:vAlign w:val="center"/>
          </w:tcPr>
          <w:p w14:paraId="56705D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4A5E6A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2B5C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shd w:val="clear" w:color="auto" w:fill="auto"/>
            <w:noWrap w:val="0"/>
            <w:vAlign w:val="center"/>
          </w:tcPr>
          <w:p w14:paraId="461E2B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w:t>
            </w:r>
          </w:p>
        </w:tc>
        <w:tc>
          <w:tcPr>
            <w:tcW w:w="5974" w:type="dxa"/>
            <w:shd w:val="clear" w:color="auto" w:fill="auto"/>
            <w:noWrap w:val="0"/>
            <w:vAlign w:val="center"/>
          </w:tcPr>
          <w:p w14:paraId="41062665">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针对项目基本内容及区域现状，提供整体分析</w:t>
            </w:r>
          </w:p>
        </w:tc>
        <w:tc>
          <w:tcPr>
            <w:tcW w:w="680" w:type="dxa"/>
            <w:shd w:val="clear" w:color="auto" w:fill="auto"/>
            <w:noWrap w:val="0"/>
            <w:vAlign w:val="center"/>
          </w:tcPr>
          <w:p w14:paraId="47091A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c>
          <w:tcPr>
            <w:tcW w:w="878" w:type="dxa"/>
            <w:shd w:val="clear" w:color="auto" w:fill="auto"/>
            <w:noWrap w:val="0"/>
            <w:vAlign w:val="center"/>
          </w:tcPr>
          <w:p w14:paraId="1DB1BA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p>
        </w:tc>
        <w:tc>
          <w:tcPr>
            <w:tcW w:w="1295" w:type="dxa"/>
            <w:noWrap w:val="0"/>
            <w:vAlign w:val="center"/>
          </w:tcPr>
          <w:p w14:paraId="50CAB7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6CDC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shd w:val="clear" w:color="auto" w:fill="auto"/>
            <w:noWrap w:val="0"/>
            <w:vAlign w:val="center"/>
          </w:tcPr>
          <w:p w14:paraId="355E45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2.1</w:t>
            </w:r>
          </w:p>
        </w:tc>
        <w:tc>
          <w:tcPr>
            <w:tcW w:w="5974" w:type="dxa"/>
            <w:shd w:val="clear" w:color="auto" w:fill="auto"/>
            <w:noWrap w:val="0"/>
            <w:vAlign w:val="center"/>
          </w:tcPr>
          <w:p w14:paraId="2F3C8A9B">
            <w:pPr>
              <w:snapToGrid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评价</w:t>
            </w:r>
            <w:r>
              <w:rPr>
                <w:rFonts w:hint="eastAsia" w:ascii="仿宋" w:hAnsi="仿宋" w:eastAsia="仿宋" w:cs="仿宋"/>
                <w:color w:val="auto"/>
                <w:kern w:val="0"/>
                <w:sz w:val="24"/>
                <w:highlight w:val="none"/>
                <w:lang w:val="en-US" w:eastAsia="zh-CN"/>
              </w:rPr>
              <w:t>服务区域</w:t>
            </w:r>
            <w:r>
              <w:rPr>
                <w:rFonts w:hint="eastAsia" w:ascii="仿宋" w:hAnsi="仿宋" w:eastAsia="仿宋" w:cs="仿宋"/>
                <w:color w:val="auto"/>
                <w:sz w:val="24"/>
                <w:highlight w:val="none"/>
                <w:lang w:val="en-US" w:eastAsia="zh-CN"/>
              </w:rPr>
              <w:t>现状，服务</w:t>
            </w:r>
            <w:r>
              <w:rPr>
                <w:rFonts w:hint="eastAsia" w:ascii="仿宋" w:hAnsi="仿宋" w:eastAsia="仿宋" w:cs="仿宋"/>
                <w:color w:val="auto"/>
                <w:kern w:val="0"/>
                <w:sz w:val="24"/>
                <w:highlight w:val="none"/>
              </w:rPr>
              <w:t>重难点分析情况</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分析合理，应对可行</w:t>
            </w:r>
            <w:r>
              <w:rPr>
                <w:rFonts w:hint="eastAsia" w:ascii="仿宋" w:hAnsi="仿宋" w:eastAsia="仿宋" w:cs="仿宋"/>
                <w:color w:val="auto"/>
                <w:kern w:val="0"/>
                <w:sz w:val="24"/>
                <w:highlight w:val="none"/>
                <w:lang w:eastAsia="zh-CN"/>
              </w:rPr>
              <w:t>且与项目匹配度好的得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分；</w:t>
            </w:r>
            <w:r>
              <w:rPr>
                <w:rFonts w:hint="eastAsia" w:ascii="仿宋" w:hAnsi="仿宋" w:eastAsia="仿宋" w:cs="仿宋"/>
                <w:color w:val="auto"/>
                <w:kern w:val="0"/>
                <w:sz w:val="24"/>
                <w:highlight w:val="none"/>
                <w:lang w:val="en-US" w:eastAsia="zh-CN"/>
              </w:rPr>
              <w:t>分析较合理，应对较可行</w:t>
            </w:r>
            <w:r>
              <w:rPr>
                <w:rFonts w:hint="eastAsia" w:ascii="仿宋" w:hAnsi="仿宋" w:eastAsia="仿宋" w:cs="仿宋"/>
                <w:color w:val="auto"/>
                <w:kern w:val="0"/>
                <w:sz w:val="24"/>
                <w:highlight w:val="none"/>
                <w:lang w:eastAsia="zh-CN"/>
              </w:rPr>
              <w:t>与项目匹配度较好的得</w:t>
            </w:r>
            <w:r>
              <w:rPr>
                <w:rFonts w:hint="eastAsia" w:ascii="仿宋" w:hAnsi="仿宋" w:eastAsia="仿宋" w:cs="仿宋"/>
                <w:color w:val="auto"/>
                <w:kern w:val="0"/>
                <w:sz w:val="24"/>
                <w:highlight w:val="none"/>
                <w:lang w:val="en-US" w:eastAsia="zh-CN"/>
              </w:rPr>
              <w:t>2.5</w:t>
            </w:r>
            <w:r>
              <w:rPr>
                <w:rFonts w:hint="eastAsia" w:ascii="仿宋" w:hAnsi="仿宋" w:eastAsia="仿宋" w:cs="仿宋"/>
                <w:color w:val="auto"/>
                <w:kern w:val="0"/>
                <w:sz w:val="24"/>
                <w:highlight w:val="none"/>
                <w:lang w:eastAsia="zh-CN"/>
              </w:rPr>
              <w:t>分；</w:t>
            </w:r>
            <w:r>
              <w:rPr>
                <w:rFonts w:hint="eastAsia" w:ascii="仿宋" w:hAnsi="仿宋" w:eastAsia="仿宋" w:cs="仿宋"/>
                <w:color w:val="auto"/>
                <w:kern w:val="0"/>
                <w:sz w:val="24"/>
                <w:highlight w:val="none"/>
                <w:lang w:val="en-US" w:eastAsia="zh-CN"/>
              </w:rPr>
              <w:t>分析合理性一般，应对可行性一般</w:t>
            </w:r>
            <w:r>
              <w:rPr>
                <w:rFonts w:hint="eastAsia" w:ascii="仿宋" w:hAnsi="仿宋" w:eastAsia="仿宋" w:cs="仿宋"/>
                <w:color w:val="auto"/>
                <w:kern w:val="0"/>
                <w:sz w:val="24"/>
                <w:highlight w:val="none"/>
                <w:lang w:eastAsia="zh-CN"/>
              </w:rPr>
              <w:t>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分；</w:t>
            </w:r>
            <w:r>
              <w:rPr>
                <w:rFonts w:hint="eastAsia" w:ascii="仿宋" w:hAnsi="仿宋" w:eastAsia="仿宋" w:cs="仿宋"/>
                <w:color w:val="auto"/>
                <w:kern w:val="0"/>
                <w:sz w:val="24"/>
                <w:highlight w:val="none"/>
                <w:lang w:val="en-US" w:eastAsia="zh-CN"/>
              </w:rPr>
              <w:t>有方案但针对性不足得1.5分；有较大欠缺得1分；其余不得分。</w:t>
            </w:r>
          </w:p>
        </w:tc>
        <w:tc>
          <w:tcPr>
            <w:tcW w:w="680" w:type="dxa"/>
            <w:shd w:val="clear" w:color="auto" w:fill="auto"/>
            <w:noWrap w:val="0"/>
            <w:vAlign w:val="center"/>
          </w:tcPr>
          <w:p w14:paraId="11697A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878" w:type="dxa"/>
            <w:shd w:val="clear" w:color="auto" w:fill="auto"/>
            <w:noWrap w:val="0"/>
            <w:vAlign w:val="center"/>
          </w:tcPr>
          <w:p w14:paraId="5A223A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677153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472F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shd w:val="clear" w:color="auto" w:fill="auto"/>
            <w:noWrap w:val="0"/>
            <w:vAlign w:val="center"/>
          </w:tcPr>
          <w:p w14:paraId="358C0B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2.2</w:t>
            </w:r>
          </w:p>
        </w:tc>
        <w:tc>
          <w:tcPr>
            <w:tcW w:w="5974" w:type="dxa"/>
            <w:shd w:val="clear" w:color="auto" w:fill="auto"/>
            <w:noWrap w:val="0"/>
            <w:vAlign w:val="center"/>
          </w:tcPr>
          <w:p w14:paraId="6CD11AEA">
            <w:pPr>
              <w:snapToGrid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针对现状</w:t>
            </w:r>
            <w:r>
              <w:rPr>
                <w:rFonts w:hint="eastAsia" w:ascii="仿宋" w:hAnsi="仿宋" w:eastAsia="仿宋" w:cs="仿宋"/>
                <w:color w:val="auto"/>
                <w:kern w:val="0"/>
                <w:sz w:val="24"/>
                <w:highlight w:val="none"/>
                <w:lang w:val="en-US" w:eastAsia="zh-CN"/>
              </w:rPr>
              <w:t>提出</w:t>
            </w:r>
            <w:r>
              <w:rPr>
                <w:rFonts w:hint="eastAsia" w:ascii="仿宋" w:hAnsi="仿宋" w:eastAsia="仿宋" w:cs="仿宋"/>
                <w:color w:val="auto"/>
                <w:sz w:val="24"/>
                <w:highlight w:val="none"/>
                <w:lang w:val="en-US" w:eastAsia="zh-CN"/>
              </w:rPr>
              <w:t>整治</w:t>
            </w:r>
            <w:r>
              <w:rPr>
                <w:rFonts w:hint="eastAsia" w:ascii="仿宋" w:hAnsi="仿宋" w:eastAsia="仿宋" w:cs="仿宋"/>
                <w:color w:val="auto"/>
                <w:kern w:val="0"/>
                <w:sz w:val="24"/>
                <w:highlight w:val="none"/>
              </w:rPr>
              <w:t>重难点，有相应措施及合理化建议</w:t>
            </w:r>
            <w:r>
              <w:rPr>
                <w:rFonts w:hint="eastAsia" w:ascii="仿宋" w:hAnsi="仿宋" w:eastAsia="仿宋" w:cs="仿宋"/>
                <w:color w:val="auto"/>
                <w:kern w:val="0"/>
                <w:sz w:val="24"/>
                <w:highlight w:val="none"/>
                <w:lang w:val="en-US" w:eastAsia="zh-CN"/>
              </w:rPr>
              <w:t>方案。</w:t>
            </w:r>
            <w:r>
              <w:rPr>
                <w:rFonts w:hint="eastAsia" w:ascii="仿宋" w:hAnsi="仿宋" w:eastAsia="仿宋" w:cs="仿宋"/>
                <w:color w:val="auto"/>
                <w:kern w:val="0"/>
                <w:sz w:val="24"/>
                <w:highlight w:val="none"/>
                <w:lang w:eastAsia="zh-CN"/>
              </w:rPr>
              <w:t>方案内容完整且与项目匹配度好的得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分；方案内容基本完整且与项目匹配度较好的得</w:t>
            </w:r>
            <w:r>
              <w:rPr>
                <w:rFonts w:hint="eastAsia" w:ascii="仿宋" w:hAnsi="仿宋" w:eastAsia="仿宋" w:cs="仿宋"/>
                <w:color w:val="auto"/>
                <w:kern w:val="0"/>
                <w:sz w:val="24"/>
                <w:highlight w:val="none"/>
                <w:lang w:val="en-US" w:eastAsia="zh-CN"/>
              </w:rPr>
              <w:t>2.5</w:t>
            </w:r>
            <w:r>
              <w:rPr>
                <w:rFonts w:hint="eastAsia" w:ascii="仿宋" w:hAnsi="仿宋" w:eastAsia="仿宋" w:cs="仿宋"/>
                <w:color w:val="auto"/>
                <w:kern w:val="0"/>
                <w:sz w:val="24"/>
                <w:highlight w:val="none"/>
                <w:lang w:eastAsia="zh-CN"/>
              </w:rPr>
              <w:t>分；方案内容存在欠缺或与项目匹配度一般的得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分；</w:t>
            </w:r>
            <w:r>
              <w:rPr>
                <w:rFonts w:hint="eastAsia" w:ascii="仿宋" w:hAnsi="仿宋" w:eastAsia="仿宋" w:cs="仿宋"/>
                <w:color w:val="auto"/>
                <w:kern w:val="0"/>
                <w:sz w:val="24"/>
                <w:highlight w:val="none"/>
                <w:lang w:val="en-US" w:eastAsia="zh-CN"/>
              </w:rPr>
              <w:t>有方案但针对性不足得1.5分；有较大欠缺得1分；其余不得分</w:t>
            </w:r>
            <w:r>
              <w:rPr>
                <w:rFonts w:hint="eastAsia" w:ascii="仿宋" w:hAnsi="仿宋" w:eastAsia="仿宋" w:cs="仿宋"/>
                <w:color w:val="auto"/>
                <w:kern w:val="0"/>
                <w:sz w:val="24"/>
                <w:highlight w:val="none"/>
                <w:lang w:eastAsia="zh-CN"/>
              </w:rPr>
              <w:t>。</w:t>
            </w:r>
          </w:p>
        </w:tc>
        <w:tc>
          <w:tcPr>
            <w:tcW w:w="680" w:type="dxa"/>
            <w:shd w:val="clear" w:color="auto" w:fill="auto"/>
            <w:noWrap w:val="0"/>
            <w:vAlign w:val="center"/>
          </w:tcPr>
          <w:p w14:paraId="404086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878" w:type="dxa"/>
            <w:shd w:val="clear" w:color="auto" w:fill="auto"/>
            <w:noWrap w:val="0"/>
            <w:vAlign w:val="center"/>
          </w:tcPr>
          <w:p w14:paraId="5CFFAB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6B8901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6F77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2C067F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5974" w:type="dxa"/>
            <w:noWrap w:val="0"/>
            <w:vAlign w:val="center"/>
          </w:tcPr>
          <w:p w14:paraId="67583D76">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项目管理团队响应情况（项目管理团队该部分人员应提供投标人为其缴纳的、距投标截止时间3个月任意时间的社保证明。否则人员不予认可）</w:t>
            </w:r>
          </w:p>
        </w:tc>
        <w:tc>
          <w:tcPr>
            <w:tcW w:w="680" w:type="dxa"/>
            <w:noWrap w:val="0"/>
            <w:vAlign w:val="center"/>
          </w:tcPr>
          <w:p w14:paraId="439EF9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14:paraId="1312F5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14:paraId="48D7A8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4969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473DAF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3.1</w:t>
            </w:r>
          </w:p>
        </w:tc>
        <w:tc>
          <w:tcPr>
            <w:tcW w:w="5974" w:type="dxa"/>
            <w:noWrap w:val="0"/>
            <w:vAlign w:val="center"/>
          </w:tcPr>
          <w:p w14:paraId="7B7D47E3">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投标人拟派项目负责人：</w:t>
            </w:r>
          </w:p>
          <w:p w14:paraId="6C034075">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①从事公安或安保行业</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年以上得1分</w:t>
            </w: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highlight w:val="none"/>
                <w:lang w:val="en-US" w:eastAsia="zh-CN"/>
              </w:rPr>
              <w:t>具有保安师证书（即二级或一级保安员）</w:t>
            </w:r>
            <w:r>
              <w:rPr>
                <w:rFonts w:hint="eastAsia" w:ascii="仿宋" w:hAnsi="仿宋" w:eastAsia="仿宋" w:cs="仿宋"/>
                <w:color w:val="auto"/>
                <w:sz w:val="24"/>
                <w:szCs w:val="24"/>
                <w:highlight w:val="none"/>
              </w:rPr>
              <w:t>证书的得1分</w:t>
            </w: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退伍军人得1分；④具有大专及以上文化水平</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rPr>
              <w:t>1分</w:t>
            </w:r>
            <w:r>
              <w:rPr>
                <w:rFonts w:hint="eastAsia" w:ascii="仿宋" w:hAnsi="仿宋" w:eastAsia="仿宋" w:cs="仿宋"/>
                <w:color w:val="auto"/>
                <w:sz w:val="24"/>
                <w:szCs w:val="24"/>
                <w:highlight w:val="none"/>
                <w:lang w:eastAsia="zh-CN"/>
              </w:rPr>
              <w:t>。</w:t>
            </w:r>
          </w:p>
          <w:p w14:paraId="7FB3F60F">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r>
              <w:rPr>
                <w:rFonts w:hint="eastAsia" w:ascii="仿宋" w:hAnsi="仿宋" w:eastAsia="仿宋" w:cs="仿宋"/>
                <w:color w:val="auto"/>
                <w:sz w:val="24"/>
                <w:szCs w:val="24"/>
                <w:highlight w:val="none"/>
                <w:lang w:eastAsia="zh-CN"/>
              </w:rPr>
              <w:t>①</w:t>
            </w:r>
            <w:r>
              <w:rPr>
                <w:rFonts w:hint="eastAsia" w:ascii="仿宋" w:hAnsi="仿宋" w:eastAsia="仿宋" w:cs="仿宋"/>
                <w:color w:val="auto"/>
                <w:sz w:val="24"/>
                <w:szCs w:val="24"/>
                <w:highlight w:val="none"/>
                <w:lang w:val="en-US" w:eastAsia="zh-CN"/>
              </w:rPr>
              <w:t>提供简历或工作证明，需确保真实性</w:t>
            </w: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④提供</w:t>
            </w:r>
            <w:r>
              <w:rPr>
                <w:rFonts w:hint="eastAsia" w:ascii="仿宋" w:hAnsi="仿宋" w:eastAsia="仿宋" w:cs="仿宋"/>
                <w:color w:val="auto"/>
                <w:sz w:val="24"/>
                <w:szCs w:val="24"/>
                <w:highlight w:val="none"/>
                <w:lang w:val="en-US" w:eastAsia="zh-CN"/>
              </w:rPr>
              <w:t>证书或者证件的复印件或扫描件。</w:t>
            </w:r>
          </w:p>
        </w:tc>
        <w:tc>
          <w:tcPr>
            <w:tcW w:w="680" w:type="dxa"/>
            <w:noWrap w:val="0"/>
            <w:vAlign w:val="center"/>
          </w:tcPr>
          <w:p w14:paraId="08E493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14:paraId="035226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4D9AA6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732D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5D1088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3.2</w:t>
            </w:r>
          </w:p>
        </w:tc>
        <w:tc>
          <w:tcPr>
            <w:tcW w:w="5974" w:type="dxa"/>
            <w:noWrap w:val="0"/>
            <w:vAlign w:val="center"/>
          </w:tcPr>
          <w:p w14:paraId="1EC51C03">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投标人拟派</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队长：</w:t>
            </w:r>
          </w:p>
          <w:p w14:paraId="44E91654">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①具有大专及以上文化水平的1分；②</w:t>
            </w:r>
            <w:r>
              <w:rPr>
                <w:rFonts w:hint="eastAsia" w:ascii="仿宋" w:hAnsi="仿宋" w:eastAsia="仿宋" w:cs="仿宋"/>
                <w:color w:val="auto"/>
                <w:sz w:val="24"/>
                <w:highlight w:val="none"/>
                <w:lang w:val="en-US" w:eastAsia="zh-CN"/>
              </w:rPr>
              <w:t>具有保安师证书（即二级或一级保安员）</w:t>
            </w:r>
            <w:r>
              <w:rPr>
                <w:rFonts w:hint="eastAsia" w:ascii="仿宋" w:hAnsi="仿宋" w:eastAsia="仿宋" w:cs="仿宋"/>
                <w:color w:val="auto"/>
                <w:sz w:val="24"/>
                <w:szCs w:val="24"/>
                <w:highlight w:val="none"/>
              </w:rPr>
              <w:t>证书的得1分</w:t>
            </w:r>
            <w:r>
              <w:rPr>
                <w:rFonts w:hint="eastAsia" w:ascii="仿宋" w:hAnsi="仿宋" w:eastAsia="仿宋" w:cs="仿宋"/>
                <w:color w:val="auto"/>
                <w:sz w:val="24"/>
                <w:szCs w:val="24"/>
                <w:highlight w:val="none"/>
                <w:lang w:eastAsia="zh-CN"/>
              </w:rPr>
              <w:t>。</w:t>
            </w:r>
          </w:p>
          <w:p w14:paraId="6347961A">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证书或者证件的复印件或扫描件。</w:t>
            </w:r>
          </w:p>
        </w:tc>
        <w:tc>
          <w:tcPr>
            <w:tcW w:w="680" w:type="dxa"/>
            <w:noWrap w:val="0"/>
            <w:vAlign w:val="center"/>
          </w:tcPr>
          <w:p w14:paraId="5B4353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14:paraId="182EAE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00CFAB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6F96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0B2829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5974" w:type="dxa"/>
            <w:noWrap w:val="0"/>
            <w:vAlign w:val="center"/>
          </w:tcPr>
          <w:p w14:paraId="182DCB70">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执法辅助服务人员响应情况</w:t>
            </w:r>
          </w:p>
        </w:tc>
        <w:tc>
          <w:tcPr>
            <w:tcW w:w="680" w:type="dxa"/>
            <w:noWrap w:val="0"/>
            <w:vAlign w:val="center"/>
          </w:tcPr>
          <w:p w14:paraId="6F49A9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14:paraId="6C3DC8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14:paraId="03B6AD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7711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3" w:type="dxa"/>
            <w:noWrap w:val="0"/>
            <w:vAlign w:val="center"/>
          </w:tcPr>
          <w:p w14:paraId="1FCD34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4.1</w:t>
            </w:r>
          </w:p>
        </w:tc>
        <w:tc>
          <w:tcPr>
            <w:tcW w:w="5974" w:type="dxa"/>
            <w:noWrap w:val="0"/>
            <w:vAlign w:val="center"/>
          </w:tcPr>
          <w:p w14:paraId="72DF59DE">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执法辅助服务人员投入方案。</w:t>
            </w:r>
            <w:r>
              <w:rPr>
                <w:rFonts w:hint="eastAsia" w:ascii="仿宋" w:hAnsi="仿宋" w:eastAsia="仿宋" w:cs="仿宋"/>
                <w:color w:val="auto"/>
                <w:sz w:val="24"/>
                <w:highlight w:val="none"/>
                <w:lang w:val="en-US" w:eastAsia="zh-CN"/>
              </w:rPr>
              <w:t>投标人根据自身经验、技术实力、对项目的理解等综合情况，为项目投入执法辅助服务人员，完成招标人下达的工作任务、达成相应工作目标。方案完整性、可落实性、项目匹配性好得5分；完整性、可落实性、项目匹配性较好得4分；完整性、可落实性、项目匹配性一般得3分；有方案但针对性不佳得2分；有较大欠缺影响工作目标得1分；其余不得分。</w:t>
            </w:r>
          </w:p>
        </w:tc>
        <w:tc>
          <w:tcPr>
            <w:tcW w:w="680" w:type="dxa"/>
            <w:noWrap w:val="0"/>
            <w:vAlign w:val="center"/>
          </w:tcPr>
          <w:p w14:paraId="5AE68F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8" w:type="dxa"/>
            <w:noWrap w:val="0"/>
            <w:vAlign w:val="center"/>
          </w:tcPr>
          <w:p w14:paraId="0B95C6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3F5AA9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7185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3" w:type="dxa"/>
            <w:noWrap w:val="0"/>
            <w:vAlign w:val="center"/>
          </w:tcPr>
          <w:p w14:paraId="493082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4.2</w:t>
            </w:r>
          </w:p>
        </w:tc>
        <w:tc>
          <w:tcPr>
            <w:tcW w:w="5974" w:type="dxa"/>
            <w:noWrap w:val="0"/>
            <w:vAlign w:val="center"/>
          </w:tcPr>
          <w:p w14:paraId="043B9961">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投标人以承诺函形式，针对采购需求“执法辅助服务人员”“</w:t>
            </w:r>
            <w:r>
              <w:rPr>
                <w:rFonts w:hint="eastAsia" w:ascii="仿宋" w:hAnsi="仿宋" w:eastAsia="仿宋" w:cs="仿宋"/>
                <w:snapToGrid w:val="0"/>
                <w:color w:val="auto"/>
                <w:kern w:val="0"/>
                <w:sz w:val="24"/>
                <w:szCs w:val="24"/>
                <w:highlight w:val="none"/>
                <w:lang w:val="en-US" w:eastAsia="zh-CN"/>
              </w:rPr>
              <w:t>3、人员基本</w:t>
            </w:r>
            <w:r>
              <w:rPr>
                <w:rFonts w:hint="eastAsia" w:ascii="仿宋" w:hAnsi="仿宋" w:eastAsia="仿宋" w:cs="仿宋"/>
                <w:snapToGrid w:val="0"/>
                <w:color w:val="auto"/>
                <w:kern w:val="0"/>
                <w:sz w:val="24"/>
                <w:szCs w:val="24"/>
                <w:highlight w:val="none"/>
                <w:lang w:eastAsia="zh-CN"/>
              </w:rPr>
              <w:t>要求</w:t>
            </w:r>
            <w:r>
              <w:rPr>
                <w:rFonts w:hint="eastAsia" w:ascii="仿宋" w:hAnsi="仿宋" w:eastAsia="仿宋" w:cs="仿宋"/>
                <w:color w:val="auto"/>
                <w:sz w:val="24"/>
                <w:szCs w:val="24"/>
                <w:highlight w:val="none"/>
                <w:lang w:val="en-US" w:eastAsia="zh-CN"/>
              </w:rPr>
              <w:t>”每项进行承诺。全部满足得5分，其余不得分。</w:t>
            </w:r>
          </w:p>
        </w:tc>
        <w:tc>
          <w:tcPr>
            <w:tcW w:w="680" w:type="dxa"/>
            <w:noWrap w:val="0"/>
            <w:vAlign w:val="center"/>
          </w:tcPr>
          <w:p w14:paraId="4FA943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8" w:type="dxa"/>
            <w:noWrap w:val="0"/>
            <w:vAlign w:val="center"/>
          </w:tcPr>
          <w:p w14:paraId="6D5882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52CF3B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3B4E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3" w:type="dxa"/>
            <w:noWrap w:val="0"/>
            <w:vAlign w:val="center"/>
          </w:tcPr>
          <w:p w14:paraId="5826F8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4.3</w:t>
            </w:r>
          </w:p>
        </w:tc>
        <w:tc>
          <w:tcPr>
            <w:tcW w:w="5974" w:type="dxa"/>
            <w:noWrap w:val="0"/>
            <w:vAlign w:val="center"/>
          </w:tcPr>
          <w:p w14:paraId="416B703A">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由于具体工作根据实际情况可能调整，投标人在上述要求基础上投入执法辅助服务人员，并可根据实际情况进行调整，但最终服务效果、质量等应确保达到采购人要求</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投标文件中提供该内容承诺函。有承诺得5分，其余不得分。</w:t>
            </w:r>
          </w:p>
        </w:tc>
        <w:tc>
          <w:tcPr>
            <w:tcW w:w="680" w:type="dxa"/>
            <w:noWrap w:val="0"/>
            <w:vAlign w:val="center"/>
          </w:tcPr>
          <w:p w14:paraId="1B4FB0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8" w:type="dxa"/>
            <w:noWrap w:val="0"/>
            <w:vAlign w:val="center"/>
          </w:tcPr>
          <w:p w14:paraId="2E1EA1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728699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1DD4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53" w:type="dxa"/>
            <w:noWrap w:val="0"/>
            <w:vAlign w:val="center"/>
          </w:tcPr>
          <w:p w14:paraId="0E12DD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5974" w:type="dxa"/>
            <w:noWrap w:val="0"/>
            <w:vAlign w:val="center"/>
          </w:tcPr>
          <w:p w14:paraId="60685C4B">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后勤保障要求响应情况。根据采购需求“后勤保障要求”，</w:t>
            </w:r>
            <w:r>
              <w:rPr>
                <w:rFonts w:hint="eastAsia" w:ascii="仿宋" w:hAnsi="仿宋" w:eastAsia="仿宋" w:cs="仿宋"/>
                <w:snapToGrid w:val="0"/>
                <w:color w:val="auto"/>
                <w:kern w:val="0"/>
                <w:sz w:val="24"/>
                <w:szCs w:val="24"/>
                <w:highlight w:val="none"/>
                <w:lang w:val="en-US" w:eastAsia="zh-CN"/>
              </w:rPr>
              <w:t>投标文件中提供该内容承诺函。有承诺得5分，其余不得分。</w:t>
            </w:r>
          </w:p>
        </w:tc>
        <w:tc>
          <w:tcPr>
            <w:tcW w:w="680" w:type="dxa"/>
            <w:noWrap w:val="0"/>
            <w:vAlign w:val="center"/>
          </w:tcPr>
          <w:p w14:paraId="704F6B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8" w:type="dxa"/>
            <w:noWrap w:val="0"/>
            <w:vAlign w:val="center"/>
          </w:tcPr>
          <w:p w14:paraId="12F955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3BD272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6B33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0E37D2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5974" w:type="dxa"/>
            <w:noWrap w:val="0"/>
            <w:vAlign w:val="center"/>
          </w:tcPr>
          <w:p w14:paraId="56C680E1">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工作内容及目标响应情况</w:t>
            </w:r>
          </w:p>
        </w:tc>
        <w:tc>
          <w:tcPr>
            <w:tcW w:w="680" w:type="dxa"/>
            <w:noWrap w:val="0"/>
            <w:vAlign w:val="center"/>
          </w:tcPr>
          <w:p w14:paraId="06BE7B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14:paraId="398AC6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14:paraId="4B254C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04DC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6A483C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6.1</w:t>
            </w:r>
          </w:p>
        </w:tc>
        <w:tc>
          <w:tcPr>
            <w:tcW w:w="5974" w:type="dxa"/>
            <w:noWrap w:val="0"/>
            <w:vAlign w:val="center"/>
          </w:tcPr>
          <w:p w14:paraId="7ED53D68">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配合采购人（或街道综合行政执法队）开展燃气安全检查工作方案。根据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方案的可行性、与项目的匹配性进行评分。方案可行，项目匹配度好的得4分；方案可行性，项目匹配度较好的得3分；方案一般，项目匹配度一般的得2分；有方案但有较大欠缺得1分；其余不得分。</w:t>
            </w:r>
          </w:p>
        </w:tc>
        <w:tc>
          <w:tcPr>
            <w:tcW w:w="680" w:type="dxa"/>
            <w:noWrap w:val="0"/>
            <w:vAlign w:val="center"/>
          </w:tcPr>
          <w:p w14:paraId="4E661A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14:paraId="22AF4C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4A609E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21B9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21C8CB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6.2</w:t>
            </w:r>
          </w:p>
        </w:tc>
        <w:tc>
          <w:tcPr>
            <w:tcW w:w="5974" w:type="dxa"/>
            <w:noWrap w:val="0"/>
            <w:vAlign w:val="center"/>
          </w:tcPr>
          <w:p w14:paraId="36CB5E5E">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配合采购人开展建筑工地常态化管控</w:t>
            </w:r>
            <w:r>
              <w:rPr>
                <w:rFonts w:hint="eastAsia" w:ascii="仿宋" w:hAnsi="仿宋" w:eastAsia="仿宋" w:cs="仿宋"/>
                <w:color w:val="auto"/>
                <w:sz w:val="24"/>
                <w:highlight w:val="none"/>
                <w:lang w:val="en-US" w:eastAsia="zh-CN"/>
              </w:rPr>
              <w:t>工作方案。根据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方案的可行性、与项目的匹配性进行评分。方案可行，项目匹配度好的得4分；方案可行性，项目匹配度较好的得3分；方案一般，项目匹配度一般的得2分；有方案但有较大欠缺得1分；其余不得分。</w:t>
            </w:r>
          </w:p>
        </w:tc>
        <w:tc>
          <w:tcPr>
            <w:tcW w:w="680" w:type="dxa"/>
            <w:noWrap w:val="0"/>
            <w:vAlign w:val="center"/>
          </w:tcPr>
          <w:p w14:paraId="770D36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14:paraId="3ABF21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477E1E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67A0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220C29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6.3</w:t>
            </w:r>
          </w:p>
        </w:tc>
        <w:tc>
          <w:tcPr>
            <w:tcW w:w="5974" w:type="dxa"/>
            <w:noWrap w:val="0"/>
            <w:vAlign w:val="center"/>
          </w:tcPr>
          <w:p w14:paraId="07DD5425">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配合采购人开展餐饮油烟整治</w:t>
            </w:r>
            <w:r>
              <w:rPr>
                <w:rFonts w:hint="eastAsia" w:ascii="仿宋" w:hAnsi="仿宋" w:eastAsia="仿宋" w:cs="仿宋"/>
                <w:color w:val="auto"/>
                <w:sz w:val="24"/>
                <w:highlight w:val="none"/>
                <w:lang w:val="en-US" w:eastAsia="zh-CN"/>
              </w:rPr>
              <w:t>工作方案。根据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方案的可行性、与项目的匹配性进行评分。方案可行，项目匹配度好的得4分；方案可行性，项目匹配度较好的得3分；方案一般，项目匹配度一般的得2分；有方案但有较大欠缺得1分；其余不得分。</w:t>
            </w:r>
          </w:p>
        </w:tc>
        <w:tc>
          <w:tcPr>
            <w:tcW w:w="680" w:type="dxa"/>
            <w:noWrap w:val="0"/>
            <w:vAlign w:val="center"/>
          </w:tcPr>
          <w:p w14:paraId="167F55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14:paraId="7101E7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638B62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4A9B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20FB8E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6.4</w:t>
            </w:r>
          </w:p>
        </w:tc>
        <w:tc>
          <w:tcPr>
            <w:tcW w:w="5974" w:type="dxa"/>
            <w:noWrap w:val="0"/>
            <w:vAlign w:val="center"/>
          </w:tcPr>
          <w:p w14:paraId="69C118FB">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配合采购人开展交通隐患治理</w:t>
            </w:r>
            <w:r>
              <w:rPr>
                <w:rFonts w:hint="eastAsia" w:ascii="仿宋" w:hAnsi="仿宋" w:eastAsia="仿宋" w:cs="仿宋"/>
                <w:color w:val="auto"/>
                <w:sz w:val="24"/>
                <w:highlight w:val="none"/>
                <w:lang w:val="en-US" w:eastAsia="zh-CN"/>
              </w:rPr>
              <w:t>工作方案。根据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方案的可行性、与项目的匹配性进行评分。方案可行，项目匹配度好的得4分；方案可行性，项目匹配度较好的得3分；方案一般，项目匹配度一般的得2分；有方案但有较大欠缺得1分；其余不得分。</w:t>
            </w:r>
          </w:p>
        </w:tc>
        <w:tc>
          <w:tcPr>
            <w:tcW w:w="680" w:type="dxa"/>
            <w:noWrap w:val="0"/>
            <w:vAlign w:val="center"/>
          </w:tcPr>
          <w:p w14:paraId="682DE5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14:paraId="25DC9D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2A5EC7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6E65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5FAE53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6.5</w:t>
            </w:r>
          </w:p>
        </w:tc>
        <w:tc>
          <w:tcPr>
            <w:tcW w:w="5974" w:type="dxa"/>
            <w:noWrap w:val="0"/>
            <w:vAlign w:val="center"/>
          </w:tcPr>
          <w:p w14:paraId="049A8F8A">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配合采购人开展超限整治</w:t>
            </w:r>
            <w:r>
              <w:rPr>
                <w:rFonts w:hint="eastAsia" w:ascii="仿宋" w:hAnsi="仿宋" w:eastAsia="仿宋" w:cs="仿宋"/>
                <w:color w:val="auto"/>
                <w:sz w:val="24"/>
                <w:highlight w:val="none"/>
                <w:lang w:val="en-US" w:eastAsia="zh-CN"/>
              </w:rPr>
              <w:t>工作方案。根据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方案的可行性、与项目的匹配性进行评分。方案可行，项目匹配度好的得4分；方案可行性，项目匹配度较好的得3分；方案一般，项目匹配度一般的得2分；有方案但有较大欠缺得1分；其余不得分。</w:t>
            </w:r>
          </w:p>
        </w:tc>
        <w:tc>
          <w:tcPr>
            <w:tcW w:w="680" w:type="dxa"/>
            <w:noWrap w:val="0"/>
            <w:vAlign w:val="center"/>
          </w:tcPr>
          <w:p w14:paraId="103D91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14:paraId="3653AB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374455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3590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389F59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6.6</w:t>
            </w:r>
          </w:p>
        </w:tc>
        <w:tc>
          <w:tcPr>
            <w:tcW w:w="5974" w:type="dxa"/>
            <w:noWrap w:val="0"/>
            <w:vAlign w:val="center"/>
          </w:tcPr>
          <w:p w14:paraId="5AA6D168">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配合采购人开展渣土整治</w:t>
            </w:r>
            <w:r>
              <w:rPr>
                <w:rFonts w:hint="eastAsia" w:ascii="仿宋" w:hAnsi="仿宋" w:eastAsia="仿宋" w:cs="仿宋"/>
                <w:color w:val="auto"/>
                <w:sz w:val="24"/>
                <w:highlight w:val="none"/>
                <w:lang w:val="en-US" w:eastAsia="zh-CN"/>
              </w:rPr>
              <w:t>工作方案。根据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方案的可行性、与项目的匹配性进行评分。方案可行，项目匹配度好的得4分；方案可行性，项目匹配度较好的得3分；方案一般，项目匹配度一般的得2分；有方案但有较大欠缺得1分；其余不得分。</w:t>
            </w:r>
          </w:p>
        </w:tc>
        <w:tc>
          <w:tcPr>
            <w:tcW w:w="680" w:type="dxa"/>
            <w:noWrap w:val="0"/>
            <w:vAlign w:val="center"/>
          </w:tcPr>
          <w:p w14:paraId="3FCCAD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14:paraId="77C509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518E70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135A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79B607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6.7</w:t>
            </w:r>
          </w:p>
        </w:tc>
        <w:tc>
          <w:tcPr>
            <w:tcW w:w="5974" w:type="dxa"/>
            <w:noWrap w:val="0"/>
            <w:vAlign w:val="center"/>
          </w:tcPr>
          <w:p w14:paraId="1EF0E36A">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协助采购人完成</w:t>
            </w:r>
            <w:r>
              <w:rPr>
                <w:rFonts w:hint="eastAsia" w:ascii="仿宋" w:hAnsi="仿宋" w:eastAsia="仿宋" w:cs="仿宋"/>
                <w:color w:val="auto"/>
                <w:sz w:val="24"/>
                <w:szCs w:val="24"/>
                <w:highlight w:val="none"/>
                <w:lang w:val="en-US" w:eastAsia="zh-CN"/>
              </w:rPr>
              <w:t>省市区各级领导检查等各类重点工作和活动保障方案</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方案的可行性、与项目的匹配性进行评分。方案可行，项目匹配度好的得4分；方案可行性，项目匹配度较好的得3分；方案一般，项目匹配度一般的得2分；有方案但有较大欠缺得1分；其余不得分。</w:t>
            </w:r>
          </w:p>
        </w:tc>
        <w:tc>
          <w:tcPr>
            <w:tcW w:w="680" w:type="dxa"/>
            <w:noWrap w:val="0"/>
            <w:vAlign w:val="center"/>
          </w:tcPr>
          <w:p w14:paraId="5E499D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14:paraId="5C972C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2ADF9B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4E38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7A190F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6.8</w:t>
            </w:r>
          </w:p>
        </w:tc>
        <w:tc>
          <w:tcPr>
            <w:tcW w:w="5974" w:type="dxa"/>
            <w:noWrap w:val="0"/>
            <w:vAlign w:val="center"/>
          </w:tcPr>
          <w:p w14:paraId="39C59D62">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辅助执法人员做好案件归档等相关工作</w:t>
            </w:r>
            <w:r>
              <w:rPr>
                <w:rFonts w:hint="eastAsia" w:ascii="仿宋" w:hAnsi="仿宋" w:eastAsia="仿宋" w:cs="仿宋"/>
                <w:color w:val="auto"/>
                <w:sz w:val="24"/>
                <w:highlight w:val="none"/>
                <w:lang w:val="en-US" w:eastAsia="zh-CN"/>
              </w:rPr>
              <w:t>方案。根据</w:t>
            </w:r>
            <w:r>
              <w:rPr>
                <w:rFonts w:hint="eastAsia" w:ascii="仿宋" w:hAnsi="仿宋" w:eastAsia="仿宋" w:cs="仿宋"/>
                <w:color w:val="auto"/>
                <w:sz w:val="24"/>
                <w:szCs w:val="24"/>
                <w:highlight w:val="none"/>
                <w:lang w:val="en-US" w:eastAsia="zh-CN"/>
              </w:rPr>
              <w:t>方案的可行性、与项目的匹配性进行评分。方案可行，项目匹配度好的得3分；方案可行性，项目匹配度较好的得2分；方案一般，项目匹配度一般的得1分；其余不得分。</w:t>
            </w:r>
          </w:p>
        </w:tc>
        <w:tc>
          <w:tcPr>
            <w:tcW w:w="680" w:type="dxa"/>
            <w:noWrap w:val="0"/>
            <w:vAlign w:val="center"/>
          </w:tcPr>
          <w:p w14:paraId="1CB35E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3D0DB0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4EE5AD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1390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7ADF96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6.9</w:t>
            </w:r>
          </w:p>
        </w:tc>
        <w:tc>
          <w:tcPr>
            <w:tcW w:w="5974" w:type="dxa"/>
            <w:noWrap w:val="0"/>
            <w:vAlign w:val="center"/>
          </w:tcPr>
          <w:p w14:paraId="35237E4D">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承诺完成街道</w:t>
            </w:r>
            <w:r>
              <w:rPr>
                <w:rFonts w:hint="eastAsia" w:ascii="仿宋" w:hAnsi="仿宋" w:eastAsia="仿宋" w:cs="仿宋"/>
                <w:color w:val="auto"/>
                <w:sz w:val="24"/>
                <w:highlight w:val="none"/>
                <w:lang w:eastAsia="zh-CN"/>
              </w:rPr>
              <w:t>执法队</w:t>
            </w:r>
            <w:r>
              <w:rPr>
                <w:rFonts w:hint="eastAsia" w:ascii="仿宋" w:hAnsi="仿宋" w:eastAsia="仿宋" w:cs="仿宋"/>
                <w:color w:val="auto"/>
                <w:sz w:val="24"/>
                <w:highlight w:val="none"/>
                <w:lang w:val="en-US" w:eastAsia="zh-CN"/>
              </w:rPr>
              <w:t>赋予的其他任务。满足得4分，不满足不得分。</w:t>
            </w:r>
          </w:p>
        </w:tc>
        <w:tc>
          <w:tcPr>
            <w:tcW w:w="680" w:type="dxa"/>
            <w:noWrap w:val="0"/>
            <w:vAlign w:val="center"/>
          </w:tcPr>
          <w:p w14:paraId="527076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8" w:type="dxa"/>
            <w:noWrap w:val="0"/>
            <w:vAlign w:val="center"/>
          </w:tcPr>
          <w:p w14:paraId="08EC2E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295" w:type="dxa"/>
            <w:noWrap w:val="0"/>
            <w:vAlign w:val="center"/>
          </w:tcPr>
          <w:p w14:paraId="165B62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15EA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3F00DF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5974" w:type="dxa"/>
            <w:noWrap w:val="0"/>
            <w:vAlign w:val="center"/>
          </w:tcPr>
          <w:p w14:paraId="24663A78">
            <w:pPr>
              <w:pStyle w:val="62"/>
              <w:keepNext w:val="0"/>
              <w:keepLines w:val="0"/>
              <w:pageBreakBefore w:val="0"/>
              <w:widowControl w:val="0"/>
              <w:numPr>
                <w:ilvl w:val="0"/>
                <w:numId w:val="0"/>
              </w:numPr>
              <w:kinsoku/>
              <w:wordWrap/>
              <w:overflowPunct/>
              <w:topLinePunct w:val="0"/>
              <w:autoSpaceDE/>
              <w:autoSpaceDN/>
              <w:bidi w:val="0"/>
              <w:spacing w:line="240" w:lineRule="auto"/>
              <w:ind w:left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管理制度</w:t>
            </w:r>
          </w:p>
        </w:tc>
        <w:tc>
          <w:tcPr>
            <w:tcW w:w="680" w:type="dxa"/>
            <w:noWrap w:val="0"/>
            <w:vAlign w:val="center"/>
          </w:tcPr>
          <w:p w14:paraId="45579F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78" w:type="dxa"/>
            <w:noWrap w:val="0"/>
            <w:vAlign w:val="center"/>
          </w:tcPr>
          <w:p w14:paraId="2E72C4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p>
        </w:tc>
        <w:tc>
          <w:tcPr>
            <w:tcW w:w="1295" w:type="dxa"/>
            <w:noWrap w:val="0"/>
            <w:vAlign w:val="center"/>
          </w:tcPr>
          <w:p w14:paraId="176BB9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2B89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27F6C3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7.1</w:t>
            </w:r>
          </w:p>
        </w:tc>
        <w:tc>
          <w:tcPr>
            <w:tcW w:w="5974" w:type="dxa"/>
            <w:noWrap w:val="0"/>
            <w:vAlign w:val="center"/>
          </w:tcPr>
          <w:p w14:paraId="7FA07694">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服务质量保障制度等，</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680" w:type="dxa"/>
            <w:noWrap w:val="0"/>
            <w:vAlign w:val="center"/>
          </w:tcPr>
          <w:p w14:paraId="694A75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14:paraId="1D8B0F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5AFCD8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630A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0A4CEB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7.2</w:t>
            </w:r>
          </w:p>
        </w:tc>
        <w:tc>
          <w:tcPr>
            <w:tcW w:w="5974" w:type="dxa"/>
            <w:noWrap w:val="0"/>
            <w:vAlign w:val="center"/>
          </w:tcPr>
          <w:p w14:paraId="3E227CE7">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档案管理制度，</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680" w:type="dxa"/>
            <w:noWrap w:val="0"/>
            <w:vAlign w:val="center"/>
          </w:tcPr>
          <w:p w14:paraId="3E73C5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14:paraId="71D44B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04B736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5FD1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63A6E3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7.3</w:t>
            </w:r>
          </w:p>
        </w:tc>
        <w:tc>
          <w:tcPr>
            <w:tcW w:w="5974" w:type="dxa"/>
            <w:noWrap w:val="0"/>
            <w:vAlign w:val="center"/>
          </w:tcPr>
          <w:p w14:paraId="6AE6CEA3">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及时反馈与处理机制制度，</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680" w:type="dxa"/>
            <w:noWrap w:val="0"/>
            <w:vAlign w:val="center"/>
          </w:tcPr>
          <w:p w14:paraId="023876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14:paraId="578052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1D3873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4A8B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692A7B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7.4</w:t>
            </w:r>
          </w:p>
        </w:tc>
        <w:tc>
          <w:tcPr>
            <w:tcW w:w="5974" w:type="dxa"/>
            <w:noWrap w:val="0"/>
            <w:vAlign w:val="center"/>
          </w:tcPr>
          <w:p w14:paraId="7DF5BB76">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管理指标达到管理标准的实现方案。</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方案的可行性、与项目的匹配性进行评分。方案可行，项目匹配度好的得2分；方案一般，项目匹配度一般的得1分；方案不完整、与项目不匹配的不得分。</w:t>
            </w:r>
          </w:p>
        </w:tc>
        <w:tc>
          <w:tcPr>
            <w:tcW w:w="680" w:type="dxa"/>
            <w:noWrap w:val="0"/>
            <w:vAlign w:val="center"/>
          </w:tcPr>
          <w:p w14:paraId="5737F7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14:paraId="17381C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6833A9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044E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247488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5974" w:type="dxa"/>
            <w:noWrap w:val="0"/>
            <w:vAlign w:val="center"/>
          </w:tcPr>
          <w:p w14:paraId="3CF5EC3C">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项目平稳交接过渡方案，根据方案的</w:t>
            </w:r>
            <w:r>
              <w:rPr>
                <w:rFonts w:hint="eastAsia" w:ascii="仿宋" w:hAnsi="仿宋" w:eastAsia="仿宋" w:cs="仿宋"/>
                <w:color w:val="auto"/>
                <w:sz w:val="24"/>
                <w:szCs w:val="24"/>
                <w:highlight w:val="none"/>
                <w:lang w:val="en-US" w:eastAsia="zh-CN"/>
              </w:rPr>
              <w:t>可行性、与项目的匹配性进行评分。方案可行性、匹配性强的得3分；方案可行性、匹配性较好的得2分；方案可行性、匹配性存在不足得1分；其余不得分。</w:t>
            </w:r>
          </w:p>
        </w:tc>
        <w:tc>
          <w:tcPr>
            <w:tcW w:w="680" w:type="dxa"/>
            <w:noWrap w:val="0"/>
            <w:vAlign w:val="center"/>
          </w:tcPr>
          <w:p w14:paraId="66B14D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1CC1ED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759BDF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7CDD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7E03D9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c>
          <w:tcPr>
            <w:tcW w:w="5974" w:type="dxa"/>
            <w:noWrap w:val="0"/>
            <w:vAlign w:val="center"/>
          </w:tcPr>
          <w:p w14:paraId="3677161A">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人员培训方案，包括岗前培训、跟班实训、日常训练响应方案，培训讲师情况（讲师需是退伍军人或持有保安员高级、技师职业资格证等）、培训场所情况（提供证明文件，如自有或场地租赁合同、平面图等复印件）、培训教材。</w:t>
            </w:r>
            <w:r>
              <w:rPr>
                <w:rFonts w:hint="eastAsia" w:ascii="仿宋" w:hAnsi="仿宋" w:eastAsia="仿宋" w:cs="仿宋"/>
                <w:bCs/>
                <w:color w:val="auto"/>
                <w:sz w:val="24"/>
                <w:szCs w:val="24"/>
                <w:highlight w:val="none"/>
                <w:lang w:val="en-US" w:eastAsia="zh-CN"/>
              </w:rPr>
              <w:t>根据方案的</w:t>
            </w:r>
            <w:r>
              <w:rPr>
                <w:rFonts w:hint="eastAsia" w:ascii="仿宋" w:hAnsi="仿宋" w:eastAsia="仿宋" w:cs="仿宋"/>
                <w:color w:val="auto"/>
                <w:sz w:val="24"/>
                <w:szCs w:val="24"/>
                <w:highlight w:val="none"/>
                <w:lang w:val="en-US" w:eastAsia="zh-CN"/>
              </w:rPr>
              <w:t>可行性、与项目的匹配性进行评分。方案可行性、匹配性强的得3分；方案可行性、匹配性较好的得2分；方案可行性、匹配性存在不足得1分；其余不得分。</w:t>
            </w:r>
          </w:p>
        </w:tc>
        <w:tc>
          <w:tcPr>
            <w:tcW w:w="680" w:type="dxa"/>
            <w:noWrap w:val="0"/>
            <w:vAlign w:val="center"/>
          </w:tcPr>
          <w:p w14:paraId="6B8D3C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21EAD7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538D09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3941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6CE623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5974" w:type="dxa"/>
            <w:noWrap w:val="0"/>
            <w:vAlign w:val="center"/>
          </w:tcPr>
          <w:p w14:paraId="7249D291">
            <w:pPr>
              <w:pStyle w:val="62"/>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应急预案，根据各投标人针对突发性事件，如自然灾害、事故灾难、公共卫生事件以及社会安全事件等，应急人员配备及应急响应时间等情况的应对方案的</w:t>
            </w:r>
            <w:r>
              <w:rPr>
                <w:rFonts w:hint="eastAsia" w:ascii="仿宋" w:hAnsi="仿宋" w:eastAsia="仿宋" w:cs="仿宋"/>
                <w:color w:val="auto"/>
                <w:sz w:val="24"/>
                <w:szCs w:val="24"/>
                <w:highlight w:val="none"/>
                <w:lang w:val="en-US" w:eastAsia="zh-CN"/>
              </w:rPr>
              <w:t>全面性、针对性以及符合采购需求情况等进行打分。方案全面，针对性强的得3分；方案基本可行，针对性较强的得2分；方案一般，基本满足采购需求的得1分；方案不完整、与项目不匹配的不得分。</w:t>
            </w:r>
          </w:p>
        </w:tc>
        <w:tc>
          <w:tcPr>
            <w:tcW w:w="680" w:type="dxa"/>
            <w:noWrap w:val="0"/>
            <w:vAlign w:val="center"/>
          </w:tcPr>
          <w:p w14:paraId="2DDDF4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8" w:type="dxa"/>
            <w:noWrap w:val="0"/>
            <w:vAlign w:val="center"/>
          </w:tcPr>
          <w:p w14:paraId="1D39FA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1A52A1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r w14:paraId="6442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3" w:type="dxa"/>
            <w:noWrap w:val="0"/>
            <w:vAlign w:val="center"/>
          </w:tcPr>
          <w:p w14:paraId="4B70D5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w:t>
            </w:r>
          </w:p>
        </w:tc>
        <w:tc>
          <w:tcPr>
            <w:tcW w:w="5974" w:type="dxa"/>
            <w:noWrap w:val="0"/>
            <w:vAlign w:val="center"/>
          </w:tcPr>
          <w:p w14:paraId="1D6CF07B">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针对项目特点及需求，本项目重点、难点进行分析并提出相应解决措施。</w:t>
            </w:r>
            <w:r>
              <w:rPr>
                <w:rFonts w:hint="eastAsia" w:ascii="仿宋" w:hAnsi="仿宋" w:eastAsia="仿宋" w:cs="仿宋"/>
                <w:color w:val="auto"/>
                <w:sz w:val="24"/>
                <w:szCs w:val="24"/>
                <w:highlight w:val="none"/>
                <w:lang w:val="en-US" w:eastAsia="zh-CN"/>
              </w:rPr>
              <w:t>方案合理，符合采购需求，针对性强的得2分；方案基本可行、符合采购需求，针对性较强的得1.5分；方案一般，基本符合采购需求，针对性一般的得1分；方案不完整、不符合采购需求，没有针对性的不得分。</w:t>
            </w:r>
          </w:p>
        </w:tc>
        <w:tc>
          <w:tcPr>
            <w:tcW w:w="680" w:type="dxa"/>
            <w:noWrap w:val="0"/>
            <w:vAlign w:val="center"/>
          </w:tcPr>
          <w:p w14:paraId="50C6BD06">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8" w:type="dxa"/>
            <w:noWrap w:val="0"/>
            <w:vAlign w:val="center"/>
          </w:tcPr>
          <w:p w14:paraId="635772FE">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295" w:type="dxa"/>
            <w:noWrap w:val="0"/>
            <w:vAlign w:val="center"/>
          </w:tcPr>
          <w:p w14:paraId="0BC4B1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color w:val="auto"/>
                <w:sz w:val="24"/>
                <w:szCs w:val="24"/>
                <w:highlight w:val="none"/>
                <w:lang w:val="en-US" w:eastAsia="zh-CN"/>
              </w:rPr>
            </w:pPr>
          </w:p>
        </w:tc>
      </w:tr>
    </w:tbl>
    <w:p w14:paraId="7A409D63">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p>
    <w:p w14:paraId="4703B1CB">
      <w:pPr>
        <w:snapToGrid w:val="0"/>
        <w:spacing w:line="360" w:lineRule="auto"/>
        <w:rPr>
          <w:rFonts w:hint="eastAsia" w:ascii="仿宋" w:hAnsi="仿宋" w:eastAsia="仿宋" w:cs="仿宋"/>
          <w:color w:val="auto"/>
          <w:sz w:val="24"/>
          <w:highlight w:val="none"/>
        </w:rPr>
      </w:pPr>
    </w:p>
    <w:p w14:paraId="05C3964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报价部分（权重为</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p>
    <w:p w14:paraId="4784EE7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有效投标报价的最低价作为评标基准价，其最低报价为满分；按［投标报价得分=（评标基准价/投标报价）*权重］的计算公式计算。</w:t>
      </w:r>
    </w:p>
    <w:p w14:paraId="135B1D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3F93DB0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因落实政府采购政策需要进行价格调整的，以调整后的价格计算评标基准价和投标报价。（因专门面向中小企业，价格调整在本次项目不适用）</w:t>
      </w:r>
    </w:p>
    <w:p w14:paraId="017716DB">
      <w:pPr>
        <w:pStyle w:val="20"/>
        <w:rPr>
          <w:rFonts w:hint="eastAsia" w:ascii="仿宋" w:hAnsi="仿宋" w:eastAsia="仿宋" w:cs="仿宋"/>
          <w:color w:val="auto"/>
          <w:highlight w:val="none"/>
        </w:rPr>
      </w:pPr>
    </w:p>
    <w:p w14:paraId="00EFA6FA">
      <w:pPr>
        <w:pStyle w:val="18"/>
        <w:rPr>
          <w:rFonts w:hint="eastAsia" w:ascii="仿宋" w:hAnsi="仿宋" w:eastAsia="仿宋" w:cs="仿宋"/>
          <w:b/>
          <w:color w:val="auto"/>
          <w:sz w:val="32"/>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0C02616F">
      <w:pPr>
        <w:rPr>
          <w:rFonts w:hint="eastAsia" w:ascii="仿宋" w:hAnsi="仿宋" w:eastAsia="仿宋" w:cs="仿宋"/>
          <w:b/>
          <w:color w:val="auto"/>
          <w:sz w:val="32"/>
          <w:highlight w:val="none"/>
        </w:rPr>
      </w:pPr>
    </w:p>
    <w:p w14:paraId="0DE73CE4">
      <w:pPr>
        <w:keepNext w:val="0"/>
        <w:keepLines w:val="0"/>
        <w:pageBreakBefore w:val="0"/>
        <w:widowControl w:val="0"/>
        <w:numPr>
          <w:ilvl w:val="0"/>
          <w:numId w:val="4"/>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 w:hAnsi="仿宋" w:eastAsia="仿宋" w:cs="仿宋"/>
          <w:b/>
          <w:color w:val="auto"/>
          <w:sz w:val="28"/>
          <w:szCs w:val="28"/>
          <w:highlight w:val="none"/>
        </w:rPr>
      </w:pPr>
      <w:bookmarkStart w:id="103" w:name="_Toc9192"/>
      <w:r>
        <w:rPr>
          <w:rFonts w:hint="eastAsia" w:ascii="仿宋" w:hAnsi="仿宋" w:eastAsia="仿宋" w:cs="仿宋"/>
          <w:color w:val="auto"/>
          <w:sz w:val="24"/>
          <w:szCs w:val="24"/>
          <w:highlight w:val="none"/>
        </w:rPr>
        <w:br w:type="page"/>
      </w:r>
      <w:bookmarkEnd w:id="103"/>
      <w:bookmarkStart w:id="104" w:name="_Toc28508"/>
      <w:bookmarkStart w:id="105" w:name="_Toc14163"/>
      <w:bookmarkStart w:id="106" w:name="_Toc19686"/>
      <w:r>
        <w:rPr>
          <w:rFonts w:hint="eastAsia" w:ascii="仿宋" w:hAnsi="仿宋" w:eastAsia="仿宋" w:cs="仿宋"/>
          <w:b/>
          <w:color w:val="auto"/>
          <w:sz w:val="28"/>
          <w:szCs w:val="28"/>
          <w:highlight w:val="none"/>
        </w:rPr>
        <w:t>评标方法</w:t>
      </w:r>
      <w:bookmarkEnd w:id="104"/>
      <w:bookmarkEnd w:id="105"/>
      <w:bookmarkEnd w:id="106"/>
    </w:p>
    <w:p w14:paraId="7A0E1DB6">
      <w:pPr>
        <w:numPr>
          <w:ilvl w:val="0"/>
          <w:numId w:val="5"/>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6343379">
      <w:pPr>
        <w:numPr>
          <w:ilvl w:val="0"/>
          <w:numId w:val="4"/>
        </w:numPr>
        <w:adjustRightInd w:val="0"/>
        <w:snapToGrid w:val="0"/>
        <w:spacing w:before="120" w:beforeLines="50" w:after="120" w:afterLines="50" w:line="360" w:lineRule="auto"/>
        <w:ind w:firstLine="0"/>
        <w:jc w:val="left"/>
        <w:outlineLvl w:val="1"/>
        <w:rPr>
          <w:rFonts w:hint="eastAsia" w:ascii="仿宋" w:hAnsi="仿宋" w:eastAsia="仿宋" w:cs="仿宋"/>
          <w:b/>
          <w:color w:val="auto"/>
          <w:sz w:val="28"/>
          <w:szCs w:val="28"/>
          <w:highlight w:val="none"/>
        </w:rPr>
      </w:pPr>
      <w:bookmarkStart w:id="107" w:name="_Toc9220"/>
      <w:bookmarkStart w:id="108" w:name="_Toc9518"/>
      <w:bookmarkStart w:id="109" w:name="_Toc19233"/>
      <w:bookmarkStart w:id="110" w:name="_Toc25354"/>
      <w:bookmarkStart w:id="111" w:name="_Toc5897"/>
      <w:r>
        <w:rPr>
          <w:rFonts w:hint="eastAsia" w:ascii="仿宋" w:hAnsi="仿宋" w:eastAsia="仿宋" w:cs="仿宋"/>
          <w:b/>
          <w:color w:val="auto"/>
          <w:sz w:val="28"/>
          <w:szCs w:val="28"/>
          <w:highlight w:val="none"/>
        </w:rPr>
        <w:t>评标标准</w:t>
      </w:r>
      <w:bookmarkEnd w:id="107"/>
      <w:bookmarkEnd w:id="108"/>
      <w:bookmarkEnd w:id="109"/>
      <w:bookmarkEnd w:id="110"/>
      <w:bookmarkEnd w:id="111"/>
    </w:p>
    <w:p w14:paraId="0953FC13">
      <w:pPr>
        <w:numPr>
          <w:ilvl w:val="0"/>
          <w:numId w:val="5"/>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评标标准：</w:t>
      </w:r>
      <w:r>
        <w:rPr>
          <w:rFonts w:hint="eastAsia" w:ascii="仿宋" w:hAnsi="仿宋" w:eastAsia="仿宋" w:cs="仿宋"/>
          <w:color w:val="auto"/>
          <w:kern w:val="0"/>
          <w:sz w:val="24"/>
          <w:highlight w:val="none"/>
        </w:rPr>
        <w:t>见评标办法前附表。</w:t>
      </w:r>
    </w:p>
    <w:p w14:paraId="406EB72B">
      <w:pPr>
        <w:numPr>
          <w:ilvl w:val="0"/>
          <w:numId w:val="4"/>
        </w:numPr>
        <w:adjustRightInd w:val="0"/>
        <w:snapToGrid w:val="0"/>
        <w:spacing w:before="120" w:beforeLines="50" w:after="120" w:afterLines="50" w:line="360" w:lineRule="auto"/>
        <w:ind w:firstLine="0"/>
        <w:jc w:val="left"/>
        <w:outlineLvl w:val="1"/>
        <w:rPr>
          <w:rFonts w:hint="eastAsia" w:ascii="仿宋" w:hAnsi="仿宋" w:eastAsia="仿宋" w:cs="仿宋"/>
          <w:b/>
          <w:color w:val="auto"/>
          <w:sz w:val="28"/>
          <w:szCs w:val="28"/>
          <w:highlight w:val="none"/>
        </w:rPr>
      </w:pPr>
      <w:bookmarkStart w:id="112" w:name="_Toc10741"/>
      <w:bookmarkStart w:id="113" w:name="_Toc17122"/>
      <w:bookmarkStart w:id="114" w:name="_Toc26738"/>
      <w:bookmarkStart w:id="115" w:name="_Toc1897"/>
      <w:bookmarkStart w:id="116" w:name="_Toc4050"/>
      <w:r>
        <w:rPr>
          <w:rFonts w:hint="eastAsia" w:ascii="仿宋" w:hAnsi="仿宋" w:eastAsia="仿宋" w:cs="仿宋"/>
          <w:b/>
          <w:color w:val="auto"/>
          <w:sz w:val="28"/>
          <w:szCs w:val="28"/>
          <w:highlight w:val="none"/>
        </w:rPr>
        <w:t>评标程序</w:t>
      </w:r>
      <w:bookmarkEnd w:id="112"/>
      <w:bookmarkEnd w:id="113"/>
      <w:bookmarkEnd w:id="114"/>
      <w:bookmarkEnd w:id="115"/>
      <w:bookmarkEnd w:id="116"/>
    </w:p>
    <w:p w14:paraId="4158849E">
      <w:pPr>
        <w:numPr>
          <w:ilvl w:val="1"/>
          <w:numId w:val="6"/>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3289999">
      <w:pPr>
        <w:numPr>
          <w:ilvl w:val="1"/>
          <w:numId w:val="6"/>
        </w:numPr>
        <w:tabs>
          <w:tab w:val="left" w:pos="210"/>
        </w:tabs>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B5D5DAA">
      <w:pPr>
        <w:numPr>
          <w:ilvl w:val="1"/>
          <w:numId w:val="6"/>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62A3D8B">
      <w:pPr>
        <w:tabs>
          <w:tab w:val="left" w:pos="210"/>
        </w:tabs>
        <w:spacing w:line="360" w:lineRule="auto"/>
        <w:ind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19CB499C">
      <w:pPr>
        <w:numPr>
          <w:ilvl w:val="1"/>
          <w:numId w:val="6"/>
        </w:numPr>
        <w:tabs>
          <w:tab w:val="left" w:pos="210"/>
        </w:tabs>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报价评审。</w:t>
      </w:r>
    </w:p>
    <w:p w14:paraId="1D331C74">
      <w:pPr>
        <w:numPr>
          <w:ilvl w:val="2"/>
          <w:numId w:val="6"/>
        </w:numPr>
        <w:tabs>
          <w:tab w:val="left" w:pos="210"/>
        </w:tabs>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投标文件报价出现前后不一致的，按照下列规定修正：</w:t>
      </w:r>
    </w:p>
    <w:p w14:paraId="0D163CCB">
      <w:pPr>
        <w:numPr>
          <w:ilvl w:val="3"/>
          <w:numId w:val="6"/>
        </w:numPr>
        <w:tabs>
          <w:tab w:val="left" w:pos="210"/>
          <w:tab w:val="left" w:pos="1050"/>
        </w:tabs>
        <w:spacing w:line="360" w:lineRule="auto"/>
        <w:ind w:left="1050" w:hanging="10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投标文件中开标一览表(报价表)内容与投标文件中相应内容不一致的，以开标一览表(报价表)为准;</w:t>
      </w:r>
    </w:p>
    <w:p w14:paraId="391B12F1">
      <w:pPr>
        <w:numPr>
          <w:ilvl w:val="3"/>
          <w:numId w:val="6"/>
        </w:numPr>
        <w:tabs>
          <w:tab w:val="left" w:pos="210"/>
          <w:tab w:val="left" w:pos="1050"/>
        </w:tabs>
        <w:spacing w:line="360" w:lineRule="auto"/>
        <w:ind w:left="1050" w:hanging="10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大写金额和小写金额不一致的，以大写金额为准;</w:t>
      </w:r>
    </w:p>
    <w:p w14:paraId="5A1BD62D">
      <w:pPr>
        <w:numPr>
          <w:ilvl w:val="3"/>
          <w:numId w:val="6"/>
        </w:numPr>
        <w:tabs>
          <w:tab w:val="left" w:pos="210"/>
          <w:tab w:val="left" w:pos="1050"/>
        </w:tabs>
        <w:spacing w:line="360" w:lineRule="auto"/>
        <w:ind w:left="1050" w:hanging="10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单价金额小数点或者百分比有明显错位的，以开标一览表的总价为准，并修改单价;</w:t>
      </w:r>
    </w:p>
    <w:p w14:paraId="70B13C4F">
      <w:pPr>
        <w:numPr>
          <w:ilvl w:val="3"/>
          <w:numId w:val="6"/>
        </w:numPr>
        <w:tabs>
          <w:tab w:val="left" w:pos="210"/>
          <w:tab w:val="left" w:pos="1050"/>
        </w:tabs>
        <w:spacing w:line="360" w:lineRule="auto"/>
        <w:ind w:left="1050" w:hanging="10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总价金额与按单价汇总金额不一致的，以单价金额计算结果为准。</w:t>
      </w:r>
    </w:p>
    <w:p w14:paraId="60131A1D">
      <w:pPr>
        <w:numPr>
          <w:ilvl w:val="3"/>
          <w:numId w:val="6"/>
        </w:numPr>
        <w:tabs>
          <w:tab w:val="left" w:pos="210"/>
          <w:tab w:val="left" w:pos="1050"/>
        </w:tabs>
        <w:spacing w:line="360" w:lineRule="auto"/>
        <w:ind w:left="1050" w:hanging="10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11201FBB">
      <w:pPr>
        <w:numPr>
          <w:ilvl w:val="2"/>
          <w:numId w:val="6"/>
        </w:numPr>
        <w:tabs>
          <w:tab w:val="left" w:pos="210"/>
        </w:tabs>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投标文件出现不是唯一的、有选择性投标报价的，投标无效。</w:t>
      </w:r>
    </w:p>
    <w:p w14:paraId="450CE59E">
      <w:pPr>
        <w:numPr>
          <w:ilvl w:val="2"/>
          <w:numId w:val="6"/>
        </w:numPr>
        <w:tabs>
          <w:tab w:val="left" w:pos="210"/>
        </w:tabs>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投标报价超过招标文件中规定的预算金额或者最高限价的，投标无效。</w:t>
      </w:r>
    </w:p>
    <w:p w14:paraId="14CEB14A">
      <w:pPr>
        <w:numPr>
          <w:ilvl w:val="2"/>
          <w:numId w:val="6"/>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DE99E34">
      <w:pPr>
        <w:numPr>
          <w:ilvl w:val="2"/>
          <w:numId w:val="6"/>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0"/>
          <w:sz w:val="24"/>
          <w:highlight w:val="none"/>
        </w:rPr>
        <w:t>10%</w:t>
      </w:r>
      <w:r>
        <w:rPr>
          <w:rFonts w:hint="eastAsia" w:ascii="仿宋" w:hAnsi="仿宋" w:eastAsia="仿宋" w:cs="仿宋"/>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kern w:val="0"/>
          <w:sz w:val="24"/>
          <w:highlight w:val="none"/>
        </w:rPr>
        <w:t>4%</w:t>
      </w:r>
      <w:r>
        <w:rPr>
          <w:rFonts w:hint="eastAsia" w:ascii="仿宋" w:hAnsi="仿宋" w:eastAsia="仿宋" w:cs="仿宋"/>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14:paraId="3CDFA7A1">
      <w:pPr>
        <w:numPr>
          <w:ilvl w:val="1"/>
          <w:numId w:val="6"/>
        </w:numPr>
        <w:tabs>
          <w:tab w:val="left" w:pos="210"/>
        </w:tabs>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排序与推荐。</w:t>
      </w:r>
    </w:p>
    <w:p w14:paraId="51275B5B">
      <w:pPr>
        <w:adjustRightInd w:val="0"/>
        <w:snapToGrid w:val="0"/>
        <w:spacing w:line="360" w:lineRule="auto"/>
        <w:ind w:firstLine="480" w:firstLineChars="20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389CF2">
      <w:pPr>
        <w:adjustRightInd w:val="0"/>
        <w:snapToGrid w:val="0"/>
        <w:spacing w:line="360" w:lineRule="auto"/>
        <w:ind w:firstLine="482" w:firstLineChars="200"/>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b/>
          <w:bCs/>
          <w:color w:val="auto"/>
          <w:kern w:val="0"/>
          <w:sz w:val="24"/>
          <w:highlight w:val="none"/>
          <w:lang w:val="en-US" w:eastAsia="zh-CN"/>
        </w:rPr>
        <w:t>注：</w:t>
      </w:r>
      <w:r>
        <w:rPr>
          <w:rFonts w:hint="eastAsia" w:ascii="仿宋" w:hAnsi="仿宋" w:eastAsia="仿宋" w:cs="仿宋"/>
          <w:b/>
          <w:bCs/>
          <w:color w:val="auto"/>
          <w:kern w:val="0"/>
          <w:sz w:val="24"/>
          <w:highlight w:val="none"/>
          <w:lang w:eastAsia="zh-CN"/>
        </w:rPr>
        <w:t>采购文件中未特别说明的，评标委员会推荐的中标候选人数量为</w:t>
      </w:r>
      <w:r>
        <w:rPr>
          <w:rFonts w:hint="eastAsia" w:ascii="仿宋" w:hAnsi="仿宋" w:eastAsia="仿宋" w:cs="仿宋"/>
          <w:b/>
          <w:bCs/>
          <w:color w:val="auto"/>
          <w:kern w:val="0"/>
          <w:sz w:val="24"/>
          <w:highlight w:val="none"/>
          <w:lang w:val="en-US" w:eastAsia="zh-CN"/>
        </w:rPr>
        <w:t>1名。</w:t>
      </w:r>
    </w:p>
    <w:p w14:paraId="6E4A1ED3">
      <w:pPr>
        <w:numPr>
          <w:ilvl w:val="1"/>
          <w:numId w:val="6"/>
        </w:numPr>
        <w:tabs>
          <w:tab w:val="left" w:pos="210"/>
        </w:tabs>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评分时保留小数点后1位小数</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客观分有2位小数的可保留2位</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rPr>
        <w:t>，计算评分值时保留小数点后2位小数。</w:t>
      </w:r>
    </w:p>
    <w:p w14:paraId="52AC2297">
      <w:pPr>
        <w:numPr>
          <w:ilvl w:val="1"/>
          <w:numId w:val="6"/>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CB5B72">
      <w:pPr>
        <w:numPr>
          <w:ilvl w:val="0"/>
          <w:numId w:val="4"/>
        </w:numPr>
        <w:adjustRightInd w:val="0"/>
        <w:snapToGrid w:val="0"/>
        <w:spacing w:before="120" w:beforeLines="50" w:after="120" w:afterLines="50" w:line="360" w:lineRule="auto"/>
        <w:ind w:firstLine="0"/>
        <w:jc w:val="left"/>
        <w:outlineLvl w:val="1"/>
        <w:rPr>
          <w:rFonts w:hint="eastAsia" w:ascii="仿宋" w:hAnsi="仿宋" w:eastAsia="仿宋" w:cs="仿宋"/>
          <w:b/>
          <w:color w:val="auto"/>
          <w:sz w:val="28"/>
          <w:szCs w:val="28"/>
          <w:highlight w:val="none"/>
        </w:rPr>
      </w:pPr>
      <w:bookmarkStart w:id="117" w:name="_Toc25049"/>
      <w:bookmarkStart w:id="118" w:name="_Toc5821"/>
      <w:bookmarkStart w:id="119" w:name="_Toc16391"/>
      <w:bookmarkStart w:id="120" w:name="_Toc6871"/>
      <w:bookmarkStart w:id="121" w:name="_Toc14486"/>
      <w:r>
        <w:rPr>
          <w:rFonts w:hint="eastAsia" w:ascii="仿宋" w:hAnsi="仿宋" w:eastAsia="仿宋" w:cs="仿宋"/>
          <w:b/>
          <w:color w:val="auto"/>
          <w:sz w:val="28"/>
          <w:szCs w:val="28"/>
          <w:highlight w:val="none"/>
        </w:rPr>
        <w:t>评标中的其他事项</w:t>
      </w:r>
      <w:bookmarkEnd w:id="117"/>
      <w:bookmarkEnd w:id="118"/>
      <w:bookmarkEnd w:id="119"/>
      <w:bookmarkEnd w:id="120"/>
      <w:bookmarkEnd w:id="121"/>
    </w:p>
    <w:p w14:paraId="6B8BFDDF">
      <w:pPr>
        <w:numPr>
          <w:ilvl w:val="1"/>
          <w:numId w:val="7"/>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45BCA09">
      <w:pPr>
        <w:numPr>
          <w:ilvl w:val="1"/>
          <w:numId w:val="7"/>
        </w:numPr>
        <w:tabs>
          <w:tab w:val="left" w:pos="210"/>
        </w:tabs>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投标无效。有下列情况之一的，投标无效：</w:t>
      </w:r>
    </w:p>
    <w:p w14:paraId="0786C50F">
      <w:pPr>
        <w:numPr>
          <w:ilvl w:val="2"/>
          <w:numId w:val="7"/>
        </w:numPr>
        <w:tabs>
          <w:tab w:val="left" w:pos="210"/>
          <w:tab w:val="left" w:pos="840"/>
        </w:tabs>
        <w:spacing w:line="360" w:lineRule="auto"/>
        <w:ind w:left="829" w:hanging="82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投标人不具备招标文件中规定的资格要求的（投标人未提供有效的资格文件的，视为投标人不具备招标文件中规定的资格要求）；</w:t>
      </w:r>
    </w:p>
    <w:p w14:paraId="6B941949">
      <w:pPr>
        <w:numPr>
          <w:ilvl w:val="2"/>
          <w:numId w:val="7"/>
        </w:numPr>
        <w:tabs>
          <w:tab w:val="left" w:pos="210"/>
          <w:tab w:val="left" w:pos="840"/>
        </w:tabs>
        <w:spacing w:line="360" w:lineRule="auto"/>
        <w:ind w:left="829" w:hanging="82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投标文件未按照招标文件要求签署、盖章的；</w:t>
      </w:r>
    </w:p>
    <w:p w14:paraId="1F4272ED">
      <w:pPr>
        <w:numPr>
          <w:ilvl w:val="2"/>
          <w:numId w:val="7"/>
        </w:numPr>
        <w:tabs>
          <w:tab w:val="left" w:pos="210"/>
          <w:tab w:val="left" w:pos="840"/>
        </w:tabs>
        <w:spacing w:line="360" w:lineRule="auto"/>
        <w:ind w:left="829" w:hanging="82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采购人拟采购的产品属于政府强制采购的节能产品品目清单范围的，投标人未按招标文件要求提供国家确定的认证机构出具的、处于有效期之内的节能产品认证证书的；</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本项目不适用</w:t>
      </w:r>
      <w:r>
        <w:rPr>
          <w:rFonts w:hint="eastAsia" w:ascii="仿宋" w:hAnsi="仿宋" w:eastAsia="仿宋" w:cs="仿宋"/>
          <w:b/>
          <w:bCs/>
          <w:color w:val="auto"/>
          <w:kern w:val="0"/>
          <w:sz w:val="24"/>
          <w:highlight w:val="none"/>
          <w:lang w:eastAsia="zh-CN"/>
        </w:rPr>
        <w:t>）</w:t>
      </w:r>
    </w:p>
    <w:p w14:paraId="32D711A8">
      <w:pPr>
        <w:numPr>
          <w:ilvl w:val="2"/>
          <w:numId w:val="7"/>
        </w:numPr>
        <w:tabs>
          <w:tab w:val="left" w:pos="210"/>
          <w:tab w:val="left" w:pos="840"/>
        </w:tabs>
        <w:spacing w:line="360" w:lineRule="auto"/>
        <w:ind w:left="829" w:hanging="82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投标文件含有采购人不能接受的附加条件的；</w:t>
      </w:r>
    </w:p>
    <w:p w14:paraId="7E9F184D">
      <w:pPr>
        <w:numPr>
          <w:ilvl w:val="2"/>
          <w:numId w:val="7"/>
        </w:numPr>
        <w:tabs>
          <w:tab w:val="left" w:pos="210"/>
          <w:tab w:val="left" w:pos="840"/>
        </w:tabs>
        <w:spacing w:line="360" w:lineRule="auto"/>
        <w:ind w:left="829" w:hanging="82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投标文件中承诺的投标有效期少于招标文件中载明的投标有效期的；</w:t>
      </w:r>
    </w:p>
    <w:p w14:paraId="09B58862">
      <w:pPr>
        <w:numPr>
          <w:ilvl w:val="2"/>
          <w:numId w:val="7"/>
        </w:numPr>
        <w:tabs>
          <w:tab w:val="left" w:pos="210"/>
          <w:tab w:val="left" w:pos="840"/>
        </w:tabs>
        <w:spacing w:line="360" w:lineRule="auto"/>
        <w:ind w:left="829" w:hanging="82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投标文件出现不是唯一的、有选择性投标报价的;</w:t>
      </w:r>
    </w:p>
    <w:p w14:paraId="481B5844">
      <w:pPr>
        <w:numPr>
          <w:ilvl w:val="2"/>
          <w:numId w:val="7"/>
        </w:numPr>
        <w:tabs>
          <w:tab w:val="left" w:pos="210"/>
          <w:tab w:val="left" w:pos="840"/>
        </w:tabs>
        <w:spacing w:line="360" w:lineRule="auto"/>
        <w:ind w:left="829" w:hanging="82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投标报价超过招标文件中规定的预算金额或者最高限价的;</w:t>
      </w:r>
    </w:p>
    <w:p w14:paraId="248D807B">
      <w:pPr>
        <w:numPr>
          <w:ilvl w:val="2"/>
          <w:numId w:val="7"/>
        </w:numPr>
        <w:tabs>
          <w:tab w:val="left" w:pos="210"/>
          <w:tab w:val="left" w:pos="840"/>
        </w:tabs>
        <w:spacing w:line="360" w:lineRule="auto"/>
        <w:ind w:left="829" w:hanging="82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730A67A8">
      <w:pPr>
        <w:numPr>
          <w:ilvl w:val="2"/>
          <w:numId w:val="7"/>
        </w:numPr>
        <w:tabs>
          <w:tab w:val="left" w:pos="210"/>
          <w:tab w:val="left" w:pos="840"/>
        </w:tabs>
        <w:spacing w:line="360" w:lineRule="auto"/>
        <w:ind w:left="829" w:hanging="82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投标人对根据修正原则修正后的报价不确认的；</w:t>
      </w:r>
    </w:p>
    <w:p w14:paraId="6962EC72">
      <w:pPr>
        <w:numPr>
          <w:ilvl w:val="2"/>
          <w:numId w:val="7"/>
        </w:numPr>
        <w:tabs>
          <w:tab w:val="left" w:pos="210"/>
          <w:tab w:val="left" w:pos="840"/>
          <w:tab w:val="left" w:pos="1050"/>
          <w:tab w:val="left" w:pos="1260"/>
        </w:tabs>
        <w:spacing w:line="360" w:lineRule="auto"/>
        <w:ind w:left="829" w:hanging="82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投标人提供虚假材料投标的；</w:t>
      </w:r>
    </w:p>
    <w:p w14:paraId="1F9BC53A">
      <w:pPr>
        <w:numPr>
          <w:ilvl w:val="2"/>
          <w:numId w:val="7"/>
        </w:numPr>
        <w:tabs>
          <w:tab w:val="left" w:pos="210"/>
          <w:tab w:val="left" w:pos="840"/>
          <w:tab w:val="left" w:pos="1050"/>
          <w:tab w:val="left" w:pos="1260"/>
        </w:tabs>
        <w:spacing w:line="360" w:lineRule="auto"/>
        <w:ind w:left="1049" w:hanging="104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投标人有恶意串通、妨碍其他投标人的竞争行为、损害采购人或者其他投标人的合法权益情形的；</w:t>
      </w:r>
    </w:p>
    <w:p w14:paraId="122F5548">
      <w:pPr>
        <w:numPr>
          <w:ilvl w:val="2"/>
          <w:numId w:val="7"/>
        </w:numPr>
        <w:tabs>
          <w:tab w:val="left" w:pos="210"/>
          <w:tab w:val="left" w:pos="840"/>
          <w:tab w:val="left" w:pos="1050"/>
          <w:tab w:val="left" w:pos="1260"/>
        </w:tabs>
        <w:spacing w:line="360" w:lineRule="auto"/>
        <w:ind w:left="1049" w:hanging="104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投标人仅提交备份投标文件，没有在电子交易平台传输递交投标文件的，投标无效；</w:t>
      </w:r>
    </w:p>
    <w:p w14:paraId="162F0287">
      <w:pPr>
        <w:numPr>
          <w:ilvl w:val="2"/>
          <w:numId w:val="7"/>
        </w:numPr>
        <w:tabs>
          <w:tab w:val="left" w:pos="210"/>
          <w:tab w:val="left" w:pos="840"/>
          <w:tab w:val="left" w:pos="1050"/>
          <w:tab w:val="left" w:pos="1260"/>
        </w:tabs>
        <w:spacing w:line="360" w:lineRule="auto"/>
        <w:ind w:left="1049" w:hanging="104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投标文件不满足招标文件的其它实质性要求的；</w:t>
      </w:r>
    </w:p>
    <w:p w14:paraId="50A1BC17">
      <w:pPr>
        <w:numPr>
          <w:ilvl w:val="2"/>
          <w:numId w:val="7"/>
        </w:numPr>
        <w:tabs>
          <w:tab w:val="left" w:pos="210"/>
          <w:tab w:val="left" w:pos="840"/>
          <w:tab w:val="left" w:pos="1050"/>
          <w:tab w:val="left" w:pos="1260"/>
        </w:tabs>
        <w:spacing w:line="360" w:lineRule="auto"/>
        <w:ind w:left="1049" w:hanging="104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法律、法规、规章（适用本市的）及省级以上规范性文件（适用本市的）规定的其他无效情形。</w:t>
      </w:r>
    </w:p>
    <w:p w14:paraId="29100B47">
      <w:pPr>
        <w:numPr>
          <w:ilvl w:val="0"/>
          <w:numId w:val="7"/>
        </w:numPr>
        <w:tabs>
          <w:tab w:val="left" w:pos="210"/>
          <w:tab w:val="clear" w:pos="399"/>
        </w:tabs>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废标。</w:t>
      </w:r>
      <w:r>
        <w:rPr>
          <w:rFonts w:hint="eastAsia" w:ascii="仿宋" w:hAnsi="仿宋" w:eastAsia="仿宋" w:cs="仿宋"/>
          <w:color w:val="auto"/>
          <w:kern w:val="0"/>
          <w:sz w:val="24"/>
          <w:highlight w:val="none"/>
        </w:rPr>
        <w:t>根据《中华人民共和国政府采购法》第三十六条之规定，在采购中，出现下列情形之一的，应予废标：</w:t>
      </w:r>
    </w:p>
    <w:p w14:paraId="51509A4B">
      <w:pPr>
        <w:numPr>
          <w:ilvl w:val="1"/>
          <w:numId w:val="7"/>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符合专业条件的供应商或者对招标文件作实质响应的供应商不足3家的；</w:t>
      </w:r>
    </w:p>
    <w:p w14:paraId="032B2A9F">
      <w:pPr>
        <w:numPr>
          <w:ilvl w:val="1"/>
          <w:numId w:val="7"/>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出现影响采购公正的违法、违规行为的；</w:t>
      </w:r>
    </w:p>
    <w:p w14:paraId="3EF4AD26">
      <w:pPr>
        <w:numPr>
          <w:ilvl w:val="1"/>
          <w:numId w:val="7"/>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投标人的报价均超过了采购预算，采购人不能支付的；</w:t>
      </w:r>
    </w:p>
    <w:p w14:paraId="33787D60">
      <w:pPr>
        <w:numPr>
          <w:ilvl w:val="1"/>
          <w:numId w:val="7"/>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因重大变故，采购任务取消的。</w:t>
      </w:r>
    </w:p>
    <w:p w14:paraId="668E43EA">
      <w:pPr>
        <w:pStyle w:val="20"/>
        <w:snapToGrid w:val="0"/>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49C8BF5D">
      <w:pPr>
        <w:numPr>
          <w:ilvl w:val="0"/>
          <w:numId w:val="7"/>
        </w:numPr>
        <w:tabs>
          <w:tab w:val="left" w:pos="210"/>
          <w:tab w:val="clear" w:pos="399"/>
        </w:tabs>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修改招标文件，重新组织采购活动。</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9A00D6">
      <w:pPr>
        <w:numPr>
          <w:ilvl w:val="0"/>
          <w:numId w:val="7"/>
        </w:numPr>
        <w:tabs>
          <w:tab w:val="left" w:pos="210"/>
          <w:tab w:val="clear" w:pos="399"/>
        </w:tabs>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重新开展采购。</w:t>
      </w:r>
      <w:r>
        <w:rPr>
          <w:rFonts w:hint="eastAsia" w:ascii="仿宋" w:hAnsi="仿宋" w:eastAsia="仿宋" w:cs="仿宋"/>
          <w:color w:val="auto"/>
          <w:kern w:val="0"/>
          <w:sz w:val="24"/>
          <w:highlight w:val="none"/>
        </w:rPr>
        <w:t>有政府采购法第七十一条、第七十二条规定的违法行为之一，影响或者可能影响中标、成交结果的，依照下列规定处理：</w:t>
      </w:r>
    </w:p>
    <w:p w14:paraId="66FD100B">
      <w:pPr>
        <w:numPr>
          <w:ilvl w:val="1"/>
          <w:numId w:val="8"/>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未确定中标或者中标人的，终止本次政府采购活动，重新开展政府采购活动。</w:t>
      </w:r>
    </w:p>
    <w:p w14:paraId="47DC0993">
      <w:pPr>
        <w:numPr>
          <w:ilvl w:val="1"/>
          <w:numId w:val="8"/>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0627D66E">
      <w:pPr>
        <w:numPr>
          <w:ilvl w:val="1"/>
          <w:numId w:val="8"/>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政府采购合同已签订但尚未履行的，撤销合同，从合格的中标或者成交候选人中另行确定中标或者中标人；没有合格的中标或者成交候选人的，重新开展政府采购活动。</w:t>
      </w:r>
    </w:p>
    <w:p w14:paraId="1396C4DA">
      <w:pPr>
        <w:numPr>
          <w:ilvl w:val="1"/>
          <w:numId w:val="8"/>
        </w:numPr>
        <w:tabs>
          <w:tab w:val="left" w:pos="21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政府采购合同已经履行，给采购人、供应商造成损失的，由责任人承担赔偿责任。</w:t>
      </w:r>
    </w:p>
    <w:p w14:paraId="54FCBB57">
      <w:pPr>
        <w:numPr>
          <w:ilvl w:val="1"/>
          <w:numId w:val="8"/>
        </w:numPr>
        <w:tabs>
          <w:tab w:val="left" w:pos="210"/>
        </w:tabs>
        <w:adjustRightInd/>
        <w:spacing w:line="360" w:lineRule="auto"/>
        <w:ind w:left="567" w:leftChars="0" w:hanging="567" w:firstLineChars="0"/>
        <w:rPr>
          <w:rFonts w:hint="eastAsia"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r>
        <w:rPr>
          <w:rFonts w:hint="eastAsia" w:ascii="仿宋" w:hAnsi="仿宋" w:eastAsia="仿宋" w:cs="仿宋"/>
          <w:b w:val="0"/>
          <w:bCs w:val="0"/>
          <w:color w:val="auto"/>
          <w:kern w:val="0"/>
          <w:sz w:val="24"/>
          <w:highlight w:val="none"/>
        </w:rPr>
        <w:t>。</w:t>
      </w:r>
    </w:p>
    <w:p w14:paraId="51A63CF3">
      <w:pPr>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br w:type="page"/>
      </w:r>
    </w:p>
    <w:bookmarkEnd w:id="59"/>
    <w:p w14:paraId="57FCDD53">
      <w:pPr>
        <w:adjustRightInd w:val="0"/>
        <w:snapToGrid w:val="0"/>
        <w:spacing w:before="120" w:beforeLines="50" w:after="120" w:afterLines="50" w:line="360" w:lineRule="auto"/>
        <w:jc w:val="center"/>
        <w:outlineLvl w:val="0"/>
        <w:rPr>
          <w:rFonts w:hint="eastAsia" w:ascii="仿宋" w:hAnsi="仿宋" w:eastAsia="仿宋" w:cs="仿宋"/>
          <w:color w:val="auto"/>
          <w:sz w:val="36"/>
          <w:highlight w:val="none"/>
        </w:rPr>
      </w:pPr>
      <w:bookmarkStart w:id="122" w:name="_Toc19650"/>
      <w:bookmarkStart w:id="123" w:name="_Toc2880"/>
      <w:bookmarkStart w:id="124" w:name="_Toc242012824"/>
      <w:r>
        <w:rPr>
          <w:rFonts w:hint="eastAsia" w:ascii="仿宋" w:hAnsi="仿宋" w:eastAsia="仿宋" w:cs="仿宋"/>
          <w:b/>
          <w:color w:val="auto"/>
          <w:sz w:val="30"/>
          <w:szCs w:val="30"/>
          <w:highlight w:val="none"/>
        </w:rPr>
        <w:t>第五部分  合同条款</w:t>
      </w:r>
      <w:bookmarkEnd w:id="122"/>
      <w:bookmarkEnd w:id="123"/>
      <w:bookmarkEnd w:id="124"/>
    </w:p>
    <w:p w14:paraId="58FFB14D">
      <w:pPr>
        <w:adjustRightInd w:val="0"/>
        <w:snapToGrid w:val="0"/>
        <w:spacing w:line="360" w:lineRule="auto"/>
        <w:ind w:firstLine="420" w:firstLineChars="200"/>
        <w:rPr>
          <w:rFonts w:hint="eastAsia" w:ascii="仿宋" w:hAnsi="仿宋" w:eastAsia="仿宋" w:cs="仿宋"/>
          <w:snapToGrid w:val="0"/>
          <w:color w:val="auto"/>
          <w:kern w:val="0"/>
          <w:szCs w:val="21"/>
          <w:highlight w:val="none"/>
        </w:rPr>
      </w:pPr>
      <w:bookmarkStart w:id="125" w:name="_Toc249760790"/>
      <w:bookmarkStart w:id="126" w:name="_Toc251566661"/>
      <w:bookmarkStart w:id="127" w:name="_Hlk534720381"/>
      <w:r>
        <w:rPr>
          <w:rFonts w:hint="eastAsia" w:ascii="仿宋" w:hAnsi="仿宋" w:eastAsia="仿宋" w:cs="仿宋"/>
          <w:snapToGrid w:val="0"/>
          <w:color w:val="auto"/>
          <w:kern w:val="0"/>
          <w:szCs w:val="21"/>
          <w:highlight w:val="none"/>
        </w:rPr>
        <w:t>合同将由</w:t>
      </w:r>
      <w:r>
        <w:rPr>
          <w:rFonts w:hint="eastAsia" w:ascii="仿宋" w:hAnsi="仿宋" w:eastAsia="仿宋" w:cs="仿宋"/>
          <w:snapToGrid w:val="0"/>
          <w:color w:val="auto"/>
          <w:kern w:val="0"/>
          <w:szCs w:val="21"/>
          <w:highlight w:val="none"/>
          <w:lang w:eastAsia="zh-CN"/>
        </w:rPr>
        <w:t>杭州市钱塘区人民政府白杨街道办事处</w:t>
      </w:r>
      <w:r>
        <w:rPr>
          <w:rFonts w:hint="eastAsia" w:ascii="仿宋" w:hAnsi="仿宋" w:eastAsia="仿宋" w:cs="仿宋"/>
          <w:snapToGrid w:val="0"/>
          <w:color w:val="auto"/>
          <w:kern w:val="0"/>
          <w:szCs w:val="21"/>
          <w:highlight w:val="none"/>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14:paraId="777ABC1D">
      <w:pPr>
        <w:snapToGrid w:val="0"/>
        <w:spacing w:before="120" w:beforeLines="50" w:after="120" w:afterLines="50"/>
        <w:jc w:val="center"/>
        <w:rPr>
          <w:rFonts w:hint="eastAsia" w:ascii="仿宋" w:hAnsi="仿宋" w:eastAsia="仿宋" w:cs="仿宋"/>
          <w:color w:val="auto"/>
          <w:spacing w:val="-6"/>
          <w:highlight w:val="none"/>
        </w:rPr>
        <w:sectPr>
          <w:headerReference r:id="rId5" w:type="default"/>
          <w:footerReference r:id="rId6" w:type="default"/>
          <w:pgSz w:w="11850" w:h="16783"/>
          <w:pgMar w:top="1247" w:right="1588" w:bottom="1089" w:left="1588" w:header="851" w:footer="992" w:gutter="0"/>
          <w:cols w:space="720" w:num="1"/>
          <w:docGrid w:linePitch="312" w:charSpace="0"/>
        </w:sectPr>
      </w:pPr>
      <w:r>
        <w:rPr>
          <w:rFonts w:hint="eastAsia" w:ascii="仿宋" w:hAnsi="仿宋" w:eastAsia="仿宋" w:cs="仿宋"/>
          <w:color w:val="auto"/>
          <w:spacing w:val="-6"/>
          <w:highlight w:val="none"/>
        </w:rPr>
        <w:t>（本合同为合同样稿）</w:t>
      </w:r>
    </w:p>
    <w:bookmarkEnd w:id="125"/>
    <w:bookmarkEnd w:id="126"/>
    <w:bookmarkEnd w:id="127"/>
    <w:p w14:paraId="3DD62892">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bookmarkStart w:id="128" w:name="_Toc367274988"/>
      <w:bookmarkStart w:id="129" w:name="_Toc295465366"/>
      <w:bookmarkStart w:id="130" w:name="_Toc251566662"/>
      <w:bookmarkStart w:id="131" w:name="_Toc249760791"/>
      <w:bookmarkStart w:id="132" w:name="_Toc415814139"/>
      <w:r>
        <w:rPr>
          <w:rFonts w:hint="eastAsia" w:ascii="仿宋" w:hAnsi="仿宋" w:eastAsia="仿宋" w:cs="仿宋"/>
          <w:b/>
          <w:bCs/>
          <w:color w:val="auto"/>
          <w:sz w:val="24"/>
          <w:highlight w:val="none"/>
          <w:lang w:val="en-US" w:eastAsia="zh-CN"/>
        </w:rPr>
        <w:t>合同参考格式</w:t>
      </w:r>
    </w:p>
    <w:p w14:paraId="2C3C62AB">
      <w:pPr>
        <w:snapToGrid w:val="0"/>
        <w:spacing w:before="120" w:beforeLines="50" w:after="120" w:afterLines="50"/>
        <w:jc w:val="center"/>
        <w:rPr>
          <w:rFonts w:hint="eastAsia" w:ascii="仿宋" w:hAnsi="仿宋" w:eastAsia="仿宋" w:cs="仿宋"/>
          <w:b/>
          <w:color w:val="auto"/>
          <w:sz w:val="32"/>
          <w:szCs w:val="32"/>
          <w:highlight w:val="none"/>
          <w:lang w:val="zh-CN"/>
        </w:rPr>
      </w:pPr>
    </w:p>
    <w:p w14:paraId="7C4128A7">
      <w:pPr>
        <w:snapToGrid w:val="0"/>
        <w:spacing w:before="120" w:beforeLines="50" w:after="120" w:afterLines="5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白杨街道综合执法辅助服务项目合同（</w:t>
      </w:r>
      <w:r>
        <w:rPr>
          <w:rFonts w:hint="eastAsia" w:ascii="仿宋" w:hAnsi="仿宋" w:eastAsia="仿宋" w:cs="仿宋"/>
          <w:b/>
          <w:color w:val="auto"/>
          <w:sz w:val="32"/>
          <w:szCs w:val="32"/>
          <w:highlight w:val="none"/>
          <w:lang w:val="en-US"/>
        </w:rPr>
        <w:t>2024-2025</w:t>
      </w:r>
      <w:r>
        <w:rPr>
          <w:rFonts w:hint="eastAsia" w:ascii="仿宋" w:hAnsi="仿宋" w:eastAsia="仿宋" w:cs="仿宋"/>
          <w:b/>
          <w:color w:val="auto"/>
          <w:sz w:val="32"/>
          <w:szCs w:val="32"/>
          <w:highlight w:val="none"/>
          <w:lang w:val="en-US" w:eastAsia="zh-CN"/>
        </w:rPr>
        <w:t>年</w:t>
      </w:r>
      <w:r>
        <w:rPr>
          <w:rFonts w:hint="eastAsia" w:ascii="仿宋" w:hAnsi="仿宋" w:eastAsia="仿宋" w:cs="仿宋"/>
          <w:b/>
          <w:color w:val="auto"/>
          <w:sz w:val="32"/>
          <w:szCs w:val="32"/>
          <w:highlight w:val="none"/>
          <w:lang w:val="zh-CN"/>
        </w:rPr>
        <w:t>）</w:t>
      </w:r>
    </w:p>
    <w:p w14:paraId="6D6EEC0A">
      <w:pPr>
        <w:adjustRightInd w:val="0"/>
        <w:snapToGrid w:val="0"/>
        <w:spacing w:line="360" w:lineRule="auto"/>
        <w:ind w:firstLine="422" w:firstLineChars="200"/>
        <w:rPr>
          <w:rFonts w:hint="eastAsia" w:ascii="仿宋" w:hAnsi="仿宋" w:eastAsia="仿宋" w:cs="仿宋"/>
          <w:b/>
          <w:color w:val="auto"/>
          <w:szCs w:val="21"/>
          <w:highlight w:val="none"/>
        </w:rPr>
      </w:pPr>
    </w:p>
    <w:p w14:paraId="45D4B2F1">
      <w:pPr>
        <w:adjustRightInd w:val="0"/>
        <w:snapToGrid w:val="0"/>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甲方：</w:t>
      </w:r>
      <w:r>
        <w:rPr>
          <w:rFonts w:hint="eastAsia" w:ascii="仿宋" w:hAnsi="仿宋" w:eastAsia="仿宋" w:cs="仿宋"/>
          <w:b/>
          <w:color w:val="auto"/>
          <w:sz w:val="24"/>
          <w:highlight w:val="none"/>
          <w:lang w:eastAsia="zh-CN"/>
        </w:rPr>
        <w:t>杭州市钱塘区人民政府白杨街道办事处</w:t>
      </w:r>
    </w:p>
    <w:p w14:paraId="49A0FA06">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14:paraId="580BC7FC">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14:paraId="609FF14E">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4C4930C1">
      <w:pPr>
        <w:tabs>
          <w:tab w:val="left" w:pos="6237"/>
          <w:tab w:val="left" w:pos="6521"/>
        </w:tabs>
        <w:adjustRightInd w:val="0"/>
        <w:snapToGrid w:val="0"/>
        <w:spacing w:line="360" w:lineRule="auto"/>
        <w:ind w:firstLine="480" w:firstLineChars="200"/>
        <w:rPr>
          <w:rFonts w:hint="eastAsia" w:ascii="仿宋" w:hAnsi="仿宋" w:eastAsia="仿宋" w:cs="仿宋"/>
          <w:color w:val="auto"/>
          <w:sz w:val="24"/>
          <w:highlight w:val="none"/>
        </w:rPr>
      </w:pPr>
    </w:p>
    <w:p w14:paraId="714FEED7">
      <w:pPr>
        <w:adjustRightInd w:val="0"/>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乙方：</w:t>
      </w:r>
    </w:p>
    <w:p w14:paraId="63B6AEA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14:paraId="2F1010F1">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423CD25C">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p w14:paraId="1736354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 </w:t>
      </w:r>
    </w:p>
    <w:p w14:paraId="7720E5D0">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14:paraId="17B24464">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7028A62C">
      <w:pPr>
        <w:adjustRightInd w:val="0"/>
        <w:snapToGrid w:val="0"/>
        <w:spacing w:line="360" w:lineRule="auto"/>
        <w:ind w:firstLine="480" w:firstLineChars="200"/>
        <w:rPr>
          <w:rFonts w:hint="eastAsia" w:ascii="仿宋" w:hAnsi="仿宋" w:eastAsia="仿宋" w:cs="仿宋"/>
          <w:color w:val="auto"/>
          <w:sz w:val="24"/>
          <w:highlight w:val="none"/>
        </w:rPr>
      </w:pPr>
    </w:p>
    <w:p w14:paraId="2CB2C667">
      <w:pPr>
        <w:pStyle w:val="139"/>
        <w:adjustRightInd w:val="0"/>
        <w:snapToGrid w:val="0"/>
        <w:spacing w:before="0" w:beforeAutospacing="0" w:after="0" w:afterAutospacing="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依据《中华人民共和国政府采购法》、《</w:t>
      </w:r>
      <w:r>
        <w:rPr>
          <w:rFonts w:hint="eastAsia" w:ascii="仿宋" w:hAnsi="仿宋" w:eastAsia="仿宋" w:cs="仿宋"/>
          <w:color w:val="auto"/>
          <w:szCs w:val="24"/>
          <w:highlight w:val="none"/>
          <w:lang w:val="zh-CN"/>
        </w:rPr>
        <w:t>中华人民共和国民法典</w:t>
      </w:r>
      <w:r>
        <w:rPr>
          <w:rFonts w:hint="eastAsia" w:ascii="仿宋" w:hAnsi="仿宋" w:eastAsia="仿宋" w:cs="仿宋"/>
          <w:color w:val="auto"/>
          <w:szCs w:val="24"/>
          <w:highlight w:val="none"/>
        </w:rPr>
        <w:t>》等相关法律法规，以及</w:t>
      </w:r>
      <w:r>
        <w:rPr>
          <w:rFonts w:hint="eastAsia" w:ascii="仿宋" w:hAnsi="仿宋" w:eastAsia="仿宋" w:cs="仿宋"/>
          <w:color w:val="auto"/>
          <w:highlight w:val="none"/>
          <w:u w:val="single"/>
          <w:lang w:eastAsia="zh-CN"/>
        </w:rPr>
        <w:t>白杨街道综合执法辅助服务项目（</w:t>
      </w:r>
      <w:r>
        <w:rPr>
          <w:rFonts w:hint="eastAsia" w:ascii="仿宋" w:hAnsi="仿宋" w:eastAsia="仿宋" w:cs="仿宋"/>
          <w:color w:val="auto"/>
          <w:highlight w:val="none"/>
          <w:u w:val="single"/>
          <w:lang w:val="en-US" w:eastAsia="zh-CN"/>
        </w:rPr>
        <w:t>2024-2025年</w:t>
      </w:r>
      <w:r>
        <w:rPr>
          <w:rFonts w:hint="eastAsia" w:ascii="仿宋" w:hAnsi="仿宋" w:eastAsia="仿宋" w:cs="仿宋"/>
          <w:color w:val="auto"/>
          <w:highlight w:val="none"/>
          <w:u w:val="single"/>
          <w:lang w:eastAsia="zh-CN"/>
        </w:rPr>
        <w:t>）</w:t>
      </w: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lang w:eastAsia="zh-CN"/>
        </w:rPr>
        <w:t>QTCG-GK-2024-184</w:t>
      </w:r>
      <w:r>
        <w:rPr>
          <w:rFonts w:hint="eastAsia" w:ascii="仿宋" w:hAnsi="仿宋" w:eastAsia="仿宋" w:cs="仿宋"/>
          <w:color w:val="auto"/>
          <w:szCs w:val="24"/>
          <w:highlight w:val="none"/>
        </w:rPr>
        <w:t>）的中标结果，</w:t>
      </w:r>
      <w:r>
        <w:rPr>
          <w:rFonts w:hint="eastAsia" w:ascii="仿宋" w:hAnsi="仿宋" w:eastAsia="仿宋" w:cs="仿宋"/>
          <w:color w:val="auto"/>
          <w:szCs w:val="24"/>
          <w:highlight w:val="none"/>
          <w:lang w:val="en-US" w:eastAsia="zh-CN"/>
        </w:rPr>
        <w:t>乙方为该项目</w:t>
      </w:r>
      <w:r>
        <w:rPr>
          <w:rFonts w:hint="eastAsia" w:ascii="仿宋" w:hAnsi="仿宋" w:eastAsia="仿宋" w:cs="仿宋"/>
          <w:color w:val="auto"/>
          <w:szCs w:val="24"/>
          <w:highlight w:val="none"/>
          <w:u w:val="none"/>
          <w:lang w:val="en-US" w:eastAsia="zh-CN"/>
        </w:rPr>
        <w:t>承接单位。甲乙双方</w:t>
      </w:r>
      <w:r>
        <w:rPr>
          <w:rFonts w:hint="eastAsia" w:ascii="仿宋" w:hAnsi="仿宋" w:eastAsia="仿宋" w:cs="仿宋"/>
          <w:color w:val="auto"/>
          <w:szCs w:val="24"/>
          <w:highlight w:val="none"/>
        </w:rPr>
        <w:t>在平等自愿的基础上，同意按照下面的条款和条件，签署政府采购合同。</w:t>
      </w:r>
    </w:p>
    <w:p w14:paraId="3B227ABD">
      <w:pPr>
        <w:pStyle w:val="139"/>
        <w:adjustRightInd w:val="0"/>
        <w:snapToGrid w:val="0"/>
        <w:spacing w:before="0" w:beforeAutospacing="0" w:after="0" w:afterAutospacing="0" w:line="360" w:lineRule="auto"/>
        <w:ind w:firstLine="480" w:firstLineChars="200"/>
        <w:rPr>
          <w:rFonts w:hint="eastAsia" w:ascii="仿宋" w:hAnsi="仿宋" w:eastAsia="仿宋" w:cs="仿宋"/>
          <w:color w:val="auto"/>
          <w:szCs w:val="24"/>
          <w:highlight w:val="none"/>
        </w:rPr>
      </w:pPr>
    </w:p>
    <w:p w14:paraId="6C0B3ED0">
      <w:pPr>
        <w:adjustRightInd w:val="0"/>
        <w:snapToGrid w:val="0"/>
        <w:spacing w:line="360" w:lineRule="auto"/>
        <w:ind w:firstLine="477" w:firstLineChars="198"/>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一、服务内容</w:t>
      </w:r>
    </w:p>
    <w:p w14:paraId="77420776">
      <w:pPr>
        <w:pStyle w:val="13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szCs w:val="24"/>
          <w:highlight w:val="none"/>
          <w:u w:val="none"/>
          <w:lang w:val="en-US" w:eastAsia="zh-CN"/>
        </w:rPr>
      </w:pPr>
      <w:r>
        <w:rPr>
          <w:rFonts w:hint="eastAsia" w:ascii="仿宋" w:hAnsi="仿宋" w:eastAsia="仿宋" w:cs="仿宋"/>
          <w:color w:val="auto"/>
          <w:szCs w:val="24"/>
          <w:highlight w:val="none"/>
          <w:u w:val="none"/>
          <w:lang w:val="en-US" w:eastAsia="zh-CN"/>
        </w:rPr>
        <w:t>1.1乙方根据甲方要求，</w:t>
      </w:r>
      <w:r>
        <w:rPr>
          <w:rFonts w:hint="eastAsia" w:ascii="仿宋" w:hAnsi="仿宋" w:eastAsia="仿宋" w:cs="仿宋"/>
          <w:b w:val="0"/>
          <w:bCs w:val="0"/>
          <w:color w:val="auto"/>
          <w:sz w:val="24"/>
          <w:highlight w:val="none"/>
          <w:lang w:val="en-US" w:eastAsia="zh-CN"/>
        </w:rPr>
        <w:t>配合街道综合行政执法队开展燃气安全检查、建筑工地常态化管控、餐饮油烟整治、交通隐患治理、超限整治、渣土整治及省市区各级领导检查等各类重点工作和活动保障，为查处综合执法领域各类违法行为提供辅助服务</w:t>
      </w:r>
      <w:r>
        <w:rPr>
          <w:rFonts w:hint="eastAsia" w:ascii="仿宋" w:hAnsi="仿宋" w:eastAsia="仿宋" w:cs="仿宋"/>
          <w:color w:val="auto"/>
          <w:szCs w:val="24"/>
          <w:highlight w:val="none"/>
          <w:u w:val="none"/>
          <w:lang w:val="en-US" w:eastAsia="zh-CN"/>
        </w:rPr>
        <w:t>。</w:t>
      </w:r>
    </w:p>
    <w:p w14:paraId="01DC568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1.2乙方主要工作内容</w:t>
      </w:r>
      <w:r>
        <w:rPr>
          <w:rFonts w:hint="eastAsia" w:ascii="仿宋" w:hAnsi="仿宋" w:eastAsia="仿宋" w:cs="仿宋"/>
          <w:color w:val="auto"/>
          <w:sz w:val="24"/>
          <w:highlight w:val="none"/>
          <w:lang w:val="en-US" w:eastAsia="zh-CN"/>
        </w:rPr>
        <w:t>包括但不限于：</w:t>
      </w:r>
    </w:p>
    <w:p w14:paraId="5A5CC2FA">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1、配合采购人（或街道综合行政执法队）开展燃气安全检查。</w:t>
      </w:r>
    </w:p>
    <w:p w14:paraId="03BD93B2">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2、配合采购人开展建筑工地常态化管控。</w:t>
      </w:r>
    </w:p>
    <w:p w14:paraId="4CE2393C">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3、配合采购人开展餐饮油烟整治。</w:t>
      </w:r>
    </w:p>
    <w:p w14:paraId="60EC3057">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4、配合采购人开展交通隐患治理。</w:t>
      </w:r>
    </w:p>
    <w:p w14:paraId="4ED42F83">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5、配合采购人开展超限整治。</w:t>
      </w:r>
    </w:p>
    <w:p w14:paraId="797DEB4C">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6、配合采购人开展渣土整治。</w:t>
      </w:r>
    </w:p>
    <w:p w14:paraId="076B337D">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7、协助采购人完成省市区各级领导检查等各类重点工作和活动保障。</w:t>
      </w:r>
    </w:p>
    <w:p w14:paraId="6AE00A6A">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8、辅助执法人员做好案件归档等相关工作。</w:t>
      </w:r>
    </w:p>
    <w:p w14:paraId="66369BCB">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left"/>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9、完成街道执法队赋予的其他任务。</w:t>
      </w:r>
    </w:p>
    <w:p w14:paraId="08C9DD7C">
      <w:pPr>
        <w:adjustRightInd w:val="0"/>
        <w:snapToGrid w:val="0"/>
        <w:spacing w:line="360" w:lineRule="auto"/>
        <w:ind w:firstLine="477" w:firstLineChars="198"/>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rPr>
        <w:t>二、服务人员</w:t>
      </w:r>
      <w:r>
        <w:rPr>
          <w:rFonts w:hint="eastAsia" w:ascii="仿宋" w:hAnsi="仿宋" w:eastAsia="仿宋" w:cs="仿宋"/>
          <w:b/>
          <w:color w:val="auto"/>
          <w:sz w:val="24"/>
          <w:szCs w:val="24"/>
          <w:highlight w:val="none"/>
          <w:lang w:val="en-US" w:eastAsia="zh-CN"/>
        </w:rPr>
        <w:t>、后勤保障相关要求</w:t>
      </w:r>
    </w:p>
    <w:p w14:paraId="15F1D57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2.1乙方按甲方投入执法辅助服务人员，清单作为合同附件。</w:t>
      </w:r>
    </w:p>
    <w:p w14:paraId="47B00D1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乙方承诺：</w:t>
      </w:r>
      <w:r>
        <w:rPr>
          <w:rFonts w:hint="eastAsia" w:ascii="仿宋" w:hAnsi="仿宋" w:eastAsia="仿宋" w:cs="仿宋"/>
          <w:snapToGrid w:val="0"/>
          <w:color w:val="auto"/>
          <w:kern w:val="0"/>
          <w:sz w:val="24"/>
          <w:szCs w:val="24"/>
          <w:highlight w:val="none"/>
          <w:lang w:val="en-US" w:eastAsia="zh-CN"/>
        </w:rPr>
        <w:t>由于具体工作根据实际情况可能调整，乙方在上述要求基础上投入执法辅助服务人员，并可根据实际情况进行调整，但最终服务效果、质量等应确保达到甲方要求</w:t>
      </w:r>
      <w:r>
        <w:rPr>
          <w:rFonts w:hint="eastAsia" w:ascii="仿宋" w:hAnsi="仿宋" w:eastAsia="仿宋" w:cs="仿宋"/>
          <w:color w:val="auto"/>
          <w:sz w:val="24"/>
          <w:szCs w:val="24"/>
          <w:highlight w:val="none"/>
          <w:lang w:val="en-US" w:eastAsia="zh-CN"/>
        </w:rPr>
        <w:t>。</w:t>
      </w:r>
    </w:p>
    <w:p w14:paraId="0B3A890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项目团队管理人员由乙方派出。</w:t>
      </w:r>
    </w:p>
    <w:p w14:paraId="0DC4BE1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2.2乙方根据甲方要求，提供个人服装及装备及其他相关后勤保障。</w:t>
      </w:r>
    </w:p>
    <w:p w14:paraId="108BC7D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2.3乙方必须在合同签订前提供所有</w:t>
      </w:r>
      <w:r>
        <w:rPr>
          <w:rFonts w:hint="eastAsia" w:ascii="仿宋" w:hAnsi="仿宋" w:eastAsia="仿宋" w:cs="仿宋"/>
          <w:snapToGrid w:val="0"/>
          <w:color w:val="auto"/>
          <w:kern w:val="0"/>
          <w:sz w:val="24"/>
          <w:szCs w:val="24"/>
          <w:highlight w:val="none"/>
          <w:lang w:val="en-US" w:eastAsia="zh-CN"/>
        </w:rPr>
        <w:t>执法辅助服务人员</w:t>
      </w:r>
      <w:r>
        <w:rPr>
          <w:rFonts w:hint="eastAsia" w:ascii="仿宋" w:hAnsi="仿宋" w:eastAsia="仿宋" w:cs="仿宋"/>
          <w:color w:val="auto"/>
          <w:sz w:val="24"/>
          <w:szCs w:val="24"/>
          <w:highlight w:val="none"/>
          <w:lang w:val="en-US" w:eastAsia="zh-CN"/>
        </w:rPr>
        <w:t>的有效公安部门颁发的《保安资格证》原件供甲方审核，并须经过主管部门备案合格。如果乙方不能提供所有特保人员的有效《保安资格证》原件，或特保人员不能通过主管部门备案，则甲方有权废除乙方履约资格。。</w:t>
      </w:r>
    </w:p>
    <w:p w14:paraId="20036169">
      <w:pPr>
        <w:adjustRightInd w:val="0"/>
        <w:snapToGrid w:val="0"/>
        <w:spacing w:line="360" w:lineRule="auto"/>
        <w:ind w:firstLine="357" w:firstLineChars="148"/>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三、合同金额</w:t>
      </w:r>
    </w:p>
    <w:p w14:paraId="2819A9F2">
      <w:pPr>
        <w:tabs>
          <w:tab w:val="left" w:pos="540"/>
        </w:tabs>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3.1合同价</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年总价</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合同月总价为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w:t>
      </w:r>
    </w:p>
    <w:p w14:paraId="5E762FC4">
      <w:pPr>
        <w:adjustRightInd w:val="0"/>
        <w:snapToGrid w:val="0"/>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3.2合同费用已</w:t>
      </w:r>
      <w:r>
        <w:rPr>
          <w:rFonts w:hint="eastAsia" w:ascii="仿宋" w:hAnsi="仿宋" w:eastAsia="仿宋" w:cs="仿宋"/>
          <w:bCs/>
          <w:color w:val="auto"/>
          <w:sz w:val="24"/>
          <w:szCs w:val="24"/>
          <w:highlight w:val="none"/>
        </w:rPr>
        <w:t>包括为完成本项目服务可能发生的全部费用及投标人的利润和应交纳的税金等。</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rPr>
        <w:t>对合同内容的费用、质量、安全、文明服务等实行全面承包。</w:t>
      </w:r>
    </w:p>
    <w:p w14:paraId="6E5AF8B2">
      <w:pPr>
        <w:snapToGrid w:val="0"/>
        <w:spacing w:line="360" w:lineRule="auto"/>
        <w:ind w:firstLine="495" w:firstLineChars="199"/>
        <w:rPr>
          <w:rFonts w:hint="eastAsia" w:ascii="仿宋" w:hAnsi="仿宋" w:eastAsia="仿宋" w:cs="仿宋"/>
          <w:b/>
          <w:color w:val="auto"/>
          <w:spacing w:val="4"/>
          <w:kern w:val="0"/>
          <w:sz w:val="24"/>
          <w:szCs w:val="24"/>
          <w:highlight w:val="none"/>
        </w:rPr>
      </w:pPr>
      <w:r>
        <w:rPr>
          <w:rFonts w:hint="eastAsia" w:ascii="仿宋" w:hAnsi="仿宋" w:eastAsia="仿宋" w:cs="仿宋"/>
          <w:b/>
          <w:color w:val="auto"/>
          <w:spacing w:val="4"/>
          <w:kern w:val="0"/>
          <w:sz w:val="24"/>
          <w:szCs w:val="24"/>
          <w:highlight w:val="none"/>
        </w:rPr>
        <w:t>四、履约保证金</w:t>
      </w:r>
    </w:p>
    <w:p w14:paraId="7D06AB5B">
      <w:pPr>
        <w:adjustRightInd w:val="0"/>
        <w:snapToGrid w:val="0"/>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无。如有违约情形，相关违约款从应付合同款中扣除。</w:t>
      </w:r>
    </w:p>
    <w:p w14:paraId="5E227E14">
      <w:pPr>
        <w:snapToGrid w:val="0"/>
        <w:spacing w:line="360" w:lineRule="auto"/>
        <w:ind w:firstLine="498" w:firstLineChars="200"/>
        <w:rPr>
          <w:rFonts w:hint="eastAsia" w:ascii="仿宋" w:hAnsi="仿宋" w:eastAsia="仿宋" w:cs="仿宋"/>
          <w:b/>
          <w:color w:val="auto"/>
          <w:spacing w:val="4"/>
          <w:kern w:val="0"/>
          <w:sz w:val="24"/>
          <w:szCs w:val="24"/>
          <w:highlight w:val="none"/>
        </w:rPr>
      </w:pPr>
      <w:r>
        <w:rPr>
          <w:rFonts w:hint="eastAsia" w:ascii="仿宋" w:hAnsi="仿宋" w:eastAsia="仿宋" w:cs="仿宋"/>
          <w:b/>
          <w:color w:val="auto"/>
          <w:spacing w:val="4"/>
          <w:kern w:val="0"/>
          <w:sz w:val="24"/>
          <w:szCs w:val="24"/>
          <w:highlight w:val="none"/>
        </w:rPr>
        <w:t>五、转包</w:t>
      </w:r>
    </w:p>
    <w:p w14:paraId="386678F4">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5.1本合同范围的服务项目，应由乙方直接服务，不得转让他人</w:t>
      </w:r>
      <w:r>
        <w:rPr>
          <w:rFonts w:hint="eastAsia" w:ascii="仿宋" w:hAnsi="仿宋" w:eastAsia="仿宋" w:cs="仿宋"/>
          <w:color w:val="auto"/>
          <w:sz w:val="24"/>
          <w:szCs w:val="24"/>
          <w:highlight w:val="none"/>
          <w:lang w:eastAsia="zh-CN"/>
        </w:rPr>
        <w:t>。</w:t>
      </w:r>
    </w:p>
    <w:p w14:paraId="42800AF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5.2如有转让</w:t>
      </w:r>
      <w:r>
        <w:rPr>
          <w:rFonts w:hint="eastAsia" w:ascii="仿宋" w:hAnsi="仿宋" w:eastAsia="仿宋" w:cs="仿宋"/>
          <w:color w:val="auto"/>
          <w:sz w:val="24"/>
          <w:szCs w:val="24"/>
          <w:highlight w:val="none"/>
          <w:lang w:val="en-US" w:eastAsia="zh-CN"/>
        </w:rPr>
        <w:t>项目标的</w:t>
      </w:r>
      <w:r>
        <w:rPr>
          <w:rFonts w:hint="eastAsia" w:ascii="仿宋" w:hAnsi="仿宋" w:eastAsia="仿宋" w:cs="仿宋"/>
          <w:color w:val="auto"/>
          <w:sz w:val="24"/>
          <w:szCs w:val="24"/>
          <w:highlight w:val="none"/>
        </w:rPr>
        <w:t>行为，甲方有权终止合同。</w:t>
      </w:r>
    </w:p>
    <w:p w14:paraId="26E65845">
      <w:pPr>
        <w:snapToGrid w:val="0"/>
        <w:spacing w:line="360" w:lineRule="auto"/>
        <w:ind w:firstLine="498" w:firstLineChars="200"/>
        <w:rPr>
          <w:rFonts w:hint="eastAsia" w:ascii="仿宋" w:hAnsi="仿宋" w:eastAsia="仿宋" w:cs="仿宋"/>
          <w:b/>
          <w:color w:val="auto"/>
          <w:spacing w:val="4"/>
          <w:kern w:val="0"/>
          <w:sz w:val="24"/>
          <w:szCs w:val="24"/>
          <w:highlight w:val="none"/>
        </w:rPr>
      </w:pPr>
      <w:r>
        <w:rPr>
          <w:rFonts w:hint="eastAsia" w:ascii="仿宋" w:hAnsi="仿宋" w:eastAsia="仿宋" w:cs="仿宋"/>
          <w:b/>
          <w:color w:val="auto"/>
          <w:spacing w:val="4"/>
          <w:kern w:val="0"/>
          <w:sz w:val="24"/>
          <w:szCs w:val="24"/>
          <w:highlight w:val="none"/>
        </w:rPr>
        <w:t>六、合同履行时间、履行地点</w:t>
      </w:r>
    </w:p>
    <w:p w14:paraId="1B45E13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6.1履行时间：</w:t>
      </w:r>
      <w:r>
        <w:rPr>
          <w:rFonts w:hint="eastAsia" w:ascii="仿宋" w:hAnsi="仿宋" w:eastAsia="仿宋" w:cs="仿宋"/>
          <w:color w:val="auto"/>
          <w:sz w:val="24"/>
          <w:szCs w:val="24"/>
          <w:highlight w:val="none"/>
          <w:lang w:val="en-US" w:eastAsia="zh-CN"/>
        </w:rPr>
        <w:t>整体服务期为1年，</w:t>
      </w: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日止。</w:t>
      </w:r>
    </w:p>
    <w:p w14:paraId="7855837E">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6.2履行地点：</w:t>
      </w:r>
      <w:r>
        <w:rPr>
          <w:rFonts w:hint="eastAsia" w:ascii="仿宋" w:hAnsi="仿宋" w:eastAsia="仿宋" w:cs="仿宋"/>
          <w:color w:val="auto"/>
          <w:sz w:val="24"/>
          <w:szCs w:val="24"/>
          <w:highlight w:val="none"/>
          <w:lang w:val="en-US" w:eastAsia="zh-CN"/>
        </w:rPr>
        <w:t>按甲方要求。</w:t>
      </w:r>
    </w:p>
    <w:p w14:paraId="3D8796CA">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6.3本项目交接时间以采购人通知为准。乙方应为本项目制定项目平稳交接过渡方案，确保不出现纠纷、投诉、或引起服务无法保障的情形。</w:t>
      </w:r>
    </w:p>
    <w:p w14:paraId="03E68482">
      <w:pPr>
        <w:snapToGrid w:val="0"/>
        <w:spacing w:line="360" w:lineRule="auto"/>
        <w:ind w:firstLine="498" w:firstLineChars="200"/>
        <w:rPr>
          <w:rFonts w:hint="eastAsia" w:ascii="仿宋" w:hAnsi="仿宋" w:eastAsia="仿宋" w:cs="仿宋"/>
          <w:b/>
          <w:color w:val="auto"/>
          <w:spacing w:val="4"/>
          <w:kern w:val="0"/>
          <w:sz w:val="24"/>
          <w:szCs w:val="24"/>
          <w:highlight w:val="none"/>
        </w:rPr>
      </w:pPr>
      <w:r>
        <w:rPr>
          <w:rFonts w:hint="eastAsia" w:ascii="仿宋" w:hAnsi="仿宋" w:eastAsia="仿宋" w:cs="仿宋"/>
          <w:b/>
          <w:color w:val="auto"/>
          <w:spacing w:val="4"/>
          <w:kern w:val="0"/>
          <w:sz w:val="24"/>
          <w:szCs w:val="24"/>
          <w:highlight w:val="none"/>
        </w:rPr>
        <w:t xml:space="preserve">七、款项支付 </w:t>
      </w:r>
    </w:p>
    <w:p w14:paraId="0FFF433B">
      <w:pPr>
        <w:pStyle w:val="18"/>
        <w:adjustRightInd w:val="0"/>
        <w:snapToGrid w:val="0"/>
        <w:spacing w:after="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7.1</w:t>
      </w:r>
      <w:r>
        <w:rPr>
          <w:rFonts w:hint="eastAsia" w:ascii="仿宋" w:hAnsi="仿宋" w:eastAsia="仿宋" w:cs="仿宋"/>
          <w:color w:val="auto"/>
          <w:sz w:val="24"/>
          <w:szCs w:val="24"/>
          <w:highlight w:val="none"/>
          <w:lang w:val="en-US" w:eastAsia="zh-CN"/>
        </w:rPr>
        <w:t>预付款</w:t>
      </w:r>
    </w:p>
    <w:p w14:paraId="3AF239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（1）合同生效后具备实施条件5个工作日内，甲方向乙方支付合同总价的40%作为预付款；（四舍五入进位到千元）</w:t>
      </w:r>
    </w:p>
    <w:p w14:paraId="7BD459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（2）支付了预付款的，甲方有权要求乙方提供预付款金额等额的且不可撤销的预付款保函。预付款金额可抵扣合同款；</w:t>
      </w:r>
    </w:p>
    <w:p w14:paraId="5951CA96">
      <w:pPr>
        <w:pStyle w:val="18"/>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（3）在签订合同时，乙方明确表示无需预付款或者主动要求降低预付款比例的，可不适用预付款相关规定。</w:t>
      </w:r>
    </w:p>
    <w:p w14:paraId="48A5DCD3">
      <w:pPr>
        <w:pStyle w:val="18"/>
        <w:adjustRightInd w:val="0"/>
        <w:snapToGrid w:val="0"/>
        <w:spacing w:after="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7.2合同款付款方式</w:t>
      </w:r>
    </w:p>
    <w:p w14:paraId="717AE750">
      <w:pPr>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（1）支付时间：按月支付</w:t>
      </w:r>
      <w:r>
        <w:rPr>
          <w:rFonts w:hint="eastAsia" w:ascii="仿宋" w:hAnsi="仿宋" w:eastAsia="仿宋" w:cs="仿宋"/>
          <w:color w:val="auto"/>
          <w:sz w:val="24"/>
          <w:highlight w:val="none"/>
          <w:lang w:eastAsia="zh-CN"/>
        </w:rPr>
        <w:t>。</w:t>
      </w:r>
    </w:p>
    <w:p w14:paraId="5CC3B825">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（2）支付方式：项目过程中，甲方</w:t>
      </w:r>
      <w:r>
        <w:rPr>
          <w:rFonts w:hint="eastAsia" w:ascii="仿宋" w:hAnsi="仿宋" w:eastAsia="仿宋" w:cs="仿宋"/>
          <w:color w:val="auto"/>
          <w:sz w:val="24"/>
          <w:highlight w:val="none"/>
        </w:rPr>
        <w:t>每月20日前支付</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前一个月服务费用，</w:t>
      </w:r>
      <w:r>
        <w:rPr>
          <w:rFonts w:hint="eastAsia" w:ascii="仿宋" w:hAnsi="仿宋" w:eastAsia="仿宋" w:cs="仿宋"/>
          <w:color w:val="auto"/>
          <w:sz w:val="24"/>
          <w:highlight w:val="none"/>
          <w:lang w:val="en-US" w:eastAsia="zh-CN"/>
        </w:rPr>
        <w:t>乙方须于每月10日前给甲方正规、等额、合法、有效的发票和需求单位明确过的考勤表。</w:t>
      </w:r>
    </w:p>
    <w:p w14:paraId="09B23A0D">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每月具体支付金额由甲方根据任务开展情况及进度，结合乙方付款申请合理安排。</w:t>
      </w:r>
    </w:p>
    <w:p w14:paraId="6EC64635">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7.3费用结算原则</w:t>
      </w:r>
    </w:p>
    <w:p w14:paraId="7DAA3177">
      <w:pPr>
        <w:pStyle w:val="18"/>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（1）实际结算金额=应付金额-罚款金额。根据资金支付情况及财政支付制度，最终付款方式以双方确认，合同明确为准。</w:t>
      </w:r>
    </w:p>
    <w:p w14:paraId="03413015">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（2）涉及的费用均视作已包含在报价中，乙方已考虑妥当，甲方不再支付其余费用。</w:t>
      </w:r>
    </w:p>
    <w:p w14:paraId="140DD1E8">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八、双方权利义务</w:t>
      </w:r>
    </w:p>
    <w:p w14:paraId="505075C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8.1甲方权利义务</w:t>
      </w:r>
    </w:p>
    <w:p w14:paraId="0F1E149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8.1.1甲方依约享有所规定服务项目、范围的权利。</w:t>
      </w:r>
    </w:p>
    <w:p w14:paraId="54DA5BC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8.1.2甲方可对乙方派驻人员进行针对性培训，并对其进行管理考核，对不符合要求的人员有要求调换的权力。</w:t>
      </w:r>
    </w:p>
    <w:p w14:paraId="7568C01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8.1.3甲方须按本合同约定向乙方支付服务费用，以外，甲方无需承担其他费用。</w:t>
      </w:r>
    </w:p>
    <w:p w14:paraId="6EECC21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8.1.4甲方对乙方提供的服务，随时有检查、督查权，发现问题可随时向乙方提出整改意见，乙方在不违反合同条款的基础下无条件执行。</w:t>
      </w:r>
    </w:p>
    <w:p w14:paraId="39F3DB9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8.1.5甲方有权派驻现场管理员对乙方的工作做指导及指挥，乙方人员无条件服从。</w:t>
      </w:r>
    </w:p>
    <w:p w14:paraId="2190DCA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8.1.6甲方及时同被服务方沟通，确保乙方的服务如约完成，乙方未得到甲方认可不得同被服务方另行商定服务事宜。</w:t>
      </w:r>
    </w:p>
    <w:p w14:paraId="29E7FCA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8.1.7甲方有权对乙方派往人员进行政治审核。 </w:t>
      </w:r>
    </w:p>
    <w:p w14:paraId="599E2BB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8.1.8甲方有权依据综合考评表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或甲方制定的考核办法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进行相应的服务费用奖罚。</w:t>
      </w:r>
    </w:p>
    <w:p w14:paraId="079C269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8.2乙方权利义务</w:t>
      </w:r>
    </w:p>
    <w:p w14:paraId="71DD86E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8.2.1乙方应严格按照本合同中所规定之范围、内容完成相关服务。</w:t>
      </w:r>
    </w:p>
    <w:p w14:paraId="185A8D6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8.2.2乙方根据有关法律、法规及本合同之约定，制定具体</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方案。</w:t>
      </w:r>
    </w:p>
    <w:p w14:paraId="14B4849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8.2.3乙方对所签收的甲方物品负保管责任，如因乙方的原因造成损失的，由乙方进行赔偿。</w:t>
      </w:r>
    </w:p>
    <w:p w14:paraId="6DE2E99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8.2.4乙方</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人员如请假，乙方应调配其他人员顶替，人员更换应及时告知甲方，并得到甲方认可。</w:t>
      </w:r>
    </w:p>
    <w:p w14:paraId="5A8D4EF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8.2.5乙方</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人员与第三方发生纠纷的由乙方负责处理。</w:t>
      </w:r>
    </w:p>
    <w:p w14:paraId="4CD4E1B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8.2.6乙方</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人员在工作地点必须服从甲方管理及工作安排。</w:t>
      </w:r>
    </w:p>
    <w:p w14:paraId="1991D5E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8.2.7乙方对其</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人员负全权管理责任，并承担</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人员所产生的一切经济、劳资、安全责任。</w:t>
      </w:r>
    </w:p>
    <w:p w14:paraId="4F751A2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8.2.8乙方全责承担乙方人员的人身安全（如工伤、事故、伤害、死亡等相关一切事宜）、侵权、索赔等责任，乙方必须保障员工有合理的休息时间，避免疲劳作业。</w:t>
      </w:r>
    </w:p>
    <w:p w14:paraId="5FC98037">
      <w:pPr>
        <w:snapToGrid w:val="0"/>
        <w:spacing w:line="360" w:lineRule="auto"/>
        <w:ind w:firstLine="480"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z w:val="24"/>
          <w:szCs w:val="24"/>
          <w:highlight w:val="none"/>
        </w:rPr>
        <w:t>8.2.9乙方应在其员工进场前办理好相关保险。</w:t>
      </w:r>
    </w:p>
    <w:p w14:paraId="1979E7B6">
      <w:pPr>
        <w:snapToGrid w:val="0"/>
        <w:spacing w:line="360" w:lineRule="auto"/>
        <w:ind w:firstLine="498" w:firstLineChars="200"/>
        <w:rPr>
          <w:rFonts w:hint="eastAsia" w:ascii="仿宋" w:hAnsi="仿宋" w:eastAsia="仿宋" w:cs="仿宋"/>
          <w:b/>
          <w:color w:val="auto"/>
          <w:spacing w:val="4"/>
          <w:kern w:val="0"/>
          <w:sz w:val="24"/>
          <w:szCs w:val="24"/>
          <w:highlight w:val="none"/>
        </w:rPr>
      </w:pPr>
      <w:r>
        <w:rPr>
          <w:rFonts w:hint="eastAsia" w:ascii="仿宋" w:hAnsi="仿宋" w:eastAsia="仿宋" w:cs="仿宋"/>
          <w:b/>
          <w:color w:val="auto"/>
          <w:spacing w:val="4"/>
          <w:kern w:val="0"/>
          <w:sz w:val="24"/>
          <w:szCs w:val="24"/>
          <w:highlight w:val="none"/>
        </w:rPr>
        <w:t>九、质量保证及后续服务</w:t>
      </w:r>
    </w:p>
    <w:p w14:paraId="3E88B6E2">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9.1</w:t>
      </w:r>
      <w:r>
        <w:rPr>
          <w:rFonts w:hint="eastAsia" w:ascii="仿宋" w:hAnsi="仿宋" w:eastAsia="仿宋" w:cs="仿宋"/>
          <w:color w:val="auto"/>
          <w:sz w:val="24"/>
          <w:szCs w:val="24"/>
          <w:highlight w:val="none"/>
        </w:rPr>
        <w:t>乙方</w:t>
      </w:r>
      <w:r>
        <w:rPr>
          <w:rFonts w:hint="eastAsia" w:ascii="仿宋" w:hAnsi="仿宋" w:eastAsia="仿宋" w:cs="仿宋"/>
          <w:color w:val="auto"/>
          <w:spacing w:val="4"/>
          <w:kern w:val="0"/>
          <w:sz w:val="24"/>
          <w:szCs w:val="24"/>
          <w:highlight w:val="none"/>
        </w:rPr>
        <w:t>应按采购文件规定的</w:t>
      </w:r>
      <w:r>
        <w:rPr>
          <w:rFonts w:hint="eastAsia" w:ascii="仿宋" w:hAnsi="仿宋" w:eastAsia="仿宋" w:cs="仿宋"/>
          <w:color w:val="auto"/>
          <w:spacing w:val="4"/>
          <w:kern w:val="0"/>
          <w:sz w:val="24"/>
          <w:szCs w:val="24"/>
          <w:highlight w:val="none"/>
          <w:u w:val="single"/>
        </w:rPr>
        <w:t>服务内容及标准</w:t>
      </w:r>
      <w:r>
        <w:rPr>
          <w:rFonts w:hint="eastAsia" w:ascii="仿宋" w:hAnsi="仿宋" w:eastAsia="仿宋" w:cs="仿宋"/>
          <w:color w:val="auto"/>
          <w:spacing w:val="4"/>
          <w:kern w:val="0"/>
          <w:sz w:val="24"/>
          <w:szCs w:val="24"/>
          <w:highlight w:val="none"/>
        </w:rPr>
        <w:t>向甲方提供服务。</w:t>
      </w:r>
    </w:p>
    <w:p w14:paraId="5DAF1E7E">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9.2如</w:t>
      </w:r>
      <w:r>
        <w:rPr>
          <w:rFonts w:hint="eastAsia" w:ascii="仿宋" w:hAnsi="仿宋" w:eastAsia="仿宋" w:cs="仿宋"/>
          <w:color w:val="auto"/>
          <w:sz w:val="24"/>
          <w:szCs w:val="24"/>
          <w:highlight w:val="none"/>
        </w:rPr>
        <w:t>甲方</w:t>
      </w:r>
      <w:r>
        <w:rPr>
          <w:rFonts w:hint="eastAsia" w:ascii="仿宋" w:hAnsi="仿宋" w:eastAsia="仿宋" w:cs="仿宋"/>
          <w:color w:val="auto"/>
          <w:spacing w:val="4"/>
          <w:kern w:val="0"/>
          <w:sz w:val="24"/>
          <w:szCs w:val="24"/>
          <w:highlight w:val="none"/>
        </w:rPr>
        <w:t>检查发现乙方提供的</w:t>
      </w:r>
      <w:r>
        <w:rPr>
          <w:rFonts w:hint="eastAsia" w:ascii="仿宋" w:hAnsi="仿宋" w:eastAsia="仿宋" w:cs="仿宋"/>
          <w:color w:val="auto"/>
          <w:spacing w:val="4"/>
          <w:kern w:val="0"/>
          <w:sz w:val="24"/>
          <w:szCs w:val="24"/>
          <w:highlight w:val="none"/>
          <w:lang w:val="en-US" w:eastAsia="zh-CN"/>
        </w:rPr>
        <w:t>执法辅助</w:t>
      </w:r>
      <w:r>
        <w:rPr>
          <w:rFonts w:hint="eastAsia" w:ascii="仿宋" w:hAnsi="仿宋" w:eastAsia="仿宋" w:cs="仿宋"/>
          <w:color w:val="auto"/>
          <w:spacing w:val="4"/>
          <w:kern w:val="0"/>
          <w:sz w:val="24"/>
          <w:szCs w:val="24"/>
          <w:highlight w:val="none"/>
        </w:rPr>
        <w:t>服务不符合标准要求，乙方应立即进行整改，直到符合要求为止。甲方可根据考核标准从</w:t>
      </w:r>
      <w:r>
        <w:rPr>
          <w:rFonts w:hint="eastAsia" w:ascii="仿宋" w:hAnsi="仿宋" w:eastAsia="仿宋" w:cs="仿宋"/>
          <w:color w:val="auto"/>
          <w:spacing w:val="4"/>
          <w:kern w:val="0"/>
          <w:sz w:val="24"/>
          <w:szCs w:val="24"/>
          <w:highlight w:val="none"/>
          <w:lang w:val="en-US" w:eastAsia="zh-CN"/>
        </w:rPr>
        <w:t>应付合同款</w:t>
      </w:r>
      <w:r>
        <w:rPr>
          <w:rFonts w:hint="eastAsia" w:ascii="仿宋" w:hAnsi="仿宋" w:eastAsia="仿宋" w:cs="仿宋"/>
          <w:color w:val="auto"/>
          <w:spacing w:val="4"/>
          <w:kern w:val="0"/>
          <w:sz w:val="24"/>
          <w:szCs w:val="24"/>
          <w:highlight w:val="none"/>
        </w:rPr>
        <w:t>中扣除乙方因检查不合格而应该扣罚的款项。</w:t>
      </w:r>
    </w:p>
    <w:p w14:paraId="10779F78">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9.</w:t>
      </w:r>
      <w:r>
        <w:rPr>
          <w:rFonts w:hint="eastAsia" w:ascii="仿宋" w:hAnsi="仿宋" w:eastAsia="仿宋" w:cs="仿宋"/>
          <w:color w:val="auto"/>
          <w:spacing w:val="4"/>
          <w:kern w:val="0"/>
          <w:sz w:val="24"/>
          <w:szCs w:val="24"/>
          <w:highlight w:val="none"/>
          <w:lang w:val="en-US" w:eastAsia="zh-CN"/>
        </w:rPr>
        <w:t>3</w:t>
      </w:r>
      <w:r>
        <w:rPr>
          <w:rFonts w:hint="eastAsia" w:ascii="仿宋" w:hAnsi="仿宋" w:eastAsia="仿宋" w:cs="仿宋"/>
          <w:color w:val="auto"/>
          <w:spacing w:val="4"/>
          <w:kern w:val="0"/>
          <w:sz w:val="24"/>
          <w:szCs w:val="24"/>
          <w:highlight w:val="none"/>
        </w:rPr>
        <w:t>由于乙方</w:t>
      </w:r>
      <w:r>
        <w:rPr>
          <w:rFonts w:hint="eastAsia" w:ascii="仿宋" w:hAnsi="仿宋" w:eastAsia="仿宋" w:cs="仿宋"/>
          <w:color w:val="auto"/>
          <w:spacing w:val="4"/>
          <w:kern w:val="0"/>
          <w:sz w:val="24"/>
          <w:szCs w:val="24"/>
          <w:highlight w:val="none"/>
          <w:lang w:val="en-US" w:eastAsia="zh-CN"/>
        </w:rPr>
        <w:t>执法辅助</w:t>
      </w:r>
      <w:r>
        <w:rPr>
          <w:rFonts w:hint="eastAsia" w:ascii="仿宋" w:hAnsi="仿宋" w:eastAsia="仿宋" w:cs="仿宋"/>
          <w:color w:val="auto"/>
          <w:spacing w:val="4"/>
          <w:kern w:val="0"/>
          <w:sz w:val="24"/>
          <w:szCs w:val="24"/>
          <w:highlight w:val="none"/>
        </w:rPr>
        <w:t>服务原因在工作中给甲方的设施、材料造成损失，乙方应负责赔偿。</w:t>
      </w:r>
    </w:p>
    <w:p w14:paraId="67B4318B">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9.</w:t>
      </w:r>
      <w:r>
        <w:rPr>
          <w:rFonts w:hint="eastAsia" w:ascii="仿宋" w:hAnsi="仿宋" w:eastAsia="仿宋" w:cs="仿宋"/>
          <w:color w:val="auto"/>
          <w:spacing w:val="4"/>
          <w:kern w:val="0"/>
          <w:sz w:val="24"/>
          <w:szCs w:val="24"/>
          <w:highlight w:val="none"/>
          <w:lang w:val="en-US" w:eastAsia="zh-CN"/>
        </w:rPr>
        <w:t>4</w:t>
      </w:r>
      <w:r>
        <w:rPr>
          <w:rFonts w:hint="eastAsia" w:ascii="仿宋" w:hAnsi="仿宋" w:eastAsia="仿宋" w:cs="仿宋"/>
          <w:color w:val="auto"/>
          <w:spacing w:val="4"/>
          <w:kern w:val="0"/>
          <w:sz w:val="24"/>
          <w:szCs w:val="24"/>
          <w:highlight w:val="none"/>
        </w:rPr>
        <w:t xml:space="preserve">如在服务过程中发生问题，乙方在接到甲方通知后在 </w:t>
      </w:r>
      <w:r>
        <w:rPr>
          <w:rFonts w:hint="eastAsia" w:ascii="仿宋" w:hAnsi="仿宋" w:eastAsia="仿宋" w:cs="仿宋"/>
          <w:color w:val="auto"/>
          <w:spacing w:val="4"/>
          <w:kern w:val="0"/>
          <w:sz w:val="24"/>
          <w:szCs w:val="24"/>
          <w:highlight w:val="none"/>
          <w:u w:val="single"/>
          <w:lang w:val="en-US" w:eastAsia="zh-CN"/>
        </w:rPr>
        <w:t xml:space="preserve"> 2 </w:t>
      </w:r>
      <w:r>
        <w:rPr>
          <w:rFonts w:hint="eastAsia" w:ascii="仿宋" w:hAnsi="仿宋" w:eastAsia="仿宋" w:cs="仿宋"/>
          <w:color w:val="auto"/>
          <w:spacing w:val="4"/>
          <w:kern w:val="0"/>
          <w:sz w:val="24"/>
          <w:szCs w:val="24"/>
          <w:highlight w:val="none"/>
        </w:rPr>
        <w:t>小时内到达甲方现场。</w:t>
      </w:r>
    </w:p>
    <w:p w14:paraId="067D1386">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9.</w:t>
      </w:r>
      <w:r>
        <w:rPr>
          <w:rFonts w:hint="eastAsia" w:ascii="仿宋" w:hAnsi="仿宋" w:eastAsia="仿宋" w:cs="仿宋"/>
          <w:color w:val="auto"/>
          <w:spacing w:val="4"/>
          <w:kern w:val="0"/>
          <w:sz w:val="24"/>
          <w:szCs w:val="24"/>
          <w:highlight w:val="none"/>
          <w:lang w:val="en-US" w:eastAsia="zh-CN"/>
        </w:rPr>
        <w:t>5</w:t>
      </w:r>
      <w:r>
        <w:rPr>
          <w:rFonts w:hint="eastAsia" w:ascii="仿宋" w:hAnsi="仿宋" w:eastAsia="仿宋" w:cs="仿宋"/>
          <w:color w:val="auto"/>
          <w:spacing w:val="4"/>
          <w:kern w:val="0"/>
          <w:sz w:val="24"/>
          <w:szCs w:val="24"/>
          <w:highlight w:val="none"/>
        </w:rPr>
        <w:t>在服务质量保证期内，乙方应对出现的质量及安全问题负责处理解决并承担一切费用。</w:t>
      </w:r>
    </w:p>
    <w:p w14:paraId="0DAB3919">
      <w:pPr>
        <w:numPr>
          <w:ilvl w:val="0"/>
          <w:numId w:val="9"/>
        </w:numPr>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验收</w:t>
      </w:r>
    </w:p>
    <w:p w14:paraId="0CB3AA97">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10.1主体：甲方。</w:t>
      </w:r>
    </w:p>
    <w:p w14:paraId="36C6FA2C">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w:t>
      </w:r>
      <w:r>
        <w:rPr>
          <w:rFonts w:hint="eastAsia" w:ascii="仿宋" w:hAnsi="仿宋" w:eastAsia="仿宋" w:cs="仿宋"/>
          <w:snapToGrid w:val="0"/>
          <w:color w:val="auto"/>
          <w:kern w:val="0"/>
          <w:sz w:val="24"/>
          <w:highlight w:val="none"/>
          <w:lang w:eastAsia="zh-CN"/>
        </w:rPr>
        <w:t>2</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在</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提供服务的过程中，有权不定期对服务内容和质量进行检查考核。</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应当配合进行。</w:t>
      </w:r>
    </w:p>
    <w:p w14:paraId="0C6763F3">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10.3</w:t>
      </w:r>
      <w:r>
        <w:rPr>
          <w:rFonts w:hint="eastAsia" w:ascii="仿宋" w:hAnsi="仿宋" w:eastAsia="仿宋" w:cs="仿宋"/>
          <w:snapToGrid w:val="0"/>
          <w:color w:val="auto"/>
          <w:kern w:val="0"/>
          <w:sz w:val="24"/>
          <w:highlight w:val="none"/>
          <w:lang w:eastAsia="zh-CN"/>
        </w:rPr>
        <w:t>最终验收时间：服务内容执行完毕、服务期截止后。</w:t>
      </w:r>
    </w:p>
    <w:p w14:paraId="5D667422">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10.4</w:t>
      </w:r>
      <w:r>
        <w:rPr>
          <w:rFonts w:hint="eastAsia" w:ascii="仿宋" w:hAnsi="仿宋" w:eastAsia="仿宋" w:cs="仿宋"/>
          <w:snapToGrid w:val="0"/>
          <w:color w:val="auto"/>
          <w:kern w:val="0"/>
          <w:sz w:val="24"/>
          <w:highlight w:val="none"/>
          <w:lang w:eastAsia="zh-CN"/>
        </w:rPr>
        <w:t>验收程序：</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向</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提出申请验收，</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按验收方案组织履约验收。</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应将项目执行过程及时记录、收集、整理，向</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递交验收申请资料。</w:t>
      </w:r>
    </w:p>
    <w:p w14:paraId="1549727B">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10.5</w:t>
      </w:r>
      <w:r>
        <w:rPr>
          <w:rFonts w:hint="eastAsia" w:ascii="仿宋" w:hAnsi="仿宋" w:eastAsia="仿宋" w:cs="仿宋"/>
          <w:snapToGrid w:val="0"/>
          <w:color w:val="auto"/>
          <w:kern w:val="0"/>
          <w:sz w:val="24"/>
          <w:highlight w:val="none"/>
          <w:lang w:eastAsia="zh-CN"/>
        </w:rPr>
        <w:t>验收内容：</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实际完成的情况是否符合</w:t>
      </w:r>
      <w:r>
        <w:rPr>
          <w:rFonts w:hint="eastAsia" w:ascii="仿宋" w:hAnsi="仿宋" w:eastAsia="仿宋" w:cs="仿宋"/>
          <w:snapToGrid w:val="0"/>
          <w:color w:val="auto"/>
          <w:kern w:val="0"/>
          <w:sz w:val="24"/>
          <w:highlight w:val="none"/>
          <w:lang w:val="en-US" w:eastAsia="zh-CN"/>
        </w:rPr>
        <w:t>招标</w:t>
      </w:r>
      <w:r>
        <w:rPr>
          <w:rFonts w:hint="eastAsia" w:ascii="仿宋" w:hAnsi="仿宋" w:eastAsia="仿宋" w:cs="仿宋"/>
          <w:snapToGrid w:val="0"/>
          <w:color w:val="auto"/>
          <w:kern w:val="0"/>
          <w:sz w:val="24"/>
          <w:highlight w:val="none"/>
          <w:lang w:eastAsia="zh-CN"/>
        </w:rPr>
        <w:t>文件要求和</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在投标响应文件中的商务、技术承诺。</w:t>
      </w:r>
    </w:p>
    <w:p w14:paraId="5E58D19E">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10.6</w:t>
      </w:r>
      <w:r>
        <w:rPr>
          <w:rFonts w:hint="eastAsia" w:ascii="仿宋" w:hAnsi="仿宋" w:eastAsia="仿宋" w:cs="仿宋"/>
          <w:snapToGrid w:val="0"/>
          <w:color w:val="auto"/>
          <w:kern w:val="0"/>
          <w:sz w:val="24"/>
          <w:highlight w:val="none"/>
          <w:lang w:eastAsia="zh-CN"/>
        </w:rPr>
        <w:t>验收标准：</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已经按</w:t>
      </w:r>
      <w:r>
        <w:rPr>
          <w:rFonts w:hint="eastAsia" w:ascii="仿宋" w:hAnsi="仿宋" w:eastAsia="仿宋" w:cs="仿宋"/>
          <w:snapToGrid w:val="0"/>
          <w:color w:val="auto"/>
          <w:kern w:val="0"/>
          <w:sz w:val="24"/>
          <w:highlight w:val="none"/>
          <w:lang w:val="en-US" w:eastAsia="zh-CN"/>
        </w:rPr>
        <w:t>招标</w:t>
      </w:r>
      <w:r>
        <w:rPr>
          <w:rFonts w:hint="eastAsia" w:ascii="仿宋" w:hAnsi="仿宋" w:eastAsia="仿宋" w:cs="仿宋"/>
          <w:snapToGrid w:val="0"/>
          <w:color w:val="auto"/>
          <w:kern w:val="0"/>
          <w:sz w:val="24"/>
          <w:highlight w:val="none"/>
          <w:lang w:eastAsia="zh-CN"/>
        </w:rPr>
        <w:t>文件要求和</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在投标响应文件中的商务、技术承诺完成项目执行。</w:t>
      </w:r>
    </w:p>
    <w:p w14:paraId="26644518">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10.7</w:t>
      </w:r>
      <w:r>
        <w:rPr>
          <w:rFonts w:hint="eastAsia" w:ascii="仿宋" w:hAnsi="仿宋" w:eastAsia="仿宋" w:cs="仿宋"/>
          <w:snapToGrid w:val="0"/>
          <w:color w:val="auto"/>
          <w:kern w:val="0"/>
          <w:sz w:val="24"/>
          <w:highlight w:val="none"/>
          <w:lang w:eastAsia="zh-CN"/>
        </w:rPr>
        <w:t>验收时</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应在现场，验收完毕后作出验收结果报告；验收产生的费用，由</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承担。</w:t>
      </w:r>
    </w:p>
    <w:p w14:paraId="4CA64AF2">
      <w:pPr>
        <w:adjustRightInd w:val="0"/>
        <w:snapToGrid w:val="0"/>
        <w:spacing w:line="360" w:lineRule="auto"/>
        <w:ind w:firstLine="480"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snapToGrid w:val="0"/>
          <w:color w:val="auto"/>
          <w:kern w:val="0"/>
          <w:sz w:val="24"/>
          <w:highlight w:val="none"/>
          <w:lang w:val="en-US" w:eastAsia="zh-CN"/>
        </w:rPr>
        <w:t>10.8</w:t>
      </w:r>
      <w:r>
        <w:rPr>
          <w:rFonts w:hint="eastAsia" w:ascii="仿宋" w:hAnsi="仿宋" w:eastAsia="仿宋" w:cs="仿宋"/>
          <w:snapToGrid w:val="0"/>
          <w:color w:val="auto"/>
          <w:kern w:val="0"/>
          <w:sz w:val="24"/>
          <w:highlight w:val="none"/>
          <w:lang w:eastAsia="zh-CN"/>
        </w:rPr>
        <w:t>经验收后，</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服务成果不合格的（或未通过评审的），</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有权要求</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进行整改，相关费用由</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承担；如整改后仍不合格的，</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有权解除合同，并可以拒绝支付未支付的款项，</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lang w:eastAsia="zh-CN"/>
        </w:rPr>
        <w:t>已经收取的款项应退还给</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w:t>
      </w:r>
    </w:p>
    <w:p w14:paraId="64D5C452">
      <w:pPr>
        <w:numPr>
          <w:ilvl w:val="0"/>
          <w:numId w:val="9"/>
        </w:numPr>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违约责任</w:t>
      </w:r>
    </w:p>
    <w:p w14:paraId="02FBFD51">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265B7047">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highlight w:val="none"/>
        </w:rPr>
        <w:t>服务期间，如因</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原因发生人身事故，由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承担全部责任，所产生费用由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全部承担；因</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自身管理不善或使用不当造成的损失由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负责赔偿。</w:t>
      </w:r>
    </w:p>
    <w:p w14:paraId="7BD9C4D1">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11.3乙方按要求做好各种工作报表、记录，以备检查及验收。如果未按要求做好工作报表与记录，被检查发现一次，则扣罚500元。累计发现三次同类情况，扣罚2000元。</w:t>
      </w:r>
    </w:p>
    <w:p w14:paraId="02908BE4">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11.4如未按照工作要求或未配置夜间整治组、信访处置组的落实工作任务，视情扣罚100-2000元。</w:t>
      </w:r>
    </w:p>
    <w:p w14:paraId="7FC3774E">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11.5乙方对下属人员严格管理，如发现服务人员有赌博、滋事、扰乱治安、偷盗物资等情况，发现一次则扣罚500元。累计发现三次同类情况，扣罚2000元。</w:t>
      </w:r>
    </w:p>
    <w:p w14:paraId="11808332">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11.6在服务期间，根据甲方实际需求、乙方投标响应情况进行配置人员及装备。若发现配置的人员有空缺现象的，根据空缺人数按300元/人/次扣减服务费；若发现未按要求配置装备的，扣减相应装备费。</w:t>
      </w:r>
    </w:p>
    <w:p w14:paraId="4FB331DB">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11.7项目实施过程中，甲方将对乙方的服务质量进行考核。考核频率为每月度一次，如达不到要求的服务质量水平的，甲方将发出书面整改通知要求乙方予以整改,未及时整改扣当月考核分。</w:t>
      </w:r>
    </w:p>
    <w:p w14:paraId="2CA53221">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除不可抗力外，如果乙方没有按照合同约定的期限、地点和方式履行，或者未按要求整改，那么甲方可要求乙方支付违约金，违约金按每迟延履行一日的合同价格的 0.05 %计算，最高限额为合同总价的20%；迟延履行的违约金计算数额达到前述最高限额之日起，甲方有权在要求乙方支付违约金的同时，书面通知其解除合同。</w:t>
      </w:r>
    </w:p>
    <w:p w14:paraId="2DD99112">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11.8若有其他违反工作纪律造成恶劣影响和后果的，依据实际情况减扣服务费。具体考核细则由甲方制定。</w:t>
      </w:r>
    </w:p>
    <w:p w14:paraId="09F07AD1">
      <w:pPr>
        <w:numPr>
          <w:ilvl w:val="0"/>
          <w:numId w:val="9"/>
        </w:numPr>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不可抗力事件处理</w:t>
      </w:r>
    </w:p>
    <w:p w14:paraId="777B0E97">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12</w:t>
      </w:r>
      <w:r>
        <w:rPr>
          <w:rFonts w:hint="eastAsia" w:ascii="仿宋" w:hAnsi="仿宋" w:eastAsia="仿宋" w:cs="仿宋"/>
          <w:color w:val="auto"/>
          <w:spacing w:val="4"/>
          <w:kern w:val="0"/>
          <w:sz w:val="24"/>
          <w:szCs w:val="24"/>
          <w:highlight w:val="none"/>
        </w:rPr>
        <w:t>.1在合同有效期内，任何一方因不可抗力事件导致不能履行合同，则合同履行期可延长，其延长期与不可抗力影响期相同。</w:t>
      </w:r>
    </w:p>
    <w:p w14:paraId="5FB3E93D">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12</w:t>
      </w:r>
      <w:r>
        <w:rPr>
          <w:rFonts w:hint="eastAsia" w:ascii="仿宋" w:hAnsi="仿宋" w:eastAsia="仿宋" w:cs="仿宋"/>
          <w:color w:val="auto"/>
          <w:spacing w:val="4"/>
          <w:kern w:val="0"/>
          <w:sz w:val="24"/>
          <w:szCs w:val="24"/>
          <w:highlight w:val="none"/>
        </w:rPr>
        <w:t>.2不可抗力事件发生后，应立即通知对方，并寄送有关权威机构出具的证明。</w:t>
      </w:r>
    </w:p>
    <w:p w14:paraId="16B4FF59">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12</w:t>
      </w:r>
      <w:r>
        <w:rPr>
          <w:rFonts w:hint="eastAsia" w:ascii="仿宋" w:hAnsi="仿宋" w:eastAsia="仿宋" w:cs="仿宋"/>
          <w:color w:val="auto"/>
          <w:spacing w:val="4"/>
          <w:kern w:val="0"/>
          <w:sz w:val="24"/>
          <w:szCs w:val="24"/>
          <w:highlight w:val="none"/>
        </w:rPr>
        <w:t>.3不可抗力事件延续120天以上，双方应通过友好协商，确定是否继续履行合同。</w:t>
      </w:r>
    </w:p>
    <w:p w14:paraId="24F6EB92">
      <w:pPr>
        <w:numPr>
          <w:ilvl w:val="0"/>
          <w:numId w:val="9"/>
        </w:numPr>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诉讼</w:t>
      </w:r>
    </w:p>
    <w:p w14:paraId="0FDFB37A">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1</w:t>
      </w:r>
      <w:r>
        <w:rPr>
          <w:rFonts w:hint="eastAsia" w:ascii="仿宋" w:hAnsi="仿宋" w:eastAsia="仿宋" w:cs="仿宋"/>
          <w:color w:val="auto"/>
          <w:spacing w:val="4"/>
          <w:kern w:val="0"/>
          <w:sz w:val="24"/>
          <w:szCs w:val="24"/>
          <w:highlight w:val="none"/>
          <w:lang w:val="en-US" w:eastAsia="zh-CN"/>
        </w:rPr>
        <w:t>3</w:t>
      </w:r>
      <w:r>
        <w:rPr>
          <w:rFonts w:hint="eastAsia" w:ascii="仿宋" w:hAnsi="仿宋" w:eastAsia="仿宋" w:cs="仿宋"/>
          <w:color w:val="auto"/>
          <w:spacing w:val="4"/>
          <w:kern w:val="0"/>
          <w:sz w:val="24"/>
          <w:szCs w:val="24"/>
          <w:highlight w:val="none"/>
        </w:rPr>
        <w:t>.1凡有关本合同或执行本合同中发生的争端，双方应通过友好协商，妥善解决，如通过协商仍不能解决时，</w:t>
      </w:r>
      <w:r>
        <w:rPr>
          <w:rFonts w:hint="eastAsia" w:ascii="仿宋" w:hAnsi="仿宋" w:eastAsia="仿宋" w:cs="仿宋"/>
          <w:color w:val="auto"/>
          <w:sz w:val="24"/>
          <w:szCs w:val="24"/>
          <w:highlight w:val="none"/>
        </w:rPr>
        <w:t>可向甲方所在地法院起诉。</w:t>
      </w:r>
    </w:p>
    <w:p w14:paraId="7E56964B">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1</w:t>
      </w:r>
      <w:r>
        <w:rPr>
          <w:rFonts w:hint="eastAsia" w:ascii="仿宋" w:hAnsi="仿宋" w:eastAsia="仿宋" w:cs="仿宋"/>
          <w:color w:val="auto"/>
          <w:spacing w:val="4"/>
          <w:kern w:val="0"/>
          <w:sz w:val="24"/>
          <w:szCs w:val="24"/>
          <w:highlight w:val="none"/>
          <w:lang w:val="en-US" w:eastAsia="zh-CN"/>
        </w:rPr>
        <w:t>3</w:t>
      </w:r>
      <w:r>
        <w:rPr>
          <w:rFonts w:hint="eastAsia" w:ascii="仿宋" w:hAnsi="仿宋" w:eastAsia="仿宋" w:cs="仿宋"/>
          <w:color w:val="auto"/>
          <w:spacing w:val="4"/>
          <w:kern w:val="0"/>
          <w:sz w:val="24"/>
          <w:szCs w:val="24"/>
          <w:highlight w:val="none"/>
        </w:rPr>
        <w:t>.2</w:t>
      </w:r>
      <w:r>
        <w:rPr>
          <w:rFonts w:hint="eastAsia" w:ascii="仿宋" w:hAnsi="仿宋" w:eastAsia="仿宋" w:cs="仿宋"/>
          <w:color w:val="auto"/>
          <w:spacing w:val="4"/>
          <w:kern w:val="0"/>
          <w:sz w:val="24"/>
          <w:szCs w:val="24"/>
          <w:highlight w:val="none"/>
          <w:lang w:val="en-US" w:eastAsia="zh-CN"/>
        </w:rPr>
        <w:t>诉讼费用</w:t>
      </w:r>
      <w:r>
        <w:rPr>
          <w:rFonts w:hint="eastAsia" w:ascii="仿宋" w:hAnsi="仿宋" w:eastAsia="仿宋" w:cs="仿宋"/>
          <w:color w:val="auto"/>
          <w:spacing w:val="4"/>
          <w:kern w:val="0"/>
          <w:sz w:val="24"/>
          <w:szCs w:val="24"/>
          <w:highlight w:val="none"/>
        </w:rPr>
        <w:t>除另有裁决外，由败诉方承担。败诉方还应承担胜诉方为仲裁而支付的所有维权费用，包括但不限于律师费、差旅费、交通费、调查费、公证费、鉴定费等。</w:t>
      </w:r>
    </w:p>
    <w:p w14:paraId="0FC54587">
      <w:pPr>
        <w:numPr>
          <w:ilvl w:val="0"/>
          <w:numId w:val="9"/>
        </w:numPr>
        <w:snapToGrid w:val="0"/>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合同生效及其它</w:t>
      </w:r>
    </w:p>
    <w:p w14:paraId="092205B6">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14</w:t>
      </w:r>
      <w:r>
        <w:rPr>
          <w:rFonts w:hint="eastAsia" w:ascii="仿宋" w:hAnsi="仿宋" w:eastAsia="仿宋" w:cs="仿宋"/>
          <w:color w:val="auto"/>
          <w:spacing w:val="4"/>
          <w:kern w:val="0"/>
          <w:sz w:val="24"/>
          <w:szCs w:val="24"/>
          <w:highlight w:val="none"/>
        </w:rPr>
        <w:t>.1合同经双方法定代表人或授权代表签字并加盖单位公章后生效。</w:t>
      </w:r>
    </w:p>
    <w:p w14:paraId="694ED183">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14</w:t>
      </w:r>
      <w:r>
        <w:rPr>
          <w:rFonts w:hint="eastAsia" w:ascii="仿宋" w:hAnsi="仿宋" w:eastAsia="仿宋" w:cs="仿宋"/>
          <w:color w:val="auto"/>
          <w:spacing w:val="4"/>
          <w:kern w:val="0"/>
          <w:sz w:val="24"/>
          <w:szCs w:val="24"/>
          <w:highlight w:val="none"/>
        </w:rPr>
        <w:t>.2合同执行中涉及采购资金和采购内容修改或补充的，须经财政部门审批，并</w:t>
      </w:r>
      <w:r>
        <w:rPr>
          <w:rFonts w:hint="eastAsia" w:ascii="仿宋" w:hAnsi="仿宋" w:eastAsia="仿宋" w:cs="仿宋"/>
          <w:color w:val="auto"/>
          <w:spacing w:val="4"/>
          <w:kern w:val="0"/>
          <w:sz w:val="24"/>
          <w:szCs w:val="24"/>
          <w:highlight w:val="none"/>
          <w:lang w:val="en-US" w:eastAsia="zh-CN"/>
        </w:rPr>
        <w:t>签订</w:t>
      </w:r>
      <w:r>
        <w:rPr>
          <w:rFonts w:hint="eastAsia" w:ascii="仿宋" w:hAnsi="仿宋" w:eastAsia="仿宋" w:cs="仿宋"/>
          <w:color w:val="auto"/>
          <w:spacing w:val="4"/>
          <w:kern w:val="0"/>
          <w:sz w:val="24"/>
          <w:szCs w:val="24"/>
          <w:highlight w:val="none"/>
        </w:rPr>
        <w:t>书面补充协议报政府采购监督管理部门备案，方可作为主合同不可分割的一部分。</w:t>
      </w:r>
    </w:p>
    <w:p w14:paraId="340112ED">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14</w:t>
      </w:r>
      <w:r>
        <w:rPr>
          <w:rFonts w:hint="eastAsia" w:ascii="仿宋" w:hAnsi="仿宋" w:eastAsia="仿宋" w:cs="仿宋"/>
          <w:color w:val="auto"/>
          <w:spacing w:val="4"/>
          <w:kern w:val="0"/>
          <w:sz w:val="24"/>
          <w:szCs w:val="24"/>
          <w:highlight w:val="none"/>
        </w:rPr>
        <w:t>.3采购文件、投标文件及评标过程中形成的文字资料、询标纪要均作为本合同的组成部分，具有同等效力。本合同未尽事宜，遵照《</w:t>
      </w:r>
      <w:r>
        <w:rPr>
          <w:rFonts w:hint="eastAsia" w:ascii="仿宋" w:hAnsi="仿宋" w:eastAsia="仿宋" w:cs="仿宋"/>
          <w:color w:val="auto"/>
          <w:spacing w:val="4"/>
          <w:kern w:val="0"/>
          <w:sz w:val="24"/>
          <w:szCs w:val="24"/>
          <w:highlight w:val="none"/>
          <w:lang w:val="en-US" w:eastAsia="zh-CN"/>
        </w:rPr>
        <w:t>中华人民共和国民法典</w:t>
      </w:r>
      <w:r>
        <w:rPr>
          <w:rFonts w:hint="eastAsia" w:ascii="仿宋" w:hAnsi="仿宋" w:eastAsia="仿宋" w:cs="仿宋"/>
          <w:color w:val="auto"/>
          <w:spacing w:val="4"/>
          <w:kern w:val="0"/>
          <w:sz w:val="24"/>
          <w:szCs w:val="24"/>
          <w:highlight w:val="none"/>
        </w:rPr>
        <w:t>》有关条文执行。</w:t>
      </w:r>
    </w:p>
    <w:p w14:paraId="22478C57">
      <w:pPr>
        <w:snapToGrid w:val="0"/>
        <w:spacing w:line="360" w:lineRule="auto"/>
        <w:ind w:firstLine="496"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lang w:val="en-US" w:eastAsia="zh-CN"/>
        </w:rPr>
        <w:t>14</w:t>
      </w:r>
      <w:r>
        <w:rPr>
          <w:rFonts w:hint="eastAsia" w:ascii="仿宋" w:hAnsi="仿宋" w:eastAsia="仿宋" w:cs="仿宋"/>
          <w:color w:val="auto"/>
          <w:spacing w:val="4"/>
          <w:kern w:val="0"/>
          <w:sz w:val="24"/>
          <w:szCs w:val="24"/>
          <w:highlight w:val="none"/>
        </w:rPr>
        <w:t>.4本合同一式</w:t>
      </w:r>
      <w:r>
        <w:rPr>
          <w:rFonts w:hint="eastAsia" w:ascii="仿宋" w:hAnsi="仿宋" w:eastAsia="仿宋" w:cs="仿宋"/>
          <w:color w:val="auto"/>
          <w:spacing w:val="4"/>
          <w:kern w:val="0"/>
          <w:sz w:val="24"/>
          <w:szCs w:val="24"/>
          <w:highlight w:val="none"/>
          <w:u w:val="single"/>
          <w:lang w:val="en-US" w:eastAsia="zh-CN"/>
        </w:rPr>
        <w:t xml:space="preserve">    </w:t>
      </w:r>
      <w:r>
        <w:rPr>
          <w:rFonts w:hint="eastAsia" w:ascii="仿宋" w:hAnsi="仿宋" w:eastAsia="仿宋" w:cs="仿宋"/>
          <w:color w:val="auto"/>
          <w:spacing w:val="4"/>
          <w:kern w:val="0"/>
          <w:sz w:val="24"/>
          <w:szCs w:val="24"/>
          <w:highlight w:val="none"/>
        </w:rPr>
        <w:t>份，甲乙双方各执</w:t>
      </w:r>
      <w:r>
        <w:rPr>
          <w:rFonts w:hint="eastAsia" w:ascii="仿宋" w:hAnsi="仿宋" w:eastAsia="仿宋" w:cs="仿宋"/>
          <w:color w:val="auto"/>
          <w:spacing w:val="4"/>
          <w:kern w:val="0"/>
          <w:sz w:val="24"/>
          <w:szCs w:val="24"/>
          <w:highlight w:val="none"/>
          <w:u w:val="single"/>
          <w:lang w:val="en-US" w:eastAsia="zh-CN"/>
        </w:rPr>
        <w:t xml:space="preserve">   </w:t>
      </w:r>
      <w:r>
        <w:rPr>
          <w:rFonts w:hint="eastAsia" w:ascii="仿宋" w:hAnsi="仿宋" w:eastAsia="仿宋" w:cs="仿宋"/>
          <w:color w:val="auto"/>
          <w:spacing w:val="4"/>
          <w:kern w:val="0"/>
          <w:sz w:val="24"/>
          <w:szCs w:val="24"/>
          <w:highlight w:val="none"/>
        </w:rPr>
        <w:t>份。</w:t>
      </w:r>
    </w:p>
    <w:p w14:paraId="67FD1825">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jc w:val="left"/>
        <w:textAlignment w:val="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pacing w:val="4"/>
          <w:kern w:val="0"/>
          <w:sz w:val="24"/>
          <w:szCs w:val="24"/>
          <w:highlight w:val="none"/>
          <w:lang w:val="en-US" w:eastAsia="zh-CN"/>
        </w:rPr>
        <w:t>14</w:t>
      </w:r>
      <w:r>
        <w:rPr>
          <w:rFonts w:hint="eastAsia" w:ascii="仿宋" w:hAnsi="仿宋" w:eastAsia="仿宋" w:cs="仿宋"/>
          <w:color w:val="auto"/>
          <w:spacing w:val="4"/>
          <w:kern w:val="0"/>
          <w:sz w:val="24"/>
          <w:szCs w:val="24"/>
          <w:highlight w:val="none"/>
        </w:rPr>
        <w:t>.5适用法律</w:t>
      </w:r>
      <w:r>
        <w:rPr>
          <w:rFonts w:hint="eastAsia" w:ascii="仿宋" w:hAnsi="仿宋" w:eastAsia="仿宋" w:cs="仿宋"/>
          <w:color w:val="auto"/>
          <w:sz w:val="24"/>
          <w:szCs w:val="24"/>
          <w:highlight w:val="none"/>
        </w:rPr>
        <w:t>：本合同应按照中华人民共和国的法律进行解释。</w:t>
      </w:r>
    </w:p>
    <w:p w14:paraId="7D80014D">
      <w:pPr>
        <w:adjustRightInd w:val="0"/>
        <w:snapToGrid w:val="0"/>
        <w:spacing w:line="360" w:lineRule="auto"/>
        <w:ind w:firstLine="480" w:firstLineChars="200"/>
        <w:jc w:val="left"/>
        <w:rPr>
          <w:rFonts w:hint="eastAsia" w:ascii="仿宋" w:hAnsi="仿宋" w:eastAsia="仿宋" w:cs="仿宋"/>
          <w:color w:val="auto"/>
          <w:sz w:val="24"/>
          <w:highlight w:val="none"/>
        </w:rPr>
      </w:pPr>
    </w:p>
    <w:p w14:paraId="7EAFE2C4">
      <w:pPr>
        <w:adjustRightInd w:val="0"/>
        <w:snapToGrid w:val="0"/>
        <w:spacing w:line="360" w:lineRule="auto"/>
        <w:ind w:firstLine="480" w:firstLineChars="200"/>
        <w:jc w:val="left"/>
        <w:rPr>
          <w:rFonts w:hint="eastAsia" w:ascii="仿宋" w:hAnsi="仿宋" w:eastAsia="仿宋" w:cs="仿宋"/>
          <w:color w:val="auto"/>
          <w:sz w:val="24"/>
          <w:highlight w:val="none"/>
        </w:rPr>
      </w:pPr>
    </w:p>
    <w:p w14:paraId="0B34C798">
      <w:pPr>
        <w:adjustRightInd w:val="0"/>
        <w:snapToGrid w:val="0"/>
        <w:spacing w:line="360" w:lineRule="auto"/>
        <w:ind w:firstLine="0" w:firstLineChars="0"/>
        <w:rPr>
          <w:rFonts w:hint="eastAsia" w:ascii="仿宋" w:hAnsi="仿宋" w:eastAsia="仿宋" w:cs="仿宋"/>
          <w:bCs/>
          <w:color w:val="auto"/>
          <w:sz w:val="24"/>
          <w:highlight w:val="none"/>
        </w:rPr>
      </w:pPr>
      <w:r>
        <w:rPr>
          <w:rFonts w:hint="eastAsia" w:ascii="仿宋" w:hAnsi="仿宋" w:eastAsia="仿宋" w:cs="仿宋"/>
          <w:b/>
          <w:i/>
          <w:color w:val="auto"/>
          <w:sz w:val="24"/>
          <w:highlight w:val="none"/>
        </w:rPr>
        <w:t>（本页无正文，为本合同签署页）注：如另起签署页的，需保留该内容。</w:t>
      </w:r>
      <w:r>
        <w:rPr>
          <w:rFonts w:hint="eastAsia" w:ascii="仿宋" w:hAnsi="仿宋" w:eastAsia="仿宋" w:cs="仿宋"/>
          <w:bCs/>
          <w:color w:val="auto"/>
          <w:sz w:val="24"/>
          <w:highlight w:val="none"/>
        </w:rPr>
        <w:t xml:space="preserve"> </w:t>
      </w:r>
    </w:p>
    <w:p w14:paraId="059D1BC5">
      <w:pPr>
        <w:adjustRightInd w:val="0"/>
        <w:snapToGrid w:val="0"/>
        <w:spacing w:line="360" w:lineRule="auto"/>
        <w:ind w:firstLine="482" w:firstLineChars="200"/>
        <w:rPr>
          <w:rFonts w:hint="eastAsia" w:ascii="仿宋" w:hAnsi="仿宋" w:eastAsia="仿宋" w:cs="仿宋"/>
          <w:b/>
          <w:i/>
          <w:color w:val="auto"/>
          <w:sz w:val="24"/>
          <w:highlight w:val="none"/>
        </w:rPr>
      </w:pPr>
    </w:p>
    <w:tbl>
      <w:tblPr>
        <w:tblStyle w:val="48"/>
        <w:tblW w:w="8895" w:type="dxa"/>
        <w:tblCellSpacing w:w="0" w:type="dxa"/>
        <w:tblInd w:w="0" w:type="dxa"/>
        <w:tblLayout w:type="fixed"/>
        <w:tblCellMar>
          <w:top w:w="0" w:type="dxa"/>
          <w:left w:w="0" w:type="dxa"/>
          <w:bottom w:w="0" w:type="dxa"/>
          <w:right w:w="0" w:type="dxa"/>
        </w:tblCellMar>
      </w:tblPr>
      <w:tblGrid>
        <w:gridCol w:w="5160"/>
        <w:gridCol w:w="3735"/>
      </w:tblGrid>
      <w:tr w14:paraId="40516B65">
        <w:tblPrEx>
          <w:tblCellMar>
            <w:top w:w="0" w:type="dxa"/>
            <w:left w:w="0" w:type="dxa"/>
            <w:bottom w:w="0" w:type="dxa"/>
            <w:right w:w="0" w:type="dxa"/>
          </w:tblCellMar>
        </w:tblPrEx>
        <w:trPr>
          <w:trHeight w:val="600" w:hRule="atLeast"/>
          <w:tblCellSpacing w:w="0" w:type="dxa"/>
        </w:trPr>
        <w:tc>
          <w:tcPr>
            <w:tcW w:w="5160" w:type="dxa"/>
            <w:vAlign w:val="center"/>
          </w:tcPr>
          <w:p w14:paraId="6B213BC6">
            <w:pPr>
              <w:adjustRightInd w:val="0"/>
              <w:snapToGrid w:val="0"/>
              <w:spacing w:line="360" w:lineRule="auto"/>
              <w:ind w:firstLine="0" w:firstLineChars="0"/>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color w:val="auto"/>
                <w:kern w:val="0"/>
                <w:sz w:val="24"/>
                <w:highlight w:val="none"/>
              </w:rPr>
              <w:t xml:space="preserve">甲方（采购单位）（盖章）： </w:t>
            </w:r>
          </w:p>
        </w:tc>
        <w:tc>
          <w:tcPr>
            <w:tcW w:w="3735" w:type="dxa"/>
            <w:vAlign w:val="center"/>
          </w:tcPr>
          <w:p w14:paraId="5192B23D">
            <w:pPr>
              <w:adjustRightInd w:val="0"/>
              <w:snapToGrid w:val="0"/>
              <w:spacing w:line="360" w:lineRule="auto"/>
              <w:ind w:firstLine="0" w:firstLine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乙方（供应商）（盖章）： </w:t>
            </w:r>
          </w:p>
        </w:tc>
      </w:tr>
      <w:tr w14:paraId="3D991C0D">
        <w:tblPrEx>
          <w:tblCellMar>
            <w:top w:w="0" w:type="dxa"/>
            <w:left w:w="0" w:type="dxa"/>
            <w:bottom w:w="0" w:type="dxa"/>
            <w:right w:w="0" w:type="dxa"/>
          </w:tblCellMar>
        </w:tblPrEx>
        <w:trPr>
          <w:trHeight w:val="705" w:hRule="atLeast"/>
          <w:tblCellSpacing w:w="0" w:type="dxa"/>
        </w:trPr>
        <w:tc>
          <w:tcPr>
            <w:tcW w:w="5160" w:type="dxa"/>
            <w:vAlign w:val="center"/>
          </w:tcPr>
          <w:p w14:paraId="12407D9D">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p>
          <w:p w14:paraId="0A9C2370">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或授权委托人（签字）： </w:t>
            </w:r>
          </w:p>
        </w:tc>
        <w:tc>
          <w:tcPr>
            <w:tcW w:w="3735" w:type="dxa"/>
            <w:vAlign w:val="center"/>
          </w:tcPr>
          <w:p w14:paraId="00238194">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p>
          <w:p w14:paraId="0156464C">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或授权委托人（签字）： </w:t>
            </w:r>
          </w:p>
        </w:tc>
      </w:tr>
      <w:tr w14:paraId="3CD1E94D">
        <w:tblPrEx>
          <w:tblCellMar>
            <w:top w:w="0" w:type="dxa"/>
            <w:left w:w="0" w:type="dxa"/>
            <w:bottom w:w="0" w:type="dxa"/>
            <w:right w:w="0" w:type="dxa"/>
          </w:tblCellMar>
        </w:tblPrEx>
        <w:trPr>
          <w:trHeight w:val="600" w:hRule="atLeast"/>
          <w:tblCellSpacing w:w="0" w:type="dxa"/>
        </w:trPr>
        <w:tc>
          <w:tcPr>
            <w:tcW w:w="5160" w:type="dxa"/>
            <w:vAlign w:val="center"/>
          </w:tcPr>
          <w:p w14:paraId="079E46DA">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c>
          <w:tcPr>
            <w:tcW w:w="3735" w:type="dxa"/>
            <w:vAlign w:val="center"/>
          </w:tcPr>
          <w:p w14:paraId="1FC34B6D">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r>
      <w:tr w14:paraId="186BAAD8">
        <w:tblPrEx>
          <w:tblCellMar>
            <w:top w:w="0" w:type="dxa"/>
            <w:left w:w="0" w:type="dxa"/>
            <w:bottom w:w="0" w:type="dxa"/>
            <w:right w:w="0" w:type="dxa"/>
          </w:tblCellMar>
        </w:tblPrEx>
        <w:trPr>
          <w:trHeight w:val="600" w:hRule="atLeast"/>
          <w:tblCellSpacing w:w="0" w:type="dxa"/>
        </w:trPr>
        <w:tc>
          <w:tcPr>
            <w:tcW w:w="5160" w:type="dxa"/>
            <w:vAlign w:val="center"/>
          </w:tcPr>
          <w:p w14:paraId="40724FFC">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c>
          <w:tcPr>
            <w:tcW w:w="3735" w:type="dxa"/>
            <w:vAlign w:val="center"/>
          </w:tcPr>
          <w:p w14:paraId="08F08AAA">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r>
      <w:tr w14:paraId="216B7DC1">
        <w:tblPrEx>
          <w:tblCellMar>
            <w:top w:w="0" w:type="dxa"/>
            <w:left w:w="0" w:type="dxa"/>
            <w:bottom w:w="0" w:type="dxa"/>
            <w:right w:w="0" w:type="dxa"/>
          </w:tblCellMar>
        </w:tblPrEx>
        <w:trPr>
          <w:trHeight w:val="600" w:hRule="atLeast"/>
          <w:tblCellSpacing w:w="0" w:type="dxa"/>
        </w:trPr>
        <w:tc>
          <w:tcPr>
            <w:tcW w:w="5160" w:type="dxa"/>
            <w:vAlign w:val="center"/>
          </w:tcPr>
          <w:p w14:paraId="50C75300">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邮编：</w:t>
            </w:r>
          </w:p>
        </w:tc>
        <w:tc>
          <w:tcPr>
            <w:tcW w:w="3735" w:type="dxa"/>
            <w:vAlign w:val="center"/>
          </w:tcPr>
          <w:p w14:paraId="40BA5F4F">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邮编： </w:t>
            </w:r>
          </w:p>
        </w:tc>
      </w:tr>
      <w:tr w14:paraId="2C214E1A">
        <w:tblPrEx>
          <w:tblCellMar>
            <w:top w:w="0" w:type="dxa"/>
            <w:left w:w="0" w:type="dxa"/>
            <w:bottom w:w="0" w:type="dxa"/>
            <w:right w:w="0" w:type="dxa"/>
          </w:tblCellMar>
        </w:tblPrEx>
        <w:trPr>
          <w:trHeight w:val="600" w:hRule="atLeast"/>
          <w:tblCellSpacing w:w="0" w:type="dxa"/>
        </w:trPr>
        <w:tc>
          <w:tcPr>
            <w:tcW w:w="5160" w:type="dxa"/>
            <w:vAlign w:val="center"/>
          </w:tcPr>
          <w:p w14:paraId="1A5E9605">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tc>
        <w:tc>
          <w:tcPr>
            <w:tcW w:w="3735" w:type="dxa"/>
            <w:vAlign w:val="center"/>
          </w:tcPr>
          <w:p w14:paraId="1F86AA57">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电话： </w:t>
            </w:r>
          </w:p>
        </w:tc>
      </w:tr>
      <w:tr w14:paraId="4CFB5DC3">
        <w:tblPrEx>
          <w:tblCellMar>
            <w:top w:w="0" w:type="dxa"/>
            <w:left w:w="0" w:type="dxa"/>
            <w:bottom w:w="0" w:type="dxa"/>
            <w:right w:w="0" w:type="dxa"/>
          </w:tblCellMar>
        </w:tblPrEx>
        <w:trPr>
          <w:trHeight w:val="600" w:hRule="atLeast"/>
          <w:tblCellSpacing w:w="0" w:type="dxa"/>
        </w:trPr>
        <w:tc>
          <w:tcPr>
            <w:tcW w:w="5160" w:type="dxa"/>
            <w:vAlign w:val="center"/>
          </w:tcPr>
          <w:p w14:paraId="7CD6F31E">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c>
          <w:tcPr>
            <w:tcW w:w="3735" w:type="dxa"/>
            <w:vAlign w:val="center"/>
          </w:tcPr>
          <w:p w14:paraId="2099CBBF">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r>
      <w:tr w14:paraId="1A9DE6AD">
        <w:tblPrEx>
          <w:tblCellMar>
            <w:top w:w="0" w:type="dxa"/>
            <w:left w:w="0" w:type="dxa"/>
            <w:bottom w:w="0" w:type="dxa"/>
            <w:right w:w="0" w:type="dxa"/>
          </w:tblCellMar>
        </w:tblPrEx>
        <w:trPr>
          <w:trHeight w:val="600" w:hRule="atLeast"/>
          <w:tblCellSpacing w:w="0" w:type="dxa"/>
        </w:trPr>
        <w:tc>
          <w:tcPr>
            <w:tcW w:w="5160" w:type="dxa"/>
            <w:vAlign w:val="center"/>
          </w:tcPr>
          <w:p w14:paraId="634CDF4E">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c>
          <w:tcPr>
            <w:tcW w:w="3735" w:type="dxa"/>
            <w:vAlign w:val="center"/>
          </w:tcPr>
          <w:p w14:paraId="430B18FF">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r>
      <w:tr w14:paraId="4C016A02">
        <w:tblPrEx>
          <w:tblCellMar>
            <w:top w:w="0" w:type="dxa"/>
            <w:left w:w="0" w:type="dxa"/>
            <w:bottom w:w="0" w:type="dxa"/>
            <w:right w:w="0" w:type="dxa"/>
          </w:tblCellMar>
        </w:tblPrEx>
        <w:trPr>
          <w:trHeight w:val="600" w:hRule="atLeast"/>
          <w:tblCellSpacing w:w="0" w:type="dxa"/>
        </w:trPr>
        <w:tc>
          <w:tcPr>
            <w:tcW w:w="5160" w:type="dxa"/>
            <w:vAlign w:val="center"/>
          </w:tcPr>
          <w:p w14:paraId="5BB24A38">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账号</w:t>
            </w:r>
            <w:r>
              <w:rPr>
                <w:rFonts w:hint="eastAsia" w:ascii="仿宋" w:hAnsi="仿宋" w:eastAsia="仿宋" w:cs="仿宋"/>
                <w:color w:val="auto"/>
                <w:kern w:val="0"/>
                <w:sz w:val="24"/>
                <w:highlight w:val="none"/>
              </w:rPr>
              <w:t xml:space="preserve"> ： </w:t>
            </w:r>
          </w:p>
        </w:tc>
        <w:tc>
          <w:tcPr>
            <w:tcW w:w="3735" w:type="dxa"/>
            <w:vAlign w:val="center"/>
          </w:tcPr>
          <w:p w14:paraId="4E1D5243">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账号</w:t>
            </w:r>
            <w:r>
              <w:rPr>
                <w:rFonts w:hint="eastAsia" w:ascii="仿宋" w:hAnsi="仿宋" w:eastAsia="仿宋" w:cs="仿宋"/>
                <w:color w:val="auto"/>
                <w:kern w:val="0"/>
                <w:sz w:val="24"/>
                <w:highlight w:val="none"/>
              </w:rPr>
              <w:t xml:space="preserve"> ： </w:t>
            </w:r>
          </w:p>
        </w:tc>
      </w:tr>
    </w:tbl>
    <w:p w14:paraId="416FA9A2">
      <w:pPr>
        <w:adjustRightInd w:val="0"/>
        <w:snapToGrid w:val="0"/>
        <w:spacing w:line="360" w:lineRule="auto"/>
        <w:rPr>
          <w:rFonts w:hint="eastAsia" w:ascii="仿宋" w:hAnsi="仿宋" w:eastAsia="仿宋" w:cs="仿宋"/>
          <w:color w:val="auto"/>
          <w:kern w:val="0"/>
          <w:sz w:val="24"/>
          <w:highlight w:val="none"/>
        </w:rPr>
      </w:pPr>
    </w:p>
    <w:p w14:paraId="447AFC4F">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合同签订时间：    年 月  日</w:t>
      </w:r>
    </w:p>
    <w:p w14:paraId="1F82DEF4">
      <w:pPr>
        <w:adjustRightInd w:val="0"/>
        <w:snapToGrid w:val="0"/>
        <w:spacing w:line="360" w:lineRule="auto"/>
        <w:rPr>
          <w:rFonts w:hint="eastAsia" w:ascii="仿宋" w:hAnsi="仿宋" w:eastAsia="仿宋" w:cs="仿宋"/>
          <w:color w:val="auto"/>
          <w:kern w:val="0"/>
          <w:sz w:val="24"/>
          <w:highlight w:val="none"/>
        </w:rPr>
      </w:pPr>
    </w:p>
    <w:p w14:paraId="1C58E22B">
      <w:pPr>
        <w:rPr>
          <w:rFonts w:hint="eastAsia" w:ascii="仿宋" w:hAnsi="仿宋" w:eastAsia="仿宋" w:cs="仿宋"/>
          <w:b w:val="0"/>
          <w:bCs/>
          <w:color w:val="auto"/>
          <w:kern w:val="0"/>
          <w:sz w:val="24"/>
          <w:szCs w:val="24"/>
          <w:highlight w:val="none"/>
          <w:shd w:val="clear" w:color="auto" w:fill="auto"/>
          <w:lang w:val="en-US" w:eastAsia="zh-CN" w:bidi="zh-CN"/>
        </w:rPr>
      </w:pPr>
      <w:r>
        <w:rPr>
          <w:rFonts w:hint="eastAsia" w:ascii="仿宋" w:hAnsi="仿宋" w:eastAsia="仿宋" w:cs="仿宋"/>
          <w:b w:val="0"/>
          <w:bCs/>
          <w:color w:val="auto"/>
          <w:kern w:val="0"/>
          <w:sz w:val="24"/>
          <w:szCs w:val="24"/>
          <w:highlight w:val="none"/>
          <w:shd w:val="clear" w:color="auto" w:fill="auto"/>
          <w:lang w:val="en-US" w:eastAsia="zh-CN" w:bidi="zh-CN"/>
        </w:rPr>
        <w:br w:type="page"/>
      </w:r>
    </w:p>
    <w:bookmarkEnd w:id="128"/>
    <w:bookmarkEnd w:id="129"/>
    <w:bookmarkEnd w:id="130"/>
    <w:bookmarkEnd w:id="131"/>
    <w:bookmarkEnd w:id="132"/>
    <w:p w14:paraId="497C0A34">
      <w:pPr>
        <w:adjustRightInd w:val="0"/>
        <w:snapToGrid w:val="0"/>
        <w:spacing w:before="120" w:beforeLines="50" w:after="120" w:afterLines="50" w:line="360" w:lineRule="auto"/>
        <w:jc w:val="center"/>
        <w:outlineLvl w:val="0"/>
        <w:rPr>
          <w:rFonts w:hint="eastAsia" w:ascii="仿宋" w:hAnsi="仿宋" w:eastAsia="仿宋" w:cs="仿宋"/>
          <w:b/>
          <w:bCs/>
          <w:color w:val="auto"/>
          <w:sz w:val="32"/>
          <w:szCs w:val="32"/>
          <w:highlight w:val="none"/>
        </w:rPr>
      </w:pPr>
      <w:bookmarkStart w:id="133" w:name="_Toc249760797"/>
      <w:bookmarkStart w:id="134" w:name="_Toc234764855"/>
      <w:bookmarkStart w:id="135" w:name="_Toc21370"/>
      <w:bookmarkStart w:id="136" w:name="_Toc1306"/>
      <w:bookmarkStart w:id="137" w:name="_Toc251566668"/>
      <w:r>
        <w:rPr>
          <w:rFonts w:hint="eastAsia" w:ascii="仿宋" w:hAnsi="仿宋" w:eastAsia="仿宋" w:cs="仿宋"/>
          <w:b/>
          <w:color w:val="auto"/>
          <w:sz w:val="30"/>
          <w:szCs w:val="30"/>
          <w:highlight w:val="none"/>
        </w:rPr>
        <w:t>第六部分  投标文件格式</w:t>
      </w:r>
      <w:bookmarkEnd w:id="133"/>
      <w:bookmarkEnd w:id="134"/>
      <w:bookmarkEnd w:id="135"/>
      <w:bookmarkEnd w:id="136"/>
      <w:bookmarkEnd w:id="137"/>
    </w:p>
    <w:p w14:paraId="2C136434">
      <w:pPr>
        <w:autoSpaceDE w:val="0"/>
        <w:autoSpaceDN w:val="0"/>
        <w:adjustRightInd w:val="0"/>
        <w:spacing w:line="360" w:lineRule="auto"/>
        <w:ind w:firstLine="480"/>
        <w:rPr>
          <w:rFonts w:hint="eastAsia" w:ascii="仿宋" w:hAnsi="仿宋" w:eastAsia="仿宋" w:cs="仿宋"/>
          <w:color w:val="auto"/>
          <w:sz w:val="24"/>
          <w:highlight w:val="none"/>
        </w:rPr>
      </w:pPr>
    </w:p>
    <w:p w14:paraId="7FB27E05">
      <w:pPr>
        <w:spacing w:line="360" w:lineRule="auto"/>
        <w:jc w:val="center"/>
        <w:outlineLvl w:val="1"/>
        <w:rPr>
          <w:rFonts w:hint="eastAsia" w:ascii="仿宋" w:hAnsi="仿宋" w:eastAsia="仿宋" w:cs="仿宋"/>
          <w:b/>
          <w:color w:val="auto"/>
          <w:kern w:val="0"/>
          <w:sz w:val="36"/>
          <w:szCs w:val="36"/>
          <w:highlight w:val="none"/>
        </w:rPr>
      </w:pPr>
      <w:bookmarkStart w:id="138" w:name="_Toc18065"/>
      <w:bookmarkStart w:id="139" w:name="_Toc25507"/>
      <w:bookmarkStart w:id="140" w:name="_Toc23772"/>
      <w:bookmarkStart w:id="141" w:name="_Toc23013"/>
      <w:r>
        <w:rPr>
          <w:rFonts w:hint="eastAsia" w:ascii="仿宋" w:hAnsi="仿宋" w:eastAsia="仿宋" w:cs="仿宋"/>
          <w:b/>
          <w:color w:val="auto"/>
          <w:kern w:val="0"/>
          <w:sz w:val="36"/>
          <w:szCs w:val="36"/>
          <w:highlight w:val="none"/>
        </w:rPr>
        <w:t>资格文件部分</w:t>
      </w:r>
      <w:bookmarkEnd w:id="138"/>
      <w:bookmarkEnd w:id="139"/>
      <w:bookmarkEnd w:id="140"/>
      <w:bookmarkEnd w:id="141"/>
    </w:p>
    <w:p w14:paraId="71419EA3">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51E7DC0">
      <w:pPr>
        <w:spacing w:line="360" w:lineRule="auto"/>
        <w:jc w:val="center"/>
        <w:rPr>
          <w:rFonts w:hint="eastAsia" w:ascii="仿宋" w:hAnsi="仿宋" w:eastAsia="仿宋" w:cs="仿宋"/>
          <w:b/>
          <w:color w:val="auto"/>
          <w:kern w:val="0"/>
          <w:sz w:val="36"/>
          <w:szCs w:val="36"/>
          <w:highlight w:val="none"/>
        </w:rPr>
      </w:pPr>
    </w:p>
    <w:p w14:paraId="15F34B4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符合参加政府采购活动应当具备的一般条件的承诺函……………（页码）</w:t>
      </w:r>
    </w:p>
    <w:p w14:paraId="181DAFF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联合协议………………………………………………………………（页码）</w:t>
      </w:r>
    </w:p>
    <w:p w14:paraId="7F6AFC0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）落实政府采购政策需满足的资格要求………………………………（页码）</w:t>
      </w:r>
    </w:p>
    <w:p w14:paraId="517CD41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）本项目的特定资格要求………………………………………………（页码）</w:t>
      </w:r>
    </w:p>
    <w:p w14:paraId="6E75AF28">
      <w:pPr>
        <w:snapToGrid w:val="0"/>
        <w:spacing w:line="360" w:lineRule="auto"/>
        <w:ind w:firstLine="480" w:firstLineChars="200"/>
        <w:rPr>
          <w:rFonts w:hint="eastAsia" w:ascii="仿宋" w:hAnsi="仿宋" w:eastAsia="仿宋" w:cs="仿宋"/>
          <w:color w:val="auto"/>
          <w:sz w:val="24"/>
          <w:highlight w:val="none"/>
        </w:rPr>
      </w:pPr>
    </w:p>
    <w:p w14:paraId="30E0AEF9">
      <w:pPr>
        <w:spacing w:line="360" w:lineRule="auto"/>
        <w:ind w:firstLine="480" w:firstLineChars="200"/>
        <w:rPr>
          <w:rFonts w:hint="eastAsia" w:ascii="仿宋" w:hAnsi="仿宋" w:eastAsia="仿宋" w:cs="仿宋"/>
          <w:color w:val="auto"/>
          <w:sz w:val="24"/>
          <w:highlight w:val="none"/>
        </w:rPr>
      </w:pPr>
    </w:p>
    <w:p w14:paraId="1608FF88">
      <w:pPr>
        <w:snapToGrid w:val="0"/>
        <w:spacing w:line="360" w:lineRule="auto"/>
        <w:ind w:right="480"/>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14:paraId="3D53D0F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43FA2465">
      <w:pPr>
        <w:snapToGrid w:val="0"/>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191F7F3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0F119B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7FAC6E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3AEB46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0C1A9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CBB44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57EB95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42CA9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、中国政府采购网（www.ccgp.gov.cn）列入失信被执行人、重大税收违法案件当事人名单、政府采购严重违法失信行为记录名单。</w:t>
      </w:r>
    </w:p>
    <w:p w14:paraId="1DCD80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3006F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7A69BD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8F716AA">
      <w:pPr>
        <w:pStyle w:val="20"/>
        <w:rPr>
          <w:rFonts w:hint="eastAsia" w:ascii="仿宋" w:hAnsi="仿宋" w:eastAsia="仿宋" w:cs="仿宋"/>
          <w:color w:val="auto"/>
          <w:sz w:val="24"/>
          <w:highlight w:val="none"/>
        </w:rPr>
      </w:pPr>
    </w:p>
    <w:p w14:paraId="2D2F0FA0">
      <w:pPr>
        <w:rPr>
          <w:rFonts w:hint="eastAsia" w:ascii="仿宋" w:hAnsi="仿宋" w:eastAsia="仿宋" w:cs="仿宋"/>
          <w:color w:val="auto"/>
          <w:highlight w:val="none"/>
        </w:rPr>
      </w:pPr>
    </w:p>
    <w:p w14:paraId="28AC47D5">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DFFE58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w:t>
      </w:r>
    </w:p>
    <w:p w14:paraId="708C5E29">
      <w:pPr>
        <w:snapToGrid w:val="0"/>
        <w:spacing w:line="360" w:lineRule="auto"/>
        <w:ind w:right="480"/>
        <w:jc w:val="center"/>
        <w:rPr>
          <w:rFonts w:hint="eastAsia" w:ascii="仿宋" w:hAnsi="仿宋" w:eastAsia="仿宋" w:cs="仿宋"/>
          <w:b/>
          <w:color w:val="auto"/>
          <w:kern w:val="0"/>
          <w:sz w:val="32"/>
          <w:szCs w:val="32"/>
          <w:highlight w:val="none"/>
        </w:rPr>
      </w:pPr>
    </w:p>
    <w:p w14:paraId="149A5FD5">
      <w:pPr>
        <w:snapToGrid w:val="0"/>
        <w:spacing w:line="360" w:lineRule="auto"/>
        <w:ind w:right="480"/>
        <w:jc w:val="center"/>
        <w:rPr>
          <w:rFonts w:hint="eastAsia" w:ascii="仿宋" w:hAnsi="仿宋" w:eastAsia="仿宋" w:cs="仿宋"/>
          <w:b/>
          <w:color w:val="auto"/>
          <w:kern w:val="0"/>
          <w:sz w:val="32"/>
          <w:szCs w:val="32"/>
          <w:highlight w:val="none"/>
        </w:rPr>
      </w:pPr>
    </w:p>
    <w:p w14:paraId="2B0E6CAC">
      <w:pPr>
        <w:rPr>
          <w:rFonts w:hint="eastAsia" w:ascii="仿宋" w:hAnsi="仿宋" w:eastAsia="仿宋" w:cs="仿宋"/>
          <w:color w:val="auto"/>
          <w:highlight w:val="none"/>
        </w:rPr>
      </w:pPr>
    </w:p>
    <w:p w14:paraId="497E2CF4">
      <w:pPr>
        <w:snapToGrid w:val="0"/>
        <w:spacing w:line="360" w:lineRule="auto"/>
        <w:ind w:right="480"/>
        <w:jc w:val="center"/>
        <w:rPr>
          <w:rFonts w:hint="eastAsia" w:ascii="仿宋" w:hAnsi="仿宋" w:eastAsia="仿宋" w:cs="仿宋"/>
          <w:b/>
          <w:color w:val="auto"/>
          <w:kern w:val="0"/>
          <w:sz w:val="32"/>
          <w:szCs w:val="32"/>
          <w:highlight w:val="none"/>
        </w:rPr>
      </w:pPr>
    </w:p>
    <w:p w14:paraId="3514C832">
      <w:pPr>
        <w:snapToGrid w:val="0"/>
        <w:spacing w:line="360" w:lineRule="auto"/>
        <w:ind w:right="480"/>
        <w:jc w:val="center"/>
        <w:rPr>
          <w:rFonts w:hint="eastAsia" w:ascii="仿宋" w:hAnsi="仿宋" w:eastAsia="仿宋" w:cs="仿宋"/>
          <w:b/>
          <w:color w:val="auto"/>
          <w:kern w:val="0"/>
          <w:sz w:val="32"/>
          <w:szCs w:val="32"/>
          <w:highlight w:val="none"/>
        </w:rPr>
      </w:pPr>
    </w:p>
    <w:p w14:paraId="701190BD">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521671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541D3A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[以联合体形式投标的，提供联合协议（附件5）；本项目不接受联合体投标或者投标人不以联合体形式投标的，则不需要提供）]</w:t>
      </w:r>
    </w:p>
    <w:p w14:paraId="5313D2FA">
      <w:pPr>
        <w:snapToGrid w:val="0"/>
        <w:spacing w:line="360" w:lineRule="auto"/>
        <w:ind w:right="480"/>
        <w:jc w:val="center"/>
        <w:rPr>
          <w:rFonts w:hint="eastAsia" w:ascii="仿宋" w:hAnsi="仿宋" w:eastAsia="仿宋" w:cs="仿宋"/>
          <w:b/>
          <w:color w:val="auto"/>
          <w:kern w:val="0"/>
          <w:sz w:val="32"/>
          <w:szCs w:val="32"/>
          <w:highlight w:val="none"/>
        </w:rPr>
      </w:pPr>
    </w:p>
    <w:p w14:paraId="4AFBB7EE">
      <w:pPr>
        <w:snapToGrid w:val="0"/>
        <w:spacing w:line="360" w:lineRule="auto"/>
        <w:ind w:right="480"/>
        <w:jc w:val="center"/>
        <w:rPr>
          <w:rFonts w:hint="eastAsia" w:ascii="仿宋" w:hAnsi="仿宋" w:eastAsia="仿宋" w:cs="仿宋"/>
          <w:b/>
          <w:color w:val="auto"/>
          <w:kern w:val="0"/>
          <w:sz w:val="32"/>
          <w:szCs w:val="32"/>
          <w:highlight w:val="none"/>
        </w:rPr>
      </w:pPr>
    </w:p>
    <w:p w14:paraId="5B2BEE3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、落实政府采购政策需满足的资格要求</w:t>
      </w:r>
    </w:p>
    <w:p w14:paraId="3EDD2A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6541AB9">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DA0865C">
      <w:pPr>
        <w:widowControl/>
        <w:spacing w:line="360" w:lineRule="auto"/>
        <w:ind w:firstLine="480"/>
        <w:jc w:val="left"/>
        <w:rPr>
          <w:rFonts w:hint="eastAsia" w:ascii="仿宋" w:hAnsi="仿宋" w:eastAsia="仿宋" w:cs="仿宋"/>
          <w:color w:val="auto"/>
          <w:sz w:val="24"/>
          <w:highlight w:val="none"/>
        </w:rPr>
      </w:pPr>
    </w:p>
    <w:p w14:paraId="4E7BBCC7">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1E566F5">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3C1E0333">
      <w:pPr>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79844A0A">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0FC39121">
      <w:pPr>
        <w:keepNext/>
        <w:keepLines/>
        <w:pageBreakBefore w:val="0"/>
        <w:widowControl w:val="0"/>
        <w:kinsoku/>
        <w:wordWrap/>
        <w:overflowPunct/>
        <w:topLinePunct w:val="0"/>
        <w:autoSpaceDE/>
        <w:autoSpaceDN/>
        <w:bidi w:val="0"/>
        <w:adjustRightInd w:val="0"/>
        <w:snapToGrid/>
        <w:spacing w:line="416" w:lineRule="auto"/>
        <w:textAlignment w:val="auto"/>
        <w:outlineLvl w:val="9"/>
        <w:rPr>
          <w:rFonts w:hint="eastAsia" w:ascii="仿宋" w:hAnsi="仿宋" w:eastAsia="仿宋" w:cs="仿宋"/>
          <w:color w:val="auto"/>
          <w:highlight w:val="none"/>
          <w:lang w:val="zh-CN"/>
        </w:rPr>
      </w:pPr>
    </w:p>
    <w:p w14:paraId="3871A4A2">
      <w:pP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本项目专门面向中小企业，中小企业声明函示范格式如下：</w:t>
      </w:r>
    </w:p>
    <w:p w14:paraId="2DE1403C">
      <w:pPr>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54B78C08">
      <w:pPr>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color w:val="auto"/>
          <w:highlight w:val="none"/>
        </w:rPr>
      </w:pPr>
    </w:p>
    <w:p w14:paraId="37887348">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杭州市钱塘区人民政府白杨街道办事处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白杨街道综合执法辅助服务项目（</w:t>
      </w:r>
      <w:r>
        <w:rPr>
          <w:rFonts w:hint="eastAsia" w:ascii="仿宋" w:hAnsi="仿宋" w:eastAsia="仿宋" w:cs="仿宋"/>
          <w:color w:val="auto"/>
          <w:sz w:val="24"/>
          <w:highlight w:val="none"/>
          <w:u w:val="single"/>
          <w:lang w:val="en-US" w:eastAsia="zh-CN"/>
        </w:rPr>
        <w:t>2024-2025年</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683755A5">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u w:val="single"/>
          <w:lang w:val="en-US" w:eastAsia="zh-CN"/>
        </w:rPr>
        <w:t xml:space="preserve"> 白杨街道综合执法辅助服务项目（2024-2025年）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租赁和商务服务业 </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填写</w:t>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lang w:val="en-US" w:eastAsia="zh-CN"/>
        </w:rPr>
        <w:t>或</w:t>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lang w:val="en-US" w:eastAsia="zh-CN"/>
        </w:rPr>
        <w:t>或</w:t>
      </w:r>
      <w:r>
        <w:rPr>
          <w:rFonts w:hint="eastAsia" w:ascii="仿宋" w:hAnsi="仿宋" w:eastAsia="仿宋" w:cs="仿宋"/>
          <w:color w:val="auto"/>
          <w:sz w:val="24"/>
          <w:highlight w:val="none"/>
          <w:u w:val="single"/>
        </w:rPr>
        <w:t>微型企业</w:t>
      </w:r>
      <w:r>
        <w:rPr>
          <w:rFonts w:hint="eastAsia" w:ascii="仿宋" w:hAnsi="仿宋" w:eastAsia="仿宋" w:cs="仿宋"/>
          <w:color w:val="auto"/>
          <w:sz w:val="24"/>
          <w:highlight w:val="none"/>
          <w:u w:val="single"/>
          <w:lang w:val="en-US" w:eastAsia="zh-CN"/>
        </w:rPr>
        <w:t>的一种</w:t>
      </w:r>
      <w:r>
        <w:rPr>
          <w:rFonts w:hint="eastAsia" w:ascii="仿宋" w:hAnsi="仿宋" w:eastAsia="仿宋" w:cs="仿宋"/>
          <w:color w:val="auto"/>
          <w:sz w:val="24"/>
          <w:highlight w:val="none"/>
          <w:u w:val="single"/>
        </w:rPr>
        <w:t xml:space="preserve">） </w:t>
      </w:r>
    </w:p>
    <w:p w14:paraId="7043D466">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p>
    <w:p w14:paraId="6590F515">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604127D">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C18160B">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1434E25">
      <w:pPr>
        <w:pageBreakBefore w:val="0"/>
        <w:widowControl w:val="0"/>
        <w:kinsoku/>
        <w:wordWrap/>
        <w:overflowPunct/>
        <w:topLinePunct w:val="0"/>
        <w:autoSpaceDE/>
        <w:autoSpaceDN/>
        <w:bidi w:val="0"/>
        <w:adjustRightInd w:val="0"/>
        <w:snapToGrid w:val="0"/>
        <w:spacing w:line="360" w:lineRule="auto"/>
        <w:ind w:right="0"/>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E9DE7F4">
      <w:pPr>
        <w:keepNext/>
        <w:keepLines/>
        <w:pageBreakBefore w:val="0"/>
        <w:widowControl w:val="0"/>
        <w:kinsoku/>
        <w:wordWrap/>
        <w:overflowPunct/>
        <w:topLinePunct w:val="0"/>
        <w:autoSpaceDE/>
        <w:autoSpaceDN/>
        <w:bidi w:val="0"/>
        <w:adjustRightInd w:val="0"/>
        <w:snapToGrid w:val="0"/>
        <w:spacing w:line="360" w:lineRule="auto"/>
        <w:ind w:right="0" w:firstLine="6240" w:firstLineChars="26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921EFA0">
      <w:pPr>
        <w:keepNext/>
        <w:keepLines/>
        <w:pageBreakBefore w:val="0"/>
        <w:widowControl w:val="0"/>
        <w:kinsoku/>
        <w:wordWrap/>
        <w:overflowPunct/>
        <w:topLinePunct w:val="0"/>
        <w:autoSpaceDE/>
        <w:autoSpaceDN/>
        <w:bidi w:val="0"/>
        <w:adjustRightInd w:val="0"/>
        <w:snapToGrid/>
        <w:spacing w:line="416" w:lineRule="auto"/>
        <w:textAlignment w:val="auto"/>
        <w:outlineLvl w:val="9"/>
        <w:rPr>
          <w:rFonts w:hint="eastAsia" w:ascii="仿宋" w:hAnsi="仿宋" w:eastAsia="仿宋" w:cs="仿宋"/>
          <w:color w:val="auto"/>
          <w:highlight w:val="none"/>
          <w:lang w:val="zh-CN"/>
        </w:rPr>
      </w:pPr>
    </w:p>
    <w:p w14:paraId="33569687">
      <w:pPr>
        <w:keepNext/>
        <w:keepLines/>
        <w:pageBreakBefore w:val="0"/>
        <w:widowControl w:val="0"/>
        <w:kinsoku/>
        <w:wordWrap/>
        <w:overflowPunct/>
        <w:topLinePunct w:val="0"/>
        <w:autoSpaceDE/>
        <w:autoSpaceDN/>
        <w:bidi w:val="0"/>
        <w:adjustRightInd w:val="0"/>
        <w:snapToGrid/>
        <w:spacing w:line="416" w:lineRule="auto"/>
        <w:textAlignment w:val="auto"/>
        <w:outlineLvl w:val="9"/>
        <w:rPr>
          <w:rFonts w:hint="eastAsia" w:ascii="仿宋" w:hAnsi="仿宋" w:eastAsia="仿宋" w:cs="仿宋"/>
          <w:color w:val="auto"/>
          <w:highlight w:val="none"/>
          <w:lang w:val="zh-CN"/>
        </w:rPr>
      </w:pPr>
    </w:p>
    <w:p w14:paraId="6099D42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3C0BAA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14:paraId="36E302D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E6792BE">
      <w:pPr>
        <w:spacing w:line="360" w:lineRule="auto"/>
        <w:jc w:val="center"/>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lang w:val="en-US" w:eastAsia="zh-CN"/>
        </w:rPr>
        <w:t>提供</w:t>
      </w:r>
      <w:r>
        <w:rPr>
          <w:rFonts w:hint="eastAsia" w:ascii="仿宋" w:hAnsi="仿宋" w:eastAsia="仿宋" w:cs="仿宋"/>
          <w:snapToGrid w:val="0"/>
          <w:color w:val="auto"/>
          <w:kern w:val="28"/>
          <w:sz w:val="24"/>
          <w:szCs w:val="20"/>
          <w:highlight w:val="none"/>
        </w:rPr>
        <w:t>相关行政主管部门颁发的有效的保安服务许可证</w:t>
      </w:r>
      <w:r>
        <w:rPr>
          <w:rFonts w:hint="eastAsia" w:ascii="仿宋" w:hAnsi="仿宋" w:eastAsia="仿宋" w:cs="仿宋"/>
          <w:color w:val="auto"/>
          <w:sz w:val="24"/>
          <w:highlight w:val="none"/>
        </w:rPr>
        <w:br w:type="page"/>
      </w:r>
    </w:p>
    <w:p w14:paraId="1337CCAD">
      <w:pPr>
        <w:spacing w:line="360" w:lineRule="auto"/>
        <w:ind w:right="420"/>
        <w:jc w:val="center"/>
        <w:outlineLvl w:val="1"/>
        <w:rPr>
          <w:rFonts w:hint="eastAsia" w:ascii="仿宋" w:hAnsi="仿宋" w:eastAsia="仿宋" w:cs="仿宋"/>
          <w:b/>
          <w:color w:val="auto"/>
          <w:kern w:val="0"/>
          <w:sz w:val="36"/>
          <w:szCs w:val="36"/>
          <w:highlight w:val="none"/>
        </w:rPr>
      </w:pPr>
      <w:bookmarkStart w:id="142" w:name="_Toc3036"/>
      <w:bookmarkStart w:id="143" w:name="_Toc4272"/>
      <w:bookmarkStart w:id="144" w:name="_Toc28076"/>
      <w:bookmarkStart w:id="145" w:name="_Toc23502"/>
      <w:r>
        <w:rPr>
          <w:rFonts w:hint="eastAsia" w:ascii="仿宋" w:hAnsi="仿宋" w:eastAsia="仿宋" w:cs="仿宋"/>
          <w:b/>
          <w:color w:val="auto"/>
          <w:kern w:val="0"/>
          <w:sz w:val="36"/>
          <w:szCs w:val="36"/>
          <w:highlight w:val="none"/>
        </w:rPr>
        <w:t>商务技术文件部分</w:t>
      </w:r>
      <w:bookmarkEnd w:id="142"/>
      <w:bookmarkEnd w:id="143"/>
      <w:bookmarkEnd w:id="144"/>
      <w:bookmarkEnd w:id="145"/>
    </w:p>
    <w:p w14:paraId="6C6508A8">
      <w:pPr>
        <w:spacing w:line="360" w:lineRule="auto"/>
        <w:jc w:val="center"/>
        <w:rPr>
          <w:rFonts w:hint="eastAsia" w:ascii="仿宋" w:hAnsi="仿宋" w:eastAsia="仿宋" w:cs="仿宋"/>
          <w:b/>
          <w:color w:val="auto"/>
          <w:kern w:val="0"/>
          <w:sz w:val="24"/>
          <w:highlight w:val="none"/>
        </w:rPr>
      </w:pPr>
    </w:p>
    <w:p w14:paraId="6F10E361">
      <w:pPr>
        <w:bidi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14:paraId="12249B5E">
      <w:pPr>
        <w:numPr>
          <w:ilvl w:val="0"/>
          <w:numId w:val="11"/>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14:paraId="6D3F923C">
      <w:pPr>
        <w:numPr>
          <w:ilvl w:val="0"/>
          <w:numId w:val="11"/>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授权委托书或法定代表人（单位负责人、自然人本人）身份证明………（页码）</w:t>
      </w:r>
    </w:p>
    <w:p w14:paraId="3ACEEB4D">
      <w:pPr>
        <w:numPr>
          <w:ilvl w:val="0"/>
          <w:numId w:val="11"/>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分包意向协议…………………………………………………………………（页码）</w:t>
      </w:r>
    </w:p>
    <w:p w14:paraId="4F31FC28">
      <w:pPr>
        <w:numPr>
          <w:ilvl w:val="0"/>
          <w:numId w:val="11"/>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符合性审查资料………………………………………………………………（页码）</w:t>
      </w:r>
    </w:p>
    <w:p w14:paraId="10D276F2">
      <w:pPr>
        <w:numPr>
          <w:ilvl w:val="0"/>
          <w:numId w:val="11"/>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评标标准相应的商务技术资料………………………………………………（页码）</w:t>
      </w:r>
    </w:p>
    <w:p w14:paraId="3A404C19">
      <w:pPr>
        <w:numPr>
          <w:ilvl w:val="0"/>
          <w:numId w:val="11"/>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投标标的清单……………………………………………………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………（页码）</w:t>
      </w:r>
    </w:p>
    <w:p w14:paraId="3FEA94F3">
      <w:pPr>
        <w:numPr>
          <w:ilvl w:val="0"/>
          <w:numId w:val="11"/>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商务技术偏离表………………………………………………………………（页码）</w:t>
      </w:r>
    </w:p>
    <w:p w14:paraId="6C78E8F1">
      <w:pPr>
        <w:numPr>
          <w:ilvl w:val="0"/>
          <w:numId w:val="11"/>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14:paraId="4C0D4597">
      <w:pPr>
        <w:bidi w:val="0"/>
        <w:rPr>
          <w:rFonts w:hint="eastAsia" w:ascii="仿宋" w:hAnsi="仿宋" w:eastAsia="仿宋" w:cs="仿宋"/>
          <w:color w:val="auto"/>
          <w:highlight w:val="none"/>
          <w:lang w:val="zh-CN"/>
        </w:rPr>
      </w:pPr>
    </w:p>
    <w:p w14:paraId="0629D81B">
      <w:pPr>
        <w:bidi w:val="0"/>
        <w:rPr>
          <w:rFonts w:hint="eastAsia" w:ascii="仿宋" w:hAnsi="仿宋" w:eastAsia="仿宋" w:cs="仿宋"/>
          <w:color w:val="auto"/>
          <w:highlight w:val="none"/>
          <w:lang w:val="zh-CN"/>
        </w:rPr>
      </w:pPr>
    </w:p>
    <w:p w14:paraId="5A31FEFF">
      <w:pPr>
        <w:bidi w:val="0"/>
        <w:rPr>
          <w:rFonts w:hint="eastAsia" w:ascii="仿宋" w:hAnsi="仿宋" w:eastAsia="仿宋" w:cs="仿宋"/>
          <w:color w:val="auto"/>
          <w:highlight w:val="none"/>
          <w:lang w:val="zh-CN"/>
        </w:rPr>
      </w:pPr>
    </w:p>
    <w:p w14:paraId="3CBFA762">
      <w:pPr>
        <w:bidi w:val="0"/>
        <w:rPr>
          <w:rFonts w:hint="eastAsia" w:ascii="仿宋" w:hAnsi="仿宋" w:eastAsia="仿宋" w:cs="仿宋"/>
          <w:color w:val="auto"/>
          <w:highlight w:val="none"/>
          <w:lang w:val="zh-CN"/>
        </w:rPr>
      </w:pPr>
    </w:p>
    <w:p w14:paraId="3131EFD3">
      <w:pPr>
        <w:bidi w:val="0"/>
        <w:rPr>
          <w:rFonts w:hint="eastAsia" w:ascii="仿宋" w:hAnsi="仿宋" w:eastAsia="仿宋" w:cs="仿宋"/>
          <w:color w:val="auto"/>
          <w:highlight w:val="none"/>
          <w:lang w:val="zh-CN"/>
        </w:rPr>
      </w:pPr>
    </w:p>
    <w:p w14:paraId="24F525FC">
      <w:pPr>
        <w:bidi w:val="0"/>
        <w:rPr>
          <w:rFonts w:hint="eastAsia" w:ascii="仿宋" w:hAnsi="仿宋" w:eastAsia="仿宋" w:cs="仿宋"/>
          <w:color w:val="auto"/>
          <w:highlight w:val="none"/>
        </w:rPr>
      </w:pPr>
    </w:p>
    <w:p w14:paraId="07DD1F7D">
      <w:pPr>
        <w:bidi w:val="0"/>
        <w:rPr>
          <w:rFonts w:hint="eastAsia" w:ascii="仿宋" w:hAnsi="仿宋" w:eastAsia="仿宋" w:cs="仿宋"/>
          <w:color w:val="auto"/>
          <w:highlight w:val="none"/>
        </w:rPr>
      </w:pPr>
    </w:p>
    <w:p w14:paraId="5B335FDB">
      <w:pPr>
        <w:bidi w:val="0"/>
        <w:rPr>
          <w:rFonts w:hint="eastAsia" w:ascii="仿宋" w:hAnsi="仿宋" w:eastAsia="仿宋" w:cs="仿宋"/>
          <w:color w:val="auto"/>
          <w:highlight w:val="none"/>
        </w:rPr>
      </w:pPr>
    </w:p>
    <w:p w14:paraId="76166A7C">
      <w:pPr>
        <w:bidi w:val="0"/>
        <w:rPr>
          <w:rFonts w:hint="eastAsia" w:ascii="仿宋" w:hAnsi="仿宋" w:eastAsia="仿宋" w:cs="仿宋"/>
          <w:color w:val="auto"/>
          <w:highlight w:val="none"/>
        </w:rPr>
      </w:pPr>
    </w:p>
    <w:p w14:paraId="2FA31D69">
      <w:pPr>
        <w:bidi w:val="0"/>
        <w:rPr>
          <w:rFonts w:hint="eastAsia" w:ascii="仿宋" w:hAnsi="仿宋" w:eastAsia="仿宋" w:cs="仿宋"/>
          <w:color w:val="auto"/>
          <w:highlight w:val="none"/>
        </w:rPr>
      </w:pPr>
    </w:p>
    <w:p w14:paraId="797CC8B1">
      <w:pPr>
        <w:bidi w:val="0"/>
        <w:rPr>
          <w:rFonts w:hint="eastAsia" w:ascii="仿宋" w:hAnsi="仿宋" w:eastAsia="仿宋" w:cs="仿宋"/>
          <w:color w:val="auto"/>
          <w:highlight w:val="none"/>
        </w:rPr>
      </w:pPr>
    </w:p>
    <w:p w14:paraId="100A1CD2">
      <w:pPr>
        <w:bidi w:val="0"/>
        <w:rPr>
          <w:rFonts w:hint="eastAsia" w:ascii="仿宋" w:hAnsi="仿宋" w:eastAsia="仿宋" w:cs="仿宋"/>
          <w:color w:val="auto"/>
          <w:highlight w:val="none"/>
        </w:rPr>
      </w:pPr>
    </w:p>
    <w:p w14:paraId="62D11AAD">
      <w:pPr>
        <w:bidi w:val="0"/>
        <w:rPr>
          <w:rFonts w:hint="eastAsia" w:ascii="仿宋" w:hAnsi="仿宋" w:eastAsia="仿宋" w:cs="仿宋"/>
          <w:color w:val="auto"/>
          <w:highlight w:val="none"/>
        </w:rPr>
      </w:pPr>
    </w:p>
    <w:p w14:paraId="6835C9AD">
      <w:pPr>
        <w:bidi w:val="0"/>
        <w:rPr>
          <w:rFonts w:hint="eastAsia" w:ascii="仿宋" w:hAnsi="仿宋" w:eastAsia="仿宋" w:cs="仿宋"/>
          <w:color w:val="auto"/>
          <w:highlight w:val="none"/>
        </w:rPr>
      </w:pPr>
    </w:p>
    <w:p w14:paraId="62B9DED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36BE0A8">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2A335B4">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251C71B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79DFB82F">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2FDAAC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4D3AE43">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FBFC0B8">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2.1.1符合参加政府采购活动应当具备的一般条件的承诺函；</w:t>
      </w:r>
    </w:p>
    <w:p w14:paraId="66B416E8">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14:paraId="40B8E7E3">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提供中小企业声明函</w:t>
      </w:r>
      <w:r>
        <w:rPr>
          <w:rFonts w:hint="eastAsia" w:ascii="仿宋" w:hAnsi="仿宋" w:eastAsia="仿宋" w:cs="仿宋"/>
          <w:b w:val="0"/>
          <w:bCs/>
          <w:color w:val="auto"/>
          <w:sz w:val="24"/>
          <w:highlight w:val="none"/>
          <w:lang w:eastAsia="zh-CN"/>
        </w:rPr>
        <w:t>）</w:t>
      </w:r>
    </w:p>
    <w:p w14:paraId="49B815A6">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提供保安服务许可证扫描件</w:t>
      </w:r>
      <w:r>
        <w:rPr>
          <w:rFonts w:hint="eastAsia" w:ascii="仿宋" w:hAnsi="仿宋" w:eastAsia="仿宋" w:cs="仿宋"/>
          <w:b w:val="0"/>
          <w:bCs/>
          <w:color w:val="auto"/>
          <w:sz w:val="24"/>
          <w:highlight w:val="none"/>
          <w:lang w:eastAsia="zh-CN"/>
        </w:rPr>
        <w:t>）</w:t>
      </w:r>
    </w:p>
    <w:p w14:paraId="242B8C52">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6BBB814">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423B12A6">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lang w:val="en-US" w:eastAsia="zh-CN"/>
        </w:rPr>
        <w:t>以及为授权代表缴纳、距投标截止时间3个月内任意时间出具的社保证明材料</w:t>
      </w:r>
      <w:r>
        <w:rPr>
          <w:rFonts w:hint="eastAsia" w:ascii="仿宋" w:hAnsi="仿宋" w:eastAsia="仿宋" w:cs="仿宋"/>
          <w:color w:val="auto"/>
          <w:sz w:val="24"/>
          <w:highlight w:val="none"/>
        </w:rPr>
        <w:t>；</w:t>
      </w:r>
    </w:p>
    <w:p w14:paraId="5878DF28">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2.2.3</w:t>
      </w:r>
      <w:r>
        <w:rPr>
          <w:rFonts w:hint="eastAsia" w:ascii="仿宋" w:hAnsi="仿宋" w:eastAsia="仿宋" w:cs="仿宋"/>
          <w:color w:val="auto"/>
          <w:sz w:val="24"/>
          <w:highlight w:val="none"/>
        </w:rPr>
        <w:t>分包意向协议；</w:t>
      </w:r>
      <w:r>
        <w:rPr>
          <w:rFonts w:hint="eastAsia" w:ascii="仿宋" w:hAnsi="仿宋" w:eastAsia="仿宋" w:cs="仿宋"/>
          <w:color w:val="auto"/>
          <w:sz w:val="24"/>
          <w:highlight w:val="none"/>
          <w:lang w:eastAsia="zh-CN"/>
        </w:rPr>
        <w:t>（</w:t>
      </w:r>
      <w:r>
        <w:rPr>
          <w:rFonts w:hint="eastAsia" w:ascii="仿宋" w:hAnsi="仿宋" w:eastAsia="仿宋" w:cs="仿宋"/>
          <w:b w:val="0"/>
          <w:bCs/>
          <w:color w:val="auto"/>
          <w:sz w:val="24"/>
          <w:highlight w:val="none"/>
          <w:lang w:eastAsia="zh-CN"/>
        </w:rPr>
        <w:t>如果有</w:t>
      </w:r>
      <w:r>
        <w:rPr>
          <w:rFonts w:hint="eastAsia" w:ascii="仿宋" w:hAnsi="仿宋" w:eastAsia="仿宋" w:cs="仿宋"/>
          <w:color w:val="auto"/>
          <w:sz w:val="24"/>
          <w:highlight w:val="none"/>
          <w:lang w:eastAsia="zh-CN"/>
        </w:rPr>
        <w:t>）</w:t>
      </w:r>
    </w:p>
    <w:p w14:paraId="10AD4E42">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14:paraId="081CD988">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14:paraId="3A39BACE">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投标标的清单；</w:t>
      </w:r>
    </w:p>
    <w:p w14:paraId="0A45DE55">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商务技术偏离表；</w:t>
      </w:r>
    </w:p>
    <w:p w14:paraId="4E867655">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p>
    <w:p w14:paraId="20B2F459">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A1718BA">
      <w:pPr>
        <w:keepNext w:val="0"/>
        <w:keepLines w:val="0"/>
        <w:pageBreakBefore w:val="0"/>
        <w:kinsoku/>
        <w:wordWrap/>
        <w:overflowPunct/>
        <w:topLinePunct w:val="0"/>
        <w:bidi w:val="0"/>
        <w:adjustRightInd w:val="0"/>
        <w:snapToGrid w:val="0"/>
        <w:spacing w:line="40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DEDBCA7">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2.3.2报价明细表。（自拟）</w:t>
      </w:r>
    </w:p>
    <w:p w14:paraId="45C20460">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2C4837AA">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B434471">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C5769DF">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E9811C5">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E54C379">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49748A1">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D678A5C">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outlineLvl w:val="9"/>
        <w:rPr>
          <w:rFonts w:hint="eastAsia" w:ascii="仿宋" w:hAnsi="仿宋" w:eastAsia="仿宋" w:cs="仿宋"/>
          <w:color w:val="auto"/>
          <w:sz w:val="24"/>
          <w:highlight w:val="none"/>
        </w:rPr>
      </w:pPr>
    </w:p>
    <w:p w14:paraId="3BC1DC47">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E92041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 w:hAnsi="仿宋" w:eastAsia="仿宋" w:cs="仿宋"/>
          <w:color w:val="auto"/>
          <w:kern w:val="0"/>
          <w:sz w:val="24"/>
          <w:highlight w:val="none"/>
          <w:u w:val="single"/>
          <w:lang w:val="zh-CN"/>
        </w:rPr>
      </w:pPr>
      <w:r>
        <w:rPr>
          <w:rFonts w:hint="eastAsia" w:ascii="仿宋" w:hAnsi="仿宋" w:eastAsia="仿宋" w:cs="仿宋"/>
          <w:color w:val="auto"/>
          <w:sz w:val="24"/>
          <w:highlight w:val="none"/>
        </w:rPr>
        <w:t xml:space="preserve">     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745B4F04">
      <w:pPr>
        <w:keepNext w:val="0"/>
        <w:keepLines w:val="0"/>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p>
    <w:p w14:paraId="0D6CD97C">
      <w:pPr>
        <w:keepNext w:val="0"/>
        <w:keepLines w:val="0"/>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p>
    <w:p w14:paraId="31CFC137">
      <w:pPr>
        <w:keepNext w:val="0"/>
        <w:keepLines w:val="0"/>
        <w:pageBreakBefore w:val="0"/>
        <w:kinsoku/>
        <w:wordWrap/>
        <w:overflowPunct/>
        <w:topLinePunct w:val="0"/>
        <w:bidi w:val="0"/>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261C88B8">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E2D534A">
      <w:pPr>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FEBDE21">
      <w:pPr>
        <w:keepNext w:val="0"/>
        <w:keepLines w:val="0"/>
        <w:pageBreakBefore w:val="0"/>
        <w:kinsoku/>
        <w:wordWrap/>
        <w:overflowPunct/>
        <w:topLinePunct w:val="0"/>
        <w:bidi w:val="0"/>
        <w:snapToGrid w:val="0"/>
        <w:spacing w:line="360" w:lineRule="auto"/>
        <w:ind w:left="0" w:leftChars="0" w:firstLine="0" w:firstLineChars="0"/>
        <w:jc w:val="center"/>
        <w:textAlignment w:val="auto"/>
        <w:outlineLvl w:val="9"/>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35E26605">
      <w:pPr>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2D4E688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1D0A7A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日止。</w:t>
      </w:r>
    </w:p>
    <w:p w14:paraId="70607A9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D00E79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5DA657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3B199D1A">
      <w:pPr>
        <w:snapToGrid w:val="0"/>
        <w:spacing w:line="360" w:lineRule="auto"/>
        <w:rPr>
          <w:rFonts w:hint="eastAsia" w:ascii="仿宋" w:hAnsi="仿宋" w:eastAsia="仿宋" w:cs="仿宋"/>
          <w:color w:val="auto"/>
          <w:sz w:val="24"/>
          <w:highlight w:val="none"/>
        </w:rPr>
      </w:pPr>
    </w:p>
    <w:p w14:paraId="202FB49C">
      <w:pPr>
        <w:snapToGrid w:val="0"/>
        <w:spacing w:line="360" w:lineRule="auto"/>
        <w:rPr>
          <w:rFonts w:hint="eastAsia" w:ascii="仿宋" w:hAnsi="仿宋" w:eastAsia="仿宋" w:cs="仿宋"/>
          <w:color w:val="auto"/>
          <w:sz w:val="24"/>
          <w:highlight w:val="none"/>
        </w:rPr>
      </w:pPr>
    </w:p>
    <w:p w14:paraId="6AADD96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4BD75AE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566EE44">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EB13EB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委托期限：</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日止。</w:t>
      </w:r>
    </w:p>
    <w:p w14:paraId="77D1D7E4">
      <w:pPr>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7FE4A24">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26E1AECC">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4DDAAB22">
      <w:pPr>
        <w:keepNext w:val="0"/>
        <w:keepLines w:val="0"/>
        <w:pageBreakBefore w:val="0"/>
        <w:kinsoku/>
        <w:wordWrap/>
        <w:overflowPunct/>
        <w:topLinePunct w:val="0"/>
        <w:bidi w:val="0"/>
        <w:textAlignment w:val="auto"/>
        <w:outlineLvl w:val="9"/>
        <w:rPr>
          <w:rFonts w:hint="eastAsia" w:ascii="仿宋" w:hAnsi="仿宋" w:eastAsia="仿宋" w:cs="仿宋"/>
          <w:color w:val="auto"/>
          <w:highlight w:val="none"/>
        </w:rPr>
      </w:pPr>
    </w:p>
    <w:p w14:paraId="16F2F2BD">
      <w:pPr>
        <w:keepNext w:val="0"/>
        <w:keepLines w:val="0"/>
        <w:pageBreakBefore w:val="0"/>
        <w:kinsoku/>
        <w:wordWrap/>
        <w:overflowPunct/>
        <w:topLinePunct w:val="0"/>
        <w:bidi w:val="0"/>
        <w:snapToGrid w:val="0"/>
        <w:spacing w:line="360" w:lineRule="auto"/>
        <w:ind w:firstLine="5040" w:firstLine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23F5386">
      <w:pPr>
        <w:keepNext w:val="0"/>
        <w:keepLines w:val="0"/>
        <w:pageBreakBefore w:val="0"/>
        <w:kinsoku/>
        <w:wordWrap/>
        <w:overflowPunct/>
        <w:topLinePunct w:val="0"/>
        <w:bidi w:val="0"/>
        <w:snapToGrid w:val="0"/>
        <w:spacing w:line="360" w:lineRule="auto"/>
        <w:ind w:firstLine="5040" w:firstLine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A02441D">
      <w:pPr>
        <w:keepNext w:val="0"/>
        <w:keepLines w:val="0"/>
        <w:pageBreakBefore w:val="0"/>
        <w:kinsoku/>
        <w:wordWrap/>
        <w:overflowPunct/>
        <w:topLinePunct w:val="0"/>
        <w:bidi w:val="0"/>
        <w:snapToGrid w:val="0"/>
        <w:spacing w:line="360" w:lineRule="auto"/>
        <w:ind w:firstLine="5760" w:firstLineChars="24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26D5D63">
      <w:pPr>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70E56026">
      <w:pPr>
        <w:keepNext w:val="0"/>
        <w:keepLines w:val="0"/>
        <w:pageBreakBefore w:val="0"/>
        <w:kinsoku/>
        <w:wordWrap/>
        <w:overflowPunct/>
        <w:topLinePunct w:val="0"/>
        <w:bidi w:val="0"/>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D1E1274">
      <w:pPr>
        <w:keepNext w:val="0"/>
        <w:keepLines w:val="0"/>
        <w:pageBreakBefore w:val="0"/>
        <w:kinsoku/>
        <w:wordWrap/>
        <w:overflowPunct/>
        <w:topLinePunct w:val="0"/>
        <w:autoSpaceDE w:val="0"/>
        <w:autoSpaceDN w:val="0"/>
        <w:bidi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64CBF443">
      <w:pPr>
        <w:pStyle w:val="19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03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9207" w:type="dxa"/>
          </w:tcPr>
          <w:p w14:paraId="1148FB4E">
            <w:pPr>
              <w:pStyle w:val="19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D279F7B">
            <w:pPr>
              <w:pStyle w:val="196"/>
              <w:adjustRightInd w:val="0"/>
              <w:spacing w:line="360" w:lineRule="auto"/>
              <w:rPr>
                <w:rFonts w:hint="eastAsia" w:ascii="仿宋" w:hAnsi="仿宋" w:eastAsia="仿宋" w:cs="仿宋"/>
                <w:bCs/>
                <w:color w:val="auto"/>
                <w:sz w:val="24"/>
                <w:highlight w:val="none"/>
              </w:rPr>
            </w:pPr>
          </w:p>
        </w:tc>
      </w:tr>
    </w:tbl>
    <w:p w14:paraId="50FD513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D4DD25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投标人为授权代表缴纳的、距投标截止时间3个月内任意时间出具的社保证明材料</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95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207" w:type="dxa"/>
          </w:tcPr>
          <w:p w14:paraId="0F51C14E">
            <w:pPr>
              <w:pStyle w:val="196"/>
              <w:adjustRightInd w:val="0"/>
              <w:spacing w:line="360" w:lineRule="auto"/>
              <w:rPr>
                <w:rFonts w:hint="eastAsia" w:ascii="仿宋" w:hAnsi="仿宋" w:eastAsia="仿宋" w:cs="仿宋"/>
                <w:bCs/>
                <w:color w:val="auto"/>
                <w:sz w:val="24"/>
                <w:highlight w:val="none"/>
              </w:rPr>
            </w:pPr>
          </w:p>
        </w:tc>
      </w:tr>
    </w:tbl>
    <w:p w14:paraId="592EC5BE">
      <w:pPr>
        <w:keepNext w:val="0"/>
        <w:keepLines w:val="0"/>
        <w:pageBreakBefore w:val="0"/>
        <w:kinsoku/>
        <w:wordWrap/>
        <w:overflowPunct/>
        <w:topLinePunct w:val="0"/>
        <w:bidi w:val="0"/>
        <w:snapToGrid w:val="0"/>
        <w:spacing w:line="360" w:lineRule="auto"/>
        <w:ind w:firstLine="576"/>
        <w:jc w:val="center"/>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C31D161">
      <w:pPr>
        <w:keepNext w:val="0"/>
        <w:keepLines w:val="0"/>
        <w:pageBreakBefore w:val="0"/>
        <w:kinsoku/>
        <w:wordWrap/>
        <w:overflowPunct/>
        <w:topLinePunct w:val="0"/>
        <w:bidi w:val="0"/>
        <w:snapToGrid w:val="0"/>
        <w:spacing w:line="360" w:lineRule="auto"/>
        <w:ind w:firstLine="576"/>
        <w:jc w:val="center"/>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EA2AE64">
      <w:pPr>
        <w:keepNext w:val="0"/>
        <w:keepLines w:val="0"/>
        <w:pageBreakBefore w:val="0"/>
        <w:kinsoku/>
        <w:wordWrap/>
        <w:overflowPunct/>
        <w:topLinePunct w:val="0"/>
        <w:bidi w:val="0"/>
        <w:spacing w:line="360" w:lineRule="auto"/>
        <w:jc w:val="center"/>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1942E8D5">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4F9EFF0A">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5087309C">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40805A4C">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5EE0E5FA">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1FEB80E1">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三、分包意向协议（如果有）</w:t>
      </w:r>
    </w:p>
    <w:p w14:paraId="343811E9">
      <w:pPr>
        <w:keepNext w:val="0"/>
        <w:keepLines w:val="0"/>
        <w:pageBreakBefore w:val="0"/>
        <w:widowControl/>
        <w:kinsoku/>
        <w:wordWrap/>
        <w:overflowPunct/>
        <w:topLinePunct w:val="0"/>
        <w:bidi w:val="0"/>
        <w:spacing w:line="360" w:lineRule="auto"/>
        <w:ind w:firstLine="482"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p>
    <w:p w14:paraId="3F31B02B">
      <w:pPr>
        <w:keepNext w:val="0"/>
        <w:keepLines w:val="0"/>
        <w:pageBreakBefore w:val="0"/>
        <w:kinsoku/>
        <w:wordWrap/>
        <w:overflowPunct/>
        <w:topLinePunct w:val="0"/>
        <w:bidi w:val="0"/>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CCC64C5">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四、符合性审查资料</w:t>
      </w:r>
    </w:p>
    <w:p w14:paraId="67FCD860">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tbl>
      <w:tblPr>
        <w:tblStyle w:val="48"/>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750F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0CC3C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45" w:type="dxa"/>
            <w:vAlign w:val="center"/>
          </w:tcPr>
          <w:p w14:paraId="1C371B5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68521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672" w:type="dxa"/>
            <w:vAlign w:val="center"/>
          </w:tcPr>
          <w:p w14:paraId="6F3B83A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14:paraId="0D60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4303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p>
        </w:tc>
        <w:tc>
          <w:tcPr>
            <w:tcW w:w="4245" w:type="dxa"/>
            <w:vAlign w:val="center"/>
          </w:tcPr>
          <w:p w14:paraId="0D518B0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1ED8432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672" w:type="dxa"/>
            <w:vAlign w:val="center"/>
          </w:tcPr>
          <w:p w14:paraId="4A03441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p>
          <w:p w14:paraId="63AF466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1FCA0A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D28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FEC33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2</w:t>
            </w:r>
          </w:p>
        </w:tc>
        <w:tc>
          <w:tcPr>
            <w:tcW w:w="4245" w:type="dxa"/>
            <w:vAlign w:val="center"/>
          </w:tcPr>
          <w:p w14:paraId="44E3420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760FBE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672" w:type="dxa"/>
            <w:vAlign w:val="center"/>
          </w:tcPr>
          <w:p w14:paraId="4B97269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597EB1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327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0B7F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3</w:t>
            </w:r>
          </w:p>
        </w:tc>
        <w:tc>
          <w:tcPr>
            <w:tcW w:w="4245" w:type="dxa"/>
            <w:vAlign w:val="center"/>
          </w:tcPr>
          <w:p w14:paraId="4E15A6E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7CCCF57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672" w:type="dxa"/>
            <w:vAlign w:val="center"/>
          </w:tcPr>
          <w:p w14:paraId="66398EA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highlight w:val="none"/>
              </w:rPr>
            </w:pPr>
          </w:p>
        </w:tc>
      </w:tr>
      <w:tr w14:paraId="381B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2096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val="0"/>
                <w:bCs/>
                <w:color w:val="auto"/>
                <w:sz w:val="24"/>
                <w:highlight w:val="none"/>
                <w:lang w:val="en-US" w:eastAsia="zh-CN"/>
              </w:rPr>
            </w:pPr>
          </w:p>
        </w:tc>
        <w:tc>
          <w:tcPr>
            <w:tcW w:w="6796" w:type="dxa"/>
            <w:gridSpan w:val="2"/>
            <w:vAlign w:val="center"/>
          </w:tcPr>
          <w:p w14:paraId="35D8BF7A">
            <w:pPr>
              <w:pStyle w:val="18"/>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投标文件中提供承诺：本项目投入的执法辅助服务人员，纳入采购人对服务单位的考核，并确保无以下情形之一，否则投标无效：如中标，查实有以下情形之一的，中标人承担虚假应标法律责任，并向采购人作相应赔偿。</w:t>
            </w:r>
          </w:p>
          <w:p w14:paraId="6A34498E">
            <w:pPr>
              <w:pStyle w:val="18"/>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（1）受过刑事处罚或治安管理处罚；</w:t>
            </w:r>
          </w:p>
          <w:p w14:paraId="115AE0FD">
            <w:pPr>
              <w:pStyle w:val="18"/>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（2）有较为严重的个人不良信用记录；</w:t>
            </w:r>
          </w:p>
          <w:p w14:paraId="04814460">
            <w:pPr>
              <w:pStyle w:val="18"/>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（3）因违纪违规被开除、辞退、解聘的人员；</w:t>
            </w:r>
          </w:p>
          <w:p w14:paraId="02BEB90D">
            <w:pPr>
              <w:pStyle w:val="18"/>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（4）本人或家庭成员、近亲属参加非法组织、邪教组织或从事危害国家安全活动的人员；</w:t>
            </w:r>
          </w:p>
          <w:p w14:paraId="673408AC">
            <w:pPr>
              <w:pStyle w:val="18"/>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（5）有吸毒、犯罪记录；</w:t>
            </w:r>
          </w:p>
          <w:p w14:paraId="232D276D">
            <w:pPr>
              <w:pStyle w:val="18"/>
              <w:adjustRightInd w:val="0"/>
              <w:snapToGrid w:val="0"/>
              <w:spacing w:after="0"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snapToGrid w:val="0"/>
                <w:color w:val="auto"/>
                <w:kern w:val="0"/>
                <w:sz w:val="24"/>
                <w:szCs w:val="24"/>
                <w:highlight w:val="none"/>
                <w:lang w:val="en-US" w:eastAsia="zh-CN"/>
              </w:rPr>
              <w:t>（6）有其他兼职工作或其他不宜从事与本项目相关管理工作的人员。</w:t>
            </w:r>
          </w:p>
        </w:tc>
        <w:tc>
          <w:tcPr>
            <w:tcW w:w="1672" w:type="dxa"/>
            <w:vAlign w:val="center"/>
          </w:tcPr>
          <w:p w14:paraId="7FFA2FA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p>
        </w:tc>
      </w:tr>
      <w:tr w14:paraId="1462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C812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val="0"/>
                <w:bCs/>
                <w:color w:val="auto"/>
                <w:sz w:val="24"/>
                <w:highlight w:val="none"/>
                <w:lang w:val="en-US" w:eastAsia="zh-CN"/>
              </w:rPr>
            </w:pPr>
          </w:p>
        </w:tc>
        <w:tc>
          <w:tcPr>
            <w:tcW w:w="6796" w:type="dxa"/>
            <w:gridSpan w:val="2"/>
            <w:vAlign w:val="center"/>
          </w:tcPr>
          <w:p w14:paraId="07FDC35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snapToGrid w:val="0"/>
                <w:color w:val="auto"/>
                <w:kern w:val="0"/>
                <w:sz w:val="24"/>
                <w:highlight w:val="none"/>
                <w:lang w:val="en-US" w:eastAsia="zh-CN"/>
              </w:rPr>
            </w:pPr>
          </w:p>
        </w:tc>
        <w:tc>
          <w:tcPr>
            <w:tcW w:w="1672" w:type="dxa"/>
            <w:vAlign w:val="center"/>
          </w:tcPr>
          <w:p w14:paraId="477F658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
                <w:color w:val="auto"/>
                <w:sz w:val="24"/>
                <w:highlight w:val="none"/>
              </w:rPr>
            </w:pPr>
          </w:p>
        </w:tc>
      </w:tr>
    </w:tbl>
    <w:p w14:paraId="04D6D5B4">
      <w:pPr>
        <w:keepNext w:val="0"/>
        <w:keepLines w:val="0"/>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p>
    <w:p w14:paraId="30BA389B">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67E7B8D6">
      <w:pPr>
        <w:keepNext w:val="0"/>
        <w:keepLines w:val="0"/>
        <w:pageBreakBefore w:val="0"/>
        <w:kinsoku/>
        <w:wordWrap/>
        <w:overflowPunct/>
        <w:topLinePunct w:val="0"/>
        <w:bidi w:val="0"/>
        <w:textAlignment w:val="auto"/>
        <w:outlineLvl w:val="9"/>
        <w:rPr>
          <w:rFonts w:hint="eastAsia" w:ascii="仿宋" w:hAnsi="仿宋" w:eastAsia="仿宋" w:cs="仿宋"/>
          <w:b/>
          <w:color w:val="auto"/>
          <w:kern w:val="0"/>
          <w:sz w:val="32"/>
          <w:szCs w:val="32"/>
          <w:highlight w:val="none"/>
        </w:rPr>
      </w:pPr>
    </w:p>
    <w:p w14:paraId="440721AC">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五、评标标准相应的商务技术资料</w:t>
      </w:r>
    </w:p>
    <w:p w14:paraId="061F9386">
      <w:pPr>
        <w:keepNext w:val="0"/>
        <w:keepLines w:val="0"/>
        <w:pageBreakBefore w:val="0"/>
        <w:kinsoku/>
        <w:wordWrap/>
        <w:overflowPunct/>
        <w:topLinePunct w:val="0"/>
        <w:bidi w:val="0"/>
        <w:snapToGrid w:val="0"/>
        <w:spacing w:line="360" w:lineRule="auto"/>
        <w:jc w:val="left"/>
        <w:textAlignment w:val="auto"/>
        <w:outlineLvl w:val="9"/>
        <w:rPr>
          <w:rFonts w:hint="eastAsia" w:ascii="仿宋" w:hAnsi="仿宋" w:eastAsia="仿宋" w:cs="仿宋"/>
          <w:b/>
          <w:color w:val="auto"/>
          <w:sz w:val="24"/>
          <w:highlight w:val="none"/>
        </w:rPr>
      </w:pPr>
    </w:p>
    <w:p w14:paraId="796F0950">
      <w:pPr>
        <w:keepNext w:val="0"/>
        <w:keepLines w:val="0"/>
        <w:pageBreakBefore w:val="0"/>
        <w:kinsoku/>
        <w:wordWrap/>
        <w:overflowPunct/>
        <w:topLinePunct w:val="0"/>
        <w:bidi w:val="0"/>
        <w:snapToGrid w:val="0"/>
        <w:spacing w:line="360" w:lineRule="auto"/>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1800D8CD">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031C3AC4">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7204CFF4">
      <w:pPr>
        <w:keepNext w:val="0"/>
        <w:keepLines w:val="0"/>
        <w:pageBreakBefore w:val="0"/>
        <w:kinsoku/>
        <w:wordWrap/>
        <w:overflowPunct/>
        <w:topLinePunct w:val="0"/>
        <w:bidi w:val="0"/>
        <w:textAlignment w:val="auto"/>
        <w:outlineLvl w:val="9"/>
        <w:rPr>
          <w:rFonts w:hint="eastAsia" w:ascii="仿宋" w:hAnsi="仿宋" w:eastAsia="仿宋" w:cs="仿宋"/>
          <w:b/>
          <w:color w:val="auto"/>
          <w:kern w:val="0"/>
          <w:sz w:val="32"/>
          <w:szCs w:val="32"/>
          <w:highlight w:val="none"/>
        </w:rPr>
      </w:pPr>
    </w:p>
    <w:p w14:paraId="2DD714E8">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六、投标标的清单</w:t>
      </w:r>
    </w:p>
    <w:tbl>
      <w:tblPr>
        <w:tblStyle w:val="4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6AB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34CA1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164C1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8B209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DCF837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E173A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8991D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1DC7C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备注</w:t>
            </w:r>
            <w:r>
              <w:rPr>
                <w:rFonts w:hint="eastAsia" w:ascii="仿宋" w:hAnsi="仿宋" w:eastAsia="仿宋" w:cs="仿宋"/>
                <w:b/>
                <w:color w:val="auto"/>
                <w:sz w:val="24"/>
                <w:highlight w:val="none"/>
                <w:lang w:eastAsia="zh-CN"/>
              </w:rPr>
              <w:t>（如果有）</w:t>
            </w:r>
          </w:p>
        </w:tc>
      </w:tr>
      <w:tr w14:paraId="3CDD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95622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FBA65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白杨街道综合执法辅助服务项目（2024-2025年）</w:t>
            </w:r>
          </w:p>
        </w:tc>
        <w:tc>
          <w:tcPr>
            <w:tcW w:w="1114" w:type="dxa"/>
            <w:tcBorders>
              <w:top w:val="single" w:color="auto" w:sz="4" w:space="0"/>
              <w:left w:val="single" w:color="auto" w:sz="4" w:space="0"/>
              <w:bottom w:val="single" w:color="auto" w:sz="4" w:space="0"/>
              <w:right w:val="single" w:color="auto" w:sz="4" w:space="0"/>
            </w:tcBorders>
            <w:vAlign w:val="center"/>
          </w:tcPr>
          <w:p w14:paraId="169E14F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746F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88CAD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9697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F4E006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highlight w:val="none"/>
              </w:rPr>
            </w:pPr>
          </w:p>
        </w:tc>
      </w:tr>
    </w:tbl>
    <w:p w14:paraId="56E57A4B">
      <w:pPr>
        <w:keepNext w:val="0"/>
        <w:keepLines w:val="0"/>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p>
    <w:p w14:paraId="01BECE8E">
      <w:pPr>
        <w:keepNext w:val="0"/>
        <w:keepLines w:val="0"/>
        <w:pageBreakBefore w:val="0"/>
        <w:kinsoku/>
        <w:wordWrap/>
        <w:overflowPunct/>
        <w:topLinePunct w:val="0"/>
        <w:bidi w:val="0"/>
        <w:textAlignment w:val="auto"/>
        <w:outlineLvl w:val="9"/>
        <w:rPr>
          <w:rFonts w:hint="eastAsia" w:ascii="仿宋" w:hAnsi="仿宋" w:eastAsia="仿宋" w:cs="仿宋"/>
          <w:color w:val="auto"/>
          <w:highlight w:val="none"/>
          <w:lang w:val="zh-CN"/>
        </w:rPr>
      </w:pPr>
    </w:p>
    <w:p w14:paraId="183E4B7B">
      <w:pPr>
        <w:keepNext w:val="0"/>
        <w:keepLines w:val="0"/>
        <w:pageBreakBefore w:val="0"/>
        <w:kinsoku/>
        <w:wordWrap/>
        <w:overflowPunct/>
        <w:topLinePunct w:val="0"/>
        <w:bidi w:val="0"/>
        <w:textAlignment w:val="auto"/>
        <w:outlineLvl w:val="9"/>
        <w:rPr>
          <w:rFonts w:hint="eastAsia" w:ascii="仿宋" w:hAnsi="仿宋" w:eastAsia="仿宋" w:cs="仿宋"/>
          <w:color w:val="auto"/>
          <w:highlight w:val="none"/>
          <w:lang w:val="zh-CN"/>
        </w:rPr>
      </w:pPr>
    </w:p>
    <w:p w14:paraId="179FC635">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七、商务技术偏离表</w:t>
      </w:r>
    </w:p>
    <w:p w14:paraId="5A4A7EE7">
      <w:pPr>
        <w:keepNext w:val="0"/>
        <w:keepLines w:val="0"/>
        <w:pageBreakBefore w:val="0"/>
        <w:kinsoku/>
        <w:wordWrap/>
        <w:overflowPunct/>
        <w:topLinePunct w:val="0"/>
        <w:bidi w:val="0"/>
        <w:jc w:val="center"/>
        <w:textAlignment w:val="auto"/>
        <w:outlineLvl w:val="9"/>
        <w:rPr>
          <w:rFonts w:hint="eastAsia" w:ascii="仿宋" w:hAnsi="仿宋" w:eastAsia="仿宋" w:cs="仿宋"/>
          <w:b/>
          <w:bCs/>
          <w:color w:val="auto"/>
          <w:sz w:val="24"/>
          <w:highlight w:val="none"/>
        </w:rPr>
      </w:pPr>
    </w:p>
    <w:tbl>
      <w:tblPr>
        <w:tblStyle w:val="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61C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1AE653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14:paraId="7AF5163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14:paraId="1EA8E38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14:paraId="3145275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3AA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B07153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14:paraId="67284BE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3546" w:type="dxa"/>
            <w:vAlign w:val="center"/>
          </w:tcPr>
          <w:p w14:paraId="54A1378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1276" w:type="dxa"/>
            <w:vAlign w:val="center"/>
          </w:tcPr>
          <w:p w14:paraId="7F161AB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r>
      <w:tr w14:paraId="785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259A71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14:paraId="760D870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3546" w:type="dxa"/>
            <w:vAlign w:val="center"/>
          </w:tcPr>
          <w:p w14:paraId="435EFC2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1276" w:type="dxa"/>
            <w:vAlign w:val="center"/>
          </w:tcPr>
          <w:p w14:paraId="5142D24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r>
      <w:tr w14:paraId="73C8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3D2BC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14:paraId="0491A3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3546" w:type="dxa"/>
            <w:vAlign w:val="center"/>
          </w:tcPr>
          <w:p w14:paraId="7AB72E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c>
          <w:tcPr>
            <w:tcW w:w="1276" w:type="dxa"/>
            <w:vAlign w:val="center"/>
          </w:tcPr>
          <w:p w14:paraId="2562D5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b/>
                <w:color w:val="auto"/>
                <w:kern w:val="0"/>
                <w:sz w:val="32"/>
                <w:szCs w:val="32"/>
                <w:highlight w:val="none"/>
              </w:rPr>
            </w:pPr>
          </w:p>
        </w:tc>
      </w:tr>
    </w:tbl>
    <w:p w14:paraId="08CAC172">
      <w:pPr>
        <w:keepNext w:val="0"/>
        <w:keepLines w:val="0"/>
        <w:pageBreakBefore w:val="0"/>
        <w:kinsoku/>
        <w:wordWrap/>
        <w:overflowPunct/>
        <w:topLinePunct w:val="0"/>
        <w:bidi w:val="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75C6FC49">
      <w:pPr>
        <w:keepNext w:val="0"/>
        <w:keepLines w:val="0"/>
        <w:pageBreakBefore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16D2858F">
      <w:pPr>
        <w:keepNext w:val="0"/>
        <w:keepLines w:val="0"/>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p>
    <w:p w14:paraId="319490FD">
      <w:pPr>
        <w:keepNext w:val="0"/>
        <w:keepLines w:val="0"/>
        <w:pageBreakBefore w:val="0"/>
        <w:kinsoku/>
        <w:wordWrap/>
        <w:overflowPunct/>
        <w:topLinePunct w:val="0"/>
        <w:bidi w:val="0"/>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7E974DC">
      <w:pPr>
        <w:keepNext w:val="0"/>
        <w:keepLines w:val="0"/>
        <w:pageBreakBefore w:val="0"/>
        <w:kinsoku/>
        <w:wordWrap/>
        <w:overflowPunct/>
        <w:topLinePunct w:val="0"/>
        <w:bidi w:val="0"/>
        <w:snapToGrid w:val="0"/>
        <w:spacing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八、政府采购供应商廉洁自律承诺书</w:t>
      </w:r>
    </w:p>
    <w:p w14:paraId="7F80D585">
      <w:pPr>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p>
    <w:p w14:paraId="42415728">
      <w:pPr>
        <w:keepNext w:val="0"/>
        <w:keepLines w:val="0"/>
        <w:pageBreakBefore w:val="0"/>
        <w:kinsoku/>
        <w:wordWrap/>
        <w:overflowPunct/>
        <w:topLinePunct w:val="0"/>
        <w:bidi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2102AAC0">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2A5F7D8">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83355E0">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57E687A">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4655651">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0A2421E">
      <w:pPr>
        <w:keepNext w:val="0"/>
        <w:keepLines w:val="0"/>
        <w:pageBreakBefore w:val="0"/>
        <w:kinsoku/>
        <w:wordWrap/>
        <w:overflowPunct/>
        <w:topLinePunct w:val="0"/>
        <w:autoSpaceDE w:val="0"/>
        <w:autoSpaceDN w:val="0"/>
        <w:bidi w:val="0"/>
        <w:spacing w:line="360" w:lineRule="auto"/>
        <w:ind w:left="481" w:leftChars="229"/>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3FE6B14">
      <w:pPr>
        <w:keepNext w:val="0"/>
        <w:keepLines w:val="0"/>
        <w:pageBreakBefore w:val="0"/>
        <w:kinsoku/>
        <w:wordWrap/>
        <w:overflowPunct/>
        <w:topLinePunct w:val="0"/>
        <w:autoSpaceDE w:val="0"/>
        <w:autoSpaceDN w:val="0"/>
        <w:bidi w:val="0"/>
        <w:spacing w:line="360" w:lineRule="auto"/>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6EB9164">
      <w:pPr>
        <w:keepNext w:val="0"/>
        <w:keepLines w:val="0"/>
        <w:pageBreakBefore w:val="0"/>
        <w:kinsoku/>
        <w:wordWrap/>
        <w:overflowPunct/>
        <w:topLinePunct w:val="0"/>
        <w:autoSpaceDE w:val="0"/>
        <w:autoSpaceDN w:val="0"/>
        <w:bidi w:val="0"/>
        <w:spacing w:line="360" w:lineRule="auto"/>
        <w:ind w:left="481" w:leftChars="229"/>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6D64CEA">
      <w:pPr>
        <w:keepNext w:val="0"/>
        <w:keepLines w:val="0"/>
        <w:pageBreakBefore w:val="0"/>
        <w:kinsoku/>
        <w:wordWrap/>
        <w:overflowPunct/>
        <w:topLinePunct w:val="0"/>
        <w:autoSpaceDE w:val="0"/>
        <w:autoSpaceDN w:val="0"/>
        <w:bidi w:val="0"/>
        <w:spacing w:line="360" w:lineRule="auto"/>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F44D430">
      <w:pPr>
        <w:keepNext w:val="0"/>
        <w:keepLines w:val="0"/>
        <w:pageBreakBefore w:val="0"/>
        <w:kinsoku/>
        <w:wordWrap/>
        <w:overflowPunct/>
        <w:topLinePunct w:val="0"/>
        <w:autoSpaceDE w:val="0"/>
        <w:autoSpaceDN w:val="0"/>
        <w:bidi w:val="0"/>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lang w:val="en-US" w:eastAsia="zh-CN"/>
        </w:rPr>
        <w:t>监管部门</w:t>
      </w:r>
      <w:r>
        <w:rPr>
          <w:rFonts w:hint="eastAsia" w:ascii="仿宋" w:hAnsi="仿宋" w:eastAsia="仿宋" w:cs="仿宋"/>
          <w:color w:val="auto"/>
          <w:kern w:val="0"/>
          <w:sz w:val="24"/>
          <w:highlight w:val="none"/>
          <w:lang w:val="zh-CN"/>
        </w:rPr>
        <w:t>。由此引起的相应损失均由我单位承担。</w:t>
      </w:r>
    </w:p>
    <w:p w14:paraId="7E4EE86D">
      <w:pPr>
        <w:keepNext w:val="0"/>
        <w:keepLines w:val="0"/>
        <w:pageBreakBefore w:val="0"/>
        <w:kinsoku/>
        <w:wordWrap/>
        <w:overflowPunct/>
        <w:topLinePunct w:val="0"/>
        <w:autoSpaceDE w:val="0"/>
        <w:autoSpaceDN w:val="0"/>
        <w:bidi w:val="0"/>
        <w:spacing w:line="360" w:lineRule="auto"/>
        <w:ind w:left="2"/>
        <w:jc w:val="left"/>
        <w:textAlignment w:val="auto"/>
        <w:outlineLvl w:val="9"/>
        <w:rPr>
          <w:rFonts w:hint="eastAsia" w:ascii="仿宋" w:hAnsi="仿宋" w:eastAsia="仿宋" w:cs="仿宋"/>
          <w:color w:val="auto"/>
          <w:kern w:val="0"/>
          <w:sz w:val="24"/>
          <w:highlight w:val="none"/>
          <w:lang w:val="zh-CN"/>
        </w:rPr>
      </w:pPr>
    </w:p>
    <w:p w14:paraId="7C10AD45">
      <w:pPr>
        <w:keepNext w:val="0"/>
        <w:keepLines w:val="0"/>
        <w:pageBreakBefore w:val="0"/>
        <w:kinsoku/>
        <w:wordWrap/>
        <w:overflowPunct/>
        <w:topLinePunct w:val="0"/>
        <w:autoSpaceDE w:val="0"/>
        <w:autoSpaceDN w:val="0"/>
        <w:bidi w:val="0"/>
        <w:spacing w:line="360" w:lineRule="auto"/>
        <w:ind w:left="2"/>
        <w:jc w:val="left"/>
        <w:textAlignment w:val="auto"/>
        <w:outlineLvl w:val="9"/>
        <w:rPr>
          <w:rFonts w:hint="eastAsia" w:ascii="仿宋" w:hAnsi="仿宋" w:eastAsia="仿宋" w:cs="仿宋"/>
          <w:color w:val="auto"/>
          <w:kern w:val="0"/>
          <w:sz w:val="24"/>
          <w:highlight w:val="none"/>
          <w:lang w:val="zh-CN"/>
        </w:rPr>
      </w:pPr>
    </w:p>
    <w:p w14:paraId="7718DCE8">
      <w:pPr>
        <w:keepNext w:val="0"/>
        <w:keepLines w:val="0"/>
        <w:pageBreakBefore w:val="0"/>
        <w:kinsoku/>
        <w:wordWrap/>
        <w:overflowPunct/>
        <w:topLinePunct w:val="0"/>
        <w:autoSpaceDE w:val="0"/>
        <w:autoSpaceDN w:val="0"/>
        <w:bidi w:val="0"/>
        <w:spacing w:line="360" w:lineRule="auto"/>
        <w:ind w:left="2"/>
        <w:jc w:val="left"/>
        <w:textAlignment w:val="auto"/>
        <w:outlineLvl w:val="9"/>
        <w:rPr>
          <w:rFonts w:hint="eastAsia" w:ascii="仿宋" w:hAnsi="仿宋" w:eastAsia="仿宋" w:cs="仿宋"/>
          <w:color w:val="auto"/>
          <w:kern w:val="0"/>
          <w:sz w:val="24"/>
          <w:highlight w:val="none"/>
          <w:lang w:val="zh-CN"/>
        </w:rPr>
      </w:pPr>
    </w:p>
    <w:p w14:paraId="750EC61B">
      <w:pPr>
        <w:keepNext w:val="0"/>
        <w:keepLines w:val="0"/>
        <w:pageBreakBefore w:val="0"/>
        <w:kinsoku/>
        <w:wordWrap/>
        <w:overflowPunct/>
        <w:topLinePunct w:val="0"/>
        <w:autoSpaceDE w:val="0"/>
        <w:autoSpaceDN w:val="0"/>
        <w:bidi w:val="0"/>
        <w:spacing w:line="360" w:lineRule="auto"/>
        <w:ind w:left="2" w:leftChars="1" w:right="1120" w:firstLine="4560" w:firstLineChars="19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09D1963">
      <w:pPr>
        <w:keepNext w:val="0"/>
        <w:keepLines w:val="0"/>
        <w:pageBreakBefore w:val="0"/>
        <w:kinsoku/>
        <w:wordWrap/>
        <w:overflowPunct/>
        <w:topLinePunct w:val="0"/>
        <w:bidi w:val="0"/>
        <w:spacing w:line="360" w:lineRule="auto"/>
        <w:ind w:left="4620" w:leftChars="2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04487A47">
      <w:pPr>
        <w:keepNext w:val="0"/>
        <w:keepLines w:val="0"/>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rPr>
      </w:pPr>
    </w:p>
    <w:p w14:paraId="2335944D">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5FA10FF">
      <w:pPr>
        <w:spacing w:line="360" w:lineRule="auto"/>
        <w:jc w:val="center"/>
        <w:outlineLvl w:val="1"/>
        <w:rPr>
          <w:rFonts w:hint="eastAsia" w:ascii="仿宋" w:hAnsi="仿宋" w:eastAsia="仿宋" w:cs="仿宋"/>
          <w:b/>
          <w:color w:val="auto"/>
          <w:kern w:val="0"/>
          <w:sz w:val="36"/>
          <w:szCs w:val="36"/>
          <w:highlight w:val="none"/>
        </w:rPr>
      </w:pPr>
      <w:bookmarkStart w:id="146" w:name="_Toc29208"/>
      <w:bookmarkStart w:id="147" w:name="_Toc3363"/>
      <w:bookmarkStart w:id="148" w:name="_Toc3114"/>
      <w:bookmarkStart w:id="149" w:name="_Toc5590"/>
      <w:r>
        <w:rPr>
          <w:rFonts w:hint="eastAsia" w:ascii="仿宋" w:hAnsi="仿宋" w:eastAsia="仿宋" w:cs="仿宋"/>
          <w:b/>
          <w:color w:val="auto"/>
          <w:kern w:val="0"/>
          <w:sz w:val="36"/>
          <w:szCs w:val="36"/>
          <w:highlight w:val="none"/>
        </w:rPr>
        <w:t>报价文件部分</w:t>
      </w:r>
      <w:bookmarkEnd w:id="146"/>
      <w:bookmarkEnd w:id="147"/>
      <w:bookmarkEnd w:id="148"/>
      <w:bookmarkEnd w:id="149"/>
    </w:p>
    <w:p w14:paraId="0B85A97A">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4CA48E9">
      <w:pPr>
        <w:spacing w:line="360" w:lineRule="auto"/>
        <w:jc w:val="center"/>
        <w:rPr>
          <w:rFonts w:hint="eastAsia" w:ascii="仿宋" w:hAnsi="仿宋" w:eastAsia="仿宋" w:cs="仿宋"/>
          <w:b/>
          <w:color w:val="auto"/>
          <w:kern w:val="0"/>
          <w:sz w:val="36"/>
          <w:szCs w:val="36"/>
          <w:highlight w:val="none"/>
        </w:rPr>
      </w:pPr>
    </w:p>
    <w:p w14:paraId="1623E36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A459E9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（2）报价明细表……………………………………………………………………（页码）</w:t>
      </w:r>
    </w:p>
    <w:p w14:paraId="198FAE8B">
      <w:pPr>
        <w:snapToGrid w:val="0"/>
        <w:spacing w:line="360" w:lineRule="auto"/>
        <w:ind w:right="480"/>
        <w:jc w:val="center"/>
        <w:rPr>
          <w:rFonts w:hint="eastAsia" w:ascii="仿宋" w:hAnsi="仿宋" w:eastAsia="仿宋" w:cs="仿宋"/>
          <w:b/>
          <w:color w:val="auto"/>
          <w:kern w:val="0"/>
          <w:sz w:val="32"/>
          <w:szCs w:val="32"/>
          <w:highlight w:val="none"/>
        </w:rPr>
      </w:pPr>
    </w:p>
    <w:p w14:paraId="6CD362F0">
      <w:pPr>
        <w:snapToGrid w:val="0"/>
        <w:spacing w:line="360" w:lineRule="auto"/>
        <w:ind w:right="480"/>
        <w:jc w:val="center"/>
        <w:rPr>
          <w:rFonts w:hint="eastAsia" w:ascii="仿宋" w:hAnsi="仿宋" w:eastAsia="仿宋" w:cs="仿宋"/>
          <w:b/>
          <w:color w:val="auto"/>
          <w:kern w:val="0"/>
          <w:sz w:val="32"/>
          <w:szCs w:val="32"/>
          <w:highlight w:val="none"/>
        </w:rPr>
      </w:pPr>
    </w:p>
    <w:p w14:paraId="6513C1E8">
      <w:pPr>
        <w:snapToGrid w:val="0"/>
        <w:spacing w:line="360" w:lineRule="auto"/>
        <w:ind w:right="480"/>
        <w:jc w:val="center"/>
        <w:rPr>
          <w:rFonts w:hint="eastAsia" w:ascii="仿宋" w:hAnsi="仿宋" w:eastAsia="仿宋" w:cs="仿宋"/>
          <w:b/>
          <w:color w:val="auto"/>
          <w:kern w:val="0"/>
          <w:sz w:val="32"/>
          <w:szCs w:val="32"/>
          <w:highlight w:val="none"/>
        </w:rPr>
      </w:pPr>
    </w:p>
    <w:p w14:paraId="490F0B87">
      <w:pPr>
        <w:snapToGrid w:val="0"/>
        <w:spacing w:line="360" w:lineRule="auto"/>
        <w:ind w:right="480"/>
        <w:jc w:val="center"/>
        <w:rPr>
          <w:rFonts w:hint="eastAsia" w:ascii="仿宋" w:hAnsi="仿宋" w:eastAsia="仿宋" w:cs="仿宋"/>
          <w:b/>
          <w:color w:val="auto"/>
          <w:kern w:val="0"/>
          <w:sz w:val="32"/>
          <w:szCs w:val="32"/>
          <w:highlight w:val="none"/>
        </w:rPr>
      </w:pPr>
    </w:p>
    <w:p w14:paraId="5A4E088D">
      <w:pPr>
        <w:snapToGrid w:val="0"/>
        <w:spacing w:line="360" w:lineRule="auto"/>
        <w:ind w:right="480"/>
        <w:jc w:val="center"/>
        <w:rPr>
          <w:rFonts w:hint="eastAsia" w:ascii="仿宋" w:hAnsi="仿宋" w:eastAsia="仿宋" w:cs="仿宋"/>
          <w:b/>
          <w:color w:val="auto"/>
          <w:kern w:val="0"/>
          <w:sz w:val="32"/>
          <w:szCs w:val="32"/>
          <w:highlight w:val="none"/>
        </w:rPr>
      </w:pPr>
    </w:p>
    <w:p w14:paraId="727E7666">
      <w:pPr>
        <w:snapToGrid w:val="0"/>
        <w:spacing w:line="360" w:lineRule="auto"/>
        <w:ind w:right="480"/>
        <w:jc w:val="center"/>
        <w:rPr>
          <w:rFonts w:hint="eastAsia" w:ascii="仿宋" w:hAnsi="仿宋" w:eastAsia="仿宋" w:cs="仿宋"/>
          <w:b/>
          <w:color w:val="auto"/>
          <w:kern w:val="0"/>
          <w:sz w:val="32"/>
          <w:szCs w:val="32"/>
          <w:highlight w:val="none"/>
        </w:rPr>
      </w:pPr>
    </w:p>
    <w:p w14:paraId="6BF88B4E">
      <w:pPr>
        <w:snapToGrid w:val="0"/>
        <w:spacing w:line="360" w:lineRule="auto"/>
        <w:ind w:right="480"/>
        <w:jc w:val="center"/>
        <w:rPr>
          <w:rFonts w:hint="eastAsia" w:ascii="仿宋" w:hAnsi="仿宋" w:eastAsia="仿宋" w:cs="仿宋"/>
          <w:b/>
          <w:color w:val="auto"/>
          <w:kern w:val="0"/>
          <w:sz w:val="32"/>
          <w:szCs w:val="32"/>
          <w:highlight w:val="none"/>
        </w:rPr>
      </w:pPr>
    </w:p>
    <w:p w14:paraId="2AB4369F">
      <w:pPr>
        <w:snapToGrid w:val="0"/>
        <w:spacing w:line="360" w:lineRule="auto"/>
        <w:ind w:right="480"/>
        <w:jc w:val="center"/>
        <w:rPr>
          <w:rFonts w:hint="eastAsia" w:ascii="仿宋" w:hAnsi="仿宋" w:eastAsia="仿宋" w:cs="仿宋"/>
          <w:b/>
          <w:color w:val="auto"/>
          <w:kern w:val="0"/>
          <w:sz w:val="32"/>
          <w:szCs w:val="32"/>
          <w:highlight w:val="none"/>
        </w:rPr>
      </w:pPr>
    </w:p>
    <w:p w14:paraId="773C60B2">
      <w:pPr>
        <w:snapToGrid w:val="0"/>
        <w:spacing w:line="360" w:lineRule="auto"/>
        <w:ind w:right="480"/>
        <w:jc w:val="center"/>
        <w:rPr>
          <w:rFonts w:hint="eastAsia" w:ascii="仿宋" w:hAnsi="仿宋" w:eastAsia="仿宋" w:cs="仿宋"/>
          <w:b/>
          <w:color w:val="auto"/>
          <w:kern w:val="0"/>
          <w:sz w:val="32"/>
          <w:szCs w:val="32"/>
          <w:highlight w:val="none"/>
        </w:rPr>
      </w:pPr>
    </w:p>
    <w:p w14:paraId="6C72EFCD">
      <w:pPr>
        <w:snapToGrid w:val="0"/>
        <w:spacing w:line="360" w:lineRule="auto"/>
        <w:ind w:right="480"/>
        <w:jc w:val="center"/>
        <w:rPr>
          <w:rFonts w:hint="eastAsia" w:ascii="仿宋" w:hAnsi="仿宋" w:eastAsia="仿宋" w:cs="仿宋"/>
          <w:b/>
          <w:color w:val="auto"/>
          <w:kern w:val="0"/>
          <w:sz w:val="32"/>
          <w:szCs w:val="32"/>
          <w:highlight w:val="none"/>
        </w:rPr>
      </w:pPr>
    </w:p>
    <w:p w14:paraId="1FCB3A46">
      <w:pPr>
        <w:snapToGrid w:val="0"/>
        <w:spacing w:line="360" w:lineRule="auto"/>
        <w:ind w:right="480"/>
        <w:jc w:val="center"/>
        <w:rPr>
          <w:rFonts w:hint="eastAsia" w:ascii="仿宋" w:hAnsi="仿宋" w:eastAsia="仿宋" w:cs="仿宋"/>
          <w:b/>
          <w:color w:val="auto"/>
          <w:kern w:val="0"/>
          <w:sz w:val="32"/>
          <w:szCs w:val="32"/>
          <w:highlight w:val="none"/>
        </w:rPr>
      </w:pPr>
    </w:p>
    <w:p w14:paraId="36E1EA10">
      <w:pPr>
        <w:snapToGrid w:val="0"/>
        <w:spacing w:line="360" w:lineRule="auto"/>
        <w:ind w:right="480"/>
        <w:jc w:val="center"/>
        <w:rPr>
          <w:rFonts w:hint="eastAsia" w:ascii="仿宋" w:hAnsi="仿宋" w:eastAsia="仿宋" w:cs="仿宋"/>
          <w:b/>
          <w:color w:val="auto"/>
          <w:kern w:val="0"/>
          <w:sz w:val="32"/>
          <w:szCs w:val="32"/>
          <w:highlight w:val="none"/>
        </w:rPr>
      </w:pPr>
    </w:p>
    <w:p w14:paraId="3BEF6B0E">
      <w:pPr>
        <w:snapToGrid w:val="0"/>
        <w:spacing w:line="360" w:lineRule="auto"/>
        <w:ind w:right="480"/>
        <w:jc w:val="center"/>
        <w:rPr>
          <w:rFonts w:hint="eastAsia" w:ascii="仿宋" w:hAnsi="仿宋" w:eastAsia="仿宋" w:cs="仿宋"/>
          <w:b/>
          <w:color w:val="auto"/>
          <w:kern w:val="0"/>
          <w:sz w:val="32"/>
          <w:szCs w:val="32"/>
          <w:highlight w:val="none"/>
        </w:rPr>
      </w:pPr>
    </w:p>
    <w:p w14:paraId="7047CE67">
      <w:pPr>
        <w:snapToGrid w:val="0"/>
        <w:spacing w:line="360" w:lineRule="auto"/>
        <w:ind w:right="480"/>
        <w:jc w:val="center"/>
        <w:rPr>
          <w:rFonts w:hint="eastAsia" w:ascii="仿宋" w:hAnsi="仿宋" w:eastAsia="仿宋" w:cs="仿宋"/>
          <w:b/>
          <w:color w:val="auto"/>
          <w:kern w:val="0"/>
          <w:sz w:val="32"/>
          <w:szCs w:val="32"/>
          <w:highlight w:val="none"/>
        </w:rPr>
      </w:pPr>
    </w:p>
    <w:p w14:paraId="5AA5A04A">
      <w:pPr>
        <w:snapToGrid w:val="0"/>
        <w:spacing w:line="360" w:lineRule="auto"/>
        <w:ind w:right="480"/>
        <w:jc w:val="center"/>
        <w:rPr>
          <w:rFonts w:hint="eastAsia" w:ascii="仿宋" w:hAnsi="仿宋" w:eastAsia="仿宋" w:cs="仿宋"/>
          <w:b/>
          <w:color w:val="auto"/>
          <w:kern w:val="0"/>
          <w:sz w:val="32"/>
          <w:szCs w:val="32"/>
          <w:highlight w:val="none"/>
        </w:rPr>
      </w:pPr>
    </w:p>
    <w:p w14:paraId="5AA17A0F">
      <w:pPr>
        <w:pStyle w:val="17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8C586F4">
      <w:pPr>
        <w:pStyle w:val="17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bookmarkStart w:id="150" w:name="_Toc25033"/>
      <w:bookmarkStart w:id="151" w:name="_Toc15988"/>
      <w:bookmarkStart w:id="152" w:name="_Toc9655"/>
      <w:bookmarkStart w:id="153" w:name="_Toc26125"/>
      <w:bookmarkStart w:id="154" w:name="_Toc19569"/>
      <w:bookmarkStart w:id="155" w:name="_Toc12875"/>
      <w:bookmarkStart w:id="156" w:name="_Toc8039"/>
      <w:bookmarkStart w:id="157" w:name="_Toc17498"/>
      <w:bookmarkStart w:id="158" w:name="_Toc5294"/>
      <w:bookmarkStart w:id="159" w:name="_Toc30323"/>
      <w:bookmarkStart w:id="160" w:name="_Toc11024"/>
      <w:bookmarkStart w:id="161" w:name="_Toc366"/>
      <w:bookmarkStart w:id="162" w:name="_Toc16414"/>
      <w:bookmarkStart w:id="163" w:name="_Toc11552"/>
      <w:bookmarkStart w:id="164" w:name="_Toc5399"/>
      <w:bookmarkStart w:id="165" w:name="_Toc13843"/>
      <w:bookmarkStart w:id="166" w:name="_Toc21682"/>
      <w:bookmarkStart w:id="167" w:name="_Toc21526"/>
      <w:bookmarkStart w:id="168" w:name="_Toc11262"/>
      <w:r>
        <w:rPr>
          <w:rFonts w:hint="eastAsia" w:ascii="仿宋" w:hAnsi="仿宋" w:eastAsia="仿宋" w:cs="仿宋"/>
          <w:color w:val="auto"/>
          <w:kern w:val="2"/>
          <w:sz w:val="32"/>
          <w:szCs w:val="32"/>
          <w:highlight w:val="none"/>
        </w:rPr>
        <w:t>一、开标一览表（报价表）</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C214A4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646BB4DA">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6B7299E">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4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86"/>
      </w:tblGrid>
      <w:tr w14:paraId="4E7C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14:paraId="3F3E3E6D">
            <w:pPr>
              <w:adjustRightInd w:val="0"/>
              <w:snapToGrid w:val="0"/>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投标报价</w:t>
            </w:r>
          </w:p>
        </w:tc>
        <w:tc>
          <w:tcPr>
            <w:tcW w:w="6286" w:type="dxa"/>
            <w:noWrap/>
            <w:vAlign w:val="center"/>
          </w:tcPr>
          <w:p w14:paraId="26CCD58F">
            <w:pPr>
              <w:adjustRightInd w:val="0"/>
              <w:snapToGrid w:val="0"/>
              <w:ind w:left="72" w:leftChars="0"/>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u w:val="single"/>
                <w:lang w:val="en-US" w:eastAsia="zh-CN"/>
              </w:rPr>
              <w:t xml:space="preserve">                           </w:t>
            </w:r>
          </w:p>
        </w:tc>
      </w:tr>
      <w:tr w14:paraId="4D58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14:paraId="4B0B576C">
            <w:pPr>
              <w:adjustRightInd w:val="0"/>
              <w:snapToGrid w:val="0"/>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lang w:val="en-US" w:eastAsia="zh-CN"/>
              </w:rPr>
              <w:t>备注：（大写金额）</w:t>
            </w:r>
          </w:p>
        </w:tc>
        <w:tc>
          <w:tcPr>
            <w:tcW w:w="6286" w:type="dxa"/>
            <w:noWrap/>
            <w:vAlign w:val="center"/>
          </w:tcPr>
          <w:p w14:paraId="44AAAA73">
            <w:pPr>
              <w:adjustRightInd w:val="0"/>
              <w:snapToGrid w:val="0"/>
              <w:ind w:left="72" w:leftChars="0"/>
              <w:rPr>
                <w:rFonts w:hint="eastAsia" w:ascii="仿宋" w:hAnsi="仿宋" w:eastAsia="仿宋" w:cs="仿宋"/>
                <w:snapToGrid w:val="0"/>
                <w:color w:val="auto"/>
                <w:kern w:val="0"/>
                <w:szCs w:val="21"/>
                <w:highlight w:val="none"/>
                <w:u w:val="single"/>
                <w:lang w:val="en-US" w:eastAsia="zh-CN"/>
              </w:rPr>
            </w:pPr>
          </w:p>
        </w:tc>
      </w:tr>
    </w:tbl>
    <w:p w14:paraId="25ABCF74">
      <w:pPr>
        <w:adjustRightInd w:val="0"/>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46DC88C">
      <w:pPr>
        <w:adjustRightInd w:val="0"/>
        <w:snapToGrid w:val="0"/>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45310879">
      <w:pPr>
        <w:adjustRightInd w:val="0"/>
        <w:snapToGrid w:val="0"/>
        <w:spacing w:line="360" w:lineRule="auto"/>
        <w:ind w:firstLine="480" w:firstLineChars="20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31056918">
      <w:pPr>
        <w:adjustRightInd w:val="0"/>
        <w:snapToGrid w:val="0"/>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特别说明：</w:t>
      </w:r>
      <w:r>
        <w:rPr>
          <w:rFonts w:hint="eastAsia" w:ascii="仿宋" w:hAnsi="仿宋" w:eastAsia="仿宋" w:cs="仿宋"/>
          <w:color w:val="auto"/>
          <w:sz w:val="24"/>
          <w:highlight w:val="none"/>
          <w:lang w:val="en-US" w:eastAsia="zh-CN"/>
        </w:rPr>
        <w:t>报价低于50%（不含）的，</w:t>
      </w:r>
      <w:r>
        <w:rPr>
          <w:rFonts w:hint="eastAsia" w:ascii="仿宋" w:hAnsi="仿宋" w:eastAsia="仿宋" w:cs="仿宋"/>
          <w:color w:val="auto"/>
          <w:sz w:val="24"/>
          <w:highlight w:val="none"/>
          <w:lang w:val="zh-CN" w:eastAsia="zh-CN"/>
        </w:rPr>
        <w:t>应当在报价文件中出具《报价情况说明》，</w:t>
      </w:r>
      <w:r>
        <w:rPr>
          <w:rFonts w:hint="eastAsia" w:ascii="仿宋" w:hAnsi="仿宋" w:eastAsia="仿宋" w:cs="仿宋"/>
          <w:color w:val="auto"/>
          <w:sz w:val="24"/>
          <w:highlight w:val="none"/>
          <w:lang w:val="en-US" w:eastAsia="zh-CN"/>
        </w:rPr>
        <w:t>针对采购需求列出的工作项目内容提供该报价的原因，</w:t>
      </w:r>
      <w:r>
        <w:rPr>
          <w:rFonts w:hint="eastAsia" w:ascii="仿宋" w:hAnsi="仿宋" w:eastAsia="仿宋" w:cs="仿宋"/>
          <w:color w:val="auto"/>
          <w:sz w:val="24"/>
          <w:highlight w:val="none"/>
          <w:lang w:val="zh-CN" w:eastAsia="zh-CN"/>
        </w:rPr>
        <w:t>详细阐述不影响服务质量或者诚信履约的具体理由及依据。</w:t>
      </w:r>
    </w:p>
    <w:p w14:paraId="76ECF4F4">
      <w:pPr>
        <w:keepNext/>
        <w:keepLines/>
        <w:pageBreakBefore w:val="0"/>
        <w:widowControl w:val="0"/>
        <w:kinsoku/>
        <w:wordWrap/>
        <w:overflowPunct/>
        <w:topLinePunct w:val="0"/>
        <w:autoSpaceDE/>
        <w:autoSpaceDN/>
        <w:bidi w:val="0"/>
        <w:adjustRightInd w:val="0"/>
        <w:snapToGrid/>
        <w:spacing w:line="416" w:lineRule="auto"/>
        <w:textAlignment w:val="auto"/>
        <w:outlineLvl w:val="9"/>
        <w:rPr>
          <w:rFonts w:hint="eastAsia" w:ascii="仿宋" w:hAnsi="仿宋" w:eastAsia="仿宋" w:cs="仿宋"/>
          <w:color w:val="auto"/>
          <w:highlight w:val="none"/>
          <w:lang w:val="en-US" w:eastAsia="zh-CN"/>
        </w:rPr>
      </w:pPr>
    </w:p>
    <w:p w14:paraId="4243D6BB">
      <w:pPr>
        <w:keepNext w:val="0"/>
        <w:keepLines w:val="0"/>
        <w:pageBreakBefore w:val="0"/>
        <w:kinsoku/>
        <w:wordWrap/>
        <w:overflowPunct/>
        <w:topLinePunct w:val="0"/>
        <w:bidi w:val="0"/>
        <w:snapToGrid w:val="0"/>
        <w:spacing w:line="360" w:lineRule="auto"/>
        <w:ind w:firstLine="576"/>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投标人名称(电子签名)：                              </w:t>
      </w:r>
    </w:p>
    <w:p w14:paraId="4A7453E1">
      <w:pPr>
        <w:adjustRightInd w:val="0"/>
        <w:snapToGrid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7A4286ED">
      <w:pPr>
        <w:spacing w:line="360" w:lineRule="auto"/>
        <w:ind w:firstLine="482" w:firstLineChars="200"/>
        <w:rPr>
          <w:rFonts w:hint="eastAsia" w:ascii="仿宋" w:hAnsi="仿宋" w:eastAsia="仿宋" w:cs="仿宋"/>
          <w:b/>
          <w:color w:val="auto"/>
          <w:kern w:val="0"/>
          <w:sz w:val="24"/>
          <w:highlight w:val="none"/>
        </w:rPr>
      </w:pPr>
    </w:p>
    <w:p w14:paraId="02C2655E">
      <w:pPr>
        <w:pStyle w:val="17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B2F9825">
      <w:pPr>
        <w:pStyle w:val="20"/>
        <w:spacing w:line="600" w:lineRule="exact"/>
        <w:ind w:firstLine="0"/>
        <w:jc w:val="center"/>
        <w:rPr>
          <w:rFonts w:hint="eastAsia"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二、报价明细表</w:t>
      </w:r>
    </w:p>
    <w:p w14:paraId="2833CD00">
      <w:pPr>
        <w:adjustRightInd w:val="0"/>
        <w:spacing w:line="360" w:lineRule="auto"/>
        <w:jc w:val="left"/>
        <w:rPr>
          <w:rFonts w:hint="eastAsia" w:ascii="仿宋" w:hAnsi="仿宋" w:eastAsia="仿宋" w:cs="仿宋"/>
          <w:color w:val="auto"/>
          <w:szCs w:val="21"/>
          <w:highlight w:val="none"/>
        </w:rPr>
      </w:pPr>
    </w:p>
    <w:p w14:paraId="524D5D81">
      <w:pPr>
        <w:adjustRightInd w:val="0"/>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白杨街道综合执法辅助服务项目（</w:t>
      </w:r>
      <w:r>
        <w:rPr>
          <w:rFonts w:hint="eastAsia" w:ascii="仿宋" w:hAnsi="仿宋" w:eastAsia="仿宋" w:cs="仿宋"/>
          <w:color w:val="auto"/>
          <w:szCs w:val="21"/>
          <w:highlight w:val="none"/>
          <w:lang w:val="en-US" w:eastAsia="zh-CN"/>
        </w:rPr>
        <w:t>2024-2025年</w:t>
      </w:r>
      <w:r>
        <w:rPr>
          <w:rFonts w:hint="eastAsia" w:ascii="仿宋" w:hAnsi="仿宋" w:eastAsia="仿宋" w:cs="仿宋"/>
          <w:color w:val="auto"/>
          <w:szCs w:val="21"/>
          <w:highlight w:val="none"/>
          <w:lang w:eastAsia="zh-CN"/>
        </w:rPr>
        <w:t>）</w:t>
      </w:r>
    </w:p>
    <w:p w14:paraId="737A0838">
      <w:pPr>
        <w:pStyle w:val="18"/>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采购编号：</w:t>
      </w:r>
      <w:r>
        <w:rPr>
          <w:rFonts w:hint="eastAsia" w:ascii="仿宋" w:hAnsi="仿宋" w:eastAsia="仿宋" w:cs="仿宋"/>
          <w:color w:val="auto"/>
          <w:szCs w:val="21"/>
          <w:highlight w:val="none"/>
          <w:lang w:eastAsia="zh-CN"/>
        </w:rPr>
        <w:t>QTCG-GK-2024-184</w:t>
      </w:r>
    </w:p>
    <w:p w14:paraId="0E56531B">
      <w:pPr>
        <w:rPr>
          <w:rFonts w:hint="eastAsia" w:ascii="仿宋" w:hAnsi="仿宋" w:eastAsia="仿宋" w:cs="仿宋"/>
          <w:color w:val="auto"/>
          <w:szCs w:val="21"/>
          <w:highlight w:val="none"/>
          <w:lang w:eastAsia="zh-CN"/>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1"/>
        <w:gridCol w:w="6"/>
        <w:gridCol w:w="2372"/>
        <w:gridCol w:w="2027"/>
        <w:gridCol w:w="1"/>
        <w:gridCol w:w="3497"/>
      </w:tblGrid>
      <w:tr w14:paraId="3A50F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4E852C94">
            <w:pPr>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3548E410">
            <w:pPr>
              <w:jc w:val="center"/>
              <w:rPr>
                <w:rFonts w:hint="eastAsia" w:ascii="仿宋" w:hAnsi="仿宋" w:eastAsia="仿宋" w:cs="仿宋"/>
                <w:b/>
                <w:color w:val="auto"/>
                <w:highlight w:val="none"/>
              </w:rPr>
            </w:pPr>
            <w:r>
              <w:rPr>
                <w:rFonts w:hint="eastAsia" w:ascii="仿宋" w:hAnsi="仿宋" w:eastAsia="仿宋" w:cs="仿宋"/>
                <w:b/>
                <w:color w:val="auto"/>
                <w:highlight w:val="none"/>
              </w:rPr>
              <w:t>科  目</w:t>
            </w: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11798999">
            <w:pPr>
              <w:jc w:val="center"/>
              <w:rPr>
                <w:rFonts w:hint="eastAsia" w:ascii="仿宋" w:hAnsi="仿宋" w:eastAsia="仿宋" w:cs="仿宋"/>
                <w:b/>
                <w:color w:val="auto"/>
                <w:highlight w:val="none"/>
              </w:rPr>
            </w:pPr>
            <w:r>
              <w:rPr>
                <w:rFonts w:hint="eastAsia" w:ascii="仿宋" w:hAnsi="仿宋" w:eastAsia="仿宋" w:cs="仿宋"/>
                <w:b/>
                <w:color w:val="auto"/>
                <w:highlight w:val="none"/>
              </w:rPr>
              <w:t>（元）</w:t>
            </w:r>
          </w:p>
        </w:tc>
        <w:tc>
          <w:tcPr>
            <w:tcW w:w="3497" w:type="dxa"/>
            <w:tcBorders>
              <w:top w:val="single" w:color="auto" w:sz="4" w:space="0"/>
              <w:left w:val="single" w:color="auto" w:sz="4" w:space="0"/>
              <w:bottom w:val="single" w:color="auto" w:sz="4" w:space="0"/>
              <w:right w:val="single" w:color="auto" w:sz="4" w:space="0"/>
            </w:tcBorders>
            <w:noWrap w:val="0"/>
            <w:vAlign w:val="center"/>
          </w:tcPr>
          <w:p w14:paraId="4FCA53E5">
            <w:pPr>
              <w:jc w:val="center"/>
              <w:rPr>
                <w:rFonts w:hint="eastAsia" w:ascii="仿宋" w:hAnsi="仿宋" w:eastAsia="仿宋" w:cs="仿宋"/>
                <w:b/>
                <w:color w:val="auto"/>
                <w:highlight w:val="none"/>
              </w:rPr>
            </w:pPr>
            <w:r>
              <w:rPr>
                <w:rFonts w:hint="eastAsia" w:ascii="仿宋" w:hAnsi="仿宋" w:eastAsia="仿宋" w:cs="仿宋"/>
                <w:b/>
                <w:color w:val="auto"/>
                <w:highlight w:val="none"/>
              </w:rPr>
              <w:t>说  明</w:t>
            </w:r>
          </w:p>
        </w:tc>
      </w:tr>
      <w:tr w14:paraId="39D98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784" w:type="dxa"/>
            <w:gridSpan w:val="6"/>
            <w:tcBorders>
              <w:top w:val="single" w:color="auto" w:sz="4" w:space="0"/>
              <w:left w:val="single" w:color="auto" w:sz="4" w:space="0"/>
              <w:bottom w:val="single" w:color="auto" w:sz="4" w:space="0"/>
              <w:right w:val="single" w:color="auto" w:sz="4" w:space="0"/>
            </w:tcBorders>
            <w:noWrap w:val="0"/>
            <w:vAlign w:val="center"/>
          </w:tcPr>
          <w:p w14:paraId="34E185E8">
            <w:pP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管理费用</w:t>
            </w:r>
          </w:p>
        </w:tc>
      </w:tr>
      <w:tr w14:paraId="160F9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3A520ADD">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1.1</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3C52D8D5">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18137D7A">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1DFF8F56">
            <w:pPr>
              <w:pStyle w:val="225"/>
              <w:jc w:val="center"/>
              <w:rPr>
                <w:rFonts w:hint="eastAsia" w:ascii="仿宋" w:hAnsi="仿宋" w:eastAsia="仿宋" w:cs="仿宋"/>
                <w:color w:val="auto"/>
                <w:sz w:val="24"/>
                <w:szCs w:val="24"/>
                <w:highlight w:val="none"/>
              </w:rPr>
            </w:pPr>
          </w:p>
        </w:tc>
      </w:tr>
      <w:tr w14:paraId="6C607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013AF02C">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1.2</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28AC440E">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4E2D3476">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71287642">
            <w:pPr>
              <w:jc w:val="center"/>
              <w:rPr>
                <w:rFonts w:hint="eastAsia" w:ascii="仿宋" w:hAnsi="仿宋" w:eastAsia="仿宋" w:cs="仿宋"/>
                <w:color w:val="auto"/>
                <w:highlight w:val="none"/>
              </w:rPr>
            </w:pPr>
          </w:p>
        </w:tc>
      </w:tr>
      <w:tr w14:paraId="7334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390F83DE">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1.3</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13A02139">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6F57B1CB">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122BECAF">
            <w:pPr>
              <w:jc w:val="center"/>
              <w:rPr>
                <w:rFonts w:hint="eastAsia" w:ascii="仿宋" w:hAnsi="仿宋" w:eastAsia="仿宋" w:cs="仿宋"/>
                <w:color w:val="auto"/>
                <w:highlight w:val="none"/>
              </w:rPr>
            </w:pPr>
          </w:p>
        </w:tc>
      </w:tr>
      <w:tr w14:paraId="3691C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1A3CACCA">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36B3D2D7">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55203892">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68251ED7">
            <w:pPr>
              <w:jc w:val="center"/>
              <w:rPr>
                <w:rFonts w:hint="eastAsia" w:ascii="仿宋" w:hAnsi="仿宋" w:eastAsia="仿宋" w:cs="仿宋"/>
                <w:color w:val="auto"/>
                <w:highlight w:val="none"/>
              </w:rPr>
            </w:pPr>
          </w:p>
        </w:tc>
      </w:tr>
      <w:tr w14:paraId="7DE4F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784" w:type="dxa"/>
            <w:gridSpan w:val="6"/>
            <w:tcBorders>
              <w:top w:val="single" w:color="auto" w:sz="4" w:space="0"/>
              <w:left w:val="single" w:color="auto" w:sz="4" w:space="0"/>
              <w:bottom w:val="single" w:color="auto" w:sz="4" w:space="0"/>
              <w:right w:val="single" w:color="auto" w:sz="4" w:space="0"/>
            </w:tcBorders>
            <w:noWrap w:val="0"/>
            <w:vAlign w:val="center"/>
          </w:tcPr>
          <w:p w14:paraId="06461C20">
            <w:pPr>
              <w:jc w:val="both"/>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2、执法辅助服务人员投入部分的服务费用</w:t>
            </w:r>
          </w:p>
        </w:tc>
      </w:tr>
      <w:tr w14:paraId="14D11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2276871F">
            <w:pPr>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2.1</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2DAC142A">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5A691CA8">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213DF050">
            <w:pPr>
              <w:jc w:val="center"/>
              <w:rPr>
                <w:rFonts w:hint="eastAsia" w:ascii="仿宋" w:hAnsi="仿宋" w:eastAsia="仿宋" w:cs="仿宋"/>
                <w:color w:val="auto"/>
                <w:highlight w:val="none"/>
              </w:rPr>
            </w:pPr>
          </w:p>
        </w:tc>
      </w:tr>
      <w:tr w14:paraId="21B8B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22987D36">
            <w:pPr>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2.2</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5A15D452">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20D62903">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47FAAD4E">
            <w:pPr>
              <w:jc w:val="center"/>
              <w:rPr>
                <w:rFonts w:hint="eastAsia" w:ascii="仿宋" w:hAnsi="仿宋" w:eastAsia="仿宋" w:cs="仿宋"/>
                <w:color w:val="auto"/>
                <w:highlight w:val="none"/>
              </w:rPr>
            </w:pPr>
          </w:p>
        </w:tc>
      </w:tr>
      <w:tr w14:paraId="5DFE8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280B9112">
            <w:pPr>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2.3</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5C1940BA">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0CCCE9E8">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2E7A59FB">
            <w:pPr>
              <w:jc w:val="center"/>
              <w:rPr>
                <w:rFonts w:hint="eastAsia" w:ascii="仿宋" w:hAnsi="仿宋" w:eastAsia="仿宋" w:cs="仿宋"/>
                <w:color w:val="auto"/>
                <w:highlight w:val="none"/>
              </w:rPr>
            </w:pPr>
          </w:p>
        </w:tc>
      </w:tr>
      <w:tr w14:paraId="4B08A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1CAC2413">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36AC7728">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29A93E95">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486A5CC8">
            <w:pPr>
              <w:jc w:val="center"/>
              <w:rPr>
                <w:rFonts w:hint="eastAsia" w:ascii="仿宋" w:hAnsi="仿宋" w:eastAsia="仿宋" w:cs="仿宋"/>
                <w:color w:val="auto"/>
                <w:highlight w:val="none"/>
              </w:rPr>
            </w:pPr>
          </w:p>
        </w:tc>
      </w:tr>
      <w:tr w14:paraId="1803C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84" w:type="dxa"/>
            <w:gridSpan w:val="6"/>
            <w:tcBorders>
              <w:top w:val="single" w:color="auto" w:sz="4" w:space="0"/>
              <w:left w:val="single" w:color="auto" w:sz="4" w:space="0"/>
              <w:bottom w:val="single" w:color="auto" w:sz="4" w:space="0"/>
              <w:right w:val="single" w:color="auto" w:sz="4" w:space="0"/>
            </w:tcBorders>
            <w:noWrap w:val="0"/>
            <w:vAlign w:val="center"/>
          </w:tcPr>
          <w:p w14:paraId="6291C9C0">
            <w:pPr>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3、装备</w:t>
            </w:r>
            <w:r>
              <w:rPr>
                <w:rFonts w:hint="eastAsia" w:ascii="仿宋" w:hAnsi="仿宋" w:eastAsia="仿宋" w:cs="仿宋"/>
                <w:color w:val="auto"/>
                <w:highlight w:val="none"/>
              </w:rPr>
              <w:t>费用及其它</w:t>
            </w:r>
            <w:r>
              <w:rPr>
                <w:rFonts w:hint="eastAsia" w:ascii="仿宋" w:hAnsi="仿宋" w:eastAsia="仿宋" w:cs="仿宋"/>
                <w:color w:val="auto"/>
                <w:highlight w:val="none"/>
                <w:lang w:val="en-US" w:eastAsia="zh-CN"/>
              </w:rPr>
              <w:t>投入部分的服务费用</w:t>
            </w:r>
          </w:p>
        </w:tc>
      </w:tr>
      <w:tr w14:paraId="31BE4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AE25F42">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62D4A765">
            <w:pPr>
              <w:jc w:val="both"/>
              <w:rPr>
                <w:rFonts w:hint="eastAsia" w:ascii="仿宋" w:hAnsi="仿宋" w:eastAsia="仿宋" w:cs="仿宋"/>
                <w:color w:val="auto"/>
                <w:highlight w:val="none"/>
                <w:lang w:val="en-US" w:eastAsia="zh-CN"/>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23DCD8F2">
            <w:pPr>
              <w:jc w:val="both"/>
              <w:rPr>
                <w:rFonts w:hint="eastAsia" w:ascii="仿宋" w:hAnsi="仿宋" w:eastAsia="仿宋" w:cs="仿宋"/>
                <w:color w:val="auto"/>
                <w:highlight w:val="none"/>
                <w:lang w:val="en-US" w:eastAsia="zh-CN"/>
              </w:rPr>
            </w:pPr>
          </w:p>
        </w:tc>
        <w:tc>
          <w:tcPr>
            <w:tcW w:w="3498" w:type="dxa"/>
            <w:gridSpan w:val="2"/>
            <w:tcBorders>
              <w:top w:val="single" w:color="auto" w:sz="4" w:space="0"/>
              <w:left w:val="single" w:color="auto" w:sz="4" w:space="0"/>
              <w:bottom w:val="single" w:color="auto" w:sz="4" w:space="0"/>
              <w:right w:val="single" w:color="auto" w:sz="4" w:space="0"/>
            </w:tcBorders>
            <w:noWrap w:val="0"/>
            <w:vAlign w:val="center"/>
          </w:tcPr>
          <w:p w14:paraId="725D5A34">
            <w:pPr>
              <w:jc w:val="both"/>
              <w:rPr>
                <w:rFonts w:hint="eastAsia" w:ascii="仿宋" w:hAnsi="仿宋" w:eastAsia="仿宋" w:cs="仿宋"/>
                <w:color w:val="auto"/>
                <w:highlight w:val="none"/>
                <w:lang w:val="en-US" w:eastAsia="zh-CN"/>
              </w:rPr>
            </w:pPr>
          </w:p>
        </w:tc>
      </w:tr>
      <w:tr w14:paraId="1835D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BD7A603">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3.2</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2BB22368">
            <w:pPr>
              <w:jc w:val="both"/>
              <w:rPr>
                <w:rFonts w:hint="eastAsia" w:ascii="仿宋" w:hAnsi="仿宋" w:eastAsia="仿宋" w:cs="仿宋"/>
                <w:color w:val="auto"/>
                <w:highlight w:val="none"/>
                <w:lang w:val="en-US" w:eastAsia="zh-CN"/>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076DCBAB">
            <w:pPr>
              <w:jc w:val="both"/>
              <w:rPr>
                <w:rFonts w:hint="eastAsia" w:ascii="仿宋" w:hAnsi="仿宋" w:eastAsia="仿宋" w:cs="仿宋"/>
                <w:color w:val="auto"/>
                <w:highlight w:val="none"/>
                <w:lang w:val="en-US" w:eastAsia="zh-CN"/>
              </w:rPr>
            </w:pPr>
          </w:p>
        </w:tc>
        <w:tc>
          <w:tcPr>
            <w:tcW w:w="3498" w:type="dxa"/>
            <w:gridSpan w:val="2"/>
            <w:tcBorders>
              <w:top w:val="single" w:color="auto" w:sz="4" w:space="0"/>
              <w:left w:val="single" w:color="auto" w:sz="4" w:space="0"/>
              <w:bottom w:val="single" w:color="auto" w:sz="4" w:space="0"/>
              <w:right w:val="single" w:color="auto" w:sz="4" w:space="0"/>
            </w:tcBorders>
            <w:noWrap w:val="0"/>
            <w:vAlign w:val="center"/>
          </w:tcPr>
          <w:p w14:paraId="78D91010">
            <w:pPr>
              <w:jc w:val="both"/>
              <w:rPr>
                <w:rFonts w:hint="eastAsia" w:ascii="仿宋" w:hAnsi="仿宋" w:eastAsia="仿宋" w:cs="仿宋"/>
                <w:color w:val="auto"/>
                <w:highlight w:val="none"/>
                <w:lang w:val="en-US" w:eastAsia="zh-CN"/>
              </w:rPr>
            </w:pPr>
          </w:p>
        </w:tc>
      </w:tr>
      <w:tr w14:paraId="6B7B9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A7EF45B">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6554BE3C">
            <w:pPr>
              <w:jc w:val="both"/>
              <w:rPr>
                <w:rFonts w:hint="eastAsia" w:ascii="仿宋" w:hAnsi="仿宋" w:eastAsia="仿宋" w:cs="仿宋"/>
                <w:color w:val="auto"/>
                <w:highlight w:val="none"/>
                <w:lang w:val="en-US" w:eastAsia="zh-CN"/>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14:paraId="141946D9">
            <w:pPr>
              <w:jc w:val="both"/>
              <w:rPr>
                <w:rFonts w:hint="eastAsia" w:ascii="仿宋" w:hAnsi="仿宋" w:eastAsia="仿宋" w:cs="仿宋"/>
                <w:color w:val="auto"/>
                <w:highlight w:val="none"/>
                <w:lang w:val="en-US" w:eastAsia="zh-CN"/>
              </w:rPr>
            </w:pPr>
          </w:p>
        </w:tc>
        <w:tc>
          <w:tcPr>
            <w:tcW w:w="3498" w:type="dxa"/>
            <w:gridSpan w:val="2"/>
            <w:tcBorders>
              <w:top w:val="single" w:color="auto" w:sz="4" w:space="0"/>
              <w:left w:val="single" w:color="auto" w:sz="4" w:space="0"/>
              <w:bottom w:val="single" w:color="auto" w:sz="4" w:space="0"/>
              <w:right w:val="single" w:color="auto" w:sz="4" w:space="0"/>
            </w:tcBorders>
            <w:noWrap w:val="0"/>
            <w:vAlign w:val="center"/>
          </w:tcPr>
          <w:p w14:paraId="0A7EB794">
            <w:pPr>
              <w:jc w:val="both"/>
              <w:rPr>
                <w:rFonts w:hint="eastAsia" w:ascii="仿宋" w:hAnsi="仿宋" w:eastAsia="仿宋" w:cs="仿宋"/>
                <w:color w:val="auto"/>
                <w:highlight w:val="none"/>
                <w:lang w:val="en-US" w:eastAsia="zh-CN"/>
              </w:rPr>
            </w:pPr>
          </w:p>
        </w:tc>
      </w:tr>
      <w:tr w14:paraId="77908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59" w:type="dxa"/>
            <w:gridSpan w:val="3"/>
            <w:tcBorders>
              <w:top w:val="single" w:color="auto" w:sz="4" w:space="0"/>
              <w:left w:val="single" w:color="auto" w:sz="4" w:space="0"/>
              <w:bottom w:val="single" w:color="auto" w:sz="4" w:space="0"/>
              <w:right w:val="single" w:color="auto" w:sz="4" w:space="0"/>
            </w:tcBorders>
            <w:noWrap w:val="0"/>
            <w:vAlign w:val="center"/>
          </w:tcPr>
          <w:p w14:paraId="39417DD0">
            <w:pPr>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4、项目其他费用</w:t>
            </w: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4B04BE3D">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533C664D">
            <w:pPr>
              <w:jc w:val="center"/>
              <w:rPr>
                <w:rFonts w:hint="eastAsia" w:ascii="仿宋" w:hAnsi="仿宋" w:eastAsia="仿宋" w:cs="仿宋"/>
                <w:color w:val="auto"/>
                <w:highlight w:val="none"/>
              </w:rPr>
            </w:pPr>
          </w:p>
        </w:tc>
      </w:tr>
      <w:tr w14:paraId="2647F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5B79767A">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4.1</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4CB19896">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04535CC8">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11F77EDB">
            <w:pPr>
              <w:jc w:val="center"/>
              <w:rPr>
                <w:rFonts w:hint="eastAsia" w:ascii="仿宋" w:hAnsi="仿宋" w:eastAsia="仿宋" w:cs="仿宋"/>
                <w:color w:val="auto"/>
                <w:highlight w:val="none"/>
              </w:rPr>
            </w:pPr>
          </w:p>
        </w:tc>
      </w:tr>
      <w:tr w14:paraId="691AB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4CFFEAED">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4.2</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7E320F0E">
            <w:pPr>
              <w:jc w:val="center"/>
              <w:rPr>
                <w:rFonts w:hint="eastAsia" w:ascii="仿宋" w:hAnsi="仿宋" w:eastAsia="仿宋" w:cs="仿宋"/>
                <w:color w:val="auto"/>
                <w:highlight w:val="none"/>
                <w:lang w:val="en-US" w:eastAsia="zh-CN"/>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1848BFDD">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1D7E192F">
            <w:pPr>
              <w:jc w:val="center"/>
              <w:rPr>
                <w:rFonts w:hint="eastAsia" w:ascii="仿宋" w:hAnsi="仿宋" w:eastAsia="仿宋" w:cs="仿宋"/>
                <w:color w:val="auto"/>
                <w:highlight w:val="none"/>
              </w:rPr>
            </w:pPr>
          </w:p>
        </w:tc>
      </w:tr>
      <w:tr w14:paraId="43ED5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7" w:type="dxa"/>
            <w:gridSpan w:val="2"/>
            <w:tcBorders>
              <w:top w:val="single" w:color="auto" w:sz="4" w:space="0"/>
              <w:left w:val="single" w:color="auto" w:sz="4" w:space="0"/>
              <w:bottom w:val="single" w:color="auto" w:sz="4" w:space="0"/>
              <w:right w:val="single" w:color="auto" w:sz="4" w:space="0"/>
            </w:tcBorders>
            <w:noWrap w:val="0"/>
            <w:vAlign w:val="center"/>
          </w:tcPr>
          <w:p w14:paraId="1598369C">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1E9182B5">
            <w:pPr>
              <w:jc w:val="center"/>
              <w:rPr>
                <w:rFonts w:hint="eastAsia" w:ascii="仿宋" w:hAnsi="仿宋" w:eastAsia="仿宋" w:cs="仿宋"/>
                <w:color w:val="auto"/>
                <w:highlight w:val="none"/>
              </w:rPr>
            </w:pP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614715D6">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3FD31271">
            <w:pPr>
              <w:jc w:val="center"/>
              <w:rPr>
                <w:rFonts w:hint="eastAsia" w:ascii="仿宋" w:hAnsi="仿宋" w:eastAsia="仿宋" w:cs="仿宋"/>
                <w:color w:val="auto"/>
                <w:highlight w:val="none"/>
              </w:rPr>
            </w:pPr>
          </w:p>
        </w:tc>
      </w:tr>
      <w:tr w14:paraId="75F22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3259" w:type="dxa"/>
            <w:gridSpan w:val="3"/>
            <w:tcBorders>
              <w:top w:val="single" w:color="auto" w:sz="4" w:space="0"/>
              <w:left w:val="single" w:color="auto" w:sz="4" w:space="0"/>
              <w:bottom w:val="single" w:color="auto" w:sz="4" w:space="0"/>
              <w:right w:val="single" w:color="auto" w:sz="4" w:space="0"/>
            </w:tcBorders>
            <w:noWrap w:val="0"/>
            <w:vAlign w:val="center"/>
          </w:tcPr>
          <w:p w14:paraId="09E1B65D">
            <w:pPr>
              <w:jc w:val="center"/>
              <w:rPr>
                <w:rFonts w:hint="eastAsia" w:ascii="仿宋" w:hAnsi="仿宋" w:eastAsia="仿宋" w:cs="仿宋"/>
                <w:b/>
                <w:color w:val="auto"/>
                <w:highlight w:val="none"/>
              </w:rPr>
            </w:pPr>
            <w:r>
              <w:rPr>
                <w:rFonts w:hint="eastAsia" w:ascii="仿宋" w:hAnsi="仿宋" w:eastAsia="仿宋" w:cs="仿宋"/>
                <w:b/>
                <w:color w:val="auto"/>
                <w:highlight w:val="none"/>
              </w:rPr>
              <w:t>合计：</w:t>
            </w: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14:paraId="79BB26E1">
            <w:pPr>
              <w:jc w:val="center"/>
              <w:rPr>
                <w:rFonts w:hint="eastAsia" w:ascii="仿宋" w:hAnsi="仿宋" w:eastAsia="仿宋" w:cs="仿宋"/>
                <w:color w:val="auto"/>
                <w:highlight w:val="none"/>
              </w:rPr>
            </w:pPr>
          </w:p>
        </w:tc>
        <w:tc>
          <w:tcPr>
            <w:tcW w:w="3497" w:type="dxa"/>
            <w:tcBorders>
              <w:top w:val="single" w:color="auto" w:sz="4" w:space="0"/>
              <w:left w:val="single" w:color="auto" w:sz="4" w:space="0"/>
              <w:bottom w:val="single" w:color="auto" w:sz="4" w:space="0"/>
              <w:right w:val="single" w:color="auto" w:sz="4" w:space="0"/>
            </w:tcBorders>
            <w:noWrap w:val="0"/>
            <w:vAlign w:val="center"/>
          </w:tcPr>
          <w:p w14:paraId="69486F09">
            <w:pPr>
              <w:jc w:val="center"/>
              <w:rPr>
                <w:rFonts w:hint="eastAsia" w:ascii="仿宋" w:hAnsi="仿宋" w:eastAsia="仿宋" w:cs="仿宋"/>
                <w:color w:val="auto"/>
                <w:highlight w:val="none"/>
              </w:rPr>
            </w:pPr>
            <w:r>
              <w:rPr>
                <w:rFonts w:hint="eastAsia" w:ascii="仿宋" w:hAnsi="仿宋" w:eastAsia="仿宋" w:cs="仿宋"/>
                <w:color w:val="auto"/>
                <w:highlight w:val="none"/>
              </w:rPr>
              <w:t>以上所有子项的总和</w:t>
            </w:r>
          </w:p>
        </w:tc>
      </w:tr>
    </w:tbl>
    <w:p w14:paraId="294EAE30">
      <w:pPr>
        <w:pStyle w:val="2"/>
        <w:rPr>
          <w:rFonts w:hint="eastAsia" w:ascii="仿宋" w:hAnsi="仿宋" w:eastAsia="仿宋" w:cs="仿宋"/>
          <w:color w:val="auto"/>
          <w:szCs w:val="21"/>
          <w:highlight w:val="none"/>
          <w:lang w:eastAsia="zh-CN"/>
        </w:rPr>
      </w:pPr>
    </w:p>
    <w:p w14:paraId="337A9D86">
      <w:pPr>
        <w:spacing w:line="360" w:lineRule="auto"/>
        <w:rPr>
          <w:rFonts w:hint="eastAsia" w:ascii="仿宋" w:hAnsi="仿宋" w:eastAsia="仿宋" w:cs="仿宋"/>
          <w:color w:val="auto"/>
          <w:highlight w:val="none"/>
          <w:lang w:eastAsia="zh-CN"/>
        </w:rPr>
      </w:pPr>
    </w:p>
    <w:p w14:paraId="2C2BA769">
      <w:pPr>
        <w:spacing w:line="360" w:lineRule="auto"/>
        <w:rPr>
          <w:rFonts w:hint="eastAsia" w:ascii="仿宋" w:hAnsi="仿宋" w:eastAsia="仿宋" w:cs="仿宋"/>
          <w:color w:val="auto"/>
          <w:highlight w:val="none"/>
          <w:lang w:eastAsia="zh-CN"/>
        </w:rPr>
      </w:pPr>
    </w:p>
    <w:p w14:paraId="69663D7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注：1. 投标人根据实际情况可在表中报价明细的基础上进行扩展。形式不限，内容自拟。</w:t>
      </w:r>
    </w:p>
    <w:p w14:paraId="5F04795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2、上表所述“报价”应与“开标一览表”中的报价一致，如有矛盾，以“开标一览表”中的为准。</w:t>
      </w:r>
    </w:p>
    <w:p w14:paraId="00E5990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投标总价不为零，报价明细表中部分产品、服务单价为零的，视作已包含在总价中。采购人将以合同形式有偿取得货物或服务，不接受投标人给予的赠品、回扣或者与采购无关的其他商品、服务；采购内容未包含在《投标报价明细表》名称栏中，投标人不能作出合理解释的，视为投标文件含有采购人不能接受的附加条件的，投标无效。</w:t>
      </w:r>
    </w:p>
    <w:p w14:paraId="4B9AD0FD">
      <w:pPr>
        <w:adjustRightInd w:val="0"/>
        <w:spacing w:line="360" w:lineRule="auto"/>
        <w:ind w:firstLine="4515" w:firstLineChars="2150"/>
        <w:rPr>
          <w:rFonts w:hint="eastAsia" w:ascii="仿宋" w:hAnsi="仿宋" w:eastAsia="仿宋" w:cs="仿宋"/>
          <w:color w:val="auto"/>
          <w:szCs w:val="21"/>
          <w:highlight w:val="none"/>
        </w:rPr>
      </w:pPr>
    </w:p>
    <w:p w14:paraId="7617CB8F">
      <w:pPr>
        <w:keepNext w:val="0"/>
        <w:keepLines w:val="0"/>
        <w:pageBreakBefore w:val="0"/>
        <w:kinsoku/>
        <w:wordWrap/>
        <w:overflowPunct/>
        <w:topLinePunct w:val="0"/>
        <w:bidi w:val="0"/>
        <w:snapToGrid w:val="0"/>
        <w:spacing w:line="360" w:lineRule="auto"/>
        <w:ind w:firstLine="576"/>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投标人名称(电子签名)：                              </w:t>
      </w:r>
    </w:p>
    <w:p w14:paraId="6113DB89">
      <w:pPr>
        <w:adjustRightInd w:val="0"/>
        <w:ind w:firstLine="720" w:firstLineChars="300"/>
        <w:rPr>
          <w:rFonts w:hint="eastAsia" w:ascii="仿宋" w:hAnsi="仿宋" w:eastAsia="仿宋" w:cs="仿宋"/>
          <w:color w:val="auto"/>
          <w:szCs w:val="21"/>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2BB27204">
      <w:pPr>
        <w:pStyle w:val="176"/>
        <w:keepNext w:val="0"/>
        <w:pageBreakBefore w:val="0"/>
        <w:tabs>
          <w:tab w:val="clear" w:pos="720"/>
        </w:tabs>
        <w:snapToGrid w:val="0"/>
        <w:spacing w:before="120" w:after="120"/>
        <w:ind w:firstLine="643"/>
        <w:outlineLvl w:val="9"/>
        <w:rPr>
          <w:rFonts w:hint="eastAsia" w:ascii="仿宋" w:hAnsi="仿宋" w:eastAsia="仿宋" w:cs="仿宋"/>
          <w:color w:val="auto"/>
          <w:highlight w:val="none"/>
        </w:rPr>
        <w:sectPr>
          <w:pgSz w:w="11906" w:h="16838"/>
          <w:pgMar w:top="1247" w:right="1418" w:bottom="1276" w:left="1418" w:header="851" w:footer="992" w:gutter="0"/>
          <w:cols w:space="720" w:num="1"/>
          <w:titlePg/>
          <w:docGrid w:linePitch="312" w:charSpace="0"/>
        </w:sectPr>
      </w:pPr>
    </w:p>
    <w:p w14:paraId="0E511FA8">
      <w:pPr>
        <w:rPr>
          <w:rFonts w:hint="eastAsia" w:ascii="仿宋" w:hAnsi="仿宋" w:eastAsia="仿宋" w:cs="仿宋"/>
          <w:color w:val="auto"/>
          <w:highlight w:val="none"/>
        </w:rPr>
      </w:pPr>
    </w:p>
    <w:p w14:paraId="48442922">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0DEC2F7">
      <w:pPr>
        <w:spacing w:line="360" w:lineRule="auto"/>
        <w:jc w:val="center"/>
        <w:rPr>
          <w:rFonts w:hint="eastAsia" w:ascii="仿宋" w:hAnsi="仿宋" w:eastAsia="仿宋" w:cs="仿宋"/>
          <w:b/>
          <w:color w:val="auto"/>
          <w:spacing w:val="6"/>
          <w:sz w:val="32"/>
          <w:szCs w:val="32"/>
          <w:highlight w:val="none"/>
        </w:rPr>
      </w:pPr>
      <w:bookmarkStart w:id="169" w:name="OLE_LINK13"/>
      <w:bookmarkStart w:id="170" w:name="OLE_LINK14"/>
      <w:r>
        <w:rPr>
          <w:rFonts w:hint="eastAsia" w:ascii="仿宋" w:hAnsi="仿宋" w:eastAsia="仿宋" w:cs="仿宋"/>
          <w:b/>
          <w:color w:val="auto"/>
          <w:spacing w:val="6"/>
          <w:sz w:val="32"/>
          <w:szCs w:val="32"/>
          <w:highlight w:val="none"/>
        </w:rPr>
        <w:t>残疾人福利性单位声明函</w:t>
      </w:r>
    </w:p>
    <w:bookmarkEnd w:id="169"/>
    <w:bookmarkEnd w:id="170"/>
    <w:p w14:paraId="7DD68C3E">
      <w:pPr>
        <w:spacing w:line="360" w:lineRule="auto"/>
        <w:rPr>
          <w:rFonts w:hint="eastAsia" w:ascii="仿宋" w:hAnsi="仿宋" w:eastAsia="仿宋" w:cs="仿宋"/>
          <w:b/>
          <w:color w:val="auto"/>
          <w:spacing w:val="6"/>
          <w:sz w:val="30"/>
          <w:szCs w:val="30"/>
          <w:highlight w:val="none"/>
        </w:rPr>
      </w:pPr>
    </w:p>
    <w:p w14:paraId="0C4162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D880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B24F52E">
      <w:pPr>
        <w:spacing w:line="360" w:lineRule="auto"/>
        <w:ind w:firstLine="480" w:firstLineChars="200"/>
        <w:rPr>
          <w:rFonts w:hint="eastAsia" w:ascii="仿宋" w:hAnsi="仿宋" w:eastAsia="仿宋" w:cs="仿宋"/>
          <w:color w:val="auto"/>
          <w:sz w:val="24"/>
          <w:highlight w:val="none"/>
        </w:rPr>
      </w:pPr>
    </w:p>
    <w:p w14:paraId="3EB278FA">
      <w:pPr>
        <w:spacing w:line="360" w:lineRule="auto"/>
        <w:ind w:firstLine="480" w:firstLineChars="200"/>
        <w:rPr>
          <w:rFonts w:hint="eastAsia" w:ascii="仿宋" w:hAnsi="仿宋" w:eastAsia="仿宋" w:cs="仿宋"/>
          <w:color w:val="auto"/>
          <w:sz w:val="24"/>
          <w:highlight w:val="none"/>
        </w:rPr>
      </w:pPr>
    </w:p>
    <w:p w14:paraId="712B861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1647C8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C04DE37">
      <w:pPr>
        <w:spacing w:line="360" w:lineRule="auto"/>
        <w:ind w:firstLine="480" w:firstLineChars="200"/>
        <w:rPr>
          <w:rFonts w:hint="eastAsia" w:ascii="仿宋" w:hAnsi="仿宋" w:eastAsia="仿宋" w:cs="仿宋"/>
          <w:color w:val="auto"/>
          <w:sz w:val="24"/>
          <w:highlight w:val="none"/>
        </w:rPr>
      </w:pPr>
    </w:p>
    <w:p w14:paraId="3DE1B7E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6A207F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D2E073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1B9BC70">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D17CF9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1859B36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1B07FF8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775BDB4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276E808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0EDBA4A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39D9AFD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4879AB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64A676F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1A6BC18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6CE458C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7285CEA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1D13B3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2E5592B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66308EB1">
      <w:pPr>
        <w:snapToGrid w:val="0"/>
        <w:spacing w:line="360" w:lineRule="auto"/>
        <w:rPr>
          <w:rFonts w:hint="eastAsia" w:ascii="仿宋" w:hAnsi="仿宋" w:eastAsia="仿宋" w:cs="仿宋"/>
          <w:color w:val="auto"/>
          <w:sz w:val="24"/>
          <w:highlight w:val="none"/>
        </w:rPr>
      </w:pPr>
    </w:p>
    <w:p w14:paraId="2C19EA1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3120B592">
      <w:pPr>
        <w:snapToGrid w:val="0"/>
        <w:spacing w:line="360" w:lineRule="auto"/>
        <w:rPr>
          <w:rFonts w:hint="eastAsia" w:ascii="仿宋" w:hAnsi="仿宋" w:eastAsia="仿宋" w:cs="仿宋"/>
          <w:color w:val="auto"/>
          <w:sz w:val="24"/>
          <w:highlight w:val="none"/>
          <w:u w:val="dotted"/>
        </w:rPr>
      </w:pPr>
    </w:p>
    <w:p w14:paraId="11A5B22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12455A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C22FEC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3F1D0C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568AE0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AF368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9AEC1DB">
      <w:pPr>
        <w:spacing w:line="360" w:lineRule="auto"/>
        <w:jc w:val="center"/>
        <w:rPr>
          <w:rFonts w:hint="eastAsia" w:ascii="仿宋" w:hAnsi="仿宋" w:eastAsia="仿宋" w:cs="仿宋"/>
          <w:b/>
          <w:bCs/>
          <w:color w:val="auto"/>
          <w:sz w:val="24"/>
          <w:highlight w:val="none"/>
        </w:rPr>
      </w:pPr>
    </w:p>
    <w:p w14:paraId="4BC9A2E4">
      <w:pPr>
        <w:spacing w:line="360" w:lineRule="auto"/>
        <w:rPr>
          <w:rFonts w:hint="eastAsia" w:ascii="仿宋" w:hAnsi="仿宋" w:eastAsia="仿宋" w:cs="仿宋"/>
          <w:b/>
          <w:color w:val="auto"/>
          <w:sz w:val="24"/>
          <w:highlight w:val="none"/>
        </w:rPr>
      </w:pPr>
    </w:p>
    <w:p w14:paraId="178FD236">
      <w:pPr>
        <w:spacing w:line="360" w:lineRule="auto"/>
        <w:rPr>
          <w:rFonts w:hint="eastAsia" w:ascii="仿宋" w:hAnsi="仿宋" w:eastAsia="仿宋" w:cs="仿宋"/>
          <w:b/>
          <w:color w:val="auto"/>
          <w:sz w:val="24"/>
          <w:highlight w:val="none"/>
        </w:rPr>
      </w:pPr>
    </w:p>
    <w:p w14:paraId="686DD119">
      <w:pPr>
        <w:spacing w:line="360" w:lineRule="auto"/>
        <w:rPr>
          <w:rFonts w:hint="eastAsia" w:ascii="仿宋" w:hAnsi="仿宋" w:eastAsia="仿宋" w:cs="仿宋"/>
          <w:b/>
          <w:color w:val="auto"/>
          <w:sz w:val="24"/>
          <w:highlight w:val="none"/>
        </w:rPr>
      </w:pPr>
    </w:p>
    <w:p w14:paraId="56F9EF6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395204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D8C2B4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B6669E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0B7991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86A1DA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FA3A7C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564103B">
      <w:pPr>
        <w:widowControl/>
        <w:spacing w:line="360" w:lineRule="auto"/>
        <w:ind w:firstLine="600" w:firstLineChars="200"/>
        <w:jc w:val="left"/>
        <w:rPr>
          <w:rFonts w:hint="eastAsia" w:ascii="仿宋" w:hAnsi="仿宋" w:eastAsia="仿宋" w:cs="仿宋"/>
          <w:color w:val="auto"/>
          <w:sz w:val="30"/>
          <w:szCs w:val="30"/>
          <w:highlight w:val="none"/>
        </w:rPr>
      </w:pPr>
    </w:p>
    <w:p w14:paraId="20CF85CC">
      <w:pPr>
        <w:spacing w:line="360" w:lineRule="auto"/>
        <w:jc w:val="center"/>
        <w:rPr>
          <w:rFonts w:hint="eastAsia" w:ascii="仿宋" w:hAnsi="仿宋" w:eastAsia="仿宋" w:cs="仿宋"/>
          <w:b/>
          <w:color w:val="auto"/>
          <w:spacing w:val="6"/>
          <w:sz w:val="32"/>
          <w:szCs w:val="32"/>
          <w:highlight w:val="none"/>
        </w:rPr>
      </w:pPr>
    </w:p>
    <w:p w14:paraId="19C3A375">
      <w:pPr>
        <w:spacing w:line="360" w:lineRule="auto"/>
        <w:jc w:val="center"/>
        <w:rPr>
          <w:rFonts w:hint="eastAsia" w:ascii="仿宋" w:hAnsi="仿宋" w:eastAsia="仿宋" w:cs="仿宋"/>
          <w:b/>
          <w:color w:val="auto"/>
          <w:spacing w:val="6"/>
          <w:sz w:val="32"/>
          <w:szCs w:val="32"/>
          <w:highlight w:val="none"/>
        </w:rPr>
      </w:pPr>
    </w:p>
    <w:p w14:paraId="1AD79406">
      <w:pPr>
        <w:spacing w:line="360" w:lineRule="auto"/>
        <w:jc w:val="center"/>
        <w:rPr>
          <w:rFonts w:hint="eastAsia" w:ascii="仿宋" w:hAnsi="仿宋" w:eastAsia="仿宋" w:cs="仿宋"/>
          <w:b/>
          <w:color w:val="auto"/>
          <w:spacing w:val="6"/>
          <w:sz w:val="32"/>
          <w:szCs w:val="32"/>
          <w:highlight w:val="none"/>
        </w:rPr>
      </w:pPr>
    </w:p>
    <w:p w14:paraId="7F2629ED">
      <w:pPr>
        <w:spacing w:line="360" w:lineRule="auto"/>
        <w:jc w:val="center"/>
        <w:rPr>
          <w:rFonts w:hint="eastAsia" w:ascii="仿宋" w:hAnsi="仿宋" w:eastAsia="仿宋" w:cs="仿宋"/>
          <w:b/>
          <w:color w:val="auto"/>
          <w:spacing w:val="6"/>
          <w:sz w:val="32"/>
          <w:szCs w:val="32"/>
          <w:highlight w:val="none"/>
        </w:rPr>
      </w:pPr>
    </w:p>
    <w:p w14:paraId="59435C1B">
      <w:pPr>
        <w:spacing w:line="360" w:lineRule="auto"/>
        <w:jc w:val="center"/>
        <w:rPr>
          <w:rFonts w:hint="eastAsia" w:ascii="仿宋" w:hAnsi="仿宋" w:eastAsia="仿宋" w:cs="仿宋"/>
          <w:b/>
          <w:color w:val="auto"/>
          <w:spacing w:val="6"/>
          <w:sz w:val="32"/>
          <w:szCs w:val="32"/>
          <w:highlight w:val="none"/>
        </w:rPr>
      </w:pPr>
    </w:p>
    <w:p w14:paraId="07EC4B3C">
      <w:pPr>
        <w:spacing w:line="360" w:lineRule="auto"/>
        <w:jc w:val="center"/>
        <w:rPr>
          <w:rFonts w:hint="eastAsia" w:ascii="仿宋" w:hAnsi="仿宋" w:eastAsia="仿宋" w:cs="仿宋"/>
          <w:b/>
          <w:color w:val="auto"/>
          <w:spacing w:val="6"/>
          <w:sz w:val="32"/>
          <w:szCs w:val="32"/>
          <w:highlight w:val="none"/>
        </w:rPr>
      </w:pPr>
    </w:p>
    <w:p w14:paraId="635FBEAC">
      <w:pPr>
        <w:spacing w:line="360" w:lineRule="auto"/>
        <w:jc w:val="center"/>
        <w:rPr>
          <w:rFonts w:hint="eastAsia" w:ascii="仿宋" w:hAnsi="仿宋" w:eastAsia="仿宋" w:cs="仿宋"/>
          <w:b/>
          <w:color w:val="auto"/>
          <w:spacing w:val="6"/>
          <w:sz w:val="32"/>
          <w:szCs w:val="32"/>
          <w:highlight w:val="none"/>
        </w:rPr>
      </w:pPr>
    </w:p>
    <w:p w14:paraId="750ACCF9">
      <w:pPr>
        <w:spacing w:line="360" w:lineRule="auto"/>
        <w:jc w:val="center"/>
        <w:rPr>
          <w:rFonts w:hint="eastAsia" w:ascii="仿宋" w:hAnsi="仿宋" w:eastAsia="仿宋" w:cs="仿宋"/>
          <w:b/>
          <w:color w:val="auto"/>
          <w:spacing w:val="6"/>
          <w:sz w:val="32"/>
          <w:szCs w:val="32"/>
          <w:highlight w:val="none"/>
        </w:rPr>
      </w:pPr>
    </w:p>
    <w:p w14:paraId="1AEAE2EA">
      <w:pPr>
        <w:spacing w:line="360" w:lineRule="auto"/>
        <w:jc w:val="center"/>
        <w:rPr>
          <w:rFonts w:hint="eastAsia" w:ascii="仿宋" w:hAnsi="仿宋" w:eastAsia="仿宋" w:cs="仿宋"/>
          <w:b/>
          <w:color w:val="auto"/>
          <w:spacing w:val="6"/>
          <w:sz w:val="32"/>
          <w:szCs w:val="32"/>
          <w:highlight w:val="none"/>
        </w:rPr>
      </w:pPr>
    </w:p>
    <w:p w14:paraId="5FBCD437">
      <w:pPr>
        <w:spacing w:line="360" w:lineRule="auto"/>
        <w:jc w:val="center"/>
        <w:rPr>
          <w:rFonts w:hint="eastAsia" w:ascii="仿宋" w:hAnsi="仿宋" w:eastAsia="仿宋" w:cs="仿宋"/>
          <w:b/>
          <w:color w:val="auto"/>
          <w:spacing w:val="6"/>
          <w:sz w:val="32"/>
          <w:szCs w:val="32"/>
          <w:highlight w:val="none"/>
        </w:rPr>
      </w:pPr>
    </w:p>
    <w:p w14:paraId="23CCEBCE">
      <w:pPr>
        <w:spacing w:line="360" w:lineRule="auto"/>
        <w:jc w:val="center"/>
        <w:rPr>
          <w:rFonts w:hint="eastAsia" w:ascii="仿宋" w:hAnsi="仿宋" w:eastAsia="仿宋" w:cs="仿宋"/>
          <w:b/>
          <w:color w:val="auto"/>
          <w:spacing w:val="6"/>
          <w:sz w:val="32"/>
          <w:szCs w:val="32"/>
          <w:highlight w:val="none"/>
        </w:rPr>
      </w:pPr>
    </w:p>
    <w:p w14:paraId="4AA398C7">
      <w:pPr>
        <w:spacing w:line="360" w:lineRule="auto"/>
        <w:jc w:val="center"/>
        <w:rPr>
          <w:rFonts w:hint="eastAsia" w:ascii="仿宋" w:hAnsi="仿宋" w:eastAsia="仿宋" w:cs="仿宋"/>
          <w:b/>
          <w:color w:val="auto"/>
          <w:spacing w:val="6"/>
          <w:sz w:val="32"/>
          <w:szCs w:val="32"/>
          <w:highlight w:val="none"/>
        </w:rPr>
      </w:pPr>
    </w:p>
    <w:p w14:paraId="57E7C47C">
      <w:pPr>
        <w:spacing w:line="360" w:lineRule="auto"/>
        <w:jc w:val="left"/>
        <w:rPr>
          <w:rFonts w:hint="eastAsia" w:ascii="仿宋" w:hAnsi="仿宋" w:eastAsia="仿宋" w:cs="仿宋"/>
          <w:b/>
          <w:color w:val="auto"/>
          <w:spacing w:val="6"/>
          <w:sz w:val="32"/>
          <w:szCs w:val="32"/>
          <w:highlight w:val="none"/>
        </w:rPr>
      </w:pPr>
    </w:p>
    <w:p w14:paraId="1F1556C6">
      <w:pPr>
        <w:spacing w:line="360" w:lineRule="auto"/>
        <w:jc w:val="left"/>
        <w:rPr>
          <w:rFonts w:hint="eastAsia" w:ascii="仿宋" w:hAnsi="仿宋" w:eastAsia="仿宋" w:cs="仿宋"/>
          <w:b/>
          <w:color w:val="auto"/>
          <w:spacing w:val="6"/>
          <w:sz w:val="32"/>
          <w:szCs w:val="32"/>
          <w:highlight w:val="none"/>
        </w:rPr>
      </w:pPr>
    </w:p>
    <w:p w14:paraId="7889E146">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E794048">
      <w:pPr>
        <w:spacing w:line="360" w:lineRule="auto"/>
        <w:jc w:val="center"/>
        <w:rPr>
          <w:rFonts w:hint="eastAsia" w:ascii="仿宋" w:hAnsi="仿宋" w:eastAsia="仿宋" w:cs="仿宋"/>
          <w:b/>
          <w:color w:val="auto"/>
          <w:sz w:val="24"/>
          <w:highlight w:val="none"/>
        </w:rPr>
      </w:pPr>
    </w:p>
    <w:p w14:paraId="5750361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CB4948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B89D96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64E294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781AB08A">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6360E04A">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4A92734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2DD0F5F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29F7864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720508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1551130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401FBD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44E797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35127C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44A3FC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582E4DE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2C2F6E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22FF25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79085D8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4D8C5C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7325857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1424EC7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10C0840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0E17A4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99B636D">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提出质疑，质疑事项为：</w:t>
      </w:r>
    </w:p>
    <w:p w14:paraId="0A0531E3">
      <w:pPr>
        <w:spacing w:line="360" w:lineRule="auto"/>
        <w:rPr>
          <w:rFonts w:hint="eastAsia" w:ascii="仿宋" w:hAnsi="仿宋" w:eastAsia="仿宋" w:cs="仿宋"/>
          <w:color w:val="auto"/>
          <w:sz w:val="24"/>
          <w:highlight w:val="none"/>
          <w:u w:val="dotted"/>
        </w:rPr>
      </w:pPr>
    </w:p>
    <w:p w14:paraId="2B43200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298E1E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2ABB31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385840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7D87E5FD">
      <w:pPr>
        <w:spacing w:line="360" w:lineRule="auto"/>
        <w:rPr>
          <w:rFonts w:hint="eastAsia" w:ascii="仿宋" w:hAnsi="仿宋" w:eastAsia="仿宋" w:cs="仿宋"/>
          <w:color w:val="auto"/>
          <w:sz w:val="24"/>
          <w:highlight w:val="none"/>
          <w:u w:val="dotted"/>
        </w:rPr>
      </w:pPr>
    </w:p>
    <w:p w14:paraId="599CBEF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4F7C99E9">
      <w:pPr>
        <w:spacing w:line="360" w:lineRule="auto"/>
        <w:rPr>
          <w:rFonts w:hint="eastAsia" w:ascii="仿宋" w:hAnsi="仿宋" w:eastAsia="仿宋" w:cs="仿宋"/>
          <w:color w:val="auto"/>
          <w:sz w:val="24"/>
          <w:highlight w:val="none"/>
          <w:u w:val="dotted"/>
        </w:rPr>
      </w:pPr>
    </w:p>
    <w:p w14:paraId="18A0BF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E1D25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0BCC1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3C087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44F103DD">
      <w:pPr>
        <w:spacing w:line="360" w:lineRule="auto"/>
        <w:rPr>
          <w:rFonts w:hint="eastAsia" w:ascii="仿宋" w:hAnsi="仿宋" w:eastAsia="仿宋" w:cs="仿宋"/>
          <w:color w:val="auto"/>
          <w:sz w:val="24"/>
          <w:highlight w:val="none"/>
          <w:u w:val="single"/>
        </w:rPr>
      </w:pPr>
    </w:p>
    <w:p w14:paraId="52B384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E86A2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C9802C5">
      <w:pPr>
        <w:spacing w:line="360" w:lineRule="auto"/>
        <w:rPr>
          <w:rFonts w:hint="eastAsia" w:ascii="仿宋" w:hAnsi="仿宋" w:eastAsia="仿宋" w:cs="仿宋"/>
          <w:b/>
          <w:color w:val="auto"/>
          <w:sz w:val="24"/>
          <w:highlight w:val="none"/>
        </w:rPr>
      </w:pPr>
    </w:p>
    <w:p w14:paraId="4CD8F651">
      <w:pPr>
        <w:spacing w:line="360" w:lineRule="auto"/>
        <w:rPr>
          <w:rFonts w:hint="eastAsia" w:ascii="仿宋" w:hAnsi="仿宋" w:eastAsia="仿宋" w:cs="仿宋"/>
          <w:b/>
          <w:color w:val="auto"/>
          <w:sz w:val="24"/>
          <w:highlight w:val="none"/>
        </w:rPr>
      </w:pPr>
    </w:p>
    <w:p w14:paraId="7E439FF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93C8EFF">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57FAC7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2A38B0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6F4077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EE99DD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5607CA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02F0E3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AC0150D">
      <w:pPr>
        <w:spacing w:line="360" w:lineRule="auto"/>
        <w:rPr>
          <w:rFonts w:hint="eastAsia" w:ascii="仿宋" w:hAnsi="仿宋" w:eastAsia="仿宋" w:cs="仿宋"/>
          <w:b/>
          <w:color w:val="auto"/>
          <w:sz w:val="24"/>
          <w:highlight w:val="none"/>
        </w:rPr>
      </w:pPr>
    </w:p>
    <w:p w14:paraId="6690E7A4">
      <w:pPr>
        <w:autoSpaceDE w:val="0"/>
        <w:autoSpaceDN w:val="0"/>
        <w:jc w:val="center"/>
        <w:rPr>
          <w:rFonts w:hint="eastAsia" w:ascii="仿宋" w:hAnsi="仿宋" w:eastAsia="仿宋" w:cs="仿宋"/>
          <w:b/>
          <w:color w:val="auto"/>
          <w:spacing w:val="6"/>
          <w:sz w:val="32"/>
          <w:szCs w:val="32"/>
          <w:highlight w:val="none"/>
        </w:rPr>
      </w:pPr>
    </w:p>
    <w:p w14:paraId="7755D765">
      <w:pPr>
        <w:autoSpaceDE w:val="0"/>
        <w:autoSpaceDN w:val="0"/>
        <w:jc w:val="center"/>
        <w:rPr>
          <w:rFonts w:hint="eastAsia" w:ascii="仿宋" w:hAnsi="仿宋" w:eastAsia="仿宋" w:cs="仿宋"/>
          <w:b/>
          <w:color w:val="auto"/>
          <w:spacing w:val="6"/>
          <w:sz w:val="32"/>
          <w:szCs w:val="32"/>
          <w:highlight w:val="none"/>
        </w:rPr>
      </w:pPr>
    </w:p>
    <w:p w14:paraId="47A1B54E">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EE030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62A2D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B9362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9F340BB">
      <w:pPr>
        <w:spacing w:line="360" w:lineRule="auto"/>
        <w:ind w:firstLine="494"/>
        <w:rPr>
          <w:rFonts w:hint="eastAsia" w:ascii="仿宋" w:hAnsi="仿宋" w:eastAsia="仿宋" w:cs="仿宋"/>
          <w:color w:val="auto"/>
          <w:sz w:val="24"/>
          <w:highlight w:val="none"/>
        </w:rPr>
      </w:pPr>
    </w:p>
    <w:p w14:paraId="3DCF04A6">
      <w:pPr>
        <w:spacing w:line="360" w:lineRule="auto"/>
        <w:ind w:firstLine="494"/>
        <w:rPr>
          <w:rFonts w:hint="eastAsia" w:ascii="仿宋" w:hAnsi="仿宋" w:eastAsia="仿宋" w:cs="仿宋"/>
          <w:color w:val="auto"/>
          <w:sz w:val="24"/>
          <w:highlight w:val="none"/>
        </w:rPr>
      </w:pPr>
    </w:p>
    <w:p w14:paraId="092409C1">
      <w:pPr>
        <w:spacing w:line="360" w:lineRule="auto"/>
        <w:ind w:firstLine="494"/>
        <w:rPr>
          <w:rFonts w:hint="eastAsia" w:ascii="仿宋" w:hAnsi="仿宋" w:eastAsia="仿宋" w:cs="仿宋"/>
          <w:color w:val="auto"/>
          <w:sz w:val="24"/>
          <w:highlight w:val="none"/>
        </w:rPr>
      </w:pPr>
    </w:p>
    <w:p w14:paraId="01DE3451">
      <w:pPr>
        <w:spacing w:line="360" w:lineRule="auto"/>
        <w:ind w:firstLine="494"/>
        <w:rPr>
          <w:rFonts w:hint="eastAsia" w:ascii="仿宋" w:hAnsi="仿宋" w:eastAsia="仿宋" w:cs="仿宋"/>
          <w:color w:val="auto"/>
          <w:sz w:val="24"/>
          <w:highlight w:val="none"/>
        </w:rPr>
      </w:pPr>
    </w:p>
    <w:p w14:paraId="4A4B7479">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D6EDCF6">
      <w:pPr>
        <w:ind w:right="1440" w:firstLine="494"/>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日期：       年     月     </w:t>
      </w:r>
      <w:r>
        <w:rPr>
          <w:rFonts w:hint="eastAsia" w:ascii="仿宋" w:hAnsi="仿宋" w:eastAsia="仿宋" w:cs="仿宋"/>
          <w:color w:val="auto"/>
          <w:sz w:val="24"/>
          <w:highlight w:val="none"/>
          <w:lang w:val="en-US" w:eastAsia="zh-CN"/>
        </w:rPr>
        <w:t>日</w:t>
      </w:r>
    </w:p>
    <w:p w14:paraId="1AB1AF78">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AECBD25">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BCE9200">
      <w:pPr>
        <w:autoSpaceDE w:val="0"/>
        <w:autoSpaceDN w:val="0"/>
        <w:jc w:val="center"/>
        <w:rPr>
          <w:rFonts w:hint="eastAsia" w:ascii="仿宋" w:hAnsi="仿宋" w:eastAsia="仿宋" w:cs="仿宋"/>
          <w:b/>
          <w:color w:val="auto"/>
          <w:spacing w:val="6"/>
          <w:sz w:val="32"/>
          <w:szCs w:val="32"/>
          <w:highlight w:val="none"/>
        </w:rPr>
      </w:pPr>
    </w:p>
    <w:p w14:paraId="40C052F6">
      <w:pPr>
        <w:autoSpaceDE w:val="0"/>
        <w:autoSpaceDN w:val="0"/>
        <w:jc w:val="center"/>
        <w:rPr>
          <w:rFonts w:hint="eastAsia" w:ascii="仿宋" w:hAnsi="仿宋" w:eastAsia="仿宋" w:cs="仿宋"/>
          <w:b/>
          <w:color w:val="auto"/>
          <w:spacing w:val="6"/>
          <w:sz w:val="32"/>
          <w:szCs w:val="32"/>
          <w:highlight w:val="none"/>
        </w:rPr>
      </w:pPr>
    </w:p>
    <w:p w14:paraId="02754C55">
      <w:pPr>
        <w:autoSpaceDE w:val="0"/>
        <w:autoSpaceDN w:val="0"/>
        <w:jc w:val="center"/>
        <w:rPr>
          <w:rFonts w:hint="eastAsia" w:ascii="仿宋" w:hAnsi="仿宋" w:eastAsia="仿宋" w:cs="仿宋"/>
          <w:b/>
          <w:color w:val="auto"/>
          <w:spacing w:val="6"/>
          <w:sz w:val="32"/>
          <w:szCs w:val="32"/>
          <w:highlight w:val="none"/>
        </w:rPr>
      </w:pPr>
    </w:p>
    <w:p w14:paraId="53C95602">
      <w:pPr>
        <w:autoSpaceDE w:val="0"/>
        <w:autoSpaceDN w:val="0"/>
        <w:jc w:val="center"/>
        <w:rPr>
          <w:rFonts w:hint="eastAsia" w:ascii="仿宋" w:hAnsi="仿宋" w:eastAsia="仿宋" w:cs="仿宋"/>
          <w:b/>
          <w:color w:val="auto"/>
          <w:spacing w:val="6"/>
          <w:sz w:val="32"/>
          <w:szCs w:val="32"/>
          <w:highlight w:val="none"/>
        </w:rPr>
      </w:pPr>
    </w:p>
    <w:p w14:paraId="1FAFB5A0">
      <w:pPr>
        <w:autoSpaceDE w:val="0"/>
        <w:autoSpaceDN w:val="0"/>
        <w:jc w:val="center"/>
        <w:rPr>
          <w:rFonts w:hint="eastAsia" w:ascii="仿宋" w:hAnsi="仿宋" w:eastAsia="仿宋" w:cs="仿宋"/>
          <w:b/>
          <w:color w:val="auto"/>
          <w:spacing w:val="6"/>
          <w:sz w:val="32"/>
          <w:szCs w:val="32"/>
          <w:highlight w:val="none"/>
        </w:rPr>
      </w:pPr>
    </w:p>
    <w:p w14:paraId="4328C224">
      <w:pPr>
        <w:autoSpaceDE w:val="0"/>
        <w:autoSpaceDN w:val="0"/>
        <w:jc w:val="center"/>
        <w:rPr>
          <w:rFonts w:hint="eastAsia" w:ascii="仿宋" w:hAnsi="仿宋" w:eastAsia="仿宋" w:cs="仿宋"/>
          <w:b/>
          <w:color w:val="auto"/>
          <w:spacing w:val="6"/>
          <w:sz w:val="32"/>
          <w:szCs w:val="32"/>
          <w:highlight w:val="none"/>
        </w:rPr>
      </w:pPr>
    </w:p>
    <w:p w14:paraId="4CD51FC6">
      <w:pPr>
        <w:autoSpaceDE w:val="0"/>
        <w:autoSpaceDN w:val="0"/>
        <w:jc w:val="center"/>
        <w:rPr>
          <w:rFonts w:hint="eastAsia" w:ascii="仿宋" w:hAnsi="仿宋" w:eastAsia="仿宋" w:cs="仿宋"/>
          <w:b/>
          <w:color w:val="auto"/>
          <w:spacing w:val="6"/>
          <w:sz w:val="32"/>
          <w:szCs w:val="32"/>
          <w:highlight w:val="none"/>
        </w:rPr>
      </w:pPr>
    </w:p>
    <w:p w14:paraId="2A0E9B3C">
      <w:pPr>
        <w:autoSpaceDE w:val="0"/>
        <w:autoSpaceDN w:val="0"/>
        <w:jc w:val="center"/>
        <w:rPr>
          <w:rFonts w:hint="eastAsia" w:ascii="仿宋" w:hAnsi="仿宋" w:eastAsia="仿宋" w:cs="仿宋"/>
          <w:b/>
          <w:color w:val="auto"/>
          <w:spacing w:val="6"/>
          <w:sz w:val="32"/>
          <w:szCs w:val="32"/>
          <w:highlight w:val="none"/>
        </w:rPr>
      </w:pPr>
    </w:p>
    <w:p w14:paraId="21E940BC">
      <w:pPr>
        <w:autoSpaceDE w:val="0"/>
        <w:autoSpaceDN w:val="0"/>
        <w:jc w:val="center"/>
        <w:rPr>
          <w:rFonts w:hint="eastAsia" w:ascii="仿宋" w:hAnsi="仿宋" w:eastAsia="仿宋" w:cs="仿宋"/>
          <w:b/>
          <w:color w:val="auto"/>
          <w:spacing w:val="6"/>
          <w:sz w:val="32"/>
          <w:szCs w:val="32"/>
          <w:highlight w:val="none"/>
        </w:rPr>
      </w:pPr>
    </w:p>
    <w:p w14:paraId="6D24B623">
      <w:pPr>
        <w:autoSpaceDE w:val="0"/>
        <w:autoSpaceDN w:val="0"/>
        <w:jc w:val="center"/>
        <w:rPr>
          <w:rFonts w:hint="eastAsia" w:ascii="仿宋" w:hAnsi="仿宋" w:eastAsia="仿宋" w:cs="仿宋"/>
          <w:b/>
          <w:color w:val="auto"/>
          <w:spacing w:val="6"/>
          <w:sz w:val="32"/>
          <w:szCs w:val="32"/>
          <w:highlight w:val="none"/>
        </w:rPr>
      </w:pPr>
    </w:p>
    <w:p w14:paraId="1552B948">
      <w:pPr>
        <w:autoSpaceDE w:val="0"/>
        <w:autoSpaceDN w:val="0"/>
        <w:jc w:val="center"/>
        <w:rPr>
          <w:rFonts w:hint="eastAsia" w:ascii="仿宋" w:hAnsi="仿宋" w:eastAsia="仿宋" w:cs="仿宋"/>
          <w:b/>
          <w:color w:val="auto"/>
          <w:spacing w:val="6"/>
          <w:sz w:val="32"/>
          <w:szCs w:val="32"/>
          <w:highlight w:val="none"/>
        </w:rPr>
      </w:pPr>
    </w:p>
    <w:p w14:paraId="06909AE8">
      <w:pPr>
        <w:autoSpaceDE w:val="0"/>
        <w:autoSpaceDN w:val="0"/>
        <w:jc w:val="center"/>
        <w:rPr>
          <w:rFonts w:hint="eastAsia" w:ascii="仿宋" w:hAnsi="仿宋" w:eastAsia="仿宋" w:cs="仿宋"/>
          <w:b/>
          <w:color w:val="auto"/>
          <w:spacing w:val="6"/>
          <w:sz w:val="32"/>
          <w:szCs w:val="32"/>
          <w:highlight w:val="none"/>
        </w:rPr>
      </w:pPr>
    </w:p>
    <w:p w14:paraId="00843FC3">
      <w:pPr>
        <w:autoSpaceDE w:val="0"/>
        <w:autoSpaceDN w:val="0"/>
        <w:jc w:val="center"/>
        <w:rPr>
          <w:rFonts w:hint="eastAsia" w:ascii="仿宋" w:hAnsi="仿宋" w:eastAsia="仿宋" w:cs="仿宋"/>
          <w:b/>
          <w:color w:val="auto"/>
          <w:spacing w:val="6"/>
          <w:sz w:val="32"/>
          <w:szCs w:val="32"/>
          <w:highlight w:val="none"/>
        </w:rPr>
      </w:pPr>
    </w:p>
    <w:p w14:paraId="37FA496B">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B28793B">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附件5：</w:t>
      </w:r>
      <w:r>
        <w:rPr>
          <w:rFonts w:hint="eastAsia" w:ascii="仿宋" w:hAnsi="仿宋" w:eastAsia="仿宋" w:cs="仿宋"/>
          <w:b/>
          <w:bCs/>
          <w:color w:val="auto"/>
          <w:sz w:val="32"/>
          <w:szCs w:val="32"/>
          <w:highlight w:val="none"/>
          <w:lang w:val="zh-CN"/>
        </w:rPr>
        <w:t>联合协议</w:t>
      </w:r>
    </w:p>
    <w:p w14:paraId="6FB5FF52">
      <w:pPr>
        <w:widowControl/>
        <w:spacing w:line="360" w:lineRule="auto"/>
        <w:ind w:firstLine="482" w:firstLineChars="200"/>
        <w:jc w:val="left"/>
        <w:rPr>
          <w:rFonts w:hint="eastAsia" w:ascii="仿宋" w:hAnsi="仿宋" w:eastAsia="仿宋" w:cs="仿宋"/>
          <w:b/>
          <w:color w:val="auto"/>
          <w:sz w:val="24"/>
          <w:highlight w:val="none"/>
        </w:rPr>
      </w:pPr>
    </w:p>
    <w:p w14:paraId="28D1E98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AAF643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F34B7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C4F63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7F6B80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F2C9F7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3496D2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FF56E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BC6F0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FDCE892">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71" w:name="_Hlk101131882"/>
      <w:r>
        <w:rPr>
          <w:rFonts w:hint="eastAsia" w:ascii="仿宋" w:hAnsi="仿宋" w:eastAsia="仿宋" w:cs="仿宋"/>
          <w:color w:val="auto"/>
          <w:kern w:val="0"/>
          <w:sz w:val="24"/>
          <w:highlight w:val="none"/>
          <w:u w:val="single"/>
        </w:rPr>
        <w:t>联合体成员X,……</w:t>
      </w:r>
      <w:bookmarkEnd w:id="17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7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72"/>
      <w:r>
        <w:rPr>
          <w:rFonts w:hint="eastAsia" w:ascii="仿宋" w:hAnsi="仿宋" w:eastAsia="仿宋" w:cs="仿宋"/>
          <w:b/>
          <w:color w:val="auto"/>
          <w:kern w:val="0"/>
          <w:sz w:val="24"/>
          <w:highlight w:val="none"/>
          <w:lang w:val="zh-CN"/>
        </w:rPr>
        <w:t>）</w:t>
      </w:r>
    </w:p>
    <w:p w14:paraId="671C8BF0">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7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73"/>
    </w:p>
    <w:p w14:paraId="5D1A97C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CADF8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12B1E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EE33AD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8C6478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B22E6D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D536FE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034352F">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09719A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E54A62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E672C15">
      <w:pPr>
        <w:autoSpaceDE w:val="0"/>
        <w:autoSpaceDN w:val="0"/>
        <w:jc w:val="center"/>
        <w:rPr>
          <w:rFonts w:hint="eastAsia" w:ascii="仿宋" w:hAnsi="仿宋" w:eastAsia="仿宋" w:cs="仿宋"/>
          <w:b/>
          <w:color w:val="auto"/>
          <w:spacing w:val="6"/>
          <w:sz w:val="32"/>
          <w:szCs w:val="32"/>
          <w:highlight w:val="none"/>
        </w:rPr>
      </w:pPr>
    </w:p>
    <w:p w14:paraId="16917317">
      <w:pPr>
        <w:autoSpaceDE w:val="0"/>
        <w:autoSpaceDN w:val="0"/>
        <w:jc w:val="center"/>
        <w:rPr>
          <w:rFonts w:hint="eastAsia" w:ascii="仿宋" w:hAnsi="仿宋" w:eastAsia="仿宋" w:cs="仿宋"/>
          <w:b/>
          <w:color w:val="auto"/>
          <w:spacing w:val="6"/>
          <w:sz w:val="32"/>
          <w:szCs w:val="32"/>
          <w:highlight w:val="none"/>
        </w:rPr>
      </w:pPr>
    </w:p>
    <w:p w14:paraId="14190C30">
      <w:pPr>
        <w:widowControl/>
        <w:adjustRightInd/>
        <w:jc w:val="left"/>
        <w:rPr>
          <w:rFonts w:hint="eastAsia" w:ascii="仿宋" w:hAnsi="仿宋" w:eastAsia="仿宋" w:cs="仿宋"/>
          <w:b/>
          <w:color w:val="auto"/>
          <w:spacing w:val="6"/>
          <w:sz w:val="32"/>
          <w:szCs w:val="32"/>
          <w:highlight w:val="none"/>
        </w:rPr>
      </w:pPr>
    </w:p>
    <w:p w14:paraId="666011FF">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69A61A0">
      <w:pPr>
        <w:snapToGrid w:val="0"/>
        <w:spacing w:line="360" w:lineRule="auto"/>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2505DA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2A0EA8A">
      <w:pPr>
        <w:pageBreakBefore w:val="0"/>
        <w:tabs>
          <w:tab w:val="left" w:pos="432"/>
        </w:tabs>
        <w:kinsoku/>
        <w:wordWrap/>
        <w:overflowPunct/>
        <w:topLinePunct w:val="0"/>
        <w:bidi w:val="0"/>
        <w:textAlignment w:val="auto"/>
        <w:outlineLvl w:val="9"/>
        <w:rPr>
          <w:rFonts w:hint="eastAsia" w:ascii="仿宋" w:hAnsi="仿宋" w:eastAsia="仿宋" w:cs="仿宋"/>
          <w:color w:val="auto"/>
          <w:highlight w:val="none"/>
        </w:rPr>
      </w:pPr>
    </w:p>
    <w:p w14:paraId="76E83E8C">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DB65B3F">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E8D1092">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49D4155">
      <w:pPr>
        <w:pageBreakBefore w:val="0"/>
        <w:tabs>
          <w:tab w:val="left" w:pos="432"/>
        </w:tabs>
        <w:kinsoku/>
        <w:wordWrap/>
        <w:overflowPunct/>
        <w:topLinePunct w:val="0"/>
        <w:bidi w:val="0"/>
        <w:ind w:left="664" w:leftChars="316" w:firstLine="228" w:firstLineChars="95"/>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59BDA45">
      <w:pPr>
        <w:pageBreakBefore w:val="0"/>
        <w:kinsoku/>
        <w:wordWrap/>
        <w:overflowPunct/>
        <w:topLinePunct w:val="0"/>
        <w:bidi w:val="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D5E4B45">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33370B6">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DBD2E8E">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B6A9B62">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482A6FE9">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F045DF9">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473E633">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BCDF2F6">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D1DA263">
      <w:pPr>
        <w:pageBreakBefore w:val="0"/>
        <w:kinsoku/>
        <w:wordWrap/>
        <w:overflowPunct/>
        <w:topLinePunct w:val="0"/>
        <w:bidi w:val="0"/>
        <w:snapToGrid w:val="0"/>
        <w:spacing w:line="360" w:lineRule="auto"/>
        <w:ind w:left="573" w:leftChars="273"/>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3913900">
      <w:pPr>
        <w:pageBreakBefore w:val="0"/>
        <w:kinsoku/>
        <w:wordWrap/>
        <w:overflowPunct/>
        <w:topLinePunct w:val="0"/>
        <w:bidi w:val="0"/>
        <w:snapToGrid w:val="0"/>
        <w:spacing w:line="360" w:lineRule="auto"/>
        <w:ind w:left="573" w:leftChars="273"/>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800B727">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1036E43">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E8C994F">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8B42EC8">
      <w:pPr>
        <w:pageBreakBefore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FF871A4">
      <w:pPr>
        <w:pageBreakBefore w:val="0"/>
        <w:kinsoku/>
        <w:wordWrap/>
        <w:overflowPunct/>
        <w:topLinePunct w:val="0"/>
        <w:bidi w:val="0"/>
        <w:snapToGrid w:val="0"/>
        <w:spacing w:line="360" w:lineRule="auto"/>
        <w:ind w:left="5758" w:leftChars="342" w:hanging="5040" w:hanging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348BE753">
      <w:pPr>
        <w:pageBreakBefore w:val="0"/>
        <w:kinsoku/>
        <w:wordWrap/>
        <w:overflowPunct/>
        <w:topLinePunct w:val="0"/>
        <w:bidi w:val="0"/>
        <w:snapToGrid w:val="0"/>
        <w:spacing w:line="360" w:lineRule="auto"/>
        <w:jc w:val="righ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A3B2279">
      <w:pPr>
        <w:pageBreakBefore w:val="0"/>
        <w:kinsoku/>
        <w:wordWrap/>
        <w:overflowPunct/>
        <w:topLinePunct w:val="0"/>
        <w:bidi w:val="0"/>
        <w:snapToGrid w:val="0"/>
        <w:spacing w:line="360" w:lineRule="auto"/>
        <w:ind w:firstLine="5760" w:firstLineChars="24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D851499">
      <w:pPr>
        <w:pageBreakBefore w:val="0"/>
        <w:kinsoku/>
        <w:wordWrap/>
        <w:overflowPunct/>
        <w:topLinePunct w:val="0"/>
        <w:bidi w:val="0"/>
        <w:snapToGrid w:val="0"/>
        <w:spacing w:line="360" w:lineRule="auto"/>
        <w:ind w:left="5758" w:leftChars="342" w:hanging="5040" w:hanging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3357C4D">
      <w:pPr>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EC80730">
      <w:pPr>
        <w:pageBreakBefore w:val="0"/>
        <w:kinsoku/>
        <w:wordWrap/>
        <w:overflowPunct/>
        <w:topLinePunct w:val="0"/>
        <w:bidi w:val="0"/>
        <w:textAlignment w:val="auto"/>
        <w:outlineLvl w:val="9"/>
        <w:rPr>
          <w:rFonts w:hint="eastAsia" w:ascii="仿宋" w:hAnsi="仿宋" w:eastAsia="仿宋" w:cs="仿宋"/>
          <w:b/>
          <w:color w:val="auto"/>
          <w:spacing w:val="6"/>
          <w:sz w:val="32"/>
          <w:szCs w:val="32"/>
          <w:highlight w:val="none"/>
        </w:rPr>
      </w:pPr>
    </w:p>
    <w:p w14:paraId="7B9A3508">
      <w:pPr>
        <w:pageBreakBefore w:val="0"/>
        <w:kinsoku/>
        <w:wordWrap/>
        <w:overflowPunct/>
        <w:topLinePunct w:val="0"/>
        <w:bidi w:val="0"/>
        <w:textAlignment w:val="auto"/>
        <w:outlineLvl w:val="9"/>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BA2E468">
      <w:pPr>
        <w:pageBreakBefore w:val="0"/>
        <w:kinsoku/>
        <w:wordWrap/>
        <w:overflowPunct/>
        <w:topLinePunct w:val="0"/>
        <w:autoSpaceDE w:val="0"/>
        <w:autoSpaceDN w:val="0"/>
        <w:bidi w:val="0"/>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7</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中小企业声明函</w:t>
      </w:r>
    </w:p>
    <w:p w14:paraId="290A0F4D">
      <w:pPr>
        <w:pageBreakBefore w:val="0"/>
        <w:kinsoku/>
        <w:wordWrap/>
        <w:overflowPunct/>
        <w:topLinePunct w:val="0"/>
        <w:bidi w:val="0"/>
        <w:spacing w:line="360" w:lineRule="auto"/>
        <w:jc w:val="center"/>
        <w:textAlignment w:val="auto"/>
        <w:outlineLvl w:val="9"/>
        <w:rPr>
          <w:rFonts w:hint="eastAsia" w:ascii="仿宋" w:hAnsi="仿宋" w:eastAsia="仿宋" w:cs="仿宋"/>
          <w:color w:val="auto"/>
          <w:sz w:val="24"/>
          <w:highlight w:val="none"/>
          <w:u w:val="single"/>
        </w:rPr>
      </w:pPr>
    </w:p>
    <w:p w14:paraId="17C547C4">
      <w:pPr>
        <w:pageBreakBefore w:val="0"/>
        <w:kinsoku/>
        <w:wordWrap/>
        <w:overflowPunct/>
        <w:topLinePunct w:val="0"/>
        <w:bidi w:val="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（资格文件部分有示范格式）</w:t>
      </w:r>
    </w:p>
    <w:p w14:paraId="6EAA2369">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0091772A">
      <w:pPr>
        <w:pageBreakBefore w:val="0"/>
        <w:kinsoku/>
        <w:wordWrap/>
        <w:overflowPunct/>
        <w:topLinePunct w:val="0"/>
        <w:bidi w:val="0"/>
        <w:spacing w:line="360" w:lineRule="auto"/>
        <w:textAlignment w:val="auto"/>
        <w:outlineLvl w:val="9"/>
        <w:rPr>
          <w:rFonts w:hint="eastAsia" w:ascii="仿宋" w:hAnsi="仿宋" w:eastAsia="仿宋" w:cs="仿宋"/>
          <w:color w:val="auto"/>
          <w:highlight w:val="none"/>
        </w:rPr>
      </w:pPr>
    </w:p>
    <w:p w14:paraId="7B7B8CA1">
      <w:pPr>
        <w:pageBreakBefore w:val="0"/>
        <w:kinsoku/>
        <w:wordWrap/>
        <w:overflowPunct/>
        <w:topLinePunct w:val="0"/>
        <w:bidi w:val="0"/>
        <w:spacing w:line="360" w:lineRule="auto"/>
        <w:ind w:firstLine="360" w:firstLineChars="15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lang w:val="en-US" w:eastAsia="zh-CN"/>
        </w:rPr>
        <w:t xml:space="preserve">      （采购人）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szCs w:val="24"/>
          <w:highlight w:val="none"/>
          <w:u w:val="single"/>
          <w:lang w:val="en-US" w:eastAsia="zh-CN"/>
        </w:rPr>
        <w:t xml:space="preserve">   （项目名称）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34CA4D3D">
      <w:pPr>
        <w:pageBreakBefore w:val="0"/>
        <w:numPr>
          <w:ilvl w:val="0"/>
          <w:numId w:val="12"/>
        </w:numPr>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（标的）</w:t>
      </w:r>
      <w:r>
        <w:rPr>
          <w:rFonts w:hint="eastAsia" w:ascii="仿宋" w:hAnsi="仿宋" w:eastAsia="仿宋" w:cs="仿宋"/>
          <w:color w:val="auto"/>
          <w:sz w:val="24"/>
          <w:highlight w:val="none"/>
        </w:rPr>
        <w:t xml:space="preserve">，属于 </w:t>
      </w:r>
      <w:r>
        <w:rPr>
          <w:rFonts w:hint="eastAsia" w:ascii="仿宋" w:hAnsi="仿宋" w:eastAsia="仿宋" w:cs="仿宋"/>
          <w:color w:val="auto"/>
          <w:kern w:val="0"/>
          <w:sz w:val="24"/>
          <w:highlight w:val="none"/>
          <w:u w:val="single"/>
          <w:lang w:val="en-US" w:eastAsia="zh-CN"/>
        </w:rPr>
        <w:t xml:space="preserve">    （行业）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填写</w:t>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微型企业</w:t>
      </w:r>
      <w:r>
        <w:rPr>
          <w:rFonts w:hint="eastAsia" w:ascii="仿宋" w:hAnsi="仿宋" w:eastAsia="仿宋" w:cs="仿宋"/>
          <w:color w:val="auto"/>
          <w:sz w:val="24"/>
          <w:highlight w:val="none"/>
          <w:u w:val="single"/>
          <w:lang w:val="en-US" w:eastAsia="zh-CN"/>
        </w:rPr>
        <w:t>的一种</w:t>
      </w:r>
      <w:r>
        <w:rPr>
          <w:rFonts w:hint="eastAsia" w:ascii="仿宋" w:hAnsi="仿宋" w:eastAsia="仿宋" w:cs="仿宋"/>
          <w:color w:val="auto"/>
          <w:sz w:val="24"/>
          <w:highlight w:val="none"/>
          <w:u w:val="single"/>
        </w:rPr>
        <w:t xml:space="preserve">） </w:t>
      </w:r>
    </w:p>
    <w:p w14:paraId="77D6A079">
      <w:pPr>
        <w:pageBreakBefore w:val="0"/>
        <w:numPr>
          <w:ilvl w:val="0"/>
          <w:numId w:val="12"/>
        </w:numPr>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u w:val="single"/>
          <w:lang w:val="en-US" w:eastAsia="zh-CN"/>
        </w:rPr>
        <w:t xml:space="preserve">           （标的）</w:t>
      </w:r>
      <w:r>
        <w:rPr>
          <w:rFonts w:hint="eastAsia" w:ascii="仿宋" w:hAnsi="仿宋" w:eastAsia="仿宋" w:cs="仿宋"/>
          <w:color w:val="auto"/>
          <w:sz w:val="24"/>
          <w:highlight w:val="none"/>
        </w:rPr>
        <w:t xml:space="preserve">，属于 </w:t>
      </w:r>
      <w:r>
        <w:rPr>
          <w:rFonts w:hint="eastAsia" w:ascii="仿宋" w:hAnsi="仿宋" w:eastAsia="仿宋" w:cs="仿宋"/>
          <w:color w:val="auto"/>
          <w:kern w:val="0"/>
          <w:sz w:val="24"/>
          <w:highlight w:val="none"/>
          <w:u w:val="single"/>
          <w:lang w:val="en-US" w:eastAsia="zh-CN"/>
        </w:rPr>
        <w:t xml:space="preserve">    （行业）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填写</w:t>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微型企业</w:t>
      </w:r>
      <w:r>
        <w:rPr>
          <w:rFonts w:hint="eastAsia" w:ascii="仿宋" w:hAnsi="仿宋" w:eastAsia="仿宋" w:cs="仿宋"/>
          <w:color w:val="auto"/>
          <w:sz w:val="24"/>
          <w:highlight w:val="none"/>
          <w:u w:val="single"/>
          <w:lang w:val="en-US" w:eastAsia="zh-CN"/>
        </w:rPr>
        <w:t>的一种</w:t>
      </w:r>
      <w:r>
        <w:rPr>
          <w:rFonts w:hint="eastAsia" w:ascii="仿宋" w:hAnsi="仿宋" w:eastAsia="仿宋" w:cs="仿宋"/>
          <w:color w:val="auto"/>
          <w:sz w:val="24"/>
          <w:highlight w:val="none"/>
          <w:u w:val="single"/>
        </w:rPr>
        <w:t xml:space="preserve">） </w:t>
      </w:r>
    </w:p>
    <w:p w14:paraId="773FAB5B">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DAB8AC5">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27B525F">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40BBB24">
      <w:pPr>
        <w:pageBreakBefore w:val="0"/>
        <w:kinsoku/>
        <w:wordWrap/>
        <w:overflowPunct/>
        <w:topLinePunct w:val="0"/>
        <w:bidi w:val="0"/>
        <w:spacing w:line="360" w:lineRule="auto"/>
        <w:ind w:right="1760"/>
        <w:jc w:val="righ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D71319F">
      <w:pPr>
        <w:pageBreakBefore w:val="0"/>
        <w:kinsoku/>
        <w:wordWrap/>
        <w:overflowPunct/>
        <w:topLinePunct w:val="0"/>
        <w:bidi w:val="0"/>
        <w:spacing w:line="360" w:lineRule="auto"/>
        <w:ind w:right="1120" w:firstLine="4680" w:firstLineChars="195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B5CD30F">
      <w:pPr>
        <w:pageBreakBefore w:val="0"/>
        <w:kinsoku/>
        <w:wordWrap/>
        <w:overflowPunct/>
        <w:topLinePunct w:val="0"/>
        <w:bidi w:val="0"/>
        <w:spacing w:line="360" w:lineRule="auto"/>
        <w:ind w:firstLine="310" w:firstLineChars="147"/>
        <w:jc w:val="left"/>
        <w:textAlignment w:val="auto"/>
        <w:outlineLvl w:val="9"/>
        <w:rPr>
          <w:rFonts w:hint="eastAsia" w:ascii="仿宋" w:hAnsi="仿宋" w:eastAsia="仿宋" w:cs="仿宋"/>
          <w:b/>
          <w:color w:val="auto"/>
          <w:szCs w:val="21"/>
          <w:highlight w:val="none"/>
        </w:rPr>
      </w:pPr>
    </w:p>
    <w:p w14:paraId="6A8E9CFD">
      <w:pPr>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p>
    <w:p w14:paraId="5D251F88">
      <w:pPr>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r>
        <w:rPr>
          <w:rFonts w:hint="eastAsia" w:ascii="仿宋" w:hAnsi="仿宋" w:eastAsia="仿宋" w:cs="仿宋"/>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7271CE0">
      <w:pPr>
        <w:pageBreakBefore w:val="0"/>
        <w:kinsoku/>
        <w:wordWrap/>
        <w:overflowPunct/>
        <w:topLinePunct w:val="0"/>
        <w:bidi w:val="0"/>
        <w:spacing w:line="360" w:lineRule="auto"/>
        <w:ind w:right="42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275FE56">
      <w:pPr>
        <w:pageBreakBefore w:val="0"/>
        <w:kinsoku/>
        <w:wordWrap/>
        <w:overflowPunct/>
        <w:topLinePunct w:val="0"/>
        <w:bidi w:val="0"/>
        <w:spacing w:line="360" w:lineRule="auto"/>
        <w:ind w:right="420"/>
        <w:textAlignment w:val="auto"/>
        <w:outlineLvl w:val="9"/>
        <w:rPr>
          <w:rFonts w:hint="eastAsia" w:ascii="仿宋" w:hAnsi="仿宋" w:eastAsia="仿宋" w:cs="仿宋"/>
          <w:color w:val="auto"/>
          <w:highlight w:val="none"/>
        </w:rPr>
      </w:pPr>
    </w:p>
    <w:p w14:paraId="2199D213">
      <w:pPr>
        <w:pStyle w:val="186"/>
        <w:pageBreakBefore w:val="0"/>
        <w:widowControl w:val="0"/>
        <w:kinsoku/>
        <w:wordWrap/>
        <w:overflowPunct/>
        <w:topLinePunct w:val="0"/>
        <w:bidi w:val="0"/>
        <w:adjustRightInd w:val="0"/>
        <w:snapToGrid w:val="0"/>
        <w:spacing w:line="360" w:lineRule="auto"/>
        <w:jc w:val="both"/>
        <w:textAlignment w:val="auto"/>
        <w:outlineLvl w:val="9"/>
        <w:rPr>
          <w:rFonts w:hint="eastAsia" w:ascii="仿宋" w:hAnsi="仿宋" w:eastAsia="仿宋" w:cs="仿宋"/>
          <w:b/>
          <w:color w:val="auto"/>
          <w:sz w:val="30"/>
          <w:szCs w:val="30"/>
          <w:highlight w:val="none"/>
        </w:rPr>
        <w:sectPr>
          <w:headerReference r:id="rId11" w:type="default"/>
          <w:footerReference r:id="rId12" w:type="default"/>
          <w:pgSz w:w="11906" w:h="16838"/>
          <w:pgMar w:top="1247" w:right="1588" w:bottom="1089" w:left="1588" w:header="851" w:footer="992" w:gutter="0"/>
          <w:cols w:space="720" w:num="1"/>
          <w:docGrid w:linePitch="312" w:charSpace="0"/>
        </w:sectPr>
      </w:pPr>
    </w:p>
    <w:p w14:paraId="208BDE1C">
      <w:pPr>
        <w:pageBreakBefore w:val="0"/>
        <w:kinsoku/>
        <w:wordWrap/>
        <w:overflowPunct/>
        <w:topLinePunct w:val="0"/>
        <w:autoSpaceDE w:val="0"/>
        <w:autoSpaceDN w:val="0"/>
        <w:bidi w:val="0"/>
        <w:jc w:val="center"/>
        <w:textAlignment w:val="auto"/>
        <w:outlineLvl w:val="9"/>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其他</w:t>
      </w:r>
    </w:p>
    <w:p w14:paraId="768A0F2B">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关于钱塘区政府采购支持中小企业信用融资相关事项通知</w:t>
      </w:r>
    </w:p>
    <w:p w14:paraId="794D3275">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10"/>
          <w:szCs w:val="10"/>
          <w:highlight w:val="none"/>
        </w:rPr>
      </w:pPr>
    </w:p>
    <w:p w14:paraId="298A412D">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14:paraId="2D9FB38C">
      <w:pPr>
        <w:pageBreakBefore w:val="0"/>
        <w:kinsoku/>
        <w:wordWrap/>
        <w:overflowPunct/>
        <w:topLinePunct w:val="0"/>
        <w:bidi w:val="0"/>
        <w:spacing w:line="360" w:lineRule="auto"/>
        <w:ind w:firstLine="422" w:firstLineChars="200"/>
        <w:textAlignment w:val="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一、适用对象</w:t>
      </w:r>
    </w:p>
    <w:p w14:paraId="17AD9D3C">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在浙江“政采云”平台注册入库，并取得钱塘区政府采购合同的中小企业供应商。</w:t>
      </w:r>
    </w:p>
    <w:p w14:paraId="41020B52">
      <w:pPr>
        <w:pageBreakBefore w:val="0"/>
        <w:kinsoku/>
        <w:wordWrap/>
        <w:overflowPunct/>
        <w:topLinePunct w:val="0"/>
        <w:bidi w:val="0"/>
        <w:spacing w:line="360" w:lineRule="auto"/>
        <w:ind w:firstLine="422" w:firstLineChars="200"/>
        <w:textAlignment w:val="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二、相关信息获取方式</w:t>
      </w:r>
    </w:p>
    <w:p w14:paraId="0840C6DD">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请登陆杭州钱塘区管理委员会官网（http://qt.hangzhou.gov.cn） “公告公示”专栏，查看信用融资政策文件及各相关银行服务方案。</w:t>
      </w:r>
    </w:p>
    <w:p w14:paraId="543D8558">
      <w:pPr>
        <w:pageBreakBefore w:val="0"/>
        <w:kinsoku/>
        <w:wordWrap/>
        <w:overflowPunct/>
        <w:topLinePunct w:val="0"/>
        <w:bidi w:val="0"/>
        <w:spacing w:line="360" w:lineRule="auto"/>
        <w:ind w:firstLine="422" w:firstLineChars="200"/>
        <w:textAlignment w:val="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三、申请方式和步骤</w:t>
      </w:r>
    </w:p>
    <w:p w14:paraId="3D06C538">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1、供应商若有融资意向，需先与钱塘区财政金融局合作的银行对接，办理相关融资前期手续；</w:t>
      </w:r>
    </w:p>
    <w:p w14:paraId="4F4F1E7F">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2、中标后，供应商应与采购单位或者采购代理机构及时联系，告知融资需求；</w:t>
      </w:r>
    </w:p>
    <w:p w14:paraId="08BF81C7">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3、相关合作银行联系并审核供应商及相关中标信息，办理相关融资事宜；</w:t>
      </w:r>
    </w:p>
    <w:p w14:paraId="7ADF94F7">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4、采购单位或者采购代理机构在政府采购信息系统录入中标合同信息时，须标注合同为信用融资合同，并选择相应的信用融资合作银行，录入账号信息；</w:t>
      </w:r>
    </w:p>
    <w:p w14:paraId="2BBA242E">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5、采购人应及时将信用融资合同提交财政金融局备案。</w:t>
      </w:r>
    </w:p>
    <w:p w14:paraId="62DC1530">
      <w:pPr>
        <w:pageBreakBefore w:val="0"/>
        <w:kinsoku/>
        <w:wordWrap/>
        <w:overflowPunct/>
        <w:topLinePunct w:val="0"/>
        <w:bidi w:val="0"/>
        <w:spacing w:line="360" w:lineRule="auto"/>
        <w:ind w:firstLine="422" w:firstLineChars="200"/>
        <w:textAlignment w:val="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四、注意事项</w:t>
      </w:r>
    </w:p>
    <w:p w14:paraId="6B649016">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请各采购单位和采购代理机构积极支持和配合政府采购信用融资工作，在合同备案环节务必请仔细核对收款银行、账号信息等内容，一旦录入将无法修改。</w:t>
      </w:r>
    </w:p>
    <w:p w14:paraId="6881F1BD">
      <w:pPr>
        <w:pageBreakBefore w:val="0"/>
        <w:kinsoku/>
        <w:wordWrap/>
        <w:overflowPunct/>
        <w:topLinePunct w:val="0"/>
        <w:bidi w:val="0"/>
        <w:spacing w:line="360" w:lineRule="auto"/>
        <w:ind w:firstLine="422" w:firstLineChars="200"/>
        <w:textAlignment w:val="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五、合作银行及联系方式</w:t>
      </w:r>
    </w:p>
    <w:tbl>
      <w:tblPr>
        <w:tblStyle w:val="48"/>
        <w:tblW w:w="8740" w:type="dxa"/>
        <w:tblInd w:w="95" w:type="dxa"/>
        <w:tblLayout w:type="fixed"/>
        <w:tblCellMar>
          <w:top w:w="0" w:type="dxa"/>
          <w:left w:w="108" w:type="dxa"/>
          <w:bottom w:w="0" w:type="dxa"/>
          <w:right w:w="108" w:type="dxa"/>
        </w:tblCellMar>
      </w:tblPr>
      <w:tblGrid>
        <w:gridCol w:w="1080"/>
        <w:gridCol w:w="3020"/>
        <w:gridCol w:w="1420"/>
        <w:gridCol w:w="3220"/>
      </w:tblGrid>
      <w:tr w14:paraId="427E5E12">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78CA507C">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0CF50C09">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5C3FE2D3">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40BD054B">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电话</w:t>
            </w:r>
          </w:p>
        </w:tc>
      </w:tr>
      <w:tr w14:paraId="1572FD5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DD5CC62">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w:t>
            </w:r>
          </w:p>
        </w:tc>
        <w:tc>
          <w:tcPr>
            <w:tcW w:w="3020" w:type="dxa"/>
            <w:tcBorders>
              <w:top w:val="nil"/>
              <w:left w:val="nil"/>
              <w:bottom w:val="single" w:color="auto" w:sz="4" w:space="0"/>
              <w:right w:val="single" w:color="auto" w:sz="4" w:space="0"/>
            </w:tcBorders>
            <w:noWrap/>
            <w:vAlign w:val="center"/>
          </w:tcPr>
          <w:p w14:paraId="67F3A430">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建行开发区支行</w:t>
            </w:r>
          </w:p>
        </w:tc>
        <w:tc>
          <w:tcPr>
            <w:tcW w:w="1420" w:type="dxa"/>
            <w:tcBorders>
              <w:top w:val="nil"/>
              <w:left w:val="nil"/>
              <w:bottom w:val="single" w:color="auto" w:sz="4" w:space="0"/>
              <w:right w:val="single" w:color="auto" w:sz="4" w:space="0"/>
            </w:tcBorders>
            <w:noWrap/>
            <w:vAlign w:val="center"/>
          </w:tcPr>
          <w:p w14:paraId="3D21FF9B">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罗兴、王强</w:t>
            </w:r>
          </w:p>
        </w:tc>
        <w:tc>
          <w:tcPr>
            <w:tcW w:w="3220" w:type="dxa"/>
            <w:tcBorders>
              <w:top w:val="nil"/>
              <w:left w:val="nil"/>
              <w:bottom w:val="single" w:color="auto" w:sz="4" w:space="0"/>
              <w:right w:val="single" w:color="auto" w:sz="4" w:space="0"/>
            </w:tcBorders>
            <w:noWrap/>
            <w:vAlign w:val="center"/>
          </w:tcPr>
          <w:p w14:paraId="29A1DCFB">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86910319，13588718187</w:t>
            </w:r>
          </w:p>
        </w:tc>
      </w:tr>
      <w:tr w14:paraId="0A35FA1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EE9CF8B">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2</w:t>
            </w:r>
          </w:p>
        </w:tc>
        <w:tc>
          <w:tcPr>
            <w:tcW w:w="3020" w:type="dxa"/>
            <w:tcBorders>
              <w:top w:val="nil"/>
              <w:left w:val="nil"/>
              <w:bottom w:val="single" w:color="auto" w:sz="4" w:space="0"/>
              <w:right w:val="single" w:color="auto" w:sz="4" w:space="0"/>
            </w:tcBorders>
            <w:noWrap/>
            <w:vAlign w:val="center"/>
          </w:tcPr>
          <w:p w14:paraId="09F18299">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中信银行开发支行</w:t>
            </w:r>
          </w:p>
        </w:tc>
        <w:tc>
          <w:tcPr>
            <w:tcW w:w="1420" w:type="dxa"/>
            <w:tcBorders>
              <w:top w:val="nil"/>
              <w:left w:val="nil"/>
              <w:bottom w:val="single" w:color="auto" w:sz="4" w:space="0"/>
              <w:right w:val="single" w:color="auto" w:sz="4" w:space="0"/>
            </w:tcBorders>
            <w:noWrap/>
            <w:vAlign w:val="center"/>
          </w:tcPr>
          <w:p w14:paraId="3763F999">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左劼</w:t>
            </w:r>
          </w:p>
        </w:tc>
        <w:tc>
          <w:tcPr>
            <w:tcW w:w="3220" w:type="dxa"/>
            <w:tcBorders>
              <w:top w:val="nil"/>
              <w:left w:val="nil"/>
              <w:bottom w:val="single" w:color="auto" w:sz="4" w:space="0"/>
              <w:right w:val="single" w:color="auto" w:sz="4" w:space="0"/>
            </w:tcBorders>
            <w:noWrap/>
            <w:vAlign w:val="center"/>
          </w:tcPr>
          <w:p w14:paraId="79E40596">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13777889798</w:t>
            </w:r>
          </w:p>
        </w:tc>
      </w:tr>
      <w:tr w14:paraId="2E5AA76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9A96417">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3</w:t>
            </w:r>
          </w:p>
        </w:tc>
        <w:tc>
          <w:tcPr>
            <w:tcW w:w="3020" w:type="dxa"/>
            <w:tcBorders>
              <w:top w:val="nil"/>
              <w:left w:val="nil"/>
              <w:bottom w:val="single" w:color="auto" w:sz="4" w:space="0"/>
              <w:right w:val="single" w:color="auto" w:sz="4" w:space="0"/>
            </w:tcBorders>
            <w:noWrap/>
            <w:vAlign w:val="center"/>
          </w:tcPr>
          <w:p w14:paraId="5729E05F">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民生银行下沙支行</w:t>
            </w:r>
          </w:p>
        </w:tc>
        <w:tc>
          <w:tcPr>
            <w:tcW w:w="1420" w:type="dxa"/>
            <w:tcBorders>
              <w:top w:val="nil"/>
              <w:left w:val="nil"/>
              <w:bottom w:val="single" w:color="auto" w:sz="4" w:space="0"/>
              <w:right w:val="single" w:color="auto" w:sz="4" w:space="0"/>
            </w:tcBorders>
            <w:noWrap/>
            <w:vAlign w:val="center"/>
          </w:tcPr>
          <w:p w14:paraId="394617E0">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吕刚</w:t>
            </w:r>
          </w:p>
        </w:tc>
        <w:tc>
          <w:tcPr>
            <w:tcW w:w="3220" w:type="dxa"/>
            <w:tcBorders>
              <w:top w:val="nil"/>
              <w:left w:val="nil"/>
              <w:bottom w:val="single" w:color="auto" w:sz="4" w:space="0"/>
              <w:right w:val="single" w:color="auto" w:sz="4" w:space="0"/>
            </w:tcBorders>
            <w:noWrap/>
            <w:vAlign w:val="center"/>
          </w:tcPr>
          <w:p w14:paraId="44EDBB9D">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13906811832</w:t>
            </w:r>
          </w:p>
        </w:tc>
      </w:tr>
      <w:tr w14:paraId="455D0A4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13327D5">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4</w:t>
            </w:r>
          </w:p>
        </w:tc>
        <w:tc>
          <w:tcPr>
            <w:tcW w:w="3020" w:type="dxa"/>
            <w:tcBorders>
              <w:top w:val="nil"/>
              <w:left w:val="nil"/>
              <w:bottom w:val="single" w:color="auto" w:sz="4" w:space="0"/>
              <w:right w:val="single" w:color="auto" w:sz="4" w:space="0"/>
            </w:tcBorders>
            <w:noWrap/>
            <w:vAlign w:val="center"/>
          </w:tcPr>
          <w:p w14:paraId="4A4892F7">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杭州银行下沙开发区支行</w:t>
            </w:r>
          </w:p>
        </w:tc>
        <w:tc>
          <w:tcPr>
            <w:tcW w:w="1420" w:type="dxa"/>
            <w:tcBorders>
              <w:top w:val="nil"/>
              <w:left w:val="nil"/>
              <w:bottom w:val="single" w:color="auto" w:sz="4" w:space="0"/>
              <w:right w:val="single" w:color="auto" w:sz="4" w:space="0"/>
            </w:tcBorders>
            <w:noWrap/>
            <w:vAlign w:val="center"/>
          </w:tcPr>
          <w:p w14:paraId="2EB2E0A6">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费莎</w:t>
            </w:r>
          </w:p>
        </w:tc>
        <w:tc>
          <w:tcPr>
            <w:tcW w:w="3220" w:type="dxa"/>
            <w:tcBorders>
              <w:top w:val="nil"/>
              <w:left w:val="nil"/>
              <w:bottom w:val="single" w:color="auto" w:sz="4" w:space="0"/>
              <w:right w:val="single" w:color="auto" w:sz="4" w:space="0"/>
            </w:tcBorders>
            <w:noWrap/>
            <w:vAlign w:val="center"/>
          </w:tcPr>
          <w:p w14:paraId="4C6FD35E">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13388617781</w:t>
            </w:r>
          </w:p>
        </w:tc>
      </w:tr>
      <w:tr w14:paraId="58283D4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2EACCCD8">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5</w:t>
            </w:r>
          </w:p>
        </w:tc>
        <w:tc>
          <w:tcPr>
            <w:tcW w:w="3020" w:type="dxa"/>
            <w:tcBorders>
              <w:top w:val="nil"/>
              <w:left w:val="nil"/>
              <w:bottom w:val="single" w:color="auto" w:sz="4" w:space="0"/>
              <w:right w:val="single" w:color="auto" w:sz="4" w:space="0"/>
            </w:tcBorders>
            <w:noWrap/>
            <w:vAlign w:val="center"/>
          </w:tcPr>
          <w:p w14:paraId="7D105DE4">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兴业银行开发区支行</w:t>
            </w:r>
          </w:p>
        </w:tc>
        <w:tc>
          <w:tcPr>
            <w:tcW w:w="1420" w:type="dxa"/>
            <w:tcBorders>
              <w:top w:val="nil"/>
              <w:left w:val="nil"/>
              <w:bottom w:val="single" w:color="auto" w:sz="4" w:space="0"/>
              <w:right w:val="single" w:color="auto" w:sz="4" w:space="0"/>
            </w:tcBorders>
            <w:noWrap/>
            <w:vAlign w:val="center"/>
          </w:tcPr>
          <w:p w14:paraId="0784A96E">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丁萍</w:t>
            </w:r>
          </w:p>
        </w:tc>
        <w:tc>
          <w:tcPr>
            <w:tcW w:w="3220" w:type="dxa"/>
            <w:tcBorders>
              <w:top w:val="nil"/>
              <w:left w:val="nil"/>
              <w:bottom w:val="single" w:color="auto" w:sz="4" w:space="0"/>
              <w:right w:val="single" w:color="auto" w:sz="4" w:space="0"/>
            </w:tcBorders>
            <w:noWrap/>
            <w:vAlign w:val="center"/>
          </w:tcPr>
          <w:p w14:paraId="56DD31A4">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13777421564</w:t>
            </w:r>
          </w:p>
        </w:tc>
      </w:tr>
      <w:tr w14:paraId="1FD8498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9D44728">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6</w:t>
            </w:r>
          </w:p>
        </w:tc>
        <w:tc>
          <w:tcPr>
            <w:tcW w:w="3020" w:type="dxa"/>
            <w:tcBorders>
              <w:top w:val="nil"/>
              <w:left w:val="nil"/>
              <w:bottom w:val="single" w:color="auto" w:sz="4" w:space="0"/>
              <w:right w:val="single" w:color="auto" w:sz="4" w:space="0"/>
            </w:tcBorders>
            <w:noWrap/>
            <w:vAlign w:val="center"/>
          </w:tcPr>
          <w:p w14:paraId="2C879F49">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中国银行钱塘支行</w:t>
            </w:r>
          </w:p>
        </w:tc>
        <w:tc>
          <w:tcPr>
            <w:tcW w:w="1420" w:type="dxa"/>
            <w:tcBorders>
              <w:top w:val="nil"/>
              <w:left w:val="nil"/>
              <w:bottom w:val="single" w:color="auto" w:sz="4" w:space="0"/>
              <w:right w:val="single" w:color="auto" w:sz="4" w:space="0"/>
            </w:tcBorders>
            <w:noWrap/>
            <w:vAlign w:val="center"/>
          </w:tcPr>
          <w:p w14:paraId="34FB0538">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高飞</w:t>
            </w:r>
          </w:p>
        </w:tc>
        <w:tc>
          <w:tcPr>
            <w:tcW w:w="3220" w:type="dxa"/>
            <w:tcBorders>
              <w:top w:val="nil"/>
              <w:left w:val="nil"/>
              <w:bottom w:val="single" w:color="auto" w:sz="4" w:space="0"/>
              <w:right w:val="single" w:color="auto" w:sz="4" w:space="0"/>
            </w:tcBorders>
            <w:noWrap/>
            <w:vAlign w:val="center"/>
          </w:tcPr>
          <w:p w14:paraId="47FBCB4F">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86722499</w:t>
            </w:r>
          </w:p>
        </w:tc>
      </w:tr>
      <w:tr w14:paraId="57E5E3B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651C242">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7</w:t>
            </w:r>
          </w:p>
        </w:tc>
        <w:tc>
          <w:tcPr>
            <w:tcW w:w="3020" w:type="dxa"/>
            <w:tcBorders>
              <w:top w:val="nil"/>
              <w:left w:val="nil"/>
              <w:bottom w:val="single" w:color="auto" w:sz="4" w:space="0"/>
              <w:right w:val="single" w:color="auto" w:sz="4" w:space="0"/>
            </w:tcBorders>
            <w:noWrap/>
            <w:vAlign w:val="center"/>
          </w:tcPr>
          <w:p w14:paraId="5477CD95">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工行开发区支行</w:t>
            </w:r>
          </w:p>
        </w:tc>
        <w:tc>
          <w:tcPr>
            <w:tcW w:w="1420" w:type="dxa"/>
            <w:tcBorders>
              <w:top w:val="nil"/>
              <w:left w:val="nil"/>
              <w:bottom w:val="single" w:color="auto" w:sz="4" w:space="0"/>
              <w:right w:val="single" w:color="auto" w:sz="4" w:space="0"/>
            </w:tcBorders>
            <w:noWrap/>
            <w:vAlign w:val="center"/>
          </w:tcPr>
          <w:p w14:paraId="064B9F1F">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吴建恩</w:t>
            </w:r>
          </w:p>
        </w:tc>
        <w:tc>
          <w:tcPr>
            <w:tcW w:w="3220" w:type="dxa"/>
            <w:tcBorders>
              <w:top w:val="nil"/>
              <w:left w:val="nil"/>
              <w:bottom w:val="single" w:color="auto" w:sz="4" w:space="0"/>
              <w:right w:val="single" w:color="auto" w:sz="4" w:space="0"/>
            </w:tcBorders>
            <w:noWrap/>
            <w:vAlign w:val="center"/>
          </w:tcPr>
          <w:p w14:paraId="7F35E1CA">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13646861493</w:t>
            </w:r>
          </w:p>
        </w:tc>
      </w:tr>
      <w:tr w14:paraId="322F0AD7">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135AE142">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8</w:t>
            </w:r>
          </w:p>
        </w:tc>
        <w:tc>
          <w:tcPr>
            <w:tcW w:w="3020" w:type="dxa"/>
            <w:tcBorders>
              <w:top w:val="nil"/>
              <w:left w:val="nil"/>
              <w:bottom w:val="single" w:color="auto" w:sz="4" w:space="0"/>
              <w:right w:val="single" w:color="auto" w:sz="4" w:space="0"/>
            </w:tcBorders>
            <w:noWrap/>
            <w:vAlign w:val="center"/>
          </w:tcPr>
          <w:p w14:paraId="3DF1B0BC">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宁波银行开发区支行</w:t>
            </w:r>
          </w:p>
        </w:tc>
        <w:tc>
          <w:tcPr>
            <w:tcW w:w="1420" w:type="dxa"/>
            <w:tcBorders>
              <w:top w:val="nil"/>
              <w:left w:val="nil"/>
              <w:bottom w:val="single" w:color="auto" w:sz="4" w:space="0"/>
              <w:right w:val="single" w:color="auto" w:sz="4" w:space="0"/>
            </w:tcBorders>
            <w:noWrap/>
            <w:vAlign w:val="center"/>
          </w:tcPr>
          <w:p w14:paraId="7EA9AD10">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贾磊</w:t>
            </w:r>
          </w:p>
        </w:tc>
        <w:tc>
          <w:tcPr>
            <w:tcW w:w="3220" w:type="dxa"/>
            <w:tcBorders>
              <w:top w:val="nil"/>
              <w:left w:val="nil"/>
              <w:bottom w:val="single" w:color="auto" w:sz="4" w:space="0"/>
              <w:right w:val="single" w:color="auto" w:sz="4" w:space="0"/>
            </w:tcBorders>
            <w:noWrap/>
            <w:vAlign w:val="center"/>
          </w:tcPr>
          <w:p w14:paraId="7A67BB07">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13575745232</w:t>
            </w:r>
          </w:p>
        </w:tc>
      </w:tr>
      <w:tr w14:paraId="0E68FA12">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36E491DA">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9</w:t>
            </w:r>
          </w:p>
        </w:tc>
        <w:tc>
          <w:tcPr>
            <w:tcW w:w="3020" w:type="dxa"/>
            <w:tcBorders>
              <w:top w:val="nil"/>
              <w:left w:val="nil"/>
              <w:bottom w:val="single" w:color="auto" w:sz="4" w:space="0"/>
              <w:right w:val="single" w:color="auto" w:sz="4" w:space="0"/>
            </w:tcBorders>
            <w:noWrap/>
            <w:vAlign w:val="center"/>
          </w:tcPr>
          <w:p w14:paraId="37D345CC">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22E8A74C">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王宁</w:t>
            </w:r>
          </w:p>
        </w:tc>
        <w:tc>
          <w:tcPr>
            <w:tcW w:w="3220" w:type="dxa"/>
            <w:tcBorders>
              <w:top w:val="nil"/>
              <w:left w:val="nil"/>
              <w:bottom w:val="single" w:color="auto" w:sz="4" w:space="0"/>
              <w:right w:val="single" w:color="auto" w:sz="4" w:space="0"/>
            </w:tcBorders>
            <w:noWrap/>
            <w:vAlign w:val="center"/>
          </w:tcPr>
          <w:p w14:paraId="0BDD6770">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18906520030</w:t>
            </w:r>
          </w:p>
        </w:tc>
      </w:tr>
      <w:tr w14:paraId="25A4444E">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2A9B8552">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10</w:t>
            </w:r>
          </w:p>
        </w:tc>
        <w:tc>
          <w:tcPr>
            <w:tcW w:w="3020" w:type="dxa"/>
            <w:tcBorders>
              <w:top w:val="nil"/>
              <w:left w:val="nil"/>
              <w:bottom w:val="single" w:color="auto" w:sz="4" w:space="0"/>
              <w:right w:val="single" w:color="auto" w:sz="4" w:space="0"/>
            </w:tcBorders>
            <w:noWrap/>
            <w:vAlign w:val="center"/>
          </w:tcPr>
          <w:p w14:paraId="3EF7DEFA">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农业银行杭州下沙支行</w:t>
            </w:r>
          </w:p>
        </w:tc>
        <w:tc>
          <w:tcPr>
            <w:tcW w:w="1420" w:type="dxa"/>
            <w:tcBorders>
              <w:top w:val="nil"/>
              <w:left w:val="nil"/>
              <w:bottom w:val="single" w:color="auto" w:sz="4" w:space="0"/>
              <w:right w:val="single" w:color="auto" w:sz="4" w:space="0"/>
            </w:tcBorders>
            <w:noWrap/>
            <w:vAlign w:val="center"/>
          </w:tcPr>
          <w:p w14:paraId="5BA0BCF2">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施伟东</w:t>
            </w:r>
          </w:p>
        </w:tc>
        <w:tc>
          <w:tcPr>
            <w:tcW w:w="3220" w:type="dxa"/>
            <w:tcBorders>
              <w:top w:val="nil"/>
              <w:left w:val="nil"/>
              <w:bottom w:val="single" w:color="auto" w:sz="4" w:space="0"/>
              <w:right w:val="single" w:color="auto" w:sz="4" w:space="0"/>
            </w:tcBorders>
            <w:noWrap/>
            <w:vAlign w:val="center"/>
          </w:tcPr>
          <w:p w14:paraId="7C91E696">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86912948,15988106601</w:t>
            </w:r>
          </w:p>
        </w:tc>
      </w:tr>
      <w:tr w14:paraId="48C9F2EA">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37BC6B6E">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11</w:t>
            </w:r>
          </w:p>
        </w:tc>
        <w:tc>
          <w:tcPr>
            <w:tcW w:w="3020" w:type="dxa"/>
            <w:tcBorders>
              <w:top w:val="nil"/>
              <w:left w:val="nil"/>
              <w:bottom w:val="single" w:color="auto" w:sz="4" w:space="0"/>
              <w:right w:val="single" w:color="auto" w:sz="4" w:space="0"/>
            </w:tcBorders>
            <w:noWrap/>
            <w:vAlign w:val="center"/>
          </w:tcPr>
          <w:p w14:paraId="798D6FA8">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建行杭州大江东支行</w:t>
            </w:r>
          </w:p>
        </w:tc>
        <w:tc>
          <w:tcPr>
            <w:tcW w:w="1420" w:type="dxa"/>
            <w:tcBorders>
              <w:top w:val="nil"/>
              <w:left w:val="nil"/>
              <w:bottom w:val="single" w:color="auto" w:sz="4" w:space="0"/>
              <w:right w:val="single" w:color="auto" w:sz="4" w:space="0"/>
            </w:tcBorders>
            <w:noWrap/>
            <w:vAlign w:val="center"/>
          </w:tcPr>
          <w:p w14:paraId="5EE95964">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朱丽丹</w:t>
            </w:r>
          </w:p>
        </w:tc>
        <w:tc>
          <w:tcPr>
            <w:tcW w:w="3220" w:type="dxa"/>
            <w:tcBorders>
              <w:top w:val="nil"/>
              <w:left w:val="nil"/>
              <w:bottom w:val="single" w:color="auto" w:sz="4" w:space="0"/>
              <w:right w:val="single" w:color="auto" w:sz="4" w:space="0"/>
            </w:tcBorders>
            <w:noWrap/>
            <w:vAlign w:val="center"/>
          </w:tcPr>
          <w:p w14:paraId="3A30654E">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13732249271</w:t>
            </w:r>
          </w:p>
        </w:tc>
      </w:tr>
      <w:tr w14:paraId="0AB2D63F">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249B4388">
            <w:pPr>
              <w:pageBreakBefore w:val="0"/>
              <w:widowControl/>
              <w:kinsoku/>
              <w:wordWrap/>
              <w:overflowPunct/>
              <w:topLinePunct w:val="0"/>
              <w:bidi w:val="0"/>
              <w:jc w:val="center"/>
              <w:textAlignment w:val="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12</w:t>
            </w:r>
          </w:p>
        </w:tc>
        <w:tc>
          <w:tcPr>
            <w:tcW w:w="3020" w:type="dxa"/>
            <w:tcBorders>
              <w:top w:val="nil"/>
              <w:left w:val="nil"/>
              <w:bottom w:val="single" w:color="auto" w:sz="4" w:space="0"/>
              <w:right w:val="single" w:color="auto" w:sz="4" w:space="0"/>
            </w:tcBorders>
            <w:noWrap/>
            <w:vAlign w:val="center"/>
          </w:tcPr>
          <w:p w14:paraId="4973D58F">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农业银行临江支行</w:t>
            </w:r>
          </w:p>
        </w:tc>
        <w:tc>
          <w:tcPr>
            <w:tcW w:w="1420" w:type="dxa"/>
            <w:tcBorders>
              <w:top w:val="nil"/>
              <w:left w:val="nil"/>
              <w:bottom w:val="single" w:color="auto" w:sz="4" w:space="0"/>
              <w:right w:val="single" w:color="auto" w:sz="4" w:space="0"/>
            </w:tcBorders>
            <w:noWrap/>
            <w:vAlign w:val="center"/>
          </w:tcPr>
          <w:p w14:paraId="6BEB7BA2">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张学民</w:t>
            </w:r>
          </w:p>
        </w:tc>
        <w:tc>
          <w:tcPr>
            <w:tcW w:w="3220" w:type="dxa"/>
            <w:tcBorders>
              <w:top w:val="nil"/>
              <w:left w:val="nil"/>
              <w:bottom w:val="single" w:color="auto" w:sz="4" w:space="0"/>
              <w:right w:val="single" w:color="auto" w:sz="4" w:space="0"/>
            </w:tcBorders>
            <w:noWrap/>
            <w:vAlign w:val="center"/>
          </w:tcPr>
          <w:p w14:paraId="507411DE">
            <w:pPr>
              <w:pageBreakBefore w:val="0"/>
              <w:widowControl/>
              <w:kinsoku/>
              <w:wordWrap/>
              <w:overflowPunct/>
              <w:topLinePunct w:val="0"/>
              <w:bidi w:val="0"/>
              <w:jc w:val="center"/>
              <w:textAlignment w:val="auto"/>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82198699，13867197838</w:t>
            </w:r>
          </w:p>
        </w:tc>
      </w:tr>
    </w:tbl>
    <w:p w14:paraId="0B134FA7">
      <w:pPr>
        <w:pStyle w:val="186"/>
        <w:pageBreakBefore w:val="0"/>
        <w:widowControl w:val="0"/>
        <w:kinsoku/>
        <w:wordWrap/>
        <w:overflowPunct/>
        <w:topLinePunct w:val="0"/>
        <w:bidi w:val="0"/>
        <w:adjustRightInd w:val="0"/>
        <w:snapToGrid w:val="0"/>
        <w:spacing w:line="360" w:lineRule="auto"/>
        <w:jc w:val="both"/>
        <w:textAlignment w:val="auto"/>
        <w:outlineLvl w:val="9"/>
        <w:rPr>
          <w:rFonts w:hint="eastAsia" w:ascii="仿宋" w:hAnsi="仿宋" w:eastAsia="仿宋" w:cs="仿宋"/>
          <w:b/>
          <w:color w:val="auto"/>
          <w:sz w:val="30"/>
          <w:szCs w:val="30"/>
          <w:highlight w:val="none"/>
        </w:rPr>
        <w:sectPr>
          <w:pgSz w:w="11906" w:h="16838"/>
          <w:pgMar w:top="1247" w:right="1588" w:bottom="1089" w:left="1588" w:header="851" w:footer="992" w:gutter="0"/>
          <w:cols w:space="720" w:num="1"/>
          <w:docGrid w:linePitch="312" w:charSpace="0"/>
        </w:sectPr>
      </w:pPr>
    </w:p>
    <w:p w14:paraId="2F0D6A04">
      <w:pPr>
        <w:pStyle w:val="186"/>
        <w:pageBreakBefore w:val="0"/>
        <w:widowControl w:val="0"/>
        <w:kinsoku/>
        <w:wordWrap/>
        <w:overflowPunct/>
        <w:topLinePunct w:val="0"/>
        <w:bidi w:val="0"/>
        <w:snapToGrid w:val="0"/>
        <w:spacing w:line="500" w:lineRule="exact"/>
        <w:textAlignment w:val="auto"/>
        <w:outlineLvl w:val="9"/>
        <w:rPr>
          <w:rFonts w:hint="eastAsia" w:ascii="仿宋" w:hAnsi="仿宋" w:eastAsia="仿宋" w:cs="仿宋"/>
          <w:b/>
          <w:color w:val="auto"/>
          <w:sz w:val="28"/>
          <w:szCs w:val="28"/>
          <w:highlight w:val="none"/>
        </w:rPr>
      </w:pPr>
      <w:r>
        <w:rPr>
          <w:rFonts w:hint="eastAsia" w:ascii="仿宋" w:hAnsi="仿宋" w:eastAsia="仿宋" w:cs="仿宋"/>
          <w:color w:val="auto"/>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C9B4894">
      <w:pPr>
        <w:pStyle w:val="186"/>
        <w:pageBreakBefore w:val="0"/>
        <w:widowControl w:val="0"/>
        <w:kinsoku/>
        <w:wordWrap/>
        <w:overflowPunct/>
        <w:topLinePunct w:val="0"/>
        <w:bidi w:val="0"/>
        <w:snapToGrid w:val="0"/>
        <w:spacing w:line="500" w:lineRule="exact"/>
        <w:jc w:val="center"/>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中小企业划型标准规定</w:t>
      </w:r>
    </w:p>
    <w:p w14:paraId="30336C2C">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p>
    <w:p w14:paraId="2E6761BE">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6C4448A6">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16CB496D">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8130433">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p>
    <w:p w14:paraId="11AC47DA">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1541A15F">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CE5A8E">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8B5D114">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2DE590B">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594565B">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F355EE0">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3D560F8">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E22E5FF">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FE5F70">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C8EF0F">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1B65BA5">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920B85F">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9960CA0">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65F98F">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0EC7504">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9C1BDFA">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7059B58B">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2F0C8530">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A2F2F49">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17F323CC">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69A340E4">
      <w:pPr>
        <w:pStyle w:val="186"/>
        <w:pageBreakBefore w:val="0"/>
        <w:widowControl w:val="0"/>
        <w:kinsoku/>
        <w:wordWrap/>
        <w:overflowPunct/>
        <w:topLinePunct w:val="0"/>
        <w:bidi w:val="0"/>
        <w:adjustRightInd w:val="0"/>
        <w:snapToGrid w:val="0"/>
        <w:spacing w:line="360" w:lineRule="auto"/>
        <w:ind w:firstLine="444" w:firstLineChars="200"/>
        <w:jc w:val="both"/>
        <w:textAlignment w:val="auto"/>
        <w:outlineLvl w:val="9"/>
        <w:rPr>
          <w:rFonts w:hint="eastAsia" w:ascii="仿宋" w:hAnsi="仿宋" w:eastAsia="仿宋" w:cs="仿宋"/>
          <w:color w:val="auto"/>
          <w:szCs w:val="21"/>
          <w:highlight w:val="none"/>
        </w:rPr>
        <w:sectPr>
          <w:pgSz w:w="11906" w:h="16838"/>
          <w:pgMar w:top="1247" w:right="1588" w:bottom="1089" w:left="1588" w:header="851" w:footer="992" w:gutter="0"/>
          <w:cols w:space="720" w:num="1"/>
          <w:docGrid w:linePitch="312" w:charSpace="0"/>
        </w:sect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7DF5023F">
      <w:pPr>
        <w:pStyle w:val="186"/>
        <w:pageBreakBefore w:val="0"/>
        <w:widowControl w:val="0"/>
        <w:kinsoku/>
        <w:wordWrap/>
        <w:overflowPunct/>
        <w:topLinePunct w:val="0"/>
        <w:bidi w:val="0"/>
        <w:adjustRightInd w:val="0"/>
        <w:snapToGrid w:val="0"/>
        <w:spacing w:line="360" w:lineRule="auto"/>
        <w:jc w:val="both"/>
        <w:textAlignment w:val="auto"/>
        <w:outlineLvl w:val="9"/>
        <w:rPr>
          <w:rFonts w:hint="eastAsia" w:ascii="仿宋" w:hAnsi="仿宋" w:eastAsia="仿宋" w:cs="仿宋"/>
          <w:b/>
          <w:color w:val="auto"/>
          <w:sz w:val="30"/>
          <w:szCs w:val="30"/>
          <w:highlight w:val="none"/>
        </w:rPr>
      </w:pPr>
      <w:r>
        <w:rPr>
          <w:rFonts w:hint="eastAsia" w:ascii="仿宋" w:hAnsi="仿宋" w:eastAsia="仿宋" w:cs="仿宋"/>
          <w:color w:val="auto"/>
          <w:highlight w:val="none"/>
        </w:rPr>
        <w:drawing>
          <wp:inline distT="0" distB="0" distL="114300" distR="114300">
            <wp:extent cx="8667115" cy="52400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8667115" cy="5240020"/>
                    </a:xfrm>
                    <a:prstGeom prst="rect">
                      <a:avLst/>
                    </a:prstGeom>
                    <a:noFill/>
                    <a:ln>
                      <a:noFill/>
                    </a:ln>
                  </pic:spPr>
                </pic:pic>
              </a:graphicData>
            </a:graphic>
          </wp:inline>
        </w:drawing>
      </w:r>
    </w:p>
    <w:p w14:paraId="08BACAD9">
      <w:pPr>
        <w:rPr>
          <w:rFonts w:hint="eastAsia" w:ascii="仿宋" w:hAnsi="仿宋" w:eastAsia="仿宋" w:cs="仿宋"/>
          <w:color w:val="auto"/>
          <w:highlight w:val="none"/>
        </w:rPr>
      </w:pPr>
    </w:p>
    <w:sectPr>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_x000B__x000C_">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DokChampa">
    <w:altName w:val="Microsoft Sans Serif"/>
    <w:panose1 w:val="020B0604020202020204"/>
    <w:charset w:val="DE"/>
    <w:family w:val="swiss"/>
    <w:pitch w:val="default"/>
    <w:sig w:usb0="00000000" w:usb1="00000000" w:usb2="00000000" w:usb3="00000000" w:csb0="4001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8FF85">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15B2C9C">
                          <w:pPr>
                            <w:pStyle w:val="33"/>
                            <w:rPr>
                              <w:rFonts w:eastAsia="宋体"/>
                            </w:rPr>
                          </w:pPr>
                          <w:r>
                            <w:fldChar w:fldCharType="begin"/>
                          </w:r>
                          <w:r>
                            <w:instrText xml:space="preserve"> PAGE  \* MERGEFORMAT </w:instrText>
                          </w:r>
                          <w:r>
                            <w:fldChar w:fldCharType="separate"/>
                          </w:r>
                          <w:r>
                            <w:t>34</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PLkK7vQAQAApQMAAA4AAAAAAAAAAQAgAAAAIgEA&#10;AGRycy9lMm9Eb2MueG1sUEsFBgAAAAAGAAYAWQEAAGQFAAAAAA==&#10;">
              <v:fill on="f" focussize="0,0"/>
              <v:stroke on="f" weight="1.25pt"/>
              <v:imagedata o:title=""/>
              <o:lock v:ext="edit" aspectratio="f"/>
              <v:textbox inset="0mm,0mm,0mm,0mm" style="mso-fit-shape-to-text:t;">
                <w:txbxContent>
                  <w:p w14:paraId="415B2C9C">
                    <w:pPr>
                      <w:pStyle w:val="33"/>
                      <w:rPr>
                        <w:rFonts w:eastAsia="宋体"/>
                      </w:rPr>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1D07D">
    <w:pPr>
      <w:pStyle w:val="33"/>
      <w:tabs>
        <w:tab w:val="left" w:pos="900"/>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0F5D753">
                          <w:pPr>
                            <w:pStyle w:val="33"/>
                            <w:rPr>
                              <w:rFonts w:eastAsia="宋体"/>
                            </w:rPr>
                          </w:pPr>
                          <w:r>
                            <w:fldChar w:fldCharType="begin"/>
                          </w:r>
                          <w:r>
                            <w:instrText xml:space="preserve"> PAGE  \* MERGEFORMAT </w:instrText>
                          </w:r>
                          <w:r>
                            <w:fldChar w:fldCharType="separate"/>
                          </w:r>
                          <w:r>
                            <w:t>43</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lGAj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yyT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glGAjQAQAApQMAAA4AAAAAAAAAAQAgAAAAIgEA&#10;AGRycy9lMm9Eb2MueG1sUEsFBgAAAAAGAAYAWQEAAGQFAAAAAA==&#10;">
              <v:fill on="f" focussize="0,0"/>
              <v:stroke on="f" weight="1.25pt"/>
              <v:imagedata o:title=""/>
              <o:lock v:ext="edit" aspectratio="f"/>
              <v:textbox inset="0mm,0mm,0mm,0mm" style="mso-fit-shape-to-text:t;">
                <w:txbxContent>
                  <w:p w14:paraId="30F5D753">
                    <w:pPr>
                      <w:pStyle w:val="33"/>
                      <w:rPr>
                        <w:rFonts w:eastAsia="宋体"/>
                      </w:rPr>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DE3D9">
    <w:pPr>
      <w:pStyle w:val="33"/>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841ED92">
                          <w:pPr>
                            <w:pStyle w:val="33"/>
                            <w:rPr>
                              <w:rFonts w:eastAsia="宋体"/>
                            </w:rPr>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yjzRAQAApQMAAA4AAABkcnMvZTJvRG9jLnhtbK1TS27bMBDd&#10;F8gdCO5jKQ6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3lJimcGBn358P/38&#10;ffr1jVwn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gso80QEAAKUDAAAOAAAAAAAAAAEAIAAAACIB&#10;AABkcnMvZTJvRG9jLnhtbFBLBQYAAAAABgAGAFkBAABlBQAAAAA=&#10;">
              <v:fill on="f" focussize="0,0"/>
              <v:stroke on="f" weight="1.25pt"/>
              <v:imagedata o:title=""/>
              <o:lock v:ext="edit" aspectratio="f"/>
              <v:textbox inset="0mm,0mm,0mm,0mm" style="mso-fit-shape-to-text:t;">
                <w:txbxContent>
                  <w:p w14:paraId="0841ED92">
                    <w:pPr>
                      <w:pStyle w:val="33"/>
                      <w:rPr>
                        <w:rFonts w:eastAsia="宋体"/>
                      </w:rPr>
                    </w:pPr>
                    <w:r>
                      <w:fldChar w:fldCharType="begin"/>
                    </w:r>
                    <w:r>
                      <w:instrText xml:space="preserve"> PAGE  \* MERGEFORMAT </w:instrText>
                    </w:r>
                    <w:r>
                      <w:fldChar w:fldCharType="separate"/>
                    </w:r>
                    <w:r>
                      <w:t>48</w:t>
                    </w:r>
                    <w:r>
                      <w:fldChar w:fldCharType="end"/>
                    </w:r>
                  </w:p>
                </w:txbxContent>
              </v:textbox>
            </v:shape>
          </w:pict>
        </mc:Fallback>
      </mc:AlternateContent>
    </w:r>
  </w:p>
  <w:p w14:paraId="5A32BDD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F872">
    <w:pPr>
      <w:pStyle w:val="33"/>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34C6656">
                          <w:pPr>
                            <w:pStyle w:val="33"/>
                            <w:rPr>
                              <w:rFonts w:eastAsia="宋体"/>
                            </w:rPr>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UWwW90QEAAKUDAAAOAAAAAAAAAAEAIAAAACIB&#10;AABkcnMvZTJvRG9jLnhtbFBLBQYAAAAABgAGAFkBAABlBQAAAAA=&#10;">
              <v:fill on="f" focussize="0,0"/>
              <v:stroke on="f" weight="1.25pt"/>
              <v:imagedata o:title=""/>
              <o:lock v:ext="edit" aspectratio="f"/>
              <v:textbox inset="0mm,0mm,0mm,0mm" style="mso-fit-shape-to-text:t;">
                <w:txbxContent>
                  <w:p w14:paraId="534C6656">
                    <w:pPr>
                      <w:pStyle w:val="33"/>
                      <w:rPr>
                        <w:rFonts w:eastAsia="宋体"/>
                      </w:rPr>
                    </w:pPr>
                    <w:r>
                      <w:fldChar w:fldCharType="begin"/>
                    </w:r>
                    <w:r>
                      <w:instrText xml:space="preserve"> PAGE  \* MERGEFORMAT </w:instrText>
                    </w:r>
                    <w:r>
                      <w:fldChar w:fldCharType="separate"/>
                    </w:r>
                    <w:r>
                      <w:t>71</w:t>
                    </w:r>
                    <w:r>
                      <w:fldChar w:fldCharType="end"/>
                    </w:r>
                  </w:p>
                </w:txbxContent>
              </v:textbox>
            </v:shape>
          </w:pict>
        </mc:Fallback>
      </mc:AlternateContent>
    </w:r>
  </w:p>
  <w:p w14:paraId="2CF5F31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E41EE">
    <w:pPr>
      <w:pStyle w:val="33"/>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51050A7">
                          <w:pPr>
                            <w:pStyle w:val="33"/>
                            <w:rPr>
                              <w:rFonts w:eastAsia="宋体"/>
                            </w:rPr>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H3IH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bFbZnDg518/z7//&#10;nv/8IKskT++hxqx7j3lx+OgGXJr5HvAysR5kMOmLfAjGUdzTRVwxRMJTUbWsqhJDHGOzg/jFY7kP&#10;EO+EMyQZDQ04vSwqO36GOKbOKek1626V1nmC2pIeUVfV+1WuuIQQXduULPIyTDiJ09h7suKwGyai&#10;O9eekGePC9FQi/tPif5kUe+0O7MRZmM3GQkf/IdDxIZynwl1hEJ+ycHpZabTpqX1eOrnrMe/a/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EoH3IHQAQAApQMAAA4AAAAAAAAAAQAgAAAAIgEA&#10;AGRycy9lMm9Eb2MueG1sUEsFBgAAAAAGAAYAWQEAAGQFAAAAAA==&#10;">
              <v:fill on="f" focussize="0,0"/>
              <v:stroke on="f" weight="1.25pt"/>
              <v:imagedata o:title=""/>
              <o:lock v:ext="edit" aspectratio="f"/>
              <v:textbox inset="0mm,0mm,0mm,0mm" style="mso-fit-shape-to-text:t;">
                <w:txbxContent>
                  <w:p w14:paraId="151050A7">
                    <w:pPr>
                      <w:pStyle w:val="33"/>
                      <w:rPr>
                        <w:rFonts w:eastAsia="宋体"/>
                      </w:rPr>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E387">
    <w:pPr>
      <w:pStyle w:val="3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CF958">
    <w:pPr>
      <w:pStyle w:val="35"/>
      <w:pBdr>
        <w:bottom w:val="none" w:color="auto" w:sz="0" w:space="1"/>
      </w:pBdr>
    </w:pPr>
  </w:p>
  <w:p w14:paraId="6A4E05BF">
    <w:pPr>
      <w:pStyle w:val="45"/>
      <w:tabs>
        <w:tab w:val="center" w:pos="4535"/>
        <w:tab w:val="right" w:pos="9070"/>
        <w:tab w:val="clear" w:pos="1200"/>
      </w:tabs>
      <w:spacing w:after="480"/>
      <w:ind w:left="1441" w:leftChars="686" w:firstLine="300" w:firstLineChars="1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0E5B">
    <w:pPr>
      <w:pStyle w:val="35"/>
      <w:pBdr>
        <w:bottom w:val="none" w:color="auto" w:sz="0" w:space="1"/>
      </w:pBdr>
      <w:jc w:val="right"/>
      <w:rPr>
        <w:rFonts w:ascii="仿宋_GB2312" w:eastAsia="仿宋_GB2312"/>
        <w:b/>
        <w:i/>
        <w:u w:val="single"/>
      </w:rPr>
    </w:pPr>
  </w:p>
  <w:p w14:paraId="76C647D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A7462">
    <w:pPr>
      <w:pStyle w:val="35"/>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206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B8DAF609"/>
    <w:multiLevelType w:val="singleLevel"/>
    <w:tmpl w:val="B8DAF609"/>
    <w:lvl w:ilvl="0" w:tentative="0">
      <w:start w:val="10"/>
      <w:numFmt w:val="chineseCounting"/>
      <w:suff w:val="nothing"/>
      <w:lvlText w:val="%1、"/>
      <w:lvlJc w:val="left"/>
      <w:rPr>
        <w:rFonts w:hint="eastAsia"/>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F3171111"/>
    <w:multiLevelType w:val="multilevel"/>
    <w:tmpl w:val="F3171111"/>
    <w:lvl w:ilvl="0" w:tentative="0">
      <w:start w:val="4"/>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leftChars="0" w:hanging="405" w:firstLineChars="0"/>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D6315F5"/>
    <w:multiLevelType w:val="singleLevel"/>
    <w:tmpl w:val="0D6315F5"/>
    <w:lvl w:ilvl="0" w:tentative="0">
      <w:start w:val="1"/>
      <w:numFmt w:val="decimal"/>
      <w:suff w:val="space"/>
      <w:lvlText w:val="%1."/>
      <w:lvlJc w:val="left"/>
    </w:lvl>
  </w:abstractNum>
  <w:abstractNum w:abstractNumId="7">
    <w:nsid w:val="1818B8E5"/>
    <w:multiLevelType w:val="multilevel"/>
    <w:tmpl w:val="1818B8E5"/>
    <w:lvl w:ilvl="0" w:tentative="0">
      <w:start w:val="1"/>
      <w:numFmt w:val="decimal"/>
      <w:lvlText w:val="%1."/>
      <w:lvlJc w:val="left"/>
      <w:pPr>
        <w:tabs>
          <w:tab w:val="left" w:pos="399"/>
        </w:tabs>
        <w:ind w:left="405" w:leftChars="0" w:hanging="405" w:firstLineChars="0"/>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4CF30369"/>
    <w:multiLevelType w:val="multilevel"/>
    <w:tmpl w:val="4CF30369"/>
    <w:lvl w:ilvl="0" w:tentative="0">
      <w:start w:val="1"/>
      <w:numFmt w:val="decimal"/>
      <w:lvlText w:val="%1."/>
      <w:lvlJc w:val="left"/>
      <w:pPr>
        <w:ind w:left="323" w:leftChars="0" w:hanging="323" w:firstLineChars="0"/>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leftChars="0" w:hanging="85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13F8985"/>
    <w:multiLevelType w:val="singleLevel"/>
    <w:tmpl w:val="513F8985"/>
    <w:lvl w:ilvl="0" w:tentative="0">
      <w:start w:val="1"/>
      <w:numFmt w:val="decimal"/>
      <w:lvlText w:val="(%1)"/>
      <w:lvlJc w:val="left"/>
      <w:pPr>
        <w:ind w:left="425" w:hanging="425"/>
      </w:pPr>
      <w:rPr>
        <w:rFonts w:hint="default"/>
      </w:rPr>
    </w:lvl>
  </w:abstractNum>
  <w:abstractNum w:abstractNumId="10">
    <w:nsid w:val="68BD6464"/>
    <w:multiLevelType w:val="multilevel"/>
    <w:tmpl w:val="68BD6464"/>
    <w:lvl w:ilvl="0" w:tentative="0">
      <w:start w:val="3"/>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6BCB5E2A"/>
    <w:multiLevelType w:val="singleLevel"/>
    <w:tmpl w:val="6BCB5E2A"/>
    <w:lvl w:ilvl="0" w:tentative="0">
      <w:start w:val="1"/>
      <w:numFmt w:val="decimal"/>
      <w:suff w:val="space"/>
      <w:lvlText w:val="%1."/>
      <w:lvlJc w:val="left"/>
    </w:lvl>
  </w:abstractNum>
  <w:num w:numId="1">
    <w:abstractNumId w:val="1"/>
  </w:num>
  <w:num w:numId="2">
    <w:abstractNumId w:val="3"/>
  </w:num>
  <w:num w:numId="3">
    <w:abstractNumId w:val="8"/>
  </w:num>
  <w:num w:numId="4">
    <w:abstractNumId w:val="0"/>
  </w:num>
  <w:num w:numId="5">
    <w:abstractNumId w:val="7"/>
  </w:num>
  <w:num w:numId="6">
    <w:abstractNumId w:val="10"/>
  </w:num>
  <w:num w:numId="7">
    <w:abstractNumId w:val="4"/>
  </w:num>
  <w:num w:numId="8">
    <w:abstractNumId w:val="5"/>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GExYzQ5NDk2OTJiODgzOWVmMWVlZmFhNWQ2ODcifQ=="/>
    <w:docVar w:name="KSO_WPS_MARK_KEY" w:val="15fc9457-032d-4820-a755-71fbbbcd9d9f"/>
  </w:docVars>
  <w:rsids>
    <w:rsidRoot w:val="00172A27"/>
    <w:rsid w:val="00000693"/>
    <w:rsid w:val="00000CB0"/>
    <w:rsid w:val="00001E56"/>
    <w:rsid w:val="0000396E"/>
    <w:rsid w:val="000041FD"/>
    <w:rsid w:val="00004478"/>
    <w:rsid w:val="00006FBB"/>
    <w:rsid w:val="00011AE8"/>
    <w:rsid w:val="000128E2"/>
    <w:rsid w:val="000151EB"/>
    <w:rsid w:val="00015A40"/>
    <w:rsid w:val="000173D9"/>
    <w:rsid w:val="00020EBC"/>
    <w:rsid w:val="00023C95"/>
    <w:rsid w:val="00024054"/>
    <w:rsid w:val="00026AFD"/>
    <w:rsid w:val="00033168"/>
    <w:rsid w:val="00033EE6"/>
    <w:rsid w:val="000364DE"/>
    <w:rsid w:val="00036535"/>
    <w:rsid w:val="000371E8"/>
    <w:rsid w:val="000445EB"/>
    <w:rsid w:val="00044C38"/>
    <w:rsid w:val="00045960"/>
    <w:rsid w:val="00046A23"/>
    <w:rsid w:val="00050BD9"/>
    <w:rsid w:val="00053E49"/>
    <w:rsid w:val="00054AB6"/>
    <w:rsid w:val="0005711D"/>
    <w:rsid w:val="00062E5D"/>
    <w:rsid w:val="00063A1A"/>
    <w:rsid w:val="00063C10"/>
    <w:rsid w:val="00065EDE"/>
    <w:rsid w:val="0006711B"/>
    <w:rsid w:val="0006742A"/>
    <w:rsid w:val="00067A80"/>
    <w:rsid w:val="00067D63"/>
    <w:rsid w:val="000740E5"/>
    <w:rsid w:val="000744B7"/>
    <w:rsid w:val="00074D21"/>
    <w:rsid w:val="0007753E"/>
    <w:rsid w:val="000776B6"/>
    <w:rsid w:val="00080EDD"/>
    <w:rsid w:val="0008108E"/>
    <w:rsid w:val="00082EC3"/>
    <w:rsid w:val="00084499"/>
    <w:rsid w:val="00086D73"/>
    <w:rsid w:val="00091E58"/>
    <w:rsid w:val="00093619"/>
    <w:rsid w:val="000960A4"/>
    <w:rsid w:val="000961B6"/>
    <w:rsid w:val="00096A49"/>
    <w:rsid w:val="000A26A0"/>
    <w:rsid w:val="000A7899"/>
    <w:rsid w:val="000B0696"/>
    <w:rsid w:val="000B5D16"/>
    <w:rsid w:val="000B7C98"/>
    <w:rsid w:val="000C296B"/>
    <w:rsid w:val="000C2F65"/>
    <w:rsid w:val="000C314E"/>
    <w:rsid w:val="000C7C36"/>
    <w:rsid w:val="000D021A"/>
    <w:rsid w:val="000D17E7"/>
    <w:rsid w:val="000D45A6"/>
    <w:rsid w:val="000D6467"/>
    <w:rsid w:val="000E5537"/>
    <w:rsid w:val="000F7411"/>
    <w:rsid w:val="00100AB6"/>
    <w:rsid w:val="0011022C"/>
    <w:rsid w:val="0011283B"/>
    <w:rsid w:val="00112CD4"/>
    <w:rsid w:val="00114CF3"/>
    <w:rsid w:val="00116F1F"/>
    <w:rsid w:val="00120DB1"/>
    <w:rsid w:val="001236DA"/>
    <w:rsid w:val="001307EB"/>
    <w:rsid w:val="00132794"/>
    <w:rsid w:val="00132FF2"/>
    <w:rsid w:val="00137837"/>
    <w:rsid w:val="0014060C"/>
    <w:rsid w:val="00140949"/>
    <w:rsid w:val="0014692D"/>
    <w:rsid w:val="001474A4"/>
    <w:rsid w:val="001503C2"/>
    <w:rsid w:val="001505B8"/>
    <w:rsid w:val="0015619F"/>
    <w:rsid w:val="0015799C"/>
    <w:rsid w:val="00163236"/>
    <w:rsid w:val="00163F29"/>
    <w:rsid w:val="00164FC3"/>
    <w:rsid w:val="0016537A"/>
    <w:rsid w:val="001662B9"/>
    <w:rsid w:val="00167D55"/>
    <w:rsid w:val="00172A27"/>
    <w:rsid w:val="00177349"/>
    <w:rsid w:val="00196AB7"/>
    <w:rsid w:val="001A1B64"/>
    <w:rsid w:val="001A2705"/>
    <w:rsid w:val="001A2D89"/>
    <w:rsid w:val="001A3C11"/>
    <w:rsid w:val="001A42DB"/>
    <w:rsid w:val="001A74D9"/>
    <w:rsid w:val="001B3D36"/>
    <w:rsid w:val="001B666B"/>
    <w:rsid w:val="001B7A47"/>
    <w:rsid w:val="001C1815"/>
    <w:rsid w:val="001C3846"/>
    <w:rsid w:val="001C3E5B"/>
    <w:rsid w:val="001C45D1"/>
    <w:rsid w:val="001C5282"/>
    <w:rsid w:val="001D028B"/>
    <w:rsid w:val="001D0DE0"/>
    <w:rsid w:val="001D2F82"/>
    <w:rsid w:val="001E035C"/>
    <w:rsid w:val="001E07E0"/>
    <w:rsid w:val="001F08E9"/>
    <w:rsid w:val="001F136F"/>
    <w:rsid w:val="001F4AAA"/>
    <w:rsid w:val="001F5FDA"/>
    <w:rsid w:val="002011AD"/>
    <w:rsid w:val="0020144A"/>
    <w:rsid w:val="00202D63"/>
    <w:rsid w:val="00202E28"/>
    <w:rsid w:val="00205FDC"/>
    <w:rsid w:val="00207AE5"/>
    <w:rsid w:val="00212A5F"/>
    <w:rsid w:val="00215C15"/>
    <w:rsid w:val="002161CA"/>
    <w:rsid w:val="00216329"/>
    <w:rsid w:val="00216906"/>
    <w:rsid w:val="00222740"/>
    <w:rsid w:val="00222F7A"/>
    <w:rsid w:val="00223F62"/>
    <w:rsid w:val="002261A8"/>
    <w:rsid w:val="0022730E"/>
    <w:rsid w:val="00231B07"/>
    <w:rsid w:val="00240555"/>
    <w:rsid w:val="00240D7E"/>
    <w:rsid w:val="002433D2"/>
    <w:rsid w:val="00244BE9"/>
    <w:rsid w:val="00252D74"/>
    <w:rsid w:val="00254D31"/>
    <w:rsid w:val="00255979"/>
    <w:rsid w:val="00255D75"/>
    <w:rsid w:val="002561BF"/>
    <w:rsid w:val="00260A47"/>
    <w:rsid w:val="00261C5B"/>
    <w:rsid w:val="00270D92"/>
    <w:rsid w:val="00271A3C"/>
    <w:rsid w:val="00273D40"/>
    <w:rsid w:val="00275D45"/>
    <w:rsid w:val="00276FA1"/>
    <w:rsid w:val="0027757B"/>
    <w:rsid w:val="00280335"/>
    <w:rsid w:val="002851C3"/>
    <w:rsid w:val="002868A7"/>
    <w:rsid w:val="002925D3"/>
    <w:rsid w:val="00297F15"/>
    <w:rsid w:val="002A0A4C"/>
    <w:rsid w:val="002A1790"/>
    <w:rsid w:val="002A4342"/>
    <w:rsid w:val="002A6597"/>
    <w:rsid w:val="002B35FC"/>
    <w:rsid w:val="002B5CC9"/>
    <w:rsid w:val="002B5F03"/>
    <w:rsid w:val="002B7F8B"/>
    <w:rsid w:val="002C0D02"/>
    <w:rsid w:val="002C2B43"/>
    <w:rsid w:val="002C3E6B"/>
    <w:rsid w:val="002C413D"/>
    <w:rsid w:val="002C4630"/>
    <w:rsid w:val="002D3FEA"/>
    <w:rsid w:val="002D6BB8"/>
    <w:rsid w:val="002D780C"/>
    <w:rsid w:val="002E4523"/>
    <w:rsid w:val="002E5354"/>
    <w:rsid w:val="002E6548"/>
    <w:rsid w:val="002E7540"/>
    <w:rsid w:val="002E78C0"/>
    <w:rsid w:val="002F1BCB"/>
    <w:rsid w:val="002F27F9"/>
    <w:rsid w:val="002F5751"/>
    <w:rsid w:val="002F716B"/>
    <w:rsid w:val="0030170F"/>
    <w:rsid w:val="00301A3B"/>
    <w:rsid w:val="0030358B"/>
    <w:rsid w:val="00310A86"/>
    <w:rsid w:val="00311BFC"/>
    <w:rsid w:val="00312338"/>
    <w:rsid w:val="003167FF"/>
    <w:rsid w:val="003217B8"/>
    <w:rsid w:val="003237D9"/>
    <w:rsid w:val="003309B8"/>
    <w:rsid w:val="0033361A"/>
    <w:rsid w:val="00337214"/>
    <w:rsid w:val="0033728A"/>
    <w:rsid w:val="00340FBD"/>
    <w:rsid w:val="00343EC5"/>
    <w:rsid w:val="00344E97"/>
    <w:rsid w:val="003458DD"/>
    <w:rsid w:val="00346FD6"/>
    <w:rsid w:val="003472F5"/>
    <w:rsid w:val="003510EC"/>
    <w:rsid w:val="003515A8"/>
    <w:rsid w:val="0035269E"/>
    <w:rsid w:val="00355298"/>
    <w:rsid w:val="00356AB6"/>
    <w:rsid w:val="00356B73"/>
    <w:rsid w:val="003577F6"/>
    <w:rsid w:val="00361C53"/>
    <w:rsid w:val="00362447"/>
    <w:rsid w:val="00371116"/>
    <w:rsid w:val="0037302D"/>
    <w:rsid w:val="00373515"/>
    <w:rsid w:val="00373E7F"/>
    <w:rsid w:val="00375001"/>
    <w:rsid w:val="00376577"/>
    <w:rsid w:val="00377D84"/>
    <w:rsid w:val="00380738"/>
    <w:rsid w:val="00383306"/>
    <w:rsid w:val="00384482"/>
    <w:rsid w:val="003846B2"/>
    <w:rsid w:val="00385E52"/>
    <w:rsid w:val="00387970"/>
    <w:rsid w:val="00391928"/>
    <w:rsid w:val="003919E1"/>
    <w:rsid w:val="00392692"/>
    <w:rsid w:val="00395172"/>
    <w:rsid w:val="003A0651"/>
    <w:rsid w:val="003A34DC"/>
    <w:rsid w:val="003A360E"/>
    <w:rsid w:val="003A48E1"/>
    <w:rsid w:val="003A7211"/>
    <w:rsid w:val="003B0B64"/>
    <w:rsid w:val="003B3663"/>
    <w:rsid w:val="003C1FBD"/>
    <w:rsid w:val="003C2091"/>
    <w:rsid w:val="003C2474"/>
    <w:rsid w:val="003C34D8"/>
    <w:rsid w:val="003C7DB6"/>
    <w:rsid w:val="003D0F5F"/>
    <w:rsid w:val="003D4FE5"/>
    <w:rsid w:val="003D62AA"/>
    <w:rsid w:val="003E078E"/>
    <w:rsid w:val="003E1944"/>
    <w:rsid w:val="003E3B36"/>
    <w:rsid w:val="003E445D"/>
    <w:rsid w:val="003E4D6D"/>
    <w:rsid w:val="003E76A2"/>
    <w:rsid w:val="003F03B2"/>
    <w:rsid w:val="003F19B5"/>
    <w:rsid w:val="003F1CA1"/>
    <w:rsid w:val="003F298D"/>
    <w:rsid w:val="003F58B4"/>
    <w:rsid w:val="003F710E"/>
    <w:rsid w:val="0040513D"/>
    <w:rsid w:val="004074F3"/>
    <w:rsid w:val="00410BB9"/>
    <w:rsid w:val="004137FD"/>
    <w:rsid w:val="00413EFB"/>
    <w:rsid w:val="00416D63"/>
    <w:rsid w:val="0041740B"/>
    <w:rsid w:val="00421230"/>
    <w:rsid w:val="004241E3"/>
    <w:rsid w:val="00424FA0"/>
    <w:rsid w:val="004278F1"/>
    <w:rsid w:val="004279A4"/>
    <w:rsid w:val="0043095A"/>
    <w:rsid w:val="00431055"/>
    <w:rsid w:val="00433B4B"/>
    <w:rsid w:val="0043486C"/>
    <w:rsid w:val="00436CA8"/>
    <w:rsid w:val="00437005"/>
    <w:rsid w:val="00452379"/>
    <w:rsid w:val="004535C1"/>
    <w:rsid w:val="00455128"/>
    <w:rsid w:val="0046312D"/>
    <w:rsid w:val="004652D2"/>
    <w:rsid w:val="004663CB"/>
    <w:rsid w:val="0047157C"/>
    <w:rsid w:val="00471CFD"/>
    <w:rsid w:val="00474574"/>
    <w:rsid w:val="004814E7"/>
    <w:rsid w:val="0048307C"/>
    <w:rsid w:val="004921BB"/>
    <w:rsid w:val="004943B1"/>
    <w:rsid w:val="004A1324"/>
    <w:rsid w:val="004A14C9"/>
    <w:rsid w:val="004A2A96"/>
    <w:rsid w:val="004A3F59"/>
    <w:rsid w:val="004A51F3"/>
    <w:rsid w:val="004B212A"/>
    <w:rsid w:val="004B2422"/>
    <w:rsid w:val="004C0F6C"/>
    <w:rsid w:val="004C3143"/>
    <w:rsid w:val="004C3774"/>
    <w:rsid w:val="004C636A"/>
    <w:rsid w:val="004D09F0"/>
    <w:rsid w:val="004D1FE1"/>
    <w:rsid w:val="004D4D0B"/>
    <w:rsid w:val="004E0204"/>
    <w:rsid w:val="004E0815"/>
    <w:rsid w:val="004E2CF8"/>
    <w:rsid w:val="004F010A"/>
    <w:rsid w:val="004F220B"/>
    <w:rsid w:val="004F29EC"/>
    <w:rsid w:val="004F2FE1"/>
    <w:rsid w:val="004F3A58"/>
    <w:rsid w:val="004F54AA"/>
    <w:rsid w:val="004F550E"/>
    <w:rsid w:val="004F653D"/>
    <w:rsid w:val="00500F82"/>
    <w:rsid w:val="00505E44"/>
    <w:rsid w:val="005100A3"/>
    <w:rsid w:val="0052516E"/>
    <w:rsid w:val="00527334"/>
    <w:rsid w:val="00527F3E"/>
    <w:rsid w:val="00542801"/>
    <w:rsid w:val="0054542F"/>
    <w:rsid w:val="005465D1"/>
    <w:rsid w:val="00550C9D"/>
    <w:rsid w:val="0055186A"/>
    <w:rsid w:val="00554D43"/>
    <w:rsid w:val="00556628"/>
    <w:rsid w:val="00565B42"/>
    <w:rsid w:val="00566AEF"/>
    <w:rsid w:val="005671D0"/>
    <w:rsid w:val="00572057"/>
    <w:rsid w:val="005730A2"/>
    <w:rsid w:val="00575415"/>
    <w:rsid w:val="00577D97"/>
    <w:rsid w:val="00585068"/>
    <w:rsid w:val="005923FB"/>
    <w:rsid w:val="0059694F"/>
    <w:rsid w:val="005A1025"/>
    <w:rsid w:val="005A19B1"/>
    <w:rsid w:val="005A325F"/>
    <w:rsid w:val="005A4A6C"/>
    <w:rsid w:val="005A5089"/>
    <w:rsid w:val="005B5322"/>
    <w:rsid w:val="005C1A23"/>
    <w:rsid w:val="005C1AB3"/>
    <w:rsid w:val="005C57E0"/>
    <w:rsid w:val="005C5869"/>
    <w:rsid w:val="005D3123"/>
    <w:rsid w:val="005D5AA2"/>
    <w:rsid w:val="005D7F80"/>
    <w:rsid w:val="005E0958"/>
    <w:rsid w:val="005E181F"/>
    <w:rsid w:val="005E6149"/>
    <w:rsid w:val="005F4032"/>
    <w:rsid w:val="00600A3F"/>
    <w:rsid w:val="00602112"/>
    <w:rsid w:val="00602465"/>
    <w:rsid w:val="00603844"/>
    <w:rsid w:val="00612BAB"/>
    <w:rsid w:val="00612C94"/>
    <w:rsid w:val="00613CC5"/>
    <w:rsid w:val="00614865"/>
    <w:rsid w:val="00616459"/>
    <w:rsid w:val="006169F8"/>
    <w:rsid w:val="00620666"/>
    <w:rsid w:val="006237B1"/>
    <w:rsid w:val="00623EAF"/>
    <w:rsid w:val="0062725D"/>
    <w:rsid w:val="0063089E"/>
    <w:rsid w:val="00633363"/>
    <w:rsid w:val="00633EE9"/>
    <w:rsid w:val="006357EE"/>
    <w:rsid w:val="006358C5"/>
    <w:rsid w:val="0064230B"/>
    <w:rsid w:val="006430A0"/>
    <w:rsid w:val="0064529F"/>
    <w:rsid w:val="00646EED"/>
    <w:rsid w:val="00652C80"/>
    <w:rsid w:val="00652C89"/>
    <w:rsid w:val="006636FB"/>
    <w:rsid w:val="0066425D"/>
    <w:rsid w:val="00670568"/>
    <w:rsid w:val="00675EBC"/>
    <w:rsid w:val="00677BE4"/>
    <w:rsid w:val="006802A2"/>
    <w:rsid w:val="006907C1"/>
    <w:rsid w:val="0069218D"/>
    <w:rsid w:val="006939FC"/>
    <w:rsid w:val="006948D7"/>
    <w:rsid w:val="00697C01"/>
    <w:rsid w:val="006A1BBD"/>
    <w:rsid w:val="006A232A"/>
    <w:rsid w:val="006A31F3"/>
    <w:rsid w:val="006A5767"/>
    <w:rsid w:val="006B43BE"/>
    <w:rsid w:val="006B55CD"/>
    <w:rsid w:val="006B7043"/>
    <w:rsid w:val="006C1236"/>
    <w:rsid w:val="006C5936"/>
    <w:rsid w:val="006C6366"/>
    <w:rsid w:val="006D1682"/>
    <w:rsid w:val="006D1F6D"/>
    <w:rsid w:val="006D3A10"/>
    <w:rsid w:val="006D753A"/>
    <w:rsid w:val="006E1167"/>
    <w:rsid w:val="006E284A"/>
    <w:rsid w:val="006E2A6C"/>
    <w:rsid w:val="006E3886"/>
    <w:rsid w:val="006E4B6B"/>
    <w:rsid w:val="006F15FC"/>
    <w:rsid w:val="006F27C9"/>
    <w:rsid w:val="006F3E6E"/>
    <w:rsid w:val="006F4AC7"/>
    <w:rsid w:val="006F6A39"/>
    <w:rsid w:val="006F6D41"/>
    <w:rsid w:val="00700BC8"/>
    <w:rsid w:val="0070194D"/>
    <w:rsid w:val="007031BD"/>
    <w:rsid w:val="007060EC"/>
    <w:rsid w:val="007112C6"/>
    <w:rsid w:val="0071174F"/>
    <w:rsid w:val="00714842"/>
    <w:rsid w:val="0071519C"/>
    <w:rsid w:val="007206D2"/>
    <w:rsid w:val="00720826"/>
    <w:rsid w:val="00722C13"/>
    <w:rsid w:val="00722E58"/>
    <w:rsid w:val="007239AA"/>
    <w:rsid w:val="00723BA4"/>
    <w:rsid w:val="007347A8"/>
    <w:rsid w:val="00734FB0"/>
    <w:rsid w:val="00736912"/>
    <w:rsid w:val="007477CE"/>
    <w:rsid w:val="00750320"/>
    <w:rsid w:val="007524E0"/>
    <w:rsid w:val="00753344"/>
    <w:rsid w:val="007536BE"/>
    <w:rsid w:val="007539DE"/>
    <w:rsid w:val="00754522"/>
    <w:rsid w:val="00755513"/>
    <w:rsid w:val="007606DF"/>
    <w:rsid w:val="00760BAB"/>
    <w:rsid w:val="00764575"/>
    <w:rsid w:val="007704B1"/>
    <w:rsid w:val="007704D8"/>
    <w:rsid w:val="00772D82"/>
    <w:rsid w:val="00775D40"/>
    <w:rsid w:val="0077691E"/>
    <w:rsid w:val="00781837"/>
    <w:rsid w:val="00782352"/>
    <w:rsid w:val="007823CF"/>
    <w:rsid w:val="00785412"/>
    <w:rsid w:val="00792D0A"/>
    <w:rsid w:val="0079652A"/>
    <w:rsid w:val="007A13A6"/>
    <w:rsid w:val="007A5DE1"/>
    <w:rsid w:val="007B2FD0"/>
    <w:rsid w:val="007B3A50"/>
    <w:rsid w:val="007C552C"/>
    <w:rsid w:val="007C69C5"/>
    <w:rsid w:val="007D22C7"/>
    <w:rsid w:val="007D3403"/>
    <w:rsid w:val="007D5983"/>
    <w:rsid w:val="007D5F7A"/>
    <w:rsid w:val="007E1963"/>
    <w:rsid w:val="007E380E"/>
    <w:rsid w:val="007E4E1F"/>
    <w:rsid w:val="007F0641"/>
    <w:rsid w:val="007F2E55"/>
    <w:rsid w:val="007F5CA2"/>
    <w:rsid w:val="0080136F"/>
    <w:rsid w:val="0080168E"/>
    <w:rsid w:val="008049C7"/>
    <w:rsid w:val="00806699"/>
    <w:rsid w:val="00807C1C"/>
    <w:rsid w:val="00811AE1"/>
    <w:rsid w:val="00813D33"/>
    <w:rsid w:val="00817233"/>
    <w:rsid w:val="00823BDB"/>
    <w:rsid w:val="008249DC"/>
    <w:rsid w:val="008249DD"/>
    <w:rsid w:val="0082579B"/>
    <w:rsid w:val="00827882"/>
    <w:rsid w:val="00831073"/>
    <w:rsid w:val="00831871"/>
    <w:rsid w:val="00831C85"/>
    <w:rsid w:val="008340DA"/>
    <w:rsid w:val="00834AEB"/>
    <w:rsid w:val="00835279"/>
    <w:rsid w:val="00843933"/>
    <w:rsid w:val="008523D4"/>
    <w:rsid w:val="008561C8"/>
    <w:rsid w:val="00863B15"/>
    <w:rsid w:val="0086431F"/>
    <w:rsid w:val="00866FE0"/>
    <w:rsid w:val="00873832"/>
    <w:rsid w:val="00882251"/>
    <w:rsid w:val="0088474D"/>
    <w:rsid w:val="00886E7D"/>
    <w:rsid w:val="00886E83"/>
    <w:rsid w:val="008877CA"/>
    <w:rsid w:val="00890235"/>
    <w:rsid w:val="008928ED"/>
    <w:rsid w:val="00893C95"/>
    <w:rsid w:val="0089426F"/>
    <w:rsid w:val="008957F8"/>
    <w:rsid w:val="00896DBE"/>
    <w:rsid w:val="00897B38"/>
    <w:rsid w:val="008A0D51"/>
    <w:rsid w:val="008A27A6"/>
    <w:rsid w:val="008A2DFE"/>
    <w:rsid w:val="008A58C0"/>
    <w:rsid w:val="008B2B43"/>
    <w:rsid w:val="008B365F"/>
    <w:rsid w:val="008B5440"/>
    <w:rsid w:val="008B6EF3"/>
    <w:rsid w:val="008C194F"/>
    <w:rsid w:val="008C3443"/>
    <w:rsid w:val="008C4537"/>
    <w:rsid w:val="008C4BC7"/>
    <w:rsid w:val="008C597D"/>
    <w:rsid w:val="008C6342"/>
    <w:rsid w:val="008C7B40"/>
    <w:rsid w:val="008D0582"/>
    <w:rsid w:val="008D38ED"/>
    <w:rsid w:val="008D3C24"/>
    <w:rsid w:val="008E1482"/>
    <w:rsid w:val="008E1AD7"/>
    <w:rsid w:val="008E2546"/>
    <w:rsid w:val="008E3E0C"/>
    <w:rsid w:val="008E637C"/>
    <w:rsid w:val="008E63ED"/>
    <w:rsid w:val="008F38D9"/>
    <w:rsid w:val="008F7D01"/>
    <w:rsid w:val="00902DA8"/>
    <w:rsid w:val="00904A11"/>
    <w:rsid w:val="009072E5"/>
    <w:rsid w:val="00910F4C"/>
    <w:rsid w:val="00917251"/>
    <w:rsid w:val="00917B9E"/>
    <w:rsid w:val="00917D8D"/>
    <w:rsid w:val="00921D9A"/>
    <w:rsid w:val="009221B0"/>
    <w:rsid w:val="00924071"/>
    <w:rsid w:val="00930024"/>
    <w:rsid w:val="00932140"/>
    <w:rsid w:val="00932BD4"/>
    <w:rsid w:val="0093363C"/>
    <w:rsid w:val="0093430C"/>
    <w:rsid w:val="00934CB3"/>
    <w:rsid w:val="009353C6"/>
    <w:rsid w:val="0093710F"/>
    <w:rsid w:val="00937E5F"/>
    <w:rsid w:val="00941770"/>
    <w:rsid w:val="009432AF"/>
    <w:rsid w:val="009506F2"/>
    <w:rsid w:val="00950B8B"/>
    <w:rsid w:val="00953BD5"/>
    <w:rsid w:val="00955C4D"/>
    <w:rsid w:val="0095633B"/>
    <w:rsid w:val="00956499"/>
    <w:rsid w:val="00957596"/>
    <w:rsid w:val="009677C0"/>
    <w:rsid w:val="00970C02"/>
    <w:rsid w:val="00971B09"/>
    <w:rsid w:val="00972F0D"/>
    <w:rsid w:val="00973D4B"/>
    <w:rsid w:val="00975676"/>
    <w:rsid w:val="00981962"/>
    <w:rsid w:val="00990003"/>
    <w:rsid w:val="00991B32"/>
    <w:rsid w:val="009937E4"/>
    <w:rsid w:val="0099473A"/>
    <w:rsid w:val="00997B4B"/>
    <w:rsid w:val="009A0651"/>
    <w:rsid w:val="009A2BF5"/>
    <w:rsid w:val="009A5E7E"/>
    <w:rsid w:val="009A5F06"/>
    <w:rsid w:val="009B2C10"/>
    <w:rsid w:val="009B3BC2"/>
    <w:rsid w:val="009B589E"/>
    <w:rsid w:val="009B59D2"/>
    <w:rsid w:val="009C0591"/>
    <w:rsid w:val="009C090E"/>
    <w:rsid w:val="009C0E6D"/>
    <w:rsid w:val="009C1567"/>
    <w:rsid w:val="009C33D5"/>
    <w:rsid w:val="009C56CE"/>
    <w:rsid w:val="009C5B37"/>
    <w:rsid w:val="009C67E9"/>
    <w:rsid w:val="009C797E"/>
    <w:rsid w:val="009D0543"/>
    <w:rsid w:val="009D0DDC"/>
    <w:rsid w:val="009D1220"/>
    <w:rsid w:val="009D25EA"/>
    <w:rsid w:val="009D7429"/>
    <w:rsid w:val="009D7EFB"/>
    <w:rsid w:val="009E060E"/>
    <w:rsid w:val="009E20C5"/>
    <w:rsid w:val="009E281B"/>
    <w:rsid w:val="009E29F7"/>
    <w:rsid w:val="009E4950"/>
    <w:rsid w:val="009F206D"/>
    <w:rsid w:val="009F2627"/>
    <w:rsid w:val="009F3DCA"/>
    <w:rsid w:val="009F4908"/>
    <w:rsid w:val="009F557F"/>
    <w:rsid w:val="009F7369"/>
    <w:rsid w:val="009F78C8"/>
    <w:rsid w:val="00A00775"/>
    <w:rsid w:val="00A02ABC"/>
    <w:rsid w:val="00A03707"/>
    <w:rsid w:val="00A047AA"/>
    <w:rsid w:val="00A04A75"/>
    <w:rsid w:val="00A04F8F"/>
    <w:rsid w:val="00A10C7D"/>
    <w:rsid w:val="00A1343F"/>
    <w:rsid w:val="00A21BFB"/>
    <w:rsid w:val="00A23CA2"/>
    <w:rsid w:val="00A24A90"/>
    <w:rsid w:val="00A2501C"/>
    <w:rsid w:val="00A33282"/>
    <w:rsid w:val="00A33491"/>
    <w:rsid w:val="00A34D63"/>
    <w:rsid w:val="00A34F2B"/>
    <w:rsid w:val="00A36443"/>
    <w:rsid w:val="00A412F8"/>
    <w:rsid w:val="00A44745"/>
    <w:rsid w:val="00A50C08"/>
    <w:rsid w:val="00A57527"/>
    <w:rsid w:val="00A64A15"/>
    <w:rsid w:val="00A702A9"/>
    <w:rsid w:val="00A70D13"/>
    <w:rsid w:val="00A73497"/>
    <w:rsid w:val="00A75327"/>
    <w:rsid w:val="00A8066B"/>
    <w:rsid w:val="00A80F56"/>
    <w:rsid w:val="00A92FFB"/>
    <w:rsid w:val="00A93FC0"/>
    <w:rsid w:val="00A94D98"/>
    <w:rsid w:val="00A94F6C"/>
    <w:rsid w:val="00A97D06"/>
    <w:rsid w:val="00AA190E"/>
    <w:rsid w:val="00AA410D"/>
    <w:rsid w:val="00AA6793"/>
    <w:rsid w:val="00AA7912"/>
    <w:rsid w:val="00AB1869"/>
    <w:rsid w:val="00AB1E3E"/>
    <w:rsid w:val="00AC0163"/>
    <w:rsid w:val="00AC0256"/>
    <w:rsid w:val="00AC2B0D"/>
    <w:rsid w:val="00AC5D27"/>
    <w:rsid w:val="00AC5E3E"/>
    <w:rsid w:val="00AD1B07"/>
    <w:rsid w:val="00AD4DAB"/>
    <w:rsid w:val="00AD5656"/>
    <w:rsid w:val="00AD77EE"/>
    <w:rsid w:val="00AE0282"/>
    <w:rsid w:val="00AE1009"/>
    <w:rsid w:val="00AE1A20"/>
    <w:rsid w:val="00AE4E6E"/>
    <w:rsid w:val="00AE5958"/>
    <w:rsid w:val="00AF341D"/>
    <w:rsid w:val="00B00363"/>
    <w:rsid w:val="00B012CD"/>
    <w:rsid w:val="00B01301"/>
    <w:rsid w:val="00B01644"/>
    <w:rsid w:val="00B04046"/>
    <w:rsid w:val="00B0444C"/>
    <w:rsid w:val="00B057FD"/>
    <w:rsid w:val="00B06D74"/>
    <w:rsid w:val="00B12E13"/>
    <w:rsid w:val="00B14E38"/>
    <w:rsid w:val="00B1695A"/>
    <w:rsid w:val="00B234C2"/>
    <w:rsid w:val="00B23F78"/>
    <w:rsid w:val="00B27DD7"/>
    <w:rsid w:val="00B330B3"/>
    <w:rsid w:val="00B345BB"/>
    <w:rsid w:val="00B35E3D"/>
    <w:rsid w:val="00B37663"/>
    <w:rsid w:val="00B46A67"/>
    <w:rsid w:val="00B46D44"/>
    <w:rsid w:val="00B5153E"/>
    <w:rsid w:val="00B51E27"/>
    <w:rsid w:val="00B53656"/>
    <w:rsid w:val="00B63DF2"/>
    <w:rsid w:val="00B65DFA"/>
    <w:rsid w:val="00B700E2"/>
    <w:rsid w:val="00B71FCC"/>
    <w:rsid w:val="00B7334B"/>
    <w:rsid w:val="00B750BD"/>
    <w:rsid w:val="00B8058F"/>
    <w:rsid w:val="00B8103A"/>
    <w:rsid w:val="00B83E0D"/>
    <w:rsid w:val="00B85CD0"/>
    <w:rsid w:val="00B878F6"/>
    <w:rsid w:val="00B92CBD"/>
    <w:rsid w:val="00B92F23"/>
    <w:rsid w:val="00B96E56"/>
    <w:rsid w:val="00BA10CB"/>
    <w:rsid w:val="00BA1E0D"/>
    <w:rsid w:val="00BA30BC"/>
    <w:rsid w:val="00BA577A"/>
    <w:rsid w:val="00BA64EB"/>
    <w:rsid w:val="00BA78D7"/>
    <w:rsid w:val="00BB2521"/>
    <w:rsid w:val="00BB4518"/>
    <w:rsid w:val="00BB6771"/>
    <w:rsid w:val="00BC170D"/>
    <w:rsid w:val="00BC46F3"/>
    <w:rsid w:val="00BC518A"/>
    <w:rsid w:val="00BD10F2"/>
    <w:rsid w:val="00BD2331"/>
    <w:rsid w:val="00BD2D21"/>
    <w:rsid w:val="00BE4640"/>
    <w:rsid w:val="00BE4F5F"/>
    <w:rsid w:val="00BF40B3"/>
    <w:rsid w:val="00BF5027"/>
    <w:rsid w:val="00C022FB"/>
    <w:rsid w:val="00C056B3"/>
    <w:rsid w:val="00C06B0F"/>
    <w:rsid w:val="00C105E7"/>
    <w:rsid w:val="00C12F00"/>
    <w:rsid w:val="00C1372F"/>
    <w:rsid w:val="00C13CF4"/>
    <w:rsid w:val="00C146B3"/>
    <w:rsid w:val="00C14E03"/>
    <w:rsid w:val="00C15D7E"/>
    <w:rsid w:val="00C17F0A"/>
    <w:rsid w:val="00C239C7"/>
    <w:rsid w:val="00C33DC5"/>
    <w:rsid w:val="00C346E8"/>
    <w:rsid w:val="00C36642"/>
    <w:rsid w:val="00C3672B"/>
    <w:rsid w:val="00C36CB6"/>
    <w:rsid w:val="00C379B8"/>
    <w:rsid w:val="00C37ACA"/>
    <w:rsid w:val="00C40DE5"/>
    <w:rsid w:val="00C43D33"/>
    <w:rsid w:val="00C43E3F"/>
    <w:rsid w:val="00C45A11"/>
    <w:rsid w:val="00C4636D"/>
    <w:rsid w:val="00C5391A"/>
    <w:rsid w:val="00C54003"/>
    <w:rsid w:val="00C568C3"/>
    <w:rsid w:val="00C623D9"/>
    <w:rsid w:val="00C708E4"/>
    <w:rsid w:val="00C747A1"/>
    <w:rsid w:val="00C76B54"/>
    <w:rsid w:val="00C76F02"/>
    <w:rsid w:val="00C77444"/>
    <w:rsid w:val="00C80386"/>
    <w:rsid w:val="00C81CE0"/>
    <w:rsid w:val="00C83733"/>
    <w:rsid w:val="00C85117"/>
    <w:rsid w:val="00C85FC2"/>
    <w:rsid w:val="00C9094B"/>
    <w:rsid w:val="00C90DED"/>
    <w:rsid w:val="00C91CF0"/>
    <w:rsid w:val="00C95402"/>
    <w:rsid w:val="00CA4188"/>
    <w:rsid w:val="00CA4F76"/>
    <w:rsid w:val="00CA5C47"/>
    <w:rsid w:val="00CA64AB"/>
    <w:rsid w:val="00CB1099"/>
    <w:rsid w:val="00CB22AE"/>
    <w:rsid w:val="00CB5D2B"/>
    <w:rsid w:val="00CB6394"/>
    <w:rsid w:val="00CB705B"/>
    <w:rsid w:val="00CB7A0A"/>
    <w:rsid w:val="00CC089A"/>
    <w:rsid w:val="00CC09DA"/>
    <w:rsid w:val="00CC1307"/>
    <w:rsid w:val="00CC1AE6"/>
    <w:rsid w:val="00CC1D10"/>
    <w:rsid w:val="00CC6586"/>
    <w:rsid w:val="00CC7090"/>
    <w:rsid w:val="00CD00BB"/>
    <w:rsid w:val="00CD0199"/>
    <w:rsid w:val="00CD4ED5"/>
    <w:rsid w:val="00CD6124"/>
    <w:rsid w:val="00CE70F7"/>
    <w:rsid w:val="00CE78DD"/>
    <w:rsid w:val="00CF365B"/>
    <w:rsid w:val="00CF4CC8"/>
    <w:rsid w:val="00CF77A8"/>
    <w:rsid w:val="00D027DA"/>
    <w:rsid w:val="00D0540A"/>
    <w:rsid w:val="00D05FAF"/>
    <w:rsid w:val="00D11F79"/>
    <w:rsid w:val="00D1761F"/>
    <w:rsid w:val="00D20019"/>
    <w:rsid w:val="00D20B54"/>
    <w:rsid w:val="00D2195C"/>
    <w:rsid w:val="00D227EA"/>
    <w:rsid w:val="00D2534B"/>
    <w:rsid w:val="00D26CA6"/>
    <w:rsid w:val="00D3126C"/>
    <w:rsid w:val="00D31DA9"/>
    <w:rsid w:val="00D3350D"/>
    <w:rsid w:val="00D34B9F"/>
    <w:rsid w:val="00D35A66"/>
    <w:rsid w:val="00D35E8E"/>
    <w:rsid w:val="00D36681"/>
    <w:rsid w:val="00D42BD4"/>
    <w:rsid w:val="00D439A9"/>
    <w:rsid w:val="00D457B6"/>
    <w:rsid w:val="00D515D2"/>
    <w:rsid w:val="00D61159"/>
    <w:rsid w:val="00D61F52"/>
    <w:rsid w:val="00D62ED8"/>
    <w:rsid w:val="00D65057"/>
    <w:rsid w:val="00D70C12"/>
    <w:rsid w:val="00D71BDF"/>
    <w:rsid w:val="00D71F9C"/>
    <w:rsid w:val="00D755AB"/>
    <w:rsid w:val="00D75C8A"/>
    <w:rsid w:val="00D85686"/>
    <w:rsid w:val="00D92A03"/>
    <w:rsid w:val="00D95431"/>
    <w:rsid w:val="00D97C70"/>
    <w:rsid w:val="00DA0114"/>
    <w:rsid w:val="00DA2635"/>
    <w:rsid w:val="00DA289C"/>
    <w:rsid w:val="00DA692B"/>
    <w:rsid w:val="00DB1250"/>
    <w:rsid w:val="00DB3BE4"/>
    <w:rsid w:val="00DC2D9B"/>
    <w:rsid w:val="00DC3E7C"/>
    <w:rsid w:val="00DC518F"/>
    <w:rsid w:val="00DC7119"/>
    <w:rsid w:val="00DC71BF"/>
    <w:rsid w:val="00DD12E1"/>
    <w:rsid w:val="00DD1A81"/>
    <w:rsid w:val="00DD699C"/>
    <w:rsid w:val="00DE01F1"/>
    <w:rsid w:val="00DE7222"/>
    <w:rsid w:val="00DF070C"/>
    <w:rsid w:val="00DF2E31"/>
    <w:rsid w:val="00DF4AA0"/>
    <w:rsid w:val="00DF56AD"/>
    <w:rsid w:val="00DF5723"/>
    <w:rsid w:val="00E00A58"/>
    <w:rsid w:val="00E01F08"/>
    <w:rsid w:val="00E03B78"/>
    <w:rsid w:val="00E04E07"/>
    <w:rsid w:val="00E05071"/>
    <w:rsid w:val="00E0708F"/>
    <w:rsid w:val="00E131F7"/>
    <w:rsid w:val="00E15D29"/>
    <w:rsid w:val="00E16921"/>
    <w:rsid w:val="00E169CF"/>
    <w:rsid w:val="00E16BA3"/>
    <w:rsid w:val="00E20818"/>
    <w:rsid w:val="00E23444"/>
    <w:rsid w:val="00E25909"/>
    <w:rsid w:val="00E260E6"/>
    <w:rsid w:val="00E27795"/>
    <w:rsid w:val="00E30990"/>
    <w:rsid w:val="00E309C7"/>
    <w:rsid w:val="00E32D71"/>
    <w:rsid w:val="00E3691C"/>
    <w:rsid w:val="00E41D4E"/>
    <w:rsid w:val="00E41F23"/>
    <w:rsid w:val="00E42E5E"/>
    <w:rsid w:val="00E42F2B"/>
    <w:rsid w:val="00E43723"/>
    <w:rsid w:val="00E438FF"/>
    <w:rsid w:val="00E43DC1"/>
    <w:rsid w:val="00E465CF"/>
    <w:rsid w:val="00E50A45"/>
    <w:rsid w:val="00E50AC6"/>
    <w:rsid w:val="00E53716"/>
    <w:rsid w:val="00E56245"/>
    <w:rsid w:val="00E568CF"/>
    <w:rsid w:val="00E61F24"/>
    <w:rsid w:val="00E631AC"/>
    <w:rsid w:val="00E63BF1"/>
    <w:rsid w:val="00E63DB4"/>
    <w:rsid w:val="00E63FAF"/>
    <w:rsid w:val="00E716A6"/>
    <w:rsid w:val="00E7367E"/>
    <w:rsid w:val="00E76F26"/>
    <w:rsid w:val="00E81D48"/>
    <w:rsid w:val="00E83604"/>
    <w:rsid w:val="00E901C8"/>
    <w:rsid w:val="00E90AD7"/>
    <w:rsid w:val="00E90F53"/>
    <w:rsid w:val="00E93E0F"/>
    <w:rsid w:val="00E94094"/>
    <w:rsid w:val="00E941BD"/>
    <w:rsid w:val="00EA55DA"/>
    <w:rsid w:val="00EA717C"/>
    <w:rsid w:val="00EB1799"/>
    <w:rsid w:val="00EB17DC"/>
    <w:rsid w:val="00EC359A"/>
    <w:rsid w:val="00EC4FF2"/>
    <w:rsid w:val="00ED0811"/>
    <w:rsid w:val="00ED23D6"/>
    <w:rsid w:val="00ED2A0D"/>
    <w:rsid w:val="00ED581F"/>
    <w:rsid w:val="00ED7E04"/>
    <w:rsid w:val="00EE2187"/>
    <w:rsid w:val="00EE5966"/>
    <w:rsid w:val="00EF1462"/>
    <w:rsid w:val="00EF222F"/>
    <w:rsid w:val="00EF231F"/>
    <w:rsid w:val="00EF2A1A"/>
    <w:rsid w:val="00EF502F"/>
    <w:rsid w:val="00F04998"/>
    <w:rsid w:val="00F057E6"/>
    <w:rsid w:val="00F05FFE"/>
    <w:rsid w:val="00F11557"/>
    <w:rsid w:val="00F1486C"/>
    <w:rsid w:val="00F16532"/>
    <w:rsid w:val="00F173C6"/>
    <w:rsid w:val="00F17641"/>
    <w:rsid w:val="00F20DC4"/>
    <w:rsid w:val="00F251D9"/>
    <w:rsid w:val="00F263DC"/>
    <w:rsid w:val="00F27055"/>
    <w:rsid w:val="00F32409"/>
    <w:rsid w:val="00F3248B"/>
    <w:rsid w:val="00F3307C"/>
    <w:rsid w:val="00F33F05"/>
    <w:rsid w:val="00F36DFF"/>
    <w:rsid w:val="00F3767D"/>
    <w:rsid w:val="00F37FDF"/>
    <w:rsid w:val="00F42052"/>
    <w:rsid w:val="00F46ECA"/>
    <w:rsid w:val="00F52B2E"/>
    <w:rsid w:val="00F53CE7"/>
    <w:rsid w:val="00F548C4"/>
    <w:rsid w:val="00F5592B"/>
    <w:rsid w:val="00F6312D"/>
    <w:rsid w:val="00F64AA5"/>
    <w:rsid w:val="00F6671F"/>
    <w:rsid w:val="00F67079"/>
    <w:rsid w:val="00F723A9"/>
    <w:rsid w:val="00F75EB6"/>
    <w:rsid w:val="00F804AD"/>
    <w:rsid w:val="00F8405C"/>
    <w:rsid w:val="00F8490D"/>
    <w:rsid w:val="00F84D4B"/>
    <w:rsid w:val="00F86D16"/>
    <w:rsid w:val="00F93265"/>
    <w:rsid w:val="00F93EFE"/>
    <w:rsid w:val="00F96135"/>
    <w:rsid w:val="00FA18E4"/>
    <w:rsid w:val="00FA1C44"/>
    <w:rsid w:val="00FA348E"/>
    <w:rsid w:val="00FA3B25"/>
    <w:rsid w:val="00FB2B49"/>
    <w:rsid w:val="00FB352D"/>
    <w:rsid w:val="00FB4431"/>
    <w:rsid w:val="00FB6DBC"/>
    <w:rsid w:val="00FC1946"/>
    <w:rsid w:val="00FC38CF"/>
    <w:rsid w:val="00FC43EC"/>
    <w:rsid w:val="00FC6360"/>
    <w:rsid w:val="00FD09D1"/>
    <w:rsid w:val="00FD5426"/>
    <w:rsid w:val="00FE00BE"/>
    <w:rsid w:val="00FE2BA1"/>
    <w:rsid w:val="00FE431D"/>
    <w:rsid w:val="00FE56AD"/>
    <w:rsid w:val="00FE5CC3"/>
    <w:rsid w:val="00FE61FC"/>
    <w:rsid w:val="00FE6D09"/>
    <w:rsid w:val="00FF0D46"/>
    <w:rsid w:val="00FF26E4"/>
    <w:rsid w:val="00FF3F0D"/>
    <w:rsid w:val="00FF466A"/>
    <w:rsid w:val="00FF4774"/>
    <w:rsid w:val="00FF5203"/>
    <w:rsid w:val="00FF5B62"/>
    <w:rsid w:val="011C7C7F"/>
    <w:rsid w:val="01242C13"/>
    <w:rsid w:val="0126127D"/>
    <w:rsid w:val="012F6D31"/>
    <w:rsid w:val="013F0BAE"/>
    <w:rsid w:val="01426CB7"/>
    <w:rsid w:val="014C15F0"/>
    <w:rsid w:val="016A18BB"/>
    <w:rsid w:val="01746760"/>
    <w:rsid w:val="01767F39"/>
    <w:rsid w:val="0178774A"/>
    <w:rsid w:val="01837032"/>
    <w:rsid w:val="01891C53"/>
    <w:rsid w:val="018F3568"/>
    <w:rsid w:val="01A026F0"/>
    <w:rsid w:val="01AF1DEF"/>
    <w:rsid w:val="01B5447A"/>
    <w:rsid w:val="01C045F9"/>
    <w:rsid w:val="01C23D30"/>
    <w:rsid w:val="01D85D7E"/>
    <w:rsid w:val="01DD653E"/>
    <w:rsid w:val="01F03100"/>
    <w:rsid w:val="01F91FE9"/>
    <w:rsid w:val="01FC6168"/>
    <w:rsid w:val="02205968"/>
    <w:rsid w:val="022E0EC5"/>
    <w:rsid w:val="023C6877"/>
    <w:rsid w:val="023D593B"/>
    <w:rsid w:val="024A4B3B"/>
    <w:rsid w:val="02546DDA"/>
    <w:rsid w:val="025E069A"/>
    <w:rsid w:val="02647ECA"/>
    <w:rsid w:val="02676E1B"/>
    <w:rsid w:val="02731095"/>
    <w:rsid w:val="02772BD8"/>
    <w:rsid w:val="027F4191"/>
    <w:rsid w:val="02952E03"/>
    <w:rsid w:val="029F7028"/>
    <w:rsid w:val="02A77100"/>
    <w:rsid w:val="02C00B3F"/>
    <w:rsid w:val="02EF0CFB"/>
    <w:rsid w:val="02EF19D6"/>
    <w:rsid w:val="02F77757"/>
    <w:rsid w:val="02FA23A8"/>
    <w:rsid w:val="031F446C"/>
    <w:rsid w:val="032062CB"/>
    <w:rsid w:val="032F0848"/>
    <w:rsid w:val="03310592"/>
    <w:rsid w:val="033A0E9D"/>
    <w:rsid w:val="033F29FA"/>
    <w:rsid w:val="034641C3"/>
    <w:rsid w:val="03485A0F"/>
    <w:rsid w:val="0351799C"/>
    <w:rsid w:val="035B47DA"/>
    <w:rsid w:val="036D3BCF"/>
    <w:rsid w:val="036D5065"/>
    <w:rsid w:val="037557A7"/>
    <w:rsid w:val="03756445"/>
    <w:rsid w:val="0379245F"/>
    <w:rsid w:val="037E4B04"/>
    <w:rsid w:val="038652C6"/>
    <w:rsid w:val="03936BB9"/>
    <w:rsid w:val="03A9328A"/>
    <w:rsid w:val="03B234AE"/>
    <w:rsid w:val="03C17E5B"/>
    <w:rsid w:val="03DB2543"/>
    <w:rsid w:val="03E5647E"/>
    <w:rsid w:val="03FC0994"/>
    <w:rsid w:val="042451DA"/>
    <w:rsid w:val="04266BBA"/>
    <w:rsid w:val="04281C40"/>
    <w:rsid w:val="042E4DD9"/>
    <w:rsid w:val="04325931"/>
    <w:rsid w:val="04513859"/>
    <w:rsid w:val="045F036E"/>
    <w:rsid w:val="046532AA"/>
    <w:rsid w:val="04735F53"/>
    <w:rsid w:val="04757F77"/>
    <w:rsid w:val="04813F74"/>
    <w:rsid w:val="04950609"/>
    <w:rsid w:val="049B4ADB"/>
    <w:rsid w:val="04A21EFD"/>
    <w:rsid w:val="04A76479"/>
    <w:rsid w:val="04B63BFF"/>
    <w:rsid w:val="04BB391E"/>
    <w:rsid w:val="04CE1F73"/>
    <w:rsid w:val="04D57147"/>
    <w:rsid w:val="04EA35AB"/>
    <w:rsid w:val="04F11AB8"/>
    <w:rsid w:val="04F82F7C"/>
    <w:rsid w:val="04FA4853"/>
    <w:rsid w:val="04FC5702"/>
    <w:rsid w:val="04FE5BD1"/>
    <w:rsid w:val="050A784F"/>
    <w:rsid w:val="050B0CD7"/>
    <w:rsid w:val="050E113B"/>
    <w:rsid w:val="052203F1"/>
    <w:rsid w:val="052841DE"/>
    <w:rsid w:val="053179BA"/>
    <w:rsid w:val="053921E2"/>
    <w:rsid w:val="053E62FD"/>
    <w:rsid w:val="05407769"/>
    <w:rsid w:val="0549386E"/>
    <w:rsid w:val="054E5ED7"/>
    <w:rsid w:val="056B4BA9"/>
    <w:rsid w:val="05757C7C"/>
    <w:rsid w:val="059557B1"/>
    <w:rsid w:val="059F0331"/>
    <w:rsid w:val="05A0616A"/>
    <w:rsid w:val="05A133AA"/>
    <w:rsid w:val="05C45420"/>
    <w:rsid w:val="05D62E8D"/>
    <w:rsid w:val="05EB7976"/>
    <w:rsid w:val="05F077D4"/>
    <w:rsid w:val="06091935"/>
    <w:rsid w:val="060D4D85"/>
    <w:rsid w:val="060F45F1"/>
    <w:rsid w:val="06136FCC"/>
    <w:rsid w:val="061834A6"/>
    <w:rsid w:val="063F1073"/>
    <w:rsid w:val="06477A15"/>
    <w:rsid w:val="064C7D14"/>
    <w:rsid w:val="065426BE"/>
    <w:rsid w:val="06545B13"/>
    <w:rsid w:val="06565F89"/>
    <w:rsid w:val="065E3C59"/>
    <w:rsid w:val="06711361"/>
    <w:rsid w:val="0676065B"/>
    <w:rsid w:val="069A1931"/>
    <w:rsid w:val="069B792B"/>
    <w:rsid w:val="069E7501"/>
    <w:rsid w:val="06A11AE7"/>
    <w:rsid w:val="06AD2B3B"/>
    <w:rsid w:val="06B4101E"/>
    <w:rsid w:val="06D74D2C"/>
    <w:rsid w:val="06D87FE9"/>
    <w:rsid w:val="06D956E3"/>
    <w:rsid w:val="06DD48E9"/>
    <w:rsid w:val="06E40402"/>
    <w:rsid w:val="06F14E7D"/>
    <w:rsid w:val="06F15F3E"/>
    <w:rsid w:val="06F53A22"/>
    <w:rsid w:val="070736C4"/>
    <w:rsid w:val="070B300A"/>
    <w:rsid w:val="07272FEF"/>
    <w:rsid w:val="072A05F0"/>
    <w:rsid w:val="07387D99"/>
    <w:rsid w:val="074618E0"/>
    <w:rsid w:val="0756170A"/>
    <w:rsid w:val="075848D7"/>
    <w:rsid w:val="07611FC2"/>
    <w:rsid w:val="07701844"/>
    <w:rsid w:val="07810992"/>
    <w:rsid w:val="078656CD"/>
    <w:rsid w:val="07881B83"/>
    <w:rsid w:val="079F1279"/>
    <w:rsid w:val="07A267CB"/>
    <w:rsid w:val="07A85F84"/>
    <w:rsid w:val="07B572E3"/>
    <w:rsid w:val="07C766EF"/>
    <w:rsid w:val="07D37E8D"/>
    <w:rsid w:val="07DB1942"/>
    <w:rsid w:val="07DB6632"/>
    <w:rsid w:val="07E6588F"/>
    <w:rsid w:val="07E67990"/>
    <w:rsid w:val="07EB52FC"/>
    <w:rsid w:val="07F6398C"/>
    <w:rsid w:val="08007C66"/>
    <w:rsid w:val="08066D92"/>
    <w:rsid w:val="080F5EFD"/>
    <w:rsid w:val="08163E4D"/>
    <w:rsid w:val="081E7C8D"/>
    <w:rsid w:val="08444D3B"/>
    <w:rsid w:val="084F6F27"/>
    <w:rsid w:val="085B2896"/>
    <w:rsid w:val="085B47AE"/>
    <w:rsid w:val="085E00A1"/>
    <w:rsid w:val="08752AC1"/>
    <w:rsid w:val="08757F68"/>
    <w:rsid w:val="08895C65"/>
    <w:rsid w:val="08904B46"/>
    <w:rsid w:val="089153C7"/>
    <w:rsid w:val="08936E11"/>
    <w:rsid w:val="08A344C0"/>
    <w:rsid w:val="08AD7D17"/>
    <w:rsid w:val="08B7057E"/>
    <w:rsid w:val="08BD56F0"/>
    <w:rsid w:val="08BF66FF"/>
    <w:rsid w:val="08D351BE"/>
    <w:rsid w:val="08DD1D65"/>
    <w:rsid w:val="08DD2846"/>
    <w:rsid w:val="08E13796"/>
    <w:rsid w:val="08E21174"/>
    <w:rsid w:val="08E32E74"/>
    <w:rsid w:val="08F740E9"/>
    <w:rsid w:val="08F84BFB"/>
    <w:rsid w:val="09000221"/>
    <w:rsid w:val="09023E0B"/>
    <w:rsid w:val="090E5904"/>
    <w:rsid w:val="091D5275"/>
    <w:rsid w:val="092422D4"/>
    <w:rsid w:val="092E0CF2"/>
    <w:rsid w:val="0941147D"/>
    <w:rsid w:val="0948744F"/>
    <w:rsid w:val="094E5EB9"/>
    <w:rsid w:val="09503F28"/>
    <w:rsid w:val="09647A9E"/>
    <w:rsid w:val="0967778B"/>
    <w:rsid w:val="0972141D"/>
    <w:rsid w:val="098B5CEE"/>
    <w:rsid w:val="09B0689E"/>
    <w:rsid w:val="09B213D0"/>
    <w:rsid w:val="09E0485F"/>
    <w:rsid w:val="09EF6144"/>
    <w:rsid w:val="09FB16A7"/>
    <w:rsid w:val="09FD39CA"/>
    <w:rsid w:val="0A030A5B"/>
    <w:rsid w:val="0A110ED0"/>
    <w:rsid w:val="0A2A682C"/>
    <w:rsid w:val="0A2C7D49"/>
    <w:rsid w:val="0A4707FD"/>
    <w:rsid w:val="0A4D6348"/>
    <w:rsid w:val="0A690634"/>
    <w:rsid w:val="0A6E1C10"/>
    <w:rsid w:val="0AA350C7"/>
    <w:rsid w:val="0AA867C8"/>
    <w:rsid w:val="0AB16EAD"/>
    <w:rsid w:val="0AB77E64"/>
    <w:rsid w:val="0AC92E5A"/>
    <w:rsid w:val="0AE67C59"/>
    <w:rsid w:val="0AEB64A8"/>
    <w:rsid w:val="0AED3445"/>
    <w:rsid w:val="0AEF60E1"/>
    <w:rsid w:val="0AF315E8"/>
    <w:rsid w:val="0AF344E1"/>
    <w:rsid w:val="0AFE6184"/>
    <w:rsid w:val="0B1449F6"/>
    <w:rsid w:val="0B1A1E43"/>
    <w:rsid w:val="0B2912D0"/>
    <w:rsid w:val="0B361B49"/>
    <w:rsid w:val="0B476BBC"/>
    <w:rsid w:val="0B48684A"/>
    <w:rsid w:val="0B4D48A4"/>
    <w:rsid w:val="0B507925"/>
    <w:rsid w:val="0B533B29"/>
    <w:rsid w:val="0B631A54"/>
    <w:rsid w:val="0B7E7850"/>
    <w:rsid w:val="0B823FD1"/>
    <w:rsid w:val="0B871E95"/>
    <w:rsid w:val="0B9630C2"/>
    <w:rsid w:val="0B975356"/>
    <w:rsid w:val="0B9B7B36"/>
    <w:rsid w:val="0BA7004E"/>
    <w:rsid w:val="0BA8144D"/>
    <w:rsid w:val="0BAD7ADF"/>
    <w:rsid w:val="0BB4611C"/>
    <w:rsid w:val="0BBD4675"/>
    <w:rsid w:val="0BDC640E"/>
    <w:rsid w:val="0BE0144B"/>
    <w:rsid w:val="0BE10566"/>
    <w:rsid w:val="0BEB5940"/>
    <w:rsid w:val="0C013897"/>
    <w:rsid w:val="0C176CBC"/>
    <w:rsid w:val="0C3236E7"/>
    <w:rsid w:val="0C352A19"/>
    <w:rsid w:val="0C494A35"/>
    <w:rsid w:val="0C49575D"/>
    <w:rsid w:val="0C545B8D"/>
    <w:rsid w:val="0C6A2581"/>
    <w:rsid w:val="0C6D71DA"/>
    <w:rsid w:val="0C6F619B"/>
    <w:rsid w:val="0C756558"/>
    <w:rsid w:val="0C7905D8"/>
    <w:rsid w:val="0C952C04"/>
    <w:rsid w:val="0C95435A"/>
    <w:rsid w:val="0C9D3858"/>
    <w:rsid w:val="0CA87625"/>
    <w:rsid w:val="0CAD6CD5"/>
    <w:rsid w:val="0CAF4411"/>
    <w:rsid w:val="0CB02F58"/>
    <w:rsid w:val="0CB71182"/>
    <w:rsid w:val="0CC7607D"/>
    <w:rsid w:val="0CD31EEE"/>
    <w:rsid w:val="0D181D78"/>
    <w:rsid w:val="0D2546FA"/>
    <w:rsid w:val="0D2B6157"/>
    <w:rsid w:val="0D3244DD"/>
    <w:rsid w:val="0D5864B2"/>
    <w:rsid w:val="0D6A1AC0"/>
    <w:rsid w:val="0D6B0852"/>
    <w:rsid w:val="0D6D3302"/>
    <w:rsid w:val="0D7F3975"/>
    <w:rsid w:val="0D8C26CD"/>
    <w:rsid w:val="0D9A0057"/>
    <w:rsid w:val="0DA27718"/>
    <w:rsid w:val="0DB1010B"/>
    <w:rsid w:val="0DBB55AD"/>
    <w:rsid w:val="0DCF7FD6"/>
    <w:rsid w:val="0DE57D7F"/>
    <w:rsid w:val="0E096E39"/>
    <w:rsid w:val="0E1C1EC9"/>
    <w:rsid w:val="0E206931"/>
    <w:rsid w:val="0E442EAE"/>
    <w:rsid w:val="0E4C3071"/>
    <w:rsid w:val="0E60507D"/>
    <w:rsid w:val="0E971A66"/>
    <w:rsid w:val="0EA72BA6"/>
    <w:rsid w:val="0EAA475B"/>
    <w:rsid w:val="0EAC11AD"/>
    <w:rsid w:val="0EC74501"/>
    <w:rsid w:val="0EC915D0"/>
    <w:rsid w:val="0EDA0876"/>
    <w:rsid w:val="0EEB4C90"/>
    <w:rsid w:val="0EF162BD"/>
    <w:rsid w:val="0F032F2D"/>
    <w:rsid w:val="0F14495A"/>
    <w:rsid w:val="0F2E3D57"/>
    <w:rsid w:val="0F305AAD"/>
    <w:rsid w:val="0F321605"/>
    <w:rsid w:val="0F3353B7"/>
    <w:rsid w:val="0F48505B"/>
    <w:rsid w:val="0F5342DC"/>
    <w:rsid w:val="0F566845"/>
    <w:rsid w:val="0F684F69"/>
    <w:rsid w:val="0F68565B"/>
    <w:rsid w:val="0F687084"/>
    <w:rsid w:val="0F757FCC"/>
    <w:rsid w:val="0F7B6A00"/>
    <w:rsid w:val="0F814668"/>
    <w:rsid w:val="0F8A27DB"/>
    <w:rsid w:val="0F90063F"/>
    <w:rsid w:val="0F96006E"/>
    <w:rsid w:val="0F9F1B67"/>
    <w:rsid w:val="0FA56B5C"/>
    <w:rsid w:val="0FBD56FA"/>
    <w:rsid w:val="0FBF5BD9"/>
    <w:rsid w:val="0FC05753"/>
    <w:rsid w:val="0FC05E5A"/>
    <w:rsid w:val="0FC30C2E"/>
    <w:rsid w:val="0FC929CF"/>
    <w:rsid w:val="0FD41F31"/>
    <w:rsid w:val="0FDB7383"/>
    <w:rsid w:val="0FDD6D95"/>
    <w:rsid w:val="0FE81479"/>
    <w:rsid w:val="0FFE1577"/>
    <w:rsid w:val="100737A9"/>
    <w:rsid w:val="101A342B"/>
    <w:rsid w:val="101F7C33"/>
    <w:rsid w:val="103C541A"/>
    <w:rsid w:val="1042335F"/>
    <w:rsid w:val="104735C4"/>
    <w:rsid w:val="1051038C"/>
    <w:rsid w:val="10804688"/>
    <w:rsid w:val="1082485A"/>
    <w:rsid w:val="10884916"/>
    <w:rsid w:val="109673A7"/>
    <w:rsid w:val="109C580E"/>
    <w:rsid w:val="10A55503"/>
    <w:rsid w:val="10A82ECB"/>
    <w:rsid w:val="10A906A7"/>
    <w:rsid w:val="10AA2A25"/>
    <w:rsid w:val="10AD7AF8"/>
    <w:rsid w:val="10B15399"/>
    <w:rsid w:val="10DA0204"/>
    <w:rsid w:val="10E87676"/>
    <w:rsid w:val="10F378F4"/>
    <w:rsid w:val="10F55783"/>
    <w:rsid w:val="110765F0"/>
    <w:rsid w:val="111649EF"/>
    <w:rsid w:val="111C76BD"/>
    <w:rsid w:val="111F3BCF"/>
    <w:rsid w:val="112A66B2"/>
    <w:rsid w:val="11382462"/>
    <w:rsid w:val="113B37D8"/>
    <w:rsid w:val="114306D4"/>
    <w:rsid w:val="11506166"/>
    <w:rsid w:val="11567833"/>
    <w:rsid w:val="115A0E16"/>
    <w:rsid w:val="116228F0"/>
    <w:rsid w:val="1163689E"/>
    <w:rsid w:val="117F37A7"/>
    <w:rsid w:val="118514D5"/>
    <w:rsid w:val="11896F02"/>
    <w:rsid w:val="118D0A84"/>
    <w:rsid w:val="118E3A37"/>
    <w:rsid w:val="1194645C"/>
    <w:rsid w:val="11967803"/>
    <w:rsid w:val="11A163D0"/>
    <w:rsid w:val="11B23EB0"/>
    <w:rsid w:val="11B562D3"/>
    <w:rsid w:val="11D37A4F"/>
    <w:rsid w:val="11D83EE0"/>
    <w:rsid w:val="11DB1F31"/>
    <w:rsid w:val="11DC0428"/>
    <w:rsid w:val="11E7187D"/>
    <w:rsid w:val="11F65457"/>
    <w:rsid w:val="1203249B"/>
    <w:rsid w:val="1207675D"/>
    <w:rsid w:val="122E4B3D"/>
    <w:rsid w:val="12361FE3"/>
    <w:rsid w:val="1238092A"/>
    <w:rsid w:val="12491D3D"/>
    <w:rsid w:val="124C0824"/>
    <w:rsid w:val="124F70F5"/>
    <w:rsid w:val="125011C5"/>
    <w:rsid w:val="12665CAA"/>
    <w:rsid w:val="126A3793"/>
    <w:rsid w:val="1273400A"/>
    <w:rsid w:val="127759F8"/>
    <w:rsid w:val="1288457B"/>
    <w:rsid w:val="128B45A0"/>
    <w:rsid w:val="12A30010"/>
    <w:rsid w:val="12A400B1"/>
    <w:rsid w:val="12B94748"/>
    <w:rsid w:val="12CE6A83"/>
    <w:rsid w:val="12E60856"/>
    <w:rsid w:val="12EB69CE"/>
    <w:rsid w:val="12ED3A80"/>
    <w:rsid w:val="12F2222C"/>
    <w:rsid w:val="12F2530F"/>
    <w:rsid w:val="13021A2C"/>
    <w:rsid w:val="13152DB4"/>
    <w:rsid w:val="132A3E1B"/>
    <w:rsid w:val="133632F5"/>
    <w:rsid w:val="133828A6"/>
    <w:rsid w:val="134224E3"/>
    <w:rsid w:val="13465BC3"/>
    <w:rsid w:val="1347361C"/>
    <w:rsid w:val="13500091"/>
    <w:rsid w:val="13560D8B"/>
    <w:rsid w:val="136620F4"/>
    <w:rsid w:val="1366701C"/>
    <w:rsid w:val="1379231B"/>
    <w:rsid w:val="139713B3"/>
    <w:rsid w:val="139E5A9A"/>
    <w:rsid w:val="13A4359A"/>
    <w:rsid w:val="13B445A5"/>
    <w:rsid w:val="13BB084D"/>
    <w:rsid w:val="13BC32D0"/>
    <w:rsid w:val="13CA1266"/>
    <w:rsid w:val="13D72474"/>
    <w:rsid w:val="13D971D2"/>
    <w:rsid w:val="13E94203"/>
    <w:rsid w:val="13F15346"/>
    <w:rsid w:val="140E0CD1"/>
    <w:rsid w:val="14120CA8"/>
    <w:rsid w:val="141D6D49"/>
    <w:rsid w:val="142B1664"/>
    <w:rsid w:val="144654D8"/>
    <w:rsid w:val="144759A8"/>
    <w:rsid w:val="14587641"/>
    <w:rsid w:val="145B492E"/>
    <w:rsid w:val="146769B7"/>
    <w:rsid w:val="14791424"/>
    <w:rsid w:val="147B2758"/>
    <w:rsid w:val="148C5ED1"/>
    <w:rsid w:val="14961447"/>
    <w:rsid w:val="149B3737"/>
    <w:rsid w:val="149D6626"/>
    <w:rsid w:val="149F2901"/>
    <w:rsid w:val="14A44639"/>
    <w:rsid w:val="14A7200E"/>
    <w:rsid w:val="14AF0F09"/>
    <w:rsid w:val="14AF52CE"/>
    <w:rsid w:val="14B34ACE"/>
    <w:rsid w:val="14B8155B"/>
    <w:rsid w:val="14C678DA"/>
    <w:rsid w:val="14CB4D1A"/>
    <w:rsid w:val="14D64FA0"/>
    <w:rsid w:val="14DE22A2"/>
    <w:rsid w:val="14F54092"/>
    <w:rsid w:val="14F64B17"/>
    <w:rsid w:val="1525553B"/>
    <w:rsid w:val="15296903"/>
    <w:rsid w:val="152B75D2"/>
    <w:rsid w:val="153C5776"/>
    <w:rsid w:val="154755A3"/>
    <w:rsid w:val="154C573A"/>
    <w:rsid w:val="155265F4"/>
    <w:rsid w:val="15604361"/>
    <w:rsid w:val="157B0A32"/>
    <w:rsid w:val="15847260"/>
    <w:rsid w:val="15896493"/>
    <w:rsid w:val="15B51DDE"/>
    <w:rsid w:val="15B55363"/>
    <w:rsid w:val="15B61275"/>
    <w:rsid w:val="15C169AC"/>
    <w:rsid w:val="15EE0A89"/>
    <w:rsid w:val="15F00A00"/>
    <w:rsid w:val="15F65082"/>
    <w:rsid w:val="160024AA"/>
    <w:rsid w:val="160B2645"/>
    <w:rsid w:val="160F1942"/>
    <w:rsid w:val="161578BF"/>
    <w:rsid w:val="16162EF0"/>
    <w:rsid w:val="16261317"/>
    <w:rsid w:val="16337E88"/>
    <w:rsid w:val="163927D2"/>
    <w:rsid w:val="1640771C"/>
    <w:rsid w:val="164E4741"/>
    <w:rsid w:val="164E668F"/>
    <w:rsid w:val="165635D9"/>
    <w:rsid w:val="1658525F"/>
    <w:rsid w:val="16611327"/>
    <w:rsid w:val="169D25F5"/>
    <w:rsid w:val="16A1133A"/>
    <w:rsid w:val="16B001AD"/>
    <w:rsid w:val="16CD690B"/>
    <w:rsid w:val="16F5338F"/>
    <w:rsid w:val="16F83846"/>
    <w:rsid w:val="16FF7F43"/>
    <w:rsid w:val="1700661C"/>
    <w:rsid w:val="17193A6D"/>
    <w:rsid w:val="171D2783"/>
    <w:rsid w:val="171F52F1"/>
    <w:rsid w:val="172C3D13"/>
    <w:rsid w:val="175207E1"/>
    <w:rsid w:val="175A32D2"/>
    <w:rsid w:val="176424DC"/>
    <w:rsid w:val="1767731A"/>
    <w:rsid w:val="176C179B"/>
    <w:rsid w:val="176F6360"/>
    <w:rsid w:val="17790994"/>
    <w:rsid w:val="1783643C"/>
    <w:rsid w:val="178B7F80"/>
    <w:rsid w:val="178C1D45"/>
    <w:rsid w:val="17A54A43"/>
    <w:rsid w:val="17E57F7D"/>
    <w:rsid w:val="17E97420"/>
    <w:rsid w:val="17E979B2"/>
    <w:rsid w:val="17F36885"/>
    <w:rsid w:val="18004438"/>
    <w:rsid w:val="1809236A"/>
    <w:rsid w:val="180E3449"/>
    <w:rsid w:val="18105287"/>
    <w:rsid w:val="18110CF1"/>
    <w:rsid w:val="181D0DEF"/>
    <w:rsid w:val="182527C9"/>
    <w:rsid w:val="182C2AE2"/>
    <w:rsid w:val="183E5722"/>
    <w:rsid w:val="18423C4B"/>
    <w:rsid w:val="18670C19"/>
    <w:rsid w:val="187637AB"/>
    <w:rsid w:val="187D6A8B"/>
    <w:rsid w:val="18866D16"/>
    <w:rsid w:val="188B0AC6"/>
    <w:rsid w:val="18902376"/>
    <w:rsid w:val="18AB3B04"/>
    <w:rsid w:val="18AB7E54"/>
    <w:rsid w:val="18E17C22"/>
    <w:rsid w:val="18ED7DF7"/>
    <w:rsid w:val="18FC0A05"/>
    <w:rsid w:val="190A3949"/>
    <w:rsid w:val="190D3E7D"/>
    <w:rsid w:val="19221422"/>
    <w:rsid w:val="19250B27"/>
    <w:rsid w:val="19264BDF"/>
    <w:rsid w:val="19346A4B"/>
    <w:rsid w:val="19371F32"/>
    <w:rsid w:val="193B3A99"/>
    <w:rsid w:val="1940592C"/>
    <w:rsid w:val="195722CB"/>
    <w:rsid w:val="195C5947"/>
    <w:rsid w:val="19671C74"/>
    <w:rsid w:val="196A76A5"/>
    <w:rsid w:val="19776586"/>
    <w:rsid w:val="199146A9"/>
    <w:rsid w:val="19930F16"/>
    <w:rsid w:val="19A60451"/>
    <w:rsid w:val="19A74E14"/>
    <w:rsid w:val="19AB7B63"/>
    <w:rsid w:val="19AC7816"/>
    <w:rsid w:val="19C31A2B"/>
    <w:rsid w:val="19D27DA3"/>
    <w:rsid w:val="19D34CDE"/>
    <w:rsid w:val="19D4436D"/>
    <w:rsid w:val="19DC7A10"/>
    <w:rsid w:val="19E26DAC"/>
    <w:rsid w:val="19ED3CEA"/>
    <w:rsid w:val="19F02457"/>
    <w:rsid w:val="19F93831"/>
    <w:rsid w:val="1A052686"/>
    <w:rsid w:val="1A0770C2"/>
    <w:rsid w:val="1A2A5F83"/>
    <w:rsid w:val="1A343559"/>
    <w:rsid w:val="1A3437B8"/>
    <w:rsid w:val="1A3641C6"/>
    <w:rsid w:val="1A4F04C3"/>
    <w:rsid w:val="1A4F1C7C"/>
    <w:rsid w:val="1A5176FD"/>
    <w:rsid w:val="1A617DCC"/>
    <w:rsid w:val="1A6C2697"/>
    <w:rsid w:val="1A6D1B43"/>
    <w:rsid w:val="1A7E3CBC"/>
    <w:rsid w:val="1A831294"/>
    <w:rsid w:val="1A8D1997"/>
    <w:rsid w:val="1A8D3F8F"/>
    <w:rsid w:val="1A9100C3"/>
    <w:rsid w:val="1A9D75F4"/>
    <w:rsid w:val="1ABB3DE0"/>
    <w:rsid w:val="1AC62341"/>
    <w:rsid w:val="1AC6675E"/>
    <w:rsid w:val="1AD556E9"/>
    <w:rsid w:val="1AEA7E63"/>
    <w:rsid w:val="1AEE0B2F"/>
    <w:rsid w:val="1AEE1B94"/>
    <w:rsid w:val="1AFD065A"/>
    <w:rsid w:val="1B03409D"/>
    <w:rsid w:val="1B111517"/>
    <w:rsid w:val="1B152B4D"/>
    <w:rsid w:val="1B2A45D6"/>
    <w:rsid w:val="1B372915"/>
    <w:rsid w:val="1B516834"/>
    <w:rsid w:val="1B55025B"/>
    <w:rsid w:val="1B5A2E9D"/>
    <w:rsid w:val="1B9A3B85"/>
    <w:rsid w:val="1B9E46F5"/>
    <w:rsid w:val="1BA12479"/>
    <w:rsid w:val="1BAF5235"/>
    <w:rsid w:val="1BB3174C"/>
    <w:rsid w:val="1BBF6440"/>
    <w:rsid w:val="1BC06EA2"/>
    <w:rsid w:val="1BC21757"/>
    <w:rsid w:val="1BC34195"/>
    <w:rsid w:val="1BC34FCD"/>
    <w:rsid w:val="1BC50628"/>
    <w:rsid w:val="1BC50972"/>
    <w:rsid w:val="1BC55301"/>
    <w:rsid w:val="1BC57B47"/>
    <w:rsid w:val="1BC82618"/>
    <w:rsid w:val="1BD74EFE"/>
    <w:rsid w:val="1BDE3B4C"/>
    <w:rsid w:val="1C0E3977"/>
    <w:rsid w:val="1C1A6FEC"/>
    <w:rsid w:val="1C1C7659"/>
    <w:rsid w:val="1C1E2754"/>
    <w:rsid w:val="1C225C02"/>
    <w:rsid w:val="1C254629"/>
    <w:rsid w:val="1C2D471C"/>
    <w:rsid w:val="1C3768C3"/>
    <w:rsid w:val="1C393D1E"/>
    <w:rsid w:val="1C3C55D4"/>
    <w:rsid w:val="1C4943A4"/>
    <w:rsid w:val="1C4A6789"/>
    <w:rsid w:val="1C577B84"/>
    <w:rsid w:val="1C5C3956"/>
    <w:rsid w:val="1C654987"/>
    <w:rsid w:val="1C6D3780"/>
    <w:rsid w:val="1C723F66"/>
    <w:rsid w:val="1C746750"/>
    <w:rsid w:val="1C8054A9"/>
    <w:rsid w:val="1C825C78"/>
    <w:rsid w:val="1C8E121B"/>
    <w:rsid w:val="1C8F233B"/>
    <w:rsid w:val="1CA86307"/>
    <w:rsid w:val="1CBA6E7B"/>
    <w:rsid w:val="1CBE2B3D"/>
    <w:rsid w:val="1CD90366"/>
    <w:rsid w:val="1CDE1582"/>
    <w:rsid w:val="1CEE2D5A"/>
    <w:rsid w:val="1D0D5C23"/>
    <w:rsid w:val="1D0F7823"/>
    <w:rsid w:val="1D1207F7"/>
    <w:rsid w:val="1D1252E8"/>
    <w:rsid w:val="1D185B98"/>
    <w:rsid w:val="1D1F3740"/>
    <w:rsid w:val="1D28001A"/>
    <w:rsid w:val="1D2E4533"/>
    <w:rsid w:val="1D361885"/>
    <w:rsid w:val="1D45790F"/>
    <w:rsid w:val="1D542175"/>
    <w:rsid w:val="1D556879"/>
    <w:rsid w:val="1D625BC2"/>
    <w:rsid w:val="1D763161"/>
    <w:rsid w:val="1D767C76"/>
    <w:rsid w:val="1D7F6A99"/>
    <w:rsid w:val="1D8E03FA"/>
    <w:rsid w:val="1D8F2F1D"/>
    <w:rsid w:val="1D944D0C"/>
    <w:rsid w:val="1D982ACF"/>
    <w:rsid w:val="1DB14064"/>
    <w:rsid w:val="1DC23D0F"/>
    <w:rsid w:val="1DD261D8"/>
    <w:rsid w:val="1DD71650"/>
    <w:rsid w:val="1DE43A17"/>
    <w:rsid w:val="1DEE1EFA"/>
    <w:rsid w:val="1E12611C"/>
    <w:rsid w:val="1E157A3A"/>
    <w:rsid w:val="1E171E3D"/>
    <w:rsid w:val="1E3078D5"/>
    <w:rsid w:val="1E4644CC"/>
    <w:rsid w:val="1E61167C"/>
    <w:rsid w:val="1E7077F5"/>
    <w:rsid w:val="1E873F99"/>
    <w:rsid w:val="1E8B73A7"/>
    <w:rsid w:val="1E970166"/>
    <w:rsid w:val="1E9811D0"/>
    <w:rsid w:val="1EAA335B"/>
    <w:rsid w:val="1EAE6ECC"/>
    <w:rsid w:val="1EBB2DC6"/>
    <w:rsid w:val="1EBE7E01"/>
    <w:rsid w:val="1ED0548E"/>
    <w:rsid w:val="1F161228"/>
    <w:rsid w:val="1F1906B6"/>
    <w:rsid w:val="1F1D3032"/>
    <w:rsid w:val="1F2B32BE"/>
    <w:rsid w:val="1F390D89"/>
    <w:rsid w:val="1F3E7F5B"/>
    <w:rsid w:val="1F4A124B"/>
    <w:rsid w:val="1F513ECC"/>
    <w:rsid w:val="1F583E13"/>
    <w:rsid w:val="1F686EA8"/>
    <w:rsid w:val="1F6A3BAE"/>
    <w:rsid w:val="1F6F027D"/>
    <w:rsid w:val="1F7B7564"/>
    <w:rsid w:val="1F885F5F"/>
    <w:rsid w:val="1F8B0D13"/>
    <w:rsid w:val="1FB3007D"/>
    <w:rsid w:val="1FC86FB2"/>
    <w:rsid w:val="1FE039FF"/>
    <w:rsid w:val="1FFD682A"/>
    <w:rsid w:val="20017C8D"/>
    <w:rsid w:val="200E563D"/>
    <w:rsid w:val="2022167F"/>
    <w:rsid w:val="203C1C0C"/>
    <w:rsid w:val="20412465"/>
    <w:rsid w:val="20570026"/>
    <w:rsid w:val="20583861"/>
    <w:rsid w:val="206E7E55"/>
    <w:rsid w:val="2071673B"/>
    <w:rsid w:val="207724C8"/>
    <w:rsid w:val="20831771"/>
    <w:rsid w:val="208D5545"/>
    <w:rsid w:val="2097311F"/>
    <w:rsid w:val="20A7230E"/>
    <w:rsid w:val="20A77D62"/>
    <w:rsid w:val="20A84CA6"/>
    <w:rsid w:val="20BA620C"/>
    <w:rsid w:val="20BD50EA"/>
    <w:rsid w:val="20C22280"/>
    <w:rsid w:val="20C51FFF"/>
    <w:rsid w:val="20C90FE1"/>
    <w:rsid w:val="20CB1F1C"/>
    <w:rsid w:val="20CE35DC"/>
    <w:rsid w:val="20D91FEB"/>
    <w:rsid w:val="20E07EB6"/>
    <w:rsid w:val="20EB4450"/>
    <w:rsid w:val="20EC236D"/>
    <w:rsid w:val="20F85BCF"/>
    <w:rsid w:val="20F862CA"/>
    <w:rsid w:val="20FA4D71"/>
    <w:rsid w:val="20FB633F"/>
    <w:rsid w:val="20FF4C3E"/>
    <w:rsid w:val="210260CC"/>
    <w:rsid w:val="210F1461"/>
    <w:rsid w:val="211E47B1"/>
    <w:rsid w:val="213B0E23"/>
    <w:rsid w:val="21410A8D"/>
    <w:rsid w:val="214915A6"/>
    <w:rsid w:val="214F3C0C"/>
    <w:rsid w:val="21535276"/>
    <w:rsid w:val="21812056"/>
    <w:rsid w:val="21902632"/>
    <w:rsid w:val="219C4CA5"/>
    <w:rsid w:val="21A56EDA"/>
    <w:rsid w:val="21AF01FD"/>
    <w:rsid w:val="21B002AA"/>
    <w:rsid w:val="21B5199E"/>
    <w:rsid w:val="21BF6859"/>
    <w:rsid w:val="21C32279"/>
    <w:rsid w:val="21D867B6"/>
    <w:rsid w:val="21DB0BBB"/>
    <w:rsid w:val="21E156B9"/>
    <w:rsid w:val="21F029E2"/>
    <w:rsid w:val="21F5181A"/>
    <w:rsid w:val="22054352"/>
    <w:rsid w:val="22147AF1"/>
    <w:rsid w:val="221701F3"/>
    <w:rsid w:val="223751DC"/>
    <w:rsid w:val="2244378B"/>
    <w:rsid w:val="224C7E9B"/>
    <w:rsid w:val="2254079F"/>
    <w:rsid w:val="22795451"/>
    <w:rsid w:val="228372A6"/>
    <w:rsid w:val="22855412"/>
    <w:rsid w:val="228B768D"/>
    <w:rsid w:val="22A74B6A"/>
    <w:rsid w:val="22AC4FD3"/>
    <w:rsid w:val="22B1623E"/>
    <w:rsid w:val="22B22C63"/>
    <w:rsid w:val="22B318BC"/>
    <w:rsid w:val="22B83C0A"/>
    <w:rsid w:val="22B85552"/>
    <w:rsid w:val="22C71DA9"/>
    <w:rsid w:val="22DA316B"/>
    <w:rsid w:val="22E80A9D"/>
    <w:rsid w:val="22EC0514"/>
    <w:rsid w:val="22F70D69"/>
    <w:rsid w:val="23061CAF"/>
    <w:rsid w:val="230963C7"/>
    <w:rsid w:val="230B64DF"/>
    <w:rsid w:val="23151973"/>
    <w:rsid w:val="231A52F5"/>
    <w:rsid w:val="231A6657"/>
    <w:rsid w:val="231F64C9"/>
    <w:rsid w:val="232E7024"/>
    <w:rsid w:val="233A4131"/>
    <w:rsid w:val="233A4278"/>
    <w:rsid w:val="233E4A36"/>
    <w:rsid w:val="23607F20"/>
    <w:rsid w:val="23664E71"/>
    <w:rsid w:val="23846FD7"/>
    <w:rsid w:val="2386717E"/>
    <w:rsid w:val="23B25529"/>
    <w:rsid w:val="23B420F8"/>
    <w:rsid w:val="23BC0851"/>
    <w:rsid w:val="23C1595F"/>
    <w:rsid w:val="23CD6B0E"/>
    <w:rsid w:val="23ED1676"/>
    <w:rsid w:val="23FE2357"/>
    <w:rsid w:val="24624308"/>
    <w:rsid w:val="2466664F"/>
    <w:rsid w:val="246F5780"/>
    <w:rsid w:val="247C28FF"/>
    <w:rsid w:val="2499166B"/>
    <w:rsid w:val="24A905E3"/>
    <w:rsid w:val="24AA7332"/>
    <w:rsid w:val="24AC37E9"/>
    <w:rsid w:val="24AF4AB0"/>
    <w:rsid w:val="24B81E16"/>
    <w:rsid w:val="24C63A20"/>
    <w:rsid w:val="24D562C0"/>
    <w:rsid w:val="24DE0E5E"/>
    <w:rsid w:val="24FB111E"/>
    <w:rsid w:val="251F3280"/>
    <w:rsid w:val="25203277"/>
    <w:rsid w:val="252C2FED"/>
    <w:rsid w:val="253E3EBC"/>
    <w:rsid w:val="25401C79"/>
    <w:rsid w:val="25404CD9"/>
    <w:rsid w:val="25416241"/>
    <w:rsid w:val="254B1650"/>
    <w:rsid w:val="2553463D"/>
    <w:rsid w:val="255B0BA0"/>
    <w:rsid w:val="2575341F"/>
    <w:rsid w:val="25763B01"/>
    <w:rsid w:val="257858B7"/>
    <w:rsid w:val="257D1B5A"/>
    <w:rsid w:val="25853324"/>
    <w:rsid w:val="25931026"/>
    <w:rsid w:val="25BC5CB5"/>
    <w:rsid w:val="25BE7846"/>
    <w:rsid w:val="25C757F6"/>
    <w:rsid w:val="25CA0C55"/>
    <w:rsid w:val="25D0543A"/>
    <w:rsid w:val="25DB00D2"/>
    <w:rsid w:val="25E70335"/>
    <w:rsid w:val="25EB0B51"/>
    <w:rsid w:val="25ED2BD0"/>
    <w:rsid w:val="25EE39A1"/>
    <w:rsid w:val="26020D1E"/>
    <w:rsid w:val="260A5655"/>
    <w:rsid w:val="260B3108"/>
    <w:rsid w:val="260C5E52"/>
    <w:rsid w:val="261301D0"/>
    <w:rsid w:val="26140373"/>
    <w:rsid w:val="26195456"/>
    <w:rsid w:val="26280C7C"/>
    <w:rsid w:val="26460C0D"/>
    <w:rsid w:val="26517D5A"/>
    <w:rsid w:val="265A1637"/>
    <w:rsid w:val="265D4D90"/>
    <w:rsid w:val="266427D3"/>
    <w:rsid w:val="266A5519"/>
    <w:rsid w:val="266A6683"/>
    <w:rsid w:val="2670658E"/>
    <w:rsid w:val="2675674A"/>
    <w:rsid w:val="26843375"/>
    <w:rsid w:val="26846979"/>
    <w:rsid w:val="26851904"/>
    <w:rsid w:val="268B606C"/>
    <w:rsid w:val="269359D8"/>
    <w:rsid w:val="269F54AF"/>
    <w:rsid w:val="26A4798B"/>
    <w:rsid w:val="26B20DF7"/>
    <w:rsid w:val="26B2210E"/>
    <w:rsid w:val="26D1232B"/>
    <w:rsid w:val="26EE0FB2"/>
    <w:rsid w:val="27000709"/>
    <w:rsid w:val="273A03D9"/>
    <w:rsid w:val="27512D73"/>
    <w:rsid w:val="27515A3B"/>
    <w:rsid w:val="27540081"/>
    <w:rsid w:val="275A1503"/>
    <w:rsid w:val="275C2488"/>
    <w:rsid w:val="27707D9F"/>
    <w:rsid w:val="27710808"/>
    <w:rsid w:val="277736B5"/>
    <w:rsid w:val="2777522A"/>
    <w:rsid w:val="27A256BD"/>
    <w:rsid w:val="27A9643E"/>
    <w:rsid w:val="27AE05E7"/>
    <w:rsid w:val="27B0758A"/>
    <w:rsid w:val="27BA2806"/>
    <w:rsid w:val="27BC244A"/>
    <w:rsid w:val="27C93226"/>
    <w:rsid w:val="27E04F87"/>
    <w:rsid w:val="27E3520A"/>
    <w:rsid w:val="27F76560"/>
    <w:rsid w:val="280C2F29"/>
    <w:rsid w:val="280E3E73"/>
    <w:rsid w:val="281A5069"/>
    <w:rsid w:val="2838132E"/>
    <w:rsid w:val="283C47A1"/>
    <w:rsid w:val="28447CD2"/>
    <w:rsid w:val="284F6DA3"/>
    <w:rsid w:val="28621296"/>
    <w:rsid w:val="286B3E9F"/>
    <w:rsid w:val="286D568F"/>
    <w:rsid w:val="28771649"/>
    <w:rsid w:val="287A5694"/>
    <w:rsid w:val="28907A65"/>
    <w:rsid w:val="28926C90"/>
    <w:rsid w:val="2895355D"/>
    <w:rsid w:val="289F2FF8"/>
    <w:rsid w:val="28A74874"/>
    <w:rsid w:val="28AC48F5"/>
    <w:rsid w:val="28AF48FE"/>
    <w:rsid w:val="28B30360"/>
    <w:rsid w:val="28B700D8"/>
    <w:rsid w:val="28B81A59"/>
    <w:rsid w:val="28BC0025"/>
    <w:rsid w:val="28BD749A"/>
    <w:rsid w:val="28BF5BE1"/>
    <w:rsid w:val="28C838C3"/>
    <w:rsid w:val="28DE736F"/>
    <w:rsid w:val="28E215E7"/>
    <w:rsid w:val="28E75C23"/>
    <w:rsid w:val="28F66F27"/>
    <w:rsid w:val="28F74D45"/>
    <w:rsid w:val="28FE3091"/>
    <w:rsid w:val="28FF44FC"/>
    <w:rsid w:val="29004CA4"/>
    <w:rsid w:val="29060DC1"/>
    <w:rsid w:val="29077127"/>
    <w:rsid w:val="2908154A"/>
    <w:rsid w:val="29122857"/>
    <w:rsid w:val="293B2E83"/>
    <w:rsid w:val="293E708B"/>
    <w:rsid w:val="29594737"/>
    <w:rsid w:val="295E4802"/>
    <w:rsid w:val="2967522D"/>
    <w:rsid w:val="296E63D4"/>
    <w:rsid w:val="297D2E22"/>
    <w:rsid w:val="29931A80"/>
    <w:rsid w:val="299E45D3"/>
    <w:rsid w:val="299F2675"/>
    <w:rsid w:val="29A12A77"/>
    <w:rsid w:val="29A671D2"/>
    <w:rsid w:val="29AC6EB1"/>
    <w:rsid w:val="29AD6F45"/>
    <w:rsid w:val="29B444FC"/>
    <w:rsid w:val="29BD120F"/>
    <w:rsid w:val="29C769C8"/>
    <w:rsid w:val="29D74EB6"/>
    <w:rsid w:val="29E2264F"/>
    <w:rsid w:val="29E4464B"/>
    <w:rsid w:val="29F36D30"/>
    <w:rsid w:val="29F84CE2"/>
    <w:rsid w:val="2A0343F7"/>
    <w:rsid w:val="2A277F19"/>
    <w:rsid w:val="2A4B31B4"/>
    <w:rsid w:val="2A516722"/>
    <w:rsid w:val="2A676A61"/>
    <w:rsid w:val="2A77544F"/>
    <w:rsid w:val="2A7C4B41"/>
    <w:rsid w:val="2A8C5942"/>
    <w:rsid w:val="2AA059B0"/>
    <w:rsid w:val="2AA2170A"/>
    <w:rsid w:val="2AAC3BC6"/>
    <w:rsid w:val="2AC15811"/>
    <w:rsid w:val="2ACE3624"/>
    <w:rsid w:val="2ACF5A8C"/>
    <w:rsid w:val="2AD40EF4"/>
    <w:rsid w:val="2ADF4AAE"/>
    <w:rsid w:val="2AED28A3"/>
    <w:rsid w:val="2AF51552"/>
    <w:rsid w:val="2AFE28F4"/>
    <w:rsid w:val="2B0C00B5"/>
    <w:rsid w:val="2B0F60E3"/>
    <w:rsid w:val="2B1534EE"/>
    <w:rsid w:val="2B171B79"/>
    <w:rsid w:val="2B2621F1"/>
    <w:rsid w:val="2B2E661F"/>
    <w:rsid w:val="2B3561CA"/>
    <w:rsid w:val="2B3E61BC"/>
    <w:rsid w:val="2B646A04"/>
    <w:rsid w:val="2B833DCF"/>
    <w:rsid w:val="2B9C72A6"/>
    <w:rsid w:val="2BA867E1"/>
    <w:rsid w:val="2BAA72ED"/>
    <w:rsid w:val="2BAD5346"/>
    <w:rsid w:val="2BB03333"/>
    <w:rsid w:val="2BB32876"/>
    <w:rsid w:val="2BC67E03"/>
    <w:rsid w:val="2BCC0AF7"/>
    <w:rsid w:val="2BDA19F5"/>
    <w:rsid w:val="2BDC54EB"/>
    <w:rsid w:val="2BF93228"/>
    <w:rsid w:val="2BFC41C0"/>
    <w:rsid w:val="2BFF6824"/>
    <w:rsid w:val="2C002162"/>
    <w:rsid w:val="2C0E1ED5"/>
    <w:rsid w:val="2C37329E"/>
    <w:rsid w:val="2C3A254F"/>
    <w:rsid w:val="2C4D331F"/>
    <w:rsid w:val="2C710E04"/>
    <w:rsid w:val="2C7E0919"/>
    <w:rsid w:val="2C8F010A"/>
    <w:rsid w:val="2CA05BB5"/>
    <w:rsid w:val="2CA820AE"/>
    <w:rsid w:val="2CB949F3"/>
    <w:rsid w:val="2CC17B44"/>
    <w:rsid w:val="2CCA2003"/>
    <w:rsid w:val="2CD10B96"/>
    <w:rsid w:val="2CD52350"/>
    <w:rsid w:val="2CFA7B94"/>
    <w:rsid w:val="2D076456"/>
    <w:rsid w:val="2D0A3C12"/>
    <w:rsid w:val="2D1947D7"/>
    <w:rsid w:val="2D200AE1"/>
    <w:rsid w:val="2D2D366D"/>
    <w:rsid w:val="2D43121A"/>
    <w:rsid w:val="2D485824"/>
    <w:rsid w:val="2D6B7AAF"/>
    <w:rsid w:val="2D71509A"/>
    <w:rsid w:val="2D734381"/>
    <w:rsid w:val="2D7979A9"/>
    <w:rsid w:val="2D90359F"/>
    <w:rsid w:val="2D962D8D"/>
    <w:rsid w:val="2DA210D2"/>
    <w:rsid w:val="2DA65AC5"/>
    <w:rsid w:val="2DAD5937"/>
    <w:rsid w:val="2DCD664C"/>
    <w:rsid w:val="2DD11D00"/>
    <w:rsid w:val="2DDA12DB"/>
    <w:rsid w:val="2DDC0D17"/>
    <w:rsid w:val="2DDD3AA0"/>
    <w:rsid w:val="2DE0049D"/>
    <w:rsid w:val="2DE07B9D"/>
    <w:rsid w:val="2DE87C4A"/>
    <w:rsid w:val="2DE90351"/>
    <w:rsid w:val="2DFD7CA4"/>
    <w:rsid w:val="2DFE4473"/>
    <w:rsid w:val="2E0C18B0"/>
    <w:rsid w:val="2E0C73C5"/>
    <w:rsid w:val="2E0D3FF0"/>
    <w:rsid w:val="2E187A37"/>
    <w:rsid w:val="2E273777"/>
    <w:rsid w:val="2E3E1438"/>
    <w:rsid w:val="2E4B657B"/>
    <w:rsid w:val="2E6469A0"/>
    <w:rsid w:val="2E7656FD"/>
    <w:rsid w:val="2E7F2143"/>
    <w:rsid w:val="2E822F30"/>
    <w:rsid w:val="2E857D2F"/>
    <w:rsid w:val="2E8E5CB9"/>
    <w:rsid w:val="2E9417EC"/>
    <w:rsid w:val="2E9C1C84"/>
    <w:rsid w:val="2EAD0874"/>
    <w:rsid w:val="2EB53575"/>
    <w:rsid w:val="2EE45EB9"/>
    <w:rsid w:val="2EE72AF7"/>
    <w:rsid w:val="2EE87514"/>
    <w:rsid w:val="2EF36922"/>
    <w:rsid w:val="2EF62E8D"/>
    <w:rsid w:val="2EFF15EE"/>
    <w:rsid w:val="2F000DF7"/>
    <w:rsid w:val="2F10450B"/>
    <w:rsid w:val="2F130058"/>
    <w:rsid w:val="2F1468C2"/>
    <w:rsid w:val="2F277E48"/>
    <w:rsid w:val="2F5F5B1B"/>
    <w:rsid w:val="2F6971AB"/>
    <w:rsid w:val="2F6C5CA5"/>
    <w:rsid w:val="2F6C7A55"/>
    <w:rsid w:val="2F6D3FB3"/>
    <w:rsid w:val="2F957CAF"/>
    <w:rsid w:val="2F9D34D5"/>
    <w:rsid w:val="2FC836E2"/>
    <w:rsid w:val="2FCF2A28"/>
    <w:rsid w:val="2FD97E44"/>
    <w:rsid w:val="2FE23FCB"/>
    <w:rsid w:val="2FE5465A"/>
    <w:rsid w:val="2FEA3641"/>
    <w:rsid w:val="2FF454EA"/>
    <w:rsid w:val="2FFB9F57"/>
    <w:rsid w:val="300264A9"/>
    <w:rsid w:val="30042D9F"/>
    <w:rsid w:val="300F506A"/>
    <w:rsid w:val="30194492"/>
    <w:rsid w:val="302152AE"/>
    <w:rsid w:val="30235E16"/>
    <w:rsid w:val="30387810"/>
    <w:rsid w:val="303956AD"/>
    <w:rsid w:val="30424923"/>
    <w:rsid w:val="30442EDE"/>
    <w:rsid w:val="30527FC5"/>
    <w:rsid w:val="3053398E"/>
    <w:rsid w:val="305B2034"/>
    <w:rsid w:val="30652C14"/>
    <w:rsid w:val="306D31AB"/>
    <w:rsid w:val="307427C9"/>
    <w:rsid w:val="309950F4"/>
    <w:rsid w:val="30AE7BC9"/>
    <w:rsid w:val="30B14C74"/>
    <w:rsid w:val="30B73992"/>
    <w:rsid w:val="30B94808"/>
    <w:rsid w:val="30BD6ACE"/>
    <w:rsid w:val="30BF415F"/>
    <w:rsid w:val="30C72B81"/>
    <w:rsid w:val="30C82D31"/>
    <w:rsid w:val="30CB5389"/>
    <w:rsid w:val="30E62F57"/>
    <w:rsid w:val="30ED06E7"/>
    <w:rsid w:val="3106371A"/>
    <w:rsid w:val="310900FE"/>
    <w:rsid w:val="310D28FD"/>
    <w:rsid w:val="310F3B05"/>
    <w:rsid w:val="31132938"/>
    <w:rsid w:val="312622CD"/>
    <w:rsid w:val="31282B8E"/>
    <w:rsid w:val="312C75A1"/>
    <w:rsid w:val="313A3CC4"/>
    <w:rsid w:val="313A706C"/>
    <w:rsid w:val="31411253"/>
    <w:rsid w:val="3156310C"/>
    <w:rsid w:val="315A1862"/>
    <w:rsid w:val="316049FB"/>
    <w:rsid w:val="31680A34"/>
    <w:rsid w:val="3172154C"/>
    <w:rsid w:val="317A2589"/>
    <w:rsid w:val="3188610E"/>
    <w:rsid w:val="318A4E74"/>
    <w:rsid w:val="318D5CFE"/>
    <w:rsid w:val="319627F6"/>
    <w:rsid w:val="319F3C19"/>
    <w:rsid w:val="31C132B8"/>
    <w:rsid w:val="31C632CA"/>
    <w:rsid w:val="31D16BBF"/>
    <w:rsid w:val="31F65A58"/>
    <w:rsid w:val="320B1A06"/>
    <w:rsid w:val="3210733A"/>
    <w:rsid w:val="32263C46"/>
    <w:rsid w:val="32267886"/>
    <w:rsid w:val="322B2A37"/>
    <w:rsid w:val="322B6746"/>
    <w:rsid w:val="3237213F"/>
    <w:rsid w:val="323E147B"/>
    <w:rsid w:val="3240048E"/>
    <w:rsid w:val="32435C17"/>
    <w:rsid w:val="325724E4"/>
    <w:rsid w:val="326738A9"/>
    <w:rsid w:val="327A0086"/>
    <w:rsid w:val="327B7538"/>
    <w:rsid w:val="32816F96"/>
    <w:rsid w:val="328B3D6E"/>
    <w:rsid w:val="32903F19"/>
    <w:rsid w:val="32A457A0"/>
    <w:rsid w:val="32A503EC"/>
    <w:rsid w:val="32AD4FBB"/>
    <w:rsid w:val="32AE10A0"/>
    <w:rsid w:val="32B54566"/>
    <w:rsid w:val="32B76E6E"/>
    <w:rsid w:val="32B84446"/>
    <w:rsid w:val="32C67C77"/>
    <w:rsid w:val="32D3412D"/>
    <w:rsid w:val="32E7022E"/>
    <w:rsid w:val="330271CA"/>
    <w:rsid w:val="330E5872"/>
    <w:rsid w:val="330E7FD6"/>
    <w:rsid w:val="33161561"/>
    <w:rsid w:val="331E7F08"/>
    <w:rsid w:val="331F6A4D"/>
    <w:rsid w:val="334603F1"/>
    <w:rsid w:val="3353338A"/>
    <w:rsid w:val="33701A05"/>
    <w:rsid w:val="33702795"/>
    <w:rsid w:val="337C00DB"/>
    <w:rsid w:val="33C62D00"/>
    <w:rsid w:val="33CE4A55"/>
    <w:rsid w:val="33DE50CB"/>
    <w:rsid w:val="33E123CD"/>
    <w:rsid w:val="33E23E40"/>
    <w:rsid w:val="33EC1514"/>
    <w:rsid w:val="33F71155"/>
    <w:rsid w:val="33FF0C21"/>
    <w:rsid w:val="34104BC5"/>
    <w:rsid w:val="341A06B8"/>
    <w:rsid w:val="342C7F98"/>
    <w:rsid w:val="342D0BB1"/>
    <w:rsid w:val="34416C0A"/>
    <w:rsid w:val="34460B76"/>
    <w:rsid w:val="344D5388"/>
    <w:rsid w:val="346E46B7"/>
    <w:rsid w:val="3471177D"/>
    <w:rsid w:val="34726277"/>
    <w:rsid w:val="347B23B3"/>
    <w:rsid w:val="34821BE3"/>
    <w:rsid w:val="34832720"/>
    <w:rsid w:val="34871985"/>
    <w:rsid w:val="34915EA2"/>
    <w:rsid w:val="34940253"/>
    <w:rsid w:val="34983684"/>
    <w:rsid w:val="34A57D6A"/>
    <w:rsid w:val="34A913BC"/>
    <w:rsid w:val="34BC2226"/>
    <w:rsid w:val="34C03AF1"/>
    <w:rsid w:val="34D5003A"/>
    <w:rsid w:val="34E87B0F"/>
    <w:rsid w:val="34F26658"/>
    <w:rsid w:val="34FA62E8"/>
    <w:rsid w:val="34FB7282"/>
    <w:rsid w:val="34FC4642"/>
    <w:rsid w:val="351B0D3E"/>
    <w:rsid w:val="3520042F"/>
    <w:rsid w:val="3521031A"/>
    <w:rsid w:val="35210A8D"/>
    <w:rsid w:val="35216B3A"/>
    <w:rsid w:val="35354DFA"/>
    <w:rsid w:val="35393D99"/>
    <w:rsid w:val="35485A54"/>
    <w:rsid w:val="354E3B51"/>
    <w:rsid w:val="35522C36"/>
    <w:rsid w:val="355B4C65"/>
    <w:rsid w:val="356C52F9"/>
    <w:rsid w:val="35852EE6"/>
    <w:rsid w:val="35936C62"/>
    <w:rsid w:val="35945057"/>
    <w:rsid w:val="359B56A3"/>
    <w:rsid w:val="35A270E4"/>
    <w:rsid w:val="35C8653B"/>
    <w:rsid w:val="35D30C65"/>
    <w:rsid w:val="35D61456"/>
    <w:rsid w:val="35D65B34"/>
    <w:rsid w:val="35DA5022"/>
    <w:rsid w:val="35DF52F8"/>
    <w:rsid w:val="35E644CB"/>
    <w:rsid w:val="35E81A7F"/>
    <w:rsid w:val="35F24C09"/>
    <w:rsid w:val="35F3004D"/>
    <w:rsid w:val="360139B8"/>
    <w:rsid w:val="360311CD"/>
    <w:rsid w:val="36070CBD"/>
    <w:rsid w:val="36127207"/>
    <w:rsid w:val="36200754"/>
    <w:rsid w:val="36256DC5"/>
    <w:rsid w:val="36290C2F"/>
    <w:rsid w:val="36301CAE"/>
    <w:rsid w:val="3637718E"/>
    <w:rsid w:val="36384921"/>
    <w:rsid w:val="36435665"/>
    <w:rsid w:val="366B14B6"/>
    <w:rsid w:val="368045CB"/>
    <w:rsid w:val="36900EB9"/>
    <w:rsid w:val="36A24CBE"/>
    <w:rsid w:val="36A85C45"/>
    <w:rsid w:val="36AF6AB1"/>
    <w:rsid w:val="36B36BA8"/>
    <w:rsid w:val="36BC7D30"/>
    <w:rsid w:val="36C515C6"/>
    <w:rsid w:val="36C7685E"/>
    <w:rsid w:val="36C8518D"/>
    <w:rsid w:val="36D70F63"/>
    <w:rsid w:val="36D911EF"/>
    <w:rsid w:val="36DF7544"/>
    <w:rsid w:val="36E93F55"/>
    <w:rsid w:val="36EE3F4B"/>
    <w:rsid w:val="36F1357C"/>
    <w:rsid w:val="36F679D7"/>
    <w:rsid w:val="36FE1C40"/>
    <w:rsid w:val="37035E09"/>
    <w:rsid w:val="37096C73"/>
    <w:rsid w:val="37110A52"/>
    <w:rsid w:val="371C79AA"/>
    <w:rsid w:val="371F3DE4"/>
    <w:rsid w:val="372248E3"/>
    <w:rsid w:val="37230362"/>
    <w:rsid w:val="37283FBD"/>
    <w:rsid w:val="37310A0F"/>
    <w:rsid w:val="373A41EA"/>
    <w:rsid w:val="37465029"/>
    <w:rsid w:val="37543839"/>
    <w:rsid w:val="37585C03"/>
    <w:rsid w:val="376B44C4"/>
    <w:rsid w:val="376D0E2E"/>
    <w:rsid w:val="37802D3A"/>
    <w:rsid w:val="37850091"/>
    <w:rsid w:val="379116A8"/>
    <w:rsid w:val="379E11AD"/>
    <w:rsid w:val="37A60983"/>
    <w:rsid w:val="37A93BCE"/>
    <w:rsid w:val="37B704C1"/>
    <w:rsid w:val="37B71B23"/>
    <w:rsid w:val="37BB194B"/>
    <w:rsid w:val="37BF843D"/>
    <w:rsid w:val="37CF5451"/>
    <w:rsid w:val="37DA2CF5"/>
    <w:rsid w:val="37DF0D06"/>
    <w:rsid w:val="37E64902"/>
    <w:rsid w:val="37EF25FC"/>
    <w:rsid w:val="37F7120E"/>
    <w:rsid w:val="37FE5FF1"/>
    <w:rsid w:val="38035DBC"/>
    <w:rsid w:val="38082ACA"/>
    <w:rsid w:val="380D2520"/>
    <w:rsid w:val="380F56A1"/>
    <w:rsid w:val="38134DDD"/>
    <w:rsid w:val="381B6DB3"/>
    <w:rsid w:val="38305B7D"/>
    <w:rsid w:val="383B13D4"/>
    <w:rsid w:val="384A501C"/>
    <w:rsid w:val="38546D78"/>
    <w:rsid w:val="385566B6"/>
    <w:rsid w:val="386144A9"/>
    <w:rsid w:val="38785F5F"/>
    <w:rsid w:val="388B52AB"/>
    <w:rsid w:val="389D1465"/>
    <w:rsid w:val="389D5144"/>
    <w:rsid w:val="38A34CC6"/>
    <w:rsid w:val="38A66177"/>
    <w:rsid w:val="38A74DA6"/>
    <w:rsid w:val="38AB6509"/>
    <w:rsid w:val="38BA7231"/>
    <w:rsid w:val="38BC45D1"/>
    <w:rsid w:val="38C67BAB"/>
    <w:rsid w:val="38D47011"/>
    <w:rsid w:val="38E9013C"/>
    <w:rsid w:val="38F65019"/>
    <w:rsid w:val="38FD5AC6"/>
    <w:rsid w:val="38FF2F74"/>
    <w:rsid w:val="38FF4EFB"/>
    <w:rsid w:val="390B3713"/>
    <w:rsid w:val="391928A0"/>
    <w:rsid w:val="391C5320"/>
    <w:rsid w:val="39243F17"/>
    <w:rsid w:val="392B7BAB"/>
    <w:rsid w:val="392C18C2"/>
    <w:rsid w:val="39481B04"/>
    <w:rsid w:val="394C66DD"/>
    <w:rsid w:val="396122B0"/>
    <w:rsid w:val="396A3375"/>
    <w:rsid w:val="39730461"/>
    <w:rsid w:val="397440DA"/>
    <w:rsid w:val="39764D37"/>
    <w:rsid w:val="397D3525"/>
    <w:rsid w:val="399D5052"/>
    <w:rsid w:val="39AD78D2"/>
    <w:rsid w:val="39AE5A5B"/>
    <w:rsid w:val="39B72078"/>
    <w:rsid w:val="39B96310"/>
    <w:rsid w:val="39BB0FB8"/>
    <w:rsid w:val="39C830C2"/>
    <w:rsid w:val="39EC7D3C"/>
    <w:rsid w:val="39ED1A22"/>
    <w:rsid w:val="3A10410D"/>
    <w:rsid w:val="3A2053A6"/>
    <w:rsid w:val="3A26050E"/>
    <w:rsid w:val="3A271F33"/>
    <w:rsid w:val="3A446E54"/>
    <w:rsid w:val="3A5244D1"/>
    <w:rsid w:val="3A602052"/>
    <w:rsid w:val="3A6B361F"/>
    <w:rsid w:val="3A714511"/>
    <w:rsid w:val="3A7FA0D8"/>
    <w:rsid w:val="3A894E1A"/>
    <w:rsid w:val="3A985B80"/>
    <w:rsid w:val="3AA51A0D"/>
    <w:rsid w:val="3ABD00AF"/>
    <w:rsid w:val="3AC76E36"/>
    <w:rsid w:val="3ACB56B9"/>
    <w:rsid w:val="3AD8035A"/>
    <w:rsid w:val="3ADF037E"/>
    <w:rsid w:val="3AE22C48"/>
    <w:rsid w:val="3AEF41B2"/>
    <w:rsid w:val="3AF07D51"/>
    <w:rsid w:val="3AFD60FD"/>
    <w:rsid w:val="3B040FE4"/>
    <w:rsid w:val="3B0D0484"/>
    <w:rsid w:val="3B1744D9"/>
    <w:rsid w:val="3B2B14C0"/>
    <w:rsid w:val="3B3D0765"/>
    <w:rsid w:val="3B510961"/>
    <w:rsid w:val="3B641997"/>
    <w:rsid w:val="3B6762C9"/>
    <w:rsid w:val="3B723AD4"/>
    <w:rsid w:val="3B7B4897"/>
    <w:rsid w:val="3B7B4EF3"/>
    <w:rsid w:val="3B802375"/>
    <w:rsid w:val="3B8D4FDE"/>
    <w:rsid w:val="3B90605D"/>
    <w:rsid w:val="3BA53444"/>
    <w:rsid w:val="3BA81601"/>
    <w:rsid w:val="3BAC507F"/>
    <w:rsid w:val="3BB13E90"/>
    <w:rsid w:val="3BC05C20"/>
    <w:rsid w:val="3BC242CB"/>
    <w:rsid w:val="3BC255BB"/>
    <w:rsid w:val="3BCA6B4D"/>
    <w:rsid w:val="3BDD43F0"/>
    <w:rsid w:val="3BE922D2"/>
    <w:rsid w:val="3BEA2018"/>
    <w:rsid w:val="3C1C68FB"/>
    <w:rsid w:val="3C266052"/>
    <w:rsid w:val="3C28373B"/>
    <w:rsid w:val="3C322630"/>
    <w:rsid w:val="3C390C19"/>
    <w:rsid w:val="3C3B092C"/>
    <w:rsid w:val="3C544530"/>
    <w:rsid w:val="3C5D3905"/>
    <w:rsid w:val="3C5E7B6B"/>
    <w:rsid w:val="3C720A34"/>
    <w:rsid w:val="3C731522"/>
    <w:rsid w:val="3C7438DB"/>
    <w:rsid w:val="3C7B26C4"/>
    <w:rsid w:val="3C8D6778"/>
    <w:rsid w:val="3C935899"/>
    <w:rsid w:val="3C9E74DC"/>
    <w:rsid w:val="3CA40291"/>
    <w:rsid w:val="3CAE3FCB"/>
    <w:rsid w:val="3CB35C1A"/>
    <w:rsid w:val="3CB46D18"/>
    <w:rsid w:val="3CCA127C"/>
    <w:rsid w:val="3D066D21"/>
    <w:rsid w:val="3D0E1D7A"/>
    <w:rsid w:val="3D146378"/>
    <w:rsid w:val="3D155535"/>
    <w:rsid w:val="3D1A551E"/>
    <w:rsid w:val="3D1D0DC6"/>
    <w:rsid w:val="3D2364DC"/>
    <w:rsid w:val="3D3313E5"/>
    <w:rsid w:val="3D3B13BE"/>
    <w:rsid w:val="3D414A19"/>
    <w:rsid w:val="3D4566E6"/>
    <w:rsid w:val="3D617252"/>
    <w:rsid w:val="3D636911"/>
    <w:rsid w:val="3D690E22"/>
    <w:rsid w:val="3D8865AD"/>
    <w:rsid w:val="3D9D0729"/>
    <w:rsid w:val="3DA9101D"/>
    <w:rsid w:val="3DA917B8"/>
    <w:rsid w:val="3DAC39CF"/>
    <w:rsid w:val="3DAE434A"/>
    <w:rsid w:val="3DB377D0"/>
    <w:rsid w:val="3DC44B1D"/>
    <w:rsid w:val="3DCB1B13"/>
    <w:rsid w:val="3DCD4D10"/>
    <w:rsid w:val="3DD223B2"/>
    <w:rsid w:val="3DEA0E7D"/>
    <w:rsid w:val="3DEA4188"/>
    <w:rsid w:val="3DFD3C46"/>
    <w:rsid w:val="3E047890"/>
    <w:rsid w:val="3E0D2BA2"/>
    <w:rsid w:val="3E234D34"/>
    <w:rsid w:val="3E28157C"/>
    <w:rsid w:val="3E313576"/>
    <w:rsid w:val="3E36697B"/>
    <w:rsid w:val="3E493FE3"/>
    <w:rsid w:val="3E4B6981"/>
    <w:rsid w:val="3E672EB4"/>
    <w:rsid w:val="3E695273"/>
    <w:rsid w:val="3E6D11EF"/>
    <w:rsid w:val="3E777477"/>
    <w:rsid w:val="3E89310E"/>
    <w:rsid w:val="3E8D5C11"/>
    <w:rsid w:val="3EA22D08"/>
    <w:rsid w:val="3EA610B6"/>
    <w:rsid w:val="3EA6508A"/>
    <w:rsid w:val="3EB04CAF"/>
    <w:rsid w:val="3EB70181"/>
    <w:rsid w:val="3EBB151E"/>
    <w:rsid w:val="3EBC352D"/>
    <w:rsid w:val="3EBD7904"/>
    <w:rsid w:val="3EBE084F"/>
    <w:rsid w:val="3EC076B5"/>
    <w:rsid w:val="3EC32B74"/>
    <w:rsid w:val="3ED715C1"/>
    <w:rsid w:val="3ED71712"/>
    <w:rsid w:val="3ED92825"/>
    <w:rsid w:val="3EDB7087"/>
    <w:rsid w:val="3EF7CD57"/>
    <w:rsid w:val="3F040999"/>
    <w:rsid w:val="3F062266"/>
    <w:rsid w:val="3F2179D0"/>
    <w:rsid w:val="3F265678"/>
    <w:rsid w:val="3F28434E"/>
    <w:rsid w:val="3F326DBB"/>
    <w:rsid w:val="3F360EA4"/>
    <w:rsid w:val="3F3A7F44"/>
    <w:rsid w:val="3F3E3276"/>
    <w:rsid w:val="3F4D6969"/>
    <w:rsid w:val="3F4E4B32"/>
    <w:rsid w:val="3F59010B"/>
    <w:rsid w:val="3F5E56C6"/>
    <w:rsid w:val="3F6C4251"/>
    <w:rsid w:val="3F9135C0"/>
    <w:rsid w:val="3F9A3294"/>
    <w:rsid w:val="3FA834DC"/>
    <w:rsid w:val="3FAE7BFF"/>
    <w:rsid w:val="3FAEC77E"/>
    <w:rsid w:val="3FB079D9"/>
    <w:rsid w:val="3FB44390"/>
    <w:rsid w:val="3FBE48F8"/>
    <w:rsid w:val="3FD010CB"/>
    <w:rsid w:val="3FD049EC"/>
    <w:rsid w:val="3FDA1D33"/>
    <w:rsid w:val="3FE261F2"/>
    <w:rsid w:val="3FE815EE"/>
    <w:rsid w:val="3FEA6BFC"/>
    <w:rsid w:val="3FF76861"/>
    <w:rsid w:val="40023C70"/>
    <w:rsid w:val="40086A92"/>
    <w:rsid w:val="402158C5"/>
    <w:rsid w:val="402F7539"/>
    <w:rsid w:val="404264F9"/>
    <w:rsid w:val="405F542D"/>
    <w:rsid w:val="406518C8"/>
    <w:rsid w:val="40736AAC"/>
    <w:rsid w:val="40774C91"/>
    <w:rsid w:val="40872663"/>
    <w:rsid w:val="408847A8"/>
    <w:rsid w:val="40A36975"/>
    <w:rsid w:val="40A92D7E"/>
    <w:rsid w:val="40DC05C4"/>
    <w:rsid w:val="40EC294D"/>
    <w:rsid w:val="41112814"/>
    <w:rsid w:val="41220DC3"/>
    <w:rsid w:val="41336AA7"/>
    <w:rsid w:val="413A078C"/>
    <w:rsid w:val="413C022C"/>
    <w:rsid w:val="414508EB"/>
    <w:rsid w:val="41465A7C"/>
    <w:rsid w:val="414A27E7"/>
    <w:rsid w:val="41567FFC"/>
    <w:rsid w:val="415A2C36"/>
    <w:rsid w:val="416C6812"/>
    <w:rsid w:val="417A2E1B"/>
    <w:rsid w:val="419A3818"/>
    <w:rsid w:val="419C55D6"/>
    <w:rsid w:val="419F3437"/>
    <w:rsid w:val="41CC0CFB"/>
    <w:rsid w:val="41CE1449"/>
    <w:rsid w:val="41DC7A85"/>
    <w:rsid w:val="41DE664A"/>
    <w:rsid w:val="41E31636"/>
    <w:rsid w:val="41E6684E"/>
    <w:rsid w:val="41EB00BA"/>
    <w:rsid w:val="42007BC3"/>
    <w:rsid w:val="420C1A57"/>
    <w:rsid w:val="42187677"/>
    <w:rsid w:val="422723C1"/>
    <w:rsid w:val="422E7705"/>
    <w:rsid w:val="42347BEE"/>
    <w:rsid w:val="4239502A"/>
    <w:rsid w:val="42397651"/>
    <w:rsid w:val="423D7BE4"/>
    <w:rsid w:val="423F278B"/>
    <w:rsid w:val="42902FAB"/>
    <w:rsid w:val="42931A06"/>
    <w:rsid w:val="42954F65"/>
    <w:rsid w:val="42974896"/>
    <w:rsid w:val="429F402B"/>
    <w:rsid w:val="42AB6297"/>
    <w:rsid w:val="42AC1AFD"/>
    <w:rsid w:val="42BD5589"/>
    <w:rsid w:val="42C13E24"/>
    <w:rsid w:val="42C260BF"/>
    <w:rsid w:val="42C304D8"/>
    <w:rsid w:val="42C80099"/>
    <w:rsid w:val="42D03DF9"/>
    <w:rsid w:val="42DA2207"/>
    <w:rsid w:val="42DC4996"/>
    <w:rsid w:val="42DF438F"/>
    <w:rsid w:val="42E04ECD"/>
    <w:rsid w:val="42EE5C1F"/>
    <w:rsid w:val="42F052B7"/>
    <w:rsid w:val="42F80A8C"/>
    <w:rsid w:val="430E697C"/>
    <w:rsid w:val="431E6379"/>
    <w:rsid w:val="431E7646"/>
    <w:rsid w:val="432039E0"/>
    <w:rsid w:val="432675D2"/>
    <w:rsid w:val="432A1D61"/>
    <w:rsid w:val="433208D1"/>
    <w:rsid w:val="4338529B"/>
    <w:rsid w:val="433F7EB7"/>
    <w:rsid w:val="43463727"/>
    <w:rsid w:val="43470476"/>
    <w:rsid w:val="4348702B"/>
    <w:rsid w:val="4351111A"/>
    <w:rsid w:val="43804A43"/>
    <w:rsid w:val="43891467"/>
    <w:rsid w:val="43963B42"/>
    <w:rsid w:val="43994D0F"/>
    <w:rsid w:val="43A05748"/>
    <w:rsid w:val="43B07F6C"/>
    <w:rsid w:val="43BA09D8"/>
    <w:rsid w:val="43BE2A16"/>
    <w:rsid w:val="43C9547E"/>
    <w:rsid w:val="43DC17D0"/>
    <w:rsid w:val="43DF4ED4"/>
    <w:rsid w:val="43F84BB0"/>
    <w:rsid w:val="441060A4"/>
    <w:rsid w:val="441C6B00"/>
    <w:rsid w:val="441F3CEF"/>
    <w:rsid w:val="442C445F"/>
    <w:rsid w:val="44304E5A"/>
    <w:rsid w:val="443B5510"/>
    <w:rsid w:val="44564556"/>
    <w:rsid w:val="445B5D66"/>
    <w:rsid w:val="445C25FF"/>
    <w:rsid w:val="4462582D"/>
    <w:rsid w:val="446272E5"/>
    <w:rsid w:val="446374FE"/>
    <w:rsid w:val="44643E47"/>
    <w:rsid w:val="44836571"/>
    <w:rsid w:val="44897E3F"/>
    <w:rsid w:val="448C6DF0"/>
    <w:rsid w:val="449A179A"/>
    <w:rsid w:val="449A71A0"/>
    <w:rsid w:val="44A92E36"/>
    <w:rsid w:val="44C25CAA"/>
    <w:rsid w:val="44C9538F"/>
    <w:rsid w:val="44D85483"/>
    <w:rsid w:val="44DF52E6"/>
    <w:rsid w:val="44F17CAA"/>
    <w:rsid w:val="44FE4D41"/>
    <w:rsid w:val="45184507"/>
    <w:rsid w:val="451A1E03"/>
    <w:rsid w:val="451F4451"/>
    <w:rsid w:val="45201CD0"/>
    <w:rsid w:val="45261C17"/>
    <w:rsid w:val="45297843"/>
    <w:rsid w:val="452A22D2"/>
    <w:rsid w:val="4533463C"/>
    <w:rsid w:val="453426AB"/>
    <w:rsid w:val="45360362"/>
    <w:rsid w:val="453B4135"/>
    <w:rsid w:val="453B4205"/>
    <w:rsid w:val="453F19E0"/>
    <w:rsid w:val="454049A0"/>
    <w:rsid w:val="454436DE"/>
    <w:rsid w:val="45521467"/>
    <w:rsid w:val="455A7EC7"/>
    <w:rsid w:val="45705E8D"/>
    <w:rsid w:val="45766896"/>
    <w:rsid w:val="458B08FC"/>
    <w:rsid w:val="458B1BBC"/>
    <w:rsid w:val="45956E7E"/>
    <w:rsid w:val="45A95584"/>
    <w:rsid w:val="45AE4A0E"/>
    <w:rsid w:val="45B60FB3"/>
    <w:rsid w:val="45C378EF"/>
    <w:rsid w:val="45C412DE"/>
    <w:rsid w:val="45C42B72"/>
    <w:rsid w:val="45C65B0E"/>
    <w:rsid w:val="45C70A4F"/>
    <w:rsid w:val="45D16D59"/>
    <w:rsid w:val="45E10B02"/>
    <w:rsid w:val="45E56CA3"/>
    <w:rsid w:val="45EB06EF"/>
    <w:rsid w:val="45F17488"/>
    <w:rsid w:val="45FD6F20"/>
    <w:rsid w:val="460F492E"/>
    <w:rsid w:val="46186197"/>
    <w:rsid w:val="461934A2"/>
    <w:rsid w:val="461A4C1A"/>
    <w:rsid w:val="46332BF8"/>
    <w:rsid w:val="46362EF9"/>
    <w:rsid w:val="463E476D"/>
    <w:rsid w:val="46445707"/>
    <w:rsid w:val="464610B0"/>
    <w:rsid w:val="465638A4"/>
    <w:rsid w:val="4662784A"/>
    <w:rsid w:val="4675215E"/>
    <w:rsid w:val="467B0514"/>
    <w:rsid w:val="467B30A8"/>
    <w:rsid w:val="467B4EE0"/>
    <w:rsid w:val="4691113B"/>
    <w:rsid w:val="469C3D47"/>
    <w:rsid w:val="46A85E78"/>
    <w:rsid w:val="46B04AE1"/>
    <w:rsid w:val="46B21EA4"/>
    <w:rsid w:val="46B40B6B"/>
    <w:rsid w:val="46BA47C2"/>
    <w:rsid w:val="46BB765E"/>
    <w:rsid w:val="46D64DD7"/>
    <w:rsid w:val="46D7495C"/>
    <w:rsid w:val="46DA02D9"/>
    <w:rsid w:val="46F427C7"/>
    <w:rsid w:val="46F43BD9"/>
    <w:rsid w:val="46F95916"/>
    <w:rsid w:val="46FE5DB8"/>
    <w:rsid w:val="470D2F62"/>
    <w:rsid w:val="4710374A"/>
    <w:rsid w:val="4718603E"/>
    <w:rsid w:val="471D4CB0"/>
    <w:rsid w:val="4723541D"/>
    <w:rsid w:val="47256588"/>
    <w:rsid w:val="472C3214"/>
    <w:rsid w:val="473050C1"/>
    <w:rsid w:val="47326D4E"/>
    <w:rsid w:val="475B786F"/>
    <w:rsid w:val="475FADFC"/>
    <w:rsid w:val="4765206C"/>
    <w:rsid w:val="477B2B8E"/>
    <w:rsid w:val="47814304"/>
    <w:rsid w:val="47843F76"/>
    <w:rsid w:val="478B7614"/>
    <w:rsid w:val="479F6D48"/>
    <w:rsid w:val="47A74A6E"/>
    <w:rsid w:val="47B2140D"/>
    <w:rsid w:val="47B279FC"/>
    <w:rsid w:val="47B70B10"/>
    <w:rsid w:val="47C76806"/>
    <w:rsid w:val="47E328E4"/>
    <w:rsid w:val="47F241AB"/>
    <w:rsid w:val="47F44E19"/>
    <w:rsid w:val="47FF773A"/>
    <w:rsid w:val="47FFF4BB"/>
    <w:rsid w:val="48025E63"/>
    <w:rsid w:val="48096E61"/>
    <w:rsid w:val="48164085"/>
    <w:rsid w:val="48282106"/>
    <w:rsid w:val="484323CF"/>
    <w:rsid w:val="484564C5"/>
    <w:rsid w:val="4854681C"/>
    <w:rsid w:val="485D351D"/>
    <w:rsid w:val="485E64DF"/>
    <w:rsid w:val="48797688"/>
    <w:rsid w:val="487F180D"/>
    <w:rsid w:val="488327FF"/>
    <w:rsid w:val="48874608"/>
    <w:rsid w:val="489E2F22"/>
    <w:rsid w:val="48A279E5"/>
    <w:rsid w:val="48AE07FB"/>
    <w:rsid w:val="48CA5BDD"/>
    <w:rsid w:val="48D70F23"/>
    <w:rsid w:val="48D7347B"/>
    <w:rsid w:val="48D91E9A"/>
    <w:rsid w:val="48E1229C"/>
    <w:rsid w:val="48FD3F53"/>
    <w:rsid w:val="48FE483B"/>
    <w:rsid w:val="490A31EA"/>
    <w:rsid w:val="49204394"/>
    <w:rsid w:val="49273E0A"/>
    <w:rsid w:val="492809FC"/>
    <w:rsid w:val="49295B00"/>
    <w:rsid w:val="493605C1"/>
    <w:rsid w:val="49371193"/>
    <w:rsid w:val="49383978"/>
    <w:rsid w:val="49422109"/>
    <w:rsid w:val="4944592C"/>
    <w:rsid w:val="494758DD"/>
    <w:rsid w:val="494F77BB"/>
    <w:rsid w:val="495163FD"/>
    <w:rsid w:val="498F6B83"/>
    <w:rsid w:val="4990050C"/>
    <w:rsid w:val="49905F6E"/>
    <w:rsid w:val="49926105"/>
    <w:rsid w:val="49984919"/>
    <w:rsid w:val="499968D8"/>
    <w:rsid w:val="49A202BD"/>
    <w:rsid w:val="49B7467B"/>
    <w:rsid w:val="49BB4DFF"/>
    <w:rsid w:val="49DA6140"/>
    <w:rsid w:val="49ED5CD0"/>
    <w:rsid w:val="49F6782D"/>
    <w:rsid w:val="4A006538"/>
    <w:rsid w:val="4A060E41"/>
    <w:rsid w:val="4A13062D"/>
    <w:rsid w:val="4A247656"/>
    <w:rsid w:val="4A27484B"/>
    <w:rsid w:val="4A295BD9"/>
    <w:rsid w:val="4A2E3588"/>
    <w:rsid w:val="4A35554B"/>
    <w:rsid w:val="4A4A7727"/>
    <w:rsid w:val="4A4D4AF3"/>
    <w:rsid w:val="4A551DC2"/>
    <w:rsid w:val="4A5C4BFA"/>
    <w:rsid w:val="4A637FA2"/>
    <w:rsid w:val="4A683F6B"/>
    <w:rsid w:val="4A7578C9"/>
    <w:rsid w:val="4A7D7891"/>
    <w:rsid w:val="4A7E4254"/>
    <w:rsid w:val="4A922B5E"/>
    <w:rsid w:val="4AA3106B"/>
    <w:rsid w:val="4AAA2A7D"/>
    <w:rsid w:val="4AAB7AF7"/>
    <w:rsid w:val="4AAF78C3"/>
    <w:rsid w:val="4AB2178A"/>
    <w:rsid w:val="4ABA6312"/>
    <w:rsid w:val="4ACF6D04"/>
    <w:rsid w:val="4ADB0F88"/>
    <w:rsid w:val="4AE9143A"/>
    <w:rsid w:val="4AE9280F"/>
    <w:rsid w:val="4AF20E05"/>
    <w:rsid w:val="4AF67242"/>
    <w:rsid w:val="4AFA0424"/>
    <w:rsid w:val="4B054CFE"/>
    <w:rsid w:val="4B117368"/>
    <w:rsid w:val="4B2268F4"/>
    <w:rsid w:val="4B257BC2"/>
    <w:rsid w:val="4B3B31C8"/>
    <w:rsid w:val="4B3D4D2C"/>
    <w:rsid w:val="4B432B93"/>
    <w:rsid w:val="4B4817B5"/>
    <w:rsid w:val="4B660844"/>
    <w:rsid w:val="4B6B3337"/>
    <w:rsid w:val="4B7C3D8C"/>
    <w:rsid w:val="4B975535"/>
    <w:rsid w:val="4BA44B18"/>
    <w:rsid w:val="4BB12A34"/>
    <w:rsid w:val="4BB15C21"/>
    <w:rsid w:val="4BCD4D56"/>
    <w:rsid w:val="4BCD5AFB"/>
    <w:rsid w:val="4BDB6776"/>
    <w:rsid w:val="4BE06EB7"/>
    <w:rsid w:val="4BE33950"/>
    <w:rsid w:val="4BEB7DF9"/>
    <w:rsid w:val="4BF13E9C"/>
    <w:rsid w:val="4BF63E77"/>
    <w:rsid w:val="4C171611"/>
    <w:rsid w:val="4C3103F7"/>
    <w:rsid w:val="4C3C127F"/>
    <w:rsid w:val="4C427B95"/>
    <w:rsid w:val="4C4669D2"/>
    <w:rsid w:val="4C871830"/>
    <w:rsid w:val="4C8B0174"/>
    <w:rsid w:val="4C9926CC"/>
    <w:rsid w:val="4CA62D4C"/>
    <w:rsid w:val="4CA75A70"/>
    <w:rsid w:val="4CAA3342"/>
    <w:rsid w:val="4CAA7011"/>
    <w:rsid w:val="4CB656F2"/>
    <w:rsid w:val="4CC3103C"/>
    <w:rsid w:val="4CCB42C5"/>
    <w:rsid w:val="4CCF0711"/>
    <w:rsid w:val="4CCF17BD"/>
    <w:rsid w:val="4CD55BEB"/>
    <w:rsid w:val="4CE81FC6"/>
    <w:rsid w:val="4CF520EB"/>
    <w:rsid w:val="4D020122"/>
    <w:rsid w:val="4D026969"/>
    <w:rsid w:val="4D0C2C77"/>
    <w:rsid w:val="4D137130"/>
    <w:rsid w:val="4D1A1400"/>
    <w:rsid w:val="4D1E4578"/>
    <w:rsid w:val="4D335236"/>
    <w:rsid w:val="4D447064"/>
    <w:rsid w:val="4D4F3090"/>
    <w:rsid w:val="4D6B1C74"/>
    <w:rsid w:val="4D722A68"/>
    <w:rsid w:val="4D7C0D00"/>
    <w:rsid w:val="4D87352F"/>
    <w:rsid w:val="4D931243"/>
    <w:rsid w:val="4DB51809"/>
    <w:rsid w:val="4DBC6539"/>
    <w:rsid w:val="4DD475D1"/>
    <w:rsid w:val="4DD776AB"/>
    <w:rsid w:val="4DDB5EB1"/>
    <w:rsid w:val="4DF831B6"/>
    <w:rsid w:val="4E08517B"/>
    <w:rsid w:val="4E347D1E"/>
    <w:rsid w:val="4E3653FD"/>
    <w:rsid w:val="4E37755B"/>
    <w:rsid w:val="4E3E4076"/>
    <w:rsid w:val="4E473566"/>
    <w:rsid w:val="4E503CDF"/>
    <w:rsid w:val="4E5972CA"/>
    <w:rsid w:val="4E647908"/>
    <w:rsid w:val="4E681FAD"/>
    <w:rsid w:val="4E784D81"/>
    <w:rsid w:val="4E790CD6"/>
    <w:rsid w:val="4E825454"/>
    <w:rsid w:val="4E837F79"/>
    <w:rsid w:val="4E8B47DA"/>
    <w:rsid w:val="4E971287"/>
    <w:rsid w:val="4E9D0C5E"/>
    <w:rsid w:val="4EA5389D"/>
    <w:rsid w:val="4EA82125"/>
    <w:rsid w:val="4EA968C2"/>
    <w:rsid w:val="4EB173C6"/>
    <w:rsid w:val="4EB733D6"/>
    <w:rsid w:val="4EE17B83"/>
    <w:rsid w:val="4EE6611F"/>
    <w:rsid w:val="4F0AE590"/>
    <w:rsid w:val="4F321DBF"/>
    <w:rsid w:val="4F452886"/>
    <w:rsid w:val="4F4D1362"/>
    <w:rsid w:val="4F510335"/>
    <w:rsid w:val="4F5C39D0"/>
    <w:rsid w:val="4F5E4B10"/>
    <w:rsid w:val="4F701229"/>
    <w:rsid w:val="4F7864E2"/>
    <w:rsid w:val="4F972442"/>
    <w:rsid w:val="4FA25A31"/>
    <w:rsid w:val="4FB91209"/>
    <w:rsid w:val="4FBD1A1F"/>
    <w:rsid w:val="4FBE1DF5"/>
    <w:rsid w:val="4FBF6F62"/>
    <w:rsid w:val="4FC24E8A"/>
    <w:rsid w:val="4FF10B69"/>
    <w:rsid w:val="4FF721D3"/>
    <w:rsid w:val="4FFD57A5"/>
    <w:rsid w:val="500D5DB3"/>
    <w:rsid w:val="5010374D"/>
    <w:rsid w:val="501613EA"/>
    <w:rsid w:val="5033292A"/>
    <w:rsid w:val="503E0ED2"/>
    <w:rsid w:val="505356F4"/>
    <w:rsid w:val="5067527D"/>
    <w:rsid w:val="506816E0"/>
    <w:rsid w:val="50744D60"/>
    <w:rsid w:val="50803083"/>
    <w:rsid w:val="50886413"/>
    <w:rsid w:val="508865A2"/>
    <w:rsid w:val="50937803"/>
    <w:rsid w:val="50A34C80"/>
    <w:rsid w:val="50AD68A1"/>
    <w:rsid w:val="50B22361"/>
    <w:rsid w:val="50B65562"/>
    <w:rsid w:val="50C3153F"/>
    <w:rsid w:val="50C833CB"/>
    <w:rsid w:val="50D51337"/>
    <w:rsid w:val="50EC10D6"/>
    <w:rsid w:val="50EE3A87"/>
    <w:rsid w:val="510224A3"/>
    <w:rsid w:val="51096FBC"/>
    <w:rsid w:val="510C0E2E"/>
    <w:rsid w:val="511023D2"/>
    <w:rsid w:val="513833F4"/>
    <w:rsid w:val="513B4C0C"/>
    <w:rsid w:val="51431745"/>
    <w:rsid w:val="5150081D"/>
    <w:rsid w:val="516171A0"/>
    <w:rsid w:val="5162232C"/>
    <w:rsid w:val="51636DAE"/>
    <w:rsid w:val="5167665C"/>
    <w:rsid w:val="51722F47"/>
    <w:rsid w:val="51767FF0"/>
    <w:rsid w:val="51955D74"/>
    <w:rsid w:val="51A551DA"/>
    <w:rsid w:val="51AE6FCB"/>
    <w:rsid w:val="51B63DF6"/>
    <w:rsid w:val="51E23F34"/>
    <w:rsid w:val="51E473ED"/>
    <w:rsid w:val="51ED0FAB"/>
    <w:rsid w:val="51F9411A"/>
    <w:rsid w:val="51FD1A5C"/>
    <w:rsid w:val="52211C80"/>
    <w:rsid w:val="5226155A"/>
    <w:rsid w:val="522639F0"/>
    <w:rsid w:val="522B3864"/>
    <w:rsid w:val="523C2CD5"/>
    <w:rsid w:val="5241072B"/>
    <w:rsid w:val="524C3FFD"/>
    <w:rsid w:val="52523205"/>
    <w:rsid w:val="52634BD2"/>
    <w:rsid w:val="52682C3F"/>
    <w:rsid w:val="52760D63"/>
    <w:rsid w:val="527F6CB5"/>
    <w:rsid w:val="528668E2"/>
    <w:rsid w:val="528D53C6"/>
    <w:rsid w:val="52A36D3A"/>
    <w:rsid w:val="52B61074"/>
    <w:rsid w:val="52C76A06"/>
    <w:rsid w:val="52CC22C8"/>
    <w:rsid w:val="52D37065"/>
    <w:rsid w:val="52F3427A"/>
    <w:rsid w:val="52F5267F"/>
    <w:rsid w:val="52FA0223"/>
    <w:rsid w:val="530144F2"/>
    <w:rsid w:val="53074D0E"/>
    <w:rsid w:val="531C6B04"/>
    <w:rsid w:val="53346DCF"/>
    <w:rsid w:val="53365130"/>
    <w:rsid w:val="533EC6B1"/>
    <w:rsid w:val="535F4C6A"/>
    <w:rsid w:val="53615D77"/>
    <w:rsid w:val="537428F6"/>
    <w:rsid w:val="537A110E"/>
    <w:rsid w:val="538A3FFC"/>
    <w:rsid w:val="539908EE"/>
    <w:rsid w:val="53BA3A2B"/>
    <w:rsid w:val="53BF452D"/>
    <w:rsid w:val="53C3637A"/>
    <w:rsid w:val="53C7425F"/>
    <w:rsid w:val="53F47C07"/>
    <w:rsid w:val="53FA7012"/>
    <w:rsid w:val="54017C77"/>
    <w:rsid w:val="5405643C"/>
    <w:rsid w:val="54154D59"/>
    <w:rsid w:val="54282813"/>
    <w:rsid w:val="544A47D3"/>
    <w:rsid w:val="545753FB"/>
    <w:rsid w:val="545B53C8"/>
    <w:rsid w:val="54730839"/>
    <w:rsid w:val="547D2F9E"/>
    <w:rsid w:val="547D731B"/>
    <w:rsid w:val="54895F6F"/>
    <w:rsid w:val="548F6CA3"/>
    <w:rsid w:val="5496345A"/>
    <w:rsid w:val="54B30C5E"/>
    <w:rsid w:val="54B8031D"/>
    <w:rsid w:val="54BC4F94"/>
    <w:rsid w:val="54BD088F"/>
    <w:rsid w:val="54DB1C81"/>
    <w:rsid w:val="54DD0277"/>
    <w:rsid w:val="54E04D60"/>
    <w:rsid w:val="54E36374"/>
    <w:rsid w:val="54EF288B"/>
    <w:rsid w:val="54F070DE"/>
    <w:rsid w:val="550B5058"/>
    <w:rsid w:val="550E21DD"/>
    <w:rsid w:val="55105FF9"/>
    <w:rsid w:val="5515023E"/>
    <w:rsid w:val="551D5901"/>
    <w:rsid w:val="552176E2"/>
    <w:rsid w:val="5535086A"/>
    <w:rsid w:val="553B15EC"/>
    <w:rsid w:val="554076AF"/>
    <w:rsid w:val="554100C8"/>
    <w:rsid w:val="55647267"/>
    <w:rsid w:val="55692886"/>
    <w:rsid w:val="55781630"/>
    <w:rsid w:val="55787787"/>
    <w:rsid w:val="5588360C"/>
    <w:rsid w:val="558C23AE"/>
    <w:rsid w:val="558C4235"/>
    <w:rsid w:val="55B70915"/>
    <w:rsid w:val="55BF392A"/>
    <w:rsid w:val="55C335FF"/>
    <w:rsid w:val="55D24AB8"/>
    <w:rsid w:val="55D70A42"/>
    <w:rsid w:val="55D903ED"/>
    <w:rsid w:val="55FF46FF"/>
    <w:rsid w:val="56102E1E"/>
    <w:rsid w:val="56124F67"/>
    <w:rsid w:val="56253E24"/>
    <w:rsid w:val="562770B6"/>
    <w:rsid w:val="562F0650"/>
    <w:rsid w:val="56325048"/>
    <w:rsid w:val="564D1EEA"/>
    <w:rsid w:val="564E5475"/>
    <w:rsid w:val="565270C9"/>
    <w:rsid w:val="56556039"/>
    <w:rsid w:val="565D713B"/>
    <w:rsid w:val="566E43CB"/>
    <w:rsid w:val="567134D1"/>
    <w:rsid w:val="567601AC"/>
    <w:rsid w:val="56817115"/>
    <w:rsid w:val="568D1ECF"/>
    <w:rsid w:val="56A032C5"/>
    <w:rsid w:val="56A81C1A"/>
    <w:rsid w:val="56B778AE"/>
    <w:rsid w:val="56C4326C"/>
    <w:rsid w:val="56CB1868"/>
    <w:rsid w:val="56CC25C8"/>
    <w:rsid w:val="56E056D4"/>
    <w:rsid w:val="56EE30C2"/>
    <w:rsid w:val="56F813A0"/>
    <w:rsid w:val="57003F7A"/>
    <w:rsid w:val="5701658C"/>
    <w:rsid w:val="57032046"/>
    <w:rsid w:val="57096108"/>
    <w:rsid w:val="571662CD"/>
    <w:rsid w:val="57455942"/>
    <w:rsid w:val="574B0213"/>
    <w:rsid w:val="574F2990"/>
    <w:rsid w:val="575647A8"/>
    <w:rsid w:val="575D4053"/>
    <w:rsid w:val="57672B61"/>
    <w:rsid w:val="57810778"/>
    <w:rsid w:val="57A83EF8"/>
    <w:rsid w:val="57B45537"/>
    <w:rsid w:val="57CA30B6"/>
    <w:rsid w:val="57D17F4B"/>
    <w:rsid w:val="57F934C0"/>
    <w:rsid w:val="57F93FED"/>
    <w:rsid w:val="58013D55"/>
    <w:rsid w:val="58233E6B"/>
    <w:rsid w:val="583F6838"/>
    <w:rsid w:val="58404354"/>
    <w:rsid w:val="58422934"/>
    <w:rsid w:val="585B5805"/>
    <w:rsid w:val="58634DD0"/>
    <w:rsid w:val="586844B6"/>
    <w:rsid w:val="58786C58"/>
    <w:rsid w:val="58951C97"/>
    <w:rsid w:val="58AF735F"/>
    <w:rsid w:val="58B0410D"/>
    <w:rsid w:val="58B6797B"/>
    <w:rsid w:val="58BB21A4"/>
    <w:rsid w:val="58C62C27"/>
    <w:rsid w:val="58C963C2"/>
    <w:rsid w:val="58CA4549"/>
    <w:rsid w:val="58CC2A45"/>
    <w:rsid w:val="58D222ED"/>
    <w:rsid w:val="58E86451"/>
    <w:rsid w:val="58FC5AEF"/>
    <w:rsid w:val="59035AFA"/>
    <w:rsid w:val="5904247D"/>
    <w:rsid w:val="59147540"/>
    <w:rsid w:val="591E45BB"/>
    <w:rsid w:val="59201ECA"/>
    <w:rsid w:val="592F1BA0"/>
    <w:rsid w:val="593E64CA"/>
    <w:rsid w:val="594556FD"/>
    <w:rsid w:val="59534CCC"/>
    <w:rsid w:val="595A2183"/>
    <w:rsid w:val="596379A9"/>
    <w:rsid w:val="597115A7"/>
    <w:rsid w:val="59772EB0"/>
    <w:rsid w:val="59787FEA"/>
    <w:rsid w:val="597D0736"/>
    <w:rsid w:val="59834524"/>
    <w:rsid w:val="598B6C60"/>
    <w:rsid w:val="5991071A"/>
    <w:rsid w:val="59934B4F"/>
    <w:rsid w:val="599B2EE3"/>
    <w:rsid w:val="59AA1CA3"/>
    <w:rsid w:val="59AC3E0E"/>
    <w:rsid w:val="59B30318"/>
    <w:rsid w:val="59C02604"/>
    <w:rsid w:val="59CF1ADD"/>
    <w:rsid w:val="59D17D75"/>
    <w:rsid w:val="59D471D7"/>
    <w:rsid w:val="59E37B16"/>
    <w:rsid w:val="59E61693"/>
    <w:rsid w:val="5A030835"/>
    <w:rsid w:val="5A1317F0"/>
    <w:rsid w:val="5A2646DB"/>
    <w:rsid w:val="5A2B57AE"/>
    <w:rsid w:val="5A321BEA"/>
    <w:rsid w:val="5A366F84"/>
    <w:rsid w:val="5A3F0176"/>
    <w:rsid w:val="5A442FFB"/>
    <w:rsid w:val="5A6D2DB1"/>
    <w:rsid w:val="5A6E407A"/>
    <w:rsid w:val="5A7E74F9"/>
    <w:rsid w:val="5A8E165E"/>
    <w:rsid w:val="5AA72176"/>
    <w:rsid w:val="5AAE0441"/>
    <w:rsid w:val="5AAE5BEC"/>
    <w:rsid w:val="5AD1351F"/>
    <w:rsid w:val="5AD339D9"/>
    <w:rsid w:val="5AD85B99"/>
    <w:rsid w:val="5AE8322E"/>
    <w:rsid w:val="5AEC73A3"/>
    <w:rsid w:val="5AEF1185"/>
    <w:rsid w:val="5AF11C14"/>
    <w:rsid w:val="5AFA3298"/>
    <w:rsid w:val="5B016D34"/>
    <w:rsid w:val="5B0B39F4"/>
    <w:rsid w:val="5B0D7295"/>
    <w:rsid w:val="5B206399"/>
    <w:rsid w:val="5B224853"/>
    <w:rsid w:val="5B456E93"/>
    <w:rsid w:val="5B4C2ADE"/>
    <w:rsid w:val="5B51735D"/>
    <w:rsid w:val="5B673616"/>
    <w:rsid w:val="5B681B2C"/>
    <w:rsid w:val="5B694FAE"/>
    <w:rsid w:val="5B83792C"/>
    <w:rsid w:val="5B902EC7"/>
    <w:rsid w:val="5B9E223B"/>
    <w:rsid w:val="5BA14F87"/>
    <w:rsid w:val="5BAD3BAD"/>
    <w:rsid w:val="5BAD73DC"/>
    <w:rsid w:val="5BBB4917"/>
    <w:rsid w:val="5BD133DF"/>
    <w:rsid w:val="5BD366A4"/>
    <w:rsid w:val="5BE3130E"/>
    <w:rsid w:val="5BED3C29"/>
    <w:rsid w:val="5BF51E6A"/>
    <w:rsid w:val="5C093177"/>
    <w:rsid w:val="5C0D0073"/>
    <w:rsid w:val="5C144FCE"/>
    <w:rsid w:val="5C3E78DA"/>
    <w:rsid w:val="5C5342DE"/>
    <w:rsid w:val="5C5E1DE9"/>
    <w:rsid w:val="5C611C30"/>
    <w:rsid w:val="5C640E34"/>
    <w:rsid w:val="5C654CF3"/>
    <w:rsid w:val="5C692CEC"/>
    <w:rsid w:val="5C6D3417"/>
    <w:rsid w:val="5C8D2EAA"/>
    <w:rsid w:val="5C9256E7"/>
    <w:rsid w:val="5CA531D1"/>
    <w:rsid w:val="5CAD5B70"/>
    <w:rsid w:val="5CB75213"/>
    <w:rsid w:val="5CBA1507"/>
    <w:rsid w:val="5CBC5D91"/>
    <w:rsid w:val="5CC20563"/>
    <w:rsid w:val="5CCA12C8"/>
    <w:rsid w:val="5CD374BB"/>
    <w:rsid w:val="5CF1327E"/>
    <w:rsid w:val="5CFB164F"/>
    <w:rsid w:val="5D160E63"/>
    <w:rsid w:val="5D170048"/>
    <w:rsid w:val="5D17051D"/>
    <w:rsid w:val="5D2E727E"/>
    <w:rsid w:val="5D40035D"/>
    <w:rsid w:val="5D49706D"/>
    <w:rsid w:val="5D5F77DD"/>
    <w:rsid w:val="5D717B18"/>
    <w:rsid w:val="5D840C43"/>
    <w:rsid w:val="5DAA3645"/>
    <w:rsid w:val="5DAE77A4"/>
    <w:rsid w:val="5DAF73C1"/>
    <w:rsid w:val="5DB57EF0"/>
    <w:rsid w:val="5DB6074F"/>
    <w:rsid w:val="5DD45079"/>
    <w:rsid w:val="5DE8676B"/>
    <w:rsid w:val="5DE96D9A"/>
    <w:rsid w:val="5DF47894"/>
    <w:rsid w:val="5E0C65C1"/>
    <w:rsid w:val="5E1044A2"/>
    <w:rsid w:val="5E162F9C"/>
    <w:rsid w:val="5E192361"/>
    <w:rsid w:val="5E1F592C"/>
    <w:rsid w:val="5E2B3F08"/>
    <w:rsid w:val="5E366F27"/>
    <w:rsid w:val="5E386453"/>
    <w:rsid w:val="5E3A712D"/>
    <w:rsid w:val="5E415746"/>
    <w:rsid w:val="5E67210D"/>
    <w:rsid w:val="5E7D126D"/>
    <w:rsid w:val="5E8001BD"/>
    <w:rsid w:val="5E8A7599"/>
    <w:rsid w:val="5E915FF6"/>
    <w:rsid w:val="5E9206AE"/>
    <w:rsid w:val="5EB455C5"/>
    <w:rsid w:val="5EBE29B5"/>
    <w:rsid w:val="5ED351EB"/>
    <w:rsid w:val="5EE335F7"/>
    <w:rsid w:val="5EFC45A8"/>
    <w:rsid w:val="5EFD4006"/>
    <w:rsid w:val="5EFF0ED2"/>
    <w:rsid w:val="5F126D05"/>
    <w:rsid w:val="5F204F1D"/>
    <w:rsid w:val="5F2B1DCB"/>
    <w:rsid w:val="5F401BE4"/>
    <w:rsid w:val="5F4A1EBB"/>
    <w:rsid w:val="5F4B5E88"/>
    <w:rsid w:val="5F533C7C"/>
    <w:rsid w:val="5F595662"/>
    <w:rsid w:val="5F597B7C"/>
    <w:rsid w:val="5F5B7782"/>
    <w:rsid w:val="5F5E1936"/>
    <w:rsid w:val="5F675B22"/>
    <w:rsid w:val="5F6C4C79"/>
    <w:rsid w:val="5F732EBB"/>
    <w:rsid w:val="5F7D448F"/>
    <w:rsid w:val="5F8250FF"/>
    <w:rsid w:val="5F906917"/>
    <w:rsid w:val="5F912ACF"/>
    <w:rsid w:val="5F9173F4"/>
    <w:rsid w:val="5F954394"/>
    <w:rsid w:val="5FA20BE3"/>
    <w:rsid w:val="5FBE282E"/>
    <w:rsid w:val="5FD15BC7"/>
    <w:rsid w:val="5FD367A6"/>
    <w:rsid w:val="5FD73AA6"/>
    <w:rsid w:val="5FD85EAF"/>
    <w:rsid w:val="5FF41C37"/>
    <w:rsid w:val="60104EE3"/>
    <w:rsid w:val="602533C0"/>
    <w:rsid w:val="6027337A"/>
    <w:rsid w:val="6028470C"/>
    <w:rsid w:val="604C1BAD"/>
    <w:rsid w:val="605B4538"/>
    <w:rsid w:val="60765321"/>
    <w:rsid w:val="60896264"/>
    <w:rsid w:val="608F1BD3"/>
    <w:rsid w:val="60A13248"/>
    <w:rsid w:val="60C5330A"/>
    <w:rsid w:val="60D11BBA"/>
    <w:rsid w:val="60D43683"/>
    <w:rsid w:val="60EB7AA8"/>
    <w:rsid w:val="60EF15B2"/>
    <w:rsid w:val="61001229"/>
    <w:rsid w:val="6121322E"/>
    <w:rsid w:val="61243429"/>
    <w:rsid w:val="61296ACD"/>
    <w:rsid w:val="612C2A9A"/>
    <w:rsid w:val="613D24A2"/>
    <w:rsid w:val="613D3287"/>
    <w:rsid w:val="614149F3"/>
    <w:rsid w:val="61476428"/>
    <w:rsid w:val="616638A2"/>
    <w:rsid w:val="616E30DB"/>
    <w:rsid w:val="6180258F"/>
    <w:rsid w:val="61862C2F"/>
    <w:rsid w:val="618C70A4"/>
    <w:rsid w:val="61A23F59"/>
    <w:rsid w:val="61B90BF2"/>
    <w:rsid w:val="61BC1E65"/>
    <w:rsid w:val="61E8288B"/>
    <w:rsid w:val="61F93300"/>
    <w:rsid w:val="62033646"/>
    <w:rsid w:val="6203710A"/>
    <w:rsid w:val="621F3FC7"/>
    <w:rsid w:val="62320ECD"/>
    <w:rsid w:val="62321792"/>
    <w:rsid w:val="623873CB"/>
    <w:rsid w:val="62420D5E"/>
    <w:rsid w:val="624256F1"/>
    <w:rsid w:val="62461BBC"/>
    <w:rsid w:val="62480825"/>
    <w:rsid w:val="62540C44"/>
    <w:rsid w:val="625A4E9B"/>
    <w:rsid w:val="62635350"/>
    <w:rsid w:val="626A7DDF"/>
    <w:rsid w:val="62871B8B"/>
    <w:rsid w:val="628B5453"/>
    <w:rsid w:val="62983D63"/>
    <w:rsid w:val="62AB4430"/>
    <w:rsid w:val="62C671FE"/>
    <w:rsid w:val="62CC09DC"/>
    <w:rsid w:val="62CD11E8"/>
    <w:rsid w:val="62DF39AC"/>
    <w:rsid w:val="62F7131A"/>
    <w:rsid w:val="63111189"/>
    <w:rsid w:val="63252E32"/>
    <w:rsid w:val="63277B43"/>
    <w:rsid w:val="6337309B"/>
    <w:rsid w:val="633A09A7"/>
    <w:rsid w:val="633C776F"/>
    <w:rsid w:val="63471651"/>
    <w:rsid w:val="636176F3"/>
    <w:rsid w:val="636F572B"/>
    <w:rsid w:val="6374316D"/>
    <w:rsid w:val="63877230"/>
    <w:rsid w:val="638C249A"/>
    <w:rsid w:val="63A8579E"/>
    <w:rsid w:val="63AF2E7A"/>
    <w:rsid w:val="63B1353D"/>
    <w:rsid w:val="63B425DD"/>
    <w:rsid w:val="63B558BF"/>
    <w:rsid w:val="63BE7084"/>
    <w:rsid w:val="63CD3460"/>
    <w:rsid w:val="63DF1582"/>
    <w:rsid w:val="63E646FF"/>
    <w:rsid w:val="63EF3DEF"/>
    <w:rsid w:val="63FE569C"/>
    <w:rsid w:val="6412191B"/>
    <w:rsid w:val="641240B1"/>
    <w:rsid w:val="64161F52"/>
    <w:rsid w:val="64171D73"/>
    <w:rsid w:val="642B3479"/>
    <w:rsid w:val="642F70DC"/>
    <w:rsid w:val="64425440"/>
    <w:rsid w:val="644E2285"/>
    <w:rsid w:val="647F7413"/>
    <w:rsid w:val="648D414A"/>
    <w:rsid w:val="64A14C54"/>
    <w:rsid w:val="64A357A5"/>
    <w:rsid w:val="64A55457"/>
    <w:rsid w:val="64AF0893"/>
    <w:rsid w:val="64B0068F"/>
    <w:rsid w:val="64B0634B"/>
    <w:rsid w:val="64B7DBF3"/>
    <w:rsid w:val="64BC5A53"/>
    <w:rsid w:val="64BD61FD"/>
    <w:rsid w:val="64C60289"/>
    <w:rsid w:val="64CD7386"/>
    <w:rsid w:val="64D03662"/>
    <w:rsid w:val="64E35BA2"/>
    <w:rsid w:val="64E71808"/>
    <w:rsid w:val="64F302E2"/>
    <w:rsid w:val="64F44A85"/>
    <w:rsid w:val="64FC3B23"/>
    <w:rsid w:val="65043CB2"/>
    <w:rsid w:val="650F4BE9"/>
    <w:rsid w:val="651E0B7C"/>
    <w:rsid w:val="65301037"/>
    <w:rsid w:val="653D4887"/>
    <w:rsid w:val="655D27A0"/>
    <w:rsid w:val="65655D8C"/>
    <w:rsid w:val="65691302"/>
    <w:rsid w:val="656B45D6"/>
    <w:rsid w:val="6577186E"/>
    <w:rsid w:val="6583118B"/>
    <w:rsid w:val="6583791F"/>
    <w:rsid w:val="658F1D57"/>
    <w:rsid w:val="658F6146"/>
    <w:rsid w:val="658F6F58"/>
    <w:rsid w:val="65995DFE"/>
    <w:rsid w:val="659A3745"/>
    <w:rsid w:val="65A05841"/>
    <w:rsid w:val="65A62B21"/>
    <w:rsid w:val="65AD379D"/>
    <w:rsid w:val="65BB7BCB"/>
    <w:rsid w:val="65C36687"/>
    <w:rsid w:val="65CE14C4"/>
    <w:rsid w:val="65D63B34"/>
    <w:rsid w:val="65DB4320"/>
    <w:rsid w:val="65DD0D4C"/>
    <w:rsid w:val="65E6167B"/>
    <w:rsid w:val="65E842FE"/>
    <w:rsid w:val="65F21C27"/>
    <w:rsid w:val="65F63A27"/>
    <w:rsid w:val="660A6E49"/>
    <w:rsid w:val="661360BB"/>
    <w:rsid w:val="66253C88"/>
    <w:rsid w:val="66292964"/>
    <w:rsid w:val="6629362D"/>
    <w:rsid w:val="663C2578"/>
    <w:rsid w:val="663D2E15"/>
    <w:rsid w:val="663F36BF"/>
    <w:rsid w:val="66482D7B"/>
    <w:rsid w:val="66497400"/>
    <w:rsid w:val="664D3C1B"/>
    <w:rsid w:val="66517729"/>
    <w:rsid w:val="666F5074"/>
    <w:rsid w:val="667558EB"/>
    <w:rsid w:val="66866840"/>
    <w:rsid w:val="66950E06"/>
    <w:rsid w:val="66A12504"/>
    <w:rsid w:val="66A46015"/>
    <w:rsid w:val="66BB34F8"/>
    <w:rsid w:val="66CF4C55"/>
    <w:rsid w:val="66D11DEE"/>
    <w:rsid w:val="66D63CEA"/>
    <w:rsid w:val="66DD70A5"/>
    <w:rsid w:val="66E40448"/>
    <w:rsid w:val="6703542F"/>
    <w:rsid w:val="670871A8"/>
    <w:rsid w:val="672D3127"/>
    <w:rsid w:val="67420658"/>
    <w:rsid w:val="67451124"/>
    <w:rsid w:val="674533A1"/>
    <w:rsid w:val="675178A4"/>
    <w:rsid w:val="67782CEF"/>
    <w:rsid w:val="677835B0"/>
    <w:rsid w:val="677F7F0C"/>
    <w:rsid w:val="67802496"/>
    <w:rsid w:val="678540B5"/>
    <w:rsid w:val="6788348E"/>
    <w:rsid w:val="678B2A98"/>
    <w:rsid w:val="679735E0"/>
    <w:rsid w:val="6797CC6D"/>
    <w:rsid w:val="67A400CA"/>
    <w:rsid w:val="67A50830"/>
    <w:rsid w:val="67A538BA"/>
    <w:rsid w:val="67A73955"/>
    <w:rsid w:val="67A90441"/>
    <w:rsid w:val="67C20C79"/>
    <w:rsid w:val="67C57F48"/>
    <w:rsid w:val="67D60266"/>
    <w:rsid w:val="67DE4EEE"/>
    <w:rsid w:val="67E46554"/>
    <w:rsid w:val="67ED5955"/>
    <w:rsid w:val="68022E63"/>
    <w:rsid w:val="68052F36"/>
    <w:rsid w:val="6808141A"/>
    <w:rsid w:val="681A272F"/>
    <w:rsid w:val="68366331"/>
    <w:rsid w:val="68400AB2"/>
    <w:rsid w:val="6841737C"/>
    <w:rsid w:val="68455B1A"/>
    <w:rsid w:val="684D63BA"/>
    <w:rsid w:val="68536D0C"/>
    <w:rsid w:val="686B3644"/>
    <w:rsid w:val="687122A5"/>
    <w:rsid w:val="68806747"/>
    <w:rsid w:val="68827E4E"/>
    <w:rsid w:val="68866D0B"/>
    <w:rsid w:val="688C2726"/>
    <w:rsid w:val="689474C6"/>
    <w:rsid w:val="689A44D2"/>
    <w:rsid w:val="68AD5620"/>
    <w:rsid w:val="68BA7E2F"/>
    <w:rsid w:val="68CE48DE"/>
    <w:rsid w:val="68D044F1"/>
    <w:rsid w:val="68E47A64"/>
    <w:rsid w:val="68E94352"/>
    <w:rsid w:val="68EC7D6D"/>
    <w:rsid w:val="68F058E5"/>
    <w:rsid w:val="68F20AA9"/>
    <w:rsid w:val="6902255E"/>
    <w:rsid w:val="69081F0D"/>
    <w:rsid w:val="69185E16"/>
    <w:rsid w:val="691B0000"/>
    <w:rsid w:val="6922628D"/>
    <w:rsid w:val="69243CCB"/>
    <w:rsid w:val="692D10A8"/>
    <w:rsid w:val="694E1343"/>
    <w:rsid w:val="696778E1"/>
    <w:rsid w:val="6976628D"/>
    <w:rsid w:val="69781887"/>
    <w:rsid w:val="6979522C"/>
    <w:rsid w:val="69911493"/>
    <w:rsid w:val="69945F1A"/>
    <w:rsid w:val="69A264FB"/>
    <w:rsid w:val="69A463E4"/>
    <w:rsid w:val="69C159B6"/>
    <w:rsid w:val="69C356D6"/>
    <w:rsid w:val="69D152E0"/>
    <w:rsid w:val="69D54C7F"/>
    <w:rsid w:val="69DA7E3E"/>
    <w:rsid w:val="69E00A4D"/>
    <w:rsid w:val="69EB2D32"/>
    <w:rsid w:val="69FB5FAE"/>
    <w:rsid w:val="69FD50EC"/>
    <w:rsid w:val="6A0D33A8"/>
    <w:rsid w:val="6A1C386D"/>
    <w:rsid w:val="6A276531"/>
    <w:rsid w:val="6A2E5337"/>
    <w:rsid w:val="6A345BC3"/>
    <w:rsid w:val="6A3B1068"/>
    <w:rsid w:val="6A4E57F6"/>
    <w:rsid w:val="6A4F412A"/>
    <w:rsid w:val="6A5F7EB4"/>
    <w:rsid w:val="6A7202D9"/>
    <w:rsid w:val="6A856090"/>
    <w:rsid w:val="6A8E7D3F"/>
    <w:rsid w:val="6A9B7BF1"/>
    <w:rsid w:val="6A9F3D8E"/>
    <w:rsid w:val="6AA04EB0"/>
    <w:rsid w:val="6ABD3F83"/>
    <w:rsid w:val="6AC86960"/>
    <w:rsid w:val="6ACB1AF0"/>
    <w:rsid w:val="6ADB2C10"/>
    <w:rsid w:val="6ADFB8F3"/>
    <w:rsid w:val="6AF14EA4"/>
    <w:rsid w:val="6B004DE3"/>
    <w:rsid w:val="6B0933D8"/>
    <w:rsid w:val="6B1E06AB"/>
    <w:rsid w:val="6B2347F8"/>
    <w:rsid w:val="6B2D2415"/>
    <w:rsid w:val="6B316BBE"/>
    <w:rsid w:val="6B353BDC"/>
    <w:rsid w:val="6B554422"/>
    <w:rsid w:val="6B810BED"/>
    <w:rsid w:val="6B8428B4"/>
    <w:rsid w:val="6B851189"/>
    <w:rsid w:val="6B91457B"/>
    <w:rsid w:val="6B930274"/>
    <w:rsid w:val="6BA47A68"/>
    <w:rsid w:val="6BBFA03B"/>
    <w:rsid w:val="6BCF2AB2"/>
    <w:rsid w:val="6BDB04B7"/>
    <w:rsid w:val="6BF61AFE"/>
    <w:rsid w:val="6C005156"/>
    <w:rsid w:val="6C0D7E8A"/>
    <w:rsid w:val="6C1D7BEB"/>
    <w:rsid w:val="6C261FA5"/>
    <w:rsid w:val="6C267CEF"/>
    <w:rsid w:val="6C271424"/>
    <w:rsid w:val="6C4F3C53"/>
    <w:rsid w:val="6C4F4761"/>
    <w:rsid w:val="6C5B7F78"/>
    <w:rsid w:val="6C63308B"/>
    <w:rsid w:val="6C736123"/>
    <w:rsid w:val="6C7A1C7C"/>
    <w:rsid w:val="6C915824"/>
    <w:rsid w:val="6C98717A"/>
    <w:rsid w:val="6C9A696F"/>
    <w:rsid w:val="6C9E3F84"/>
    <w:rsid w:val="6C9F2ED4"/>
    <w:rsid w:val="6CA45DFE"/>
    <w:rsid w:val="6CB77895"/>
    <w:rsid w:val="6CC32DC1"/>
    <w:rsid w:val="6CCB2A5C"/>
    <w:rsid w:val="6CCB57A9"/>
    <w:rsid w:val="6CCE109B"/>
    <w:rsid w:val="6CDBD50C"/>
    <w:rsid w:val="6CE47F86"/>
    <w:rsid w:val="6CEB4C3D"/>
    <w:rsid w:val="6CEF474A"/>
    <w:rsid w:val="6D0E6DEA"/>
    <w:rsid w:val="6D2C27DC"/>
    <w:rsid w:val="6D3A60CF"/>
    <w:rsid w:val="6D3E2220"/>
    <w:rsid w:val="6D3F63B2"/>
    <w:rsid w:val="6D4548B0"/>
    <w:rsid w:val="6D552A99"/>
    <w:rsid w:val="6D626FF2"/>
    <w:rsid w:val="6D652811"/>
    <w:rsid w:val="6D7573C9"/>
    <w:rsid w:val="6D9C0D39"/>
    <w:rsid w:val="6D9D3448"/>
    <w:rsid w:val="6DA45E1A"/>
    <w:rsid w:val="6DB02E03"/>
    <w:rsid w:val="6DB3306B"/>
    <w:rsid w:val="6DC00159"/>
    <w:rsid w:val="6DD72E6A"/>
    <w:rsid w:val="6DED76D5"/>
    <w:rsid w:val="6DEF3963"/>
    <w:rsid w:val="6DF1261C"/>
    <w:rsid w:val="6DF633D0"/>
    <w:rsid w:val="6E090707"/>
    <w:rsid w:val="6E0D2F31"/>
    <w:rsid w:val="6E196277"/>
    <w:rsid w:val="6E35541C"/>
    <w:rsid w:val="6E451788"/>
    <w:rsid w:val="6E4C1361"/>
    <w:rsid w:val="6E541B46"/>
    <w:rsid w:val="6E641F84"/>
    <w:rsid w:val="6E6C3A9A"/>
    <w:rsid w:val="6E726FC5"/>
    <w:rsid w:val="6E7D66A2"/>
    <w:rsid w:val="6E8C7D79"/>
    <w:rsid w:val="6E957A3F"/>
    <w:rsid w:val="6EA77046"/>
    <w:rsid w:val="6EB83E57"/>
    <w:rsid w:val="6EC553D5"/>
    <w:rsid w:val="6EE7018C"/>
    <w:rsid w:val="6EF5C34B"/>
    <w:rsid w:val="6EF76DEC"/>
    <w:rsid w:val="6F074349"/>
    <w:rsid w:val="6F0B05C6"/>
    <w:rsid w:val="6F130C23"/>
    <w:rsid w:val="6F150B51"/>
    <w:rsid w:val="6F155D42"/>
    <w:rsid w:val="6F193BD1"/>
    <w:rsid w:val="6F270A73"/>
    <w:rsid w:val="6F364C63"/>
    <w:rsid w:val="6F572727"/>
    <w:rsid w:val="6F5C26F0"/>
    <w:rsid w:val="6F68212E"/>
    <w:rsid w:val="6F757176"/>
    <w:rsid w:val="6F792725"/>
    <w:rsid w:val="6F88611E"/>
    <w:rsid w:val="6F9E3156"/>
    <w:rsid w:val="6FA303AB"/>
    <w:rsid w:val="6FA6D380"/>
    <w:rsid w:val="6FAA58A9"/>
    <w:rsid w:val="6FB6420C"/>
    <w:rsid w:val="6FB81081"/>
    <w:rsid w:val="6FBC0361"/>
    <w:rsid w:val="6FC844B0"/>
    <w:rsid w:val="6FC91D09"/>
    <w:rsid w:val="6FCF744E"/>
    <w:rsid w:val="6FDB250C"/>
    <w:rsid w:val="6FDBACE9"/>
    <w:rsid w:val="6FE03DA0"/>
    <w:rsid w:val="6FE27002"/>
    <w:rsid w:val="6FEA3F10"/>
    <w:rsid w:val="6FEA761E"/>
    <w:rsid w:val="6FEC76E2"/>
    <w:rsid w:val="6FF6867F"/>
    <w:rsid w:val="6FF925B2"/>
    <w:rsid w:val="6FFFB0FE"/>
    <w:rsid w:val="70004270"/>
    <w:rsid w:val="70062004"/>
    <w:rsid w:val="700F02F2"/>
    <w:rsid w:val="701D4C6D"/>
    <w:rsid w:val="702211B8"/>
    <w:rsid w:val="70285C83"/>
    <w:rsid w:val="70313C65"/>
    <w:rsid w:val="70360700"/>
    <w:rsid w:val="7049745E"/>
    <w:rsid w:val="704B6227"/>
    <w:rsid w:val="704F480E"/>
    <w:rsid w:val="70531176"/>
    <w:rsid w:val="70553DF8"/>
    <w:rsid w:val="7073427E"/>
    <w:rsid w:val="70753CEA"/>
    <w:rsid w:val="70CB1949"/>
    <w:rsid w:val="70CE3CD6"/>
    <w:rsid w:val="70D5200B"/>
    <w:rsid w:val="70D77435"/>
    <w:rsid w:val="70D86A93"/>
    <w:rsid w:val="70E72C7C"/>
    <w:rsid w:val="70F30CAD"/>
    <w:rsid w:val="70F33611"/>
    <w:rsid w:val="70FC164A"/>
    <w:rsid w:val="70FE3E55"/>
    <w:rsid w:val="71105C72"/>
    <w:rsid w:val="711F5147"/>
    <w:rsid w:val="71333A0D"/>
    <w:rsid w:val="713664A7"/>
    <w:rsid w:val="713E00F5"/>
    <w:rsid w:val="713F2452"/>
    <w:rsid w:val="714F7DC5"/>
    <w:rsid w:val="71606F55"/>
    <w:rsid w:val="7164280C"/>
    <w:rsid w:val="716763F1"/>
    <w:rsid w:val="716B28F4"/>
    <w:rsid w:val="717568BB"/>
    <w:rsid w:val="7176061E"/>
    <w:rsid w:val="719368F2"/>
    <w:rsid w:val="719426FE"/>
    <w:rsid w:val="719460D6"/>
    <w:rsid w:val="71A71FCA"/>
    <w:rsid w:val="71AE1825"/>
    <w:rsid w:val="71B23F18"/>
    <w:rsid w:val="71BF7712"/>
    <w:rsid w:val="71CF510A"/>
    <w:rsid w:val="71D11979"/>
    <w:rsid w:val="71D23CA4"/>
    <w:rsid w:val="71D821BD"/>
    <w:rsid w:val="71E40978"/>
    <w:rsid w:val="71E54C93"/>
    <w:rsid w:val="71FB2A90"/>
    <w:rsid w:val="720B2724"/>
    <w:rsid w:val="72264CCC"/>
    <w:rsid w:val="722A0E8A"/>
    <w:rsid w:val="722C78DA"/>
    <w:rsid w:val="72361EFD"/>
    <w:rsid w:val="72391B27"/>
    <w:rsid w:val="723F6347"/>
    <w:rsid w:val="724D0CB0"/>
    <w:rsid w:val="725E5BA2"/>
    <w:rsid w:val="726B261E"/>
    <w:rsid w:val="72787113"/>
    <w:rsid w:val="728D3332"/>
    <w:rsid w:val="729B26AC"/>
    <w:rsid w:val="72B56CCB"/>
    <w:rsid w:val="72D1040D"/>
    <w:rsid w:val="72DE24DB"/>
    <w:rsid w:val="72EA0498"/>
    <w:rsid w:val="72EA3482"/>
    <w:rsid w:val="72F40F30"/>
    <w:rsid w:val="72F56855"/>
    <w:rsid w:val="72FC651D"/>
    <w:rsid w:val="7304299B"/>
    <w:rsid w:val="730A2B08"/>
    <w:rsid w:val="730A558D"/>
    <w:rsid w:val="730E1865"/>
    <w:rsid w:val="731A35C3"/>
    <w:rsid w:val="731A6169"/>
    <w:rsid w:val="73223DF1"/>
    <w:rsid w:val="733116B7"/>
    <w:rsid w:val="73330D90"/>
    <w:rsid w:val="733A737E"/>
    <w:rsid w:val="7351635F"/>
    <w:rsid w:val="73582E26"/>
    <w:rsid w:val="735F45EB"/>
    <w:rsid w:val="736572B2"/>
    <w:rsid w:val="73877A4C"/>
    <w:rsid w:val="738A46F3"/>
    <w:rsid w:val="739F7602"/>
    <w:rsid w:val="73A40733"/>
    <w:rsid w:val="73B9469D"/>
    <w:rsid w:val="73D3764A"/>
    <w:rsid w:val="73D9089C"/>
    <w:rsid w:val="73DB32B4"/>
    <w:rsid w:val="73EA000A"/>
    <w:rsid w:val="73F67F63"/>
    <w:rsid w:val="73F723FE"/>
    <w:rsid w:val="73FE361A"/>
    <w:rsid w:val="740800C7"/>
    <w:rsid w:val="74187158"/>
    <w:rsid w:val="74225CAE"/>
    <w:rsid w:val="74232A0F"/>
    <w:rsid w:val="74356168"/>
    <w:rsid w:val="7438012B"/>
    <w:rsid w:val="74394754"/>
    <w:rsid w:val="744276DF"/>
    <w:rsid w:val="74450836"/>
    <w:rsid w:val="744566B3"/>
    <w:rsid w:val="744C3BB8"/>
    <w:rsid w:val="744E15D3"/>
    <w:rsid w:val="744F5D6A"/>
    <w:rsid w:val="745500FA"/>
    <w:rsid w:val="74591A28"/>
    <w:rsid w:val="74633D61"/>
    <w:rsid w:val="74682B38"/>
    <w:rsid w:val="74897BA8"/>
    <w:rsid w:val="74921949"/>
    <w:rsid w:val="74981804"/>
    <w:rsid w:val="74A62A32"/>
    <w:rsid w:val="74AF7E07"/>
    <w:rsid w:val="74C11A94"/>
    <w:rsid w:val="74C303AA"/>
    <w:rsid w:val="74DA01CE"/>
    <w:rsid w:val="74E11CE7"/>
    <w:rsid w:val="74EA0887"/>
    <w:rsid w:val="74F2528E"/>
    <w:rsid w:val="74F54377"/>
    <w:rsid w:val="751B69AC"/>
    <w:rsid w:val="75227415"/>
    <w:rsid w:val="75285984"/>
    <w:rsid w:val="752B18E8"/>
    <w:rsid w:val="752B58CD"/>
    <w:rsid w:val="75550DBA"/>
    <w:rsid w:val="75562889"/>
    <w:rsid w:val="756225D4"/>
    <w:rsid w:val="75646065"/>
    <w:rsid w:val="7571709E"/>
    <w:rsid w:val="757A24EA"/>
    <w:rsid w:val="758868F7"/>
    <w:rsid w:val="75913442"/>
    <w:rsid w:val="759D41D5"/>
    <w:rsid w:val="759F6E47"/>
    <w:rsid w:val="75AE3429"/>
    <w:rsid w:val="75BD26ED"/>
    <w:rsid w:val="75D32087"/>
    <w:rsid w:val="75DF28CE"/>
    <w:rsid w:val="75E53387"/>
    <w:rsid w:val="75E874E8"/>
    <w:rsid w:val="75FD4BCD"/>
    <w:rsid w:val="760602D2"/>
    <w:rsid w:val="760729A8"/>
    <w:rsid w:val="76164029"/>
    <w:rsid w:val="761C63DD"/>
    <w:rsid w:val="76204870"/>
    <w:rsid w:val="762215B7"/>
    <w:rsid w:val="76342A16"/>
    <w:rsid w:val="76521AC3"/>
    <w:rsid w:val="76674DB7"/>
    <w:rsid w:val="7673773D"/>
    <w:rsid w:val="7679161C"/>
    <w:rsid w:val="76873085"/>
    <w:rsid w:val="76976535"/>
    <w:rsid w:val="769774FD"/>
    <w:rsid w:val="769B0408"/>
    <w:rsid w:val="76A7418D"/>
    <w:rsid w:val="76B157DF"/>
    <w:rsid w:val="76B51266"/>
    <w:rsid w:val="76BA1A53"/>
    <w:rsid w:val="76BB6653"/>
    <w:rsid w:val="76C54672"/>
    <w:rsid w:val="76D65D10"/>
    <w:rsid w:val="76F26294"/>
    <w:rsid w:val="76F62C91"/>
    <w:rsid w:val="77052BDB"/>
    <w:rsid w:val="770E458F"/>
    <w:rsid w:val="772623E4"/>
    <w:rsid w:val="773A2AD5"/>
    <w:rsid w:val="77517517"/>
    <w:rsid w:val="775D7B56"/>
    <w:rsid w:val="77645A0B"/>
    <w:rsid w:val="77816B5E"/>
    <w:rsid w:val="778234EF"/>
    <w:rsid w:val="778612B4"/>
    <w:rsid w:val="77861DAE"/>
    <w:rsid w:val="779A3B25"/>
    <w:rsid w:val="77A16F59"/>
    <w:rsid w:val="77A61A19"/>
    <w:rsid w:val="77A8713B"/>
    <w:rsid w:val="77B024F4"/>
    <w:rsid w:val="77BB27AB"/>
    <w:rsid w:val="77C7030D"/>
    <w:rsid w:val="77CA262C"/>
    <w:rsid w:val="77D12E2D"/>
    <w:rsid w:val="77D17AF4"/>
    <w:rsid w:val="77D40517"/>
    <w:rsid w:val="77D73344"/>
    <w:rsid w:val="77DB1D1B"/>
    <w:rsid w:val="77E63610"/>
    <w:rsid w:val="77E804AB"/>
    <w:rsid w:val="77E85E69"/>
    <w:rsid w:val="77ED1164"/>
    <w:rsid w:val="77EE1A98"/>
    <w:rsid w:val="780D018B"/>
    <w:rsid w:val="781A0DB5"/>
    <w:rsid w:val="78256ACF"/>
    <w:rsid w:val="782D7B09"/>
    <w:rsid w:val="78346968"/>
    <w:rsid w:val="783D7C3D"/>
    <w:rsid w:val="784C03CB"/>
    <w:rsid w:val="784D2006"/>
    <w:rsid w:val="7855282E"/>
    <w:rsid w:val="78606362"/>
    <w:rsid w:val="787A665F"/>
    <w:rsid w:val="7884180F"/>
    <w:rsid w:val="78915BE9"/>
    <w:rsid w:val="78957992"/>
    <w:rsid w:val="78B3587F"/>
    <w:rsid w:val="78B86EC2"/>
    <w:rsid w:val="78C141FE"/>
    <w:rsid w:val="78C20890"/>
    <w:rsid w:val="78D665EA"/>
    <w:rsid w:val="78D66912"/>
    <w:rsid w:val="78D8401B"/>
    <w:rsid w:val="78E05ACF"/>
    <w:rsid w:val="78E9231B"/>
    <w:rsid w:val="78ED13FE"/>
    <w:rsid w:val="78EE54C1"/>
    <w:rsid w:val="78F27200"/>
    <w:rsid w:val="78F82D58"/>
    <w:rsid w:val="78F856CB"/>
    <w:rsid w:val="7903679E"/>
    <w:rsid w:val="7903780E"/>
    <w:rsid w:val="790C6E07"/>
    <w:rsid w:val="791A21AC"/>
    <w:rsid w:val="791F2A74"/>
    <w:rsid w:val="792030F5"/>
    <w:rsid w:val="792D7407"/>
    <w:rsid w:val="79425135"/>
    <w:rsid w:val="79456370"/>
    <w:rsid w:val="794701C8"/>
    <w:rsid w:val="794A14B1"/>
    <w:rsid w:val="7953089D"/>
    <w:rsid w:val="795403AF"/>
    <w:rsid w:val="795A247F"/>
    <w:rsid w:val="795F670E"/>
    <w:rsid w:val="79647BD1"/>
    <w:rsid w:val="796513FD"/>
    <w:rsid w:val="7965523F"/>
    <w:rsid w:val="79660E3F"/>
    <w:rsid w:val="79683E73"/>
    <w:rsid w:val="797236C0"/>
    <w:rsid w:val="797876C3"/>
    <w:rsid w:val="797A12D2"/>
    <w:rsid w:val="797E3AEE"/>
    <w:rsid w:val="79821501"/>
    <w:rsid w:val="798F5BB2"/>
    <w:rsid w:val="79A57893"/>
    <w:rsid w:val="79A64908"/>
    <w:rsid w:val="79BA5C30"/>
    <w:rsid w:val="79C721B0"/>
    <w:rsid w:val="79CC3B9C"/>
    <w:rsid w:val="79CF4756"/>
    <w:rsid w:val="79D17055"/>
    <w:rsid w:val="79D81A97"/>
    <w:rsid w:val="79DB0FFE"/>
    <w:rsid w:val="79E93CD4"/>
    <w:rsid w:val="79EA3EAF"/>
    <w:rsid w:val="79F15391"/>
    <w:rsid w:val="7A122883"/>
    <w:rsid w:val="7A1F19C3"/>
    <w:rsid w:val="7A2B4030"/>
    <w:rsid w:val="7A37269B"/>
    <w:rsid w:val="7A3F46A8"/>
    <w:rsid w:val="7A3F6A69"/>
    <w:rsid w:val="7A4260F2"/>
    <w:rsid w:val="7A492248"/>
    <w:rsid w:val="7A511CEA"/>
    <w:rsid w:val="7A514314"/>
    <w:rsid w:val="7A5B6BF1"/>
    <w:rsid w:val="7A745689"/>
    <w:rsid w:val="7A74617C"/>
    <w:rsid w:val="7A882AAB"/>
    <w:rsid w:val="7A8935AA"/>
    <w:rsid w:val="7A8C5A62"/>
    <w:rsid w:val="7A9B02A0"/>
    <w:rsid w:val="7AA7242D"/>
    <w:rsid w:val="7AAC493D"/>
    <w:rsid w:val="7AB70A93"/>
    <w:rsid w:val="7AC7367E"/>
    <w:rsid w:val="7AC77AD7"/>
    <w:rsid w:val="7AE4433A"/>
    <w:rsid w:val="7AE56790"/>
    <w:rsid w:val="7AFF5BCE"/>
    <w:rsid w:val="7B10013E"/>
    <w:rsid w:val="7B326C07"/>
    <w:rsid w:val="7B3330E5"/>
    <w:rsid w:val="7B362E62"/>
    <w:rsid w:val="7B556837"/>
    <w:rsid w:val="7B676012"/>
    <w:rsid w:val="7B6A7511"/>
    <w:rsid w:val="7B711CC9"/>
    <w:rsid w:val="7B890DF9"/>
    <w:rsid w:val="7B9C2817"/>
    <w:rsid w:val="7BA311A3"/>
    <w:rsid w:val="7BA46460"/>
    <w:rsid w:val="7BB045D8"/>
    <w:rsid w:val="7BBA247E"/>
    <w:rsid w:val="7BBA2AA5"/>
    <w:rsid w:val="7BBB6AF8"/>
    <w:rsid w:val="7BBF2239"/>
    <w:rsid w:val="7BC81986"/>
    <w:rsid w:val="7BD84BDB"/>
    <w:rsid w:val="7BE72A58"/>
    <w:rsid w:val="7BEA1821"/>
    <w:rsid w:val="7BEF2D8B"/>
    <w:rsid w:val="7C1773FB"/>
    <w:rsid w:val="7C1E7985"/>
    <w:rsid w:val="7C277F03"/>
    <w:rsid w:val="7C2F634D"/>
    <w:rsid w:val="7C304464"/>
    <w:rsid w:val="7C357268"/>
    <w:rsid w:val="7C394685"/>
    <w:rsid w:val="7C3946D8"/>
    <w:rsid w:val="7C3C1819"/>
    <w:rsid w:val="7C41114A"/>
    <w:rsid w:val="7C470595"/>
    <w:rsid w:val="7C4E19B5"/>
    <w:rsid w:val="7C5442D6"/>
    <w:rsid w:val="7C5A528B"/>
    <w:rsid w:val="7C620617"/>
    <w:rsid w:val="7C7878E3"/>
    <w:rsid w:val="7C826ECF"/>
    <w:rsid w:val="7C8C0A8D"/>
    <w:rsid w:val="7C8E3BC1"/>
    <w:rsid w:val="7C927AF3"/>
    <w:rsid w:val="7C97014B"/>
    <w:rsid w:val="7CA273D9"/>
    <w:rsid w:val="7CA874EC"/>
    <w:rsid w:val="7CB14A8A"/>
    <w:rsid w:val="7CBC0EDA"/>
    <w:rsid w:val="7CBE6E05"/>
    <w:rsid w:val="7CC01527"/>
    <w:rsid w:val="7CC318EA"/>
    <w:rsid w:val="7CCE5944"/>
    <w:rsid w:val="7CE4315C"/>
    <w:rsid w:val="7CF242BC"/>
    <w:rsid w:val="7CFE6AE4"/>
    <w:rsid w:val="7CFF2B54"/>
    <w:rsid w:val="7D001143"/>
    <w:rsid w:val="7D0905C7"/>
    <w:rsid w:val="7D180251"/>
    <w:rsid w:val="7D2E5F39"/>
    <w:rsid w:val="7D345D3C"/>
    <w:rsid w:val="7D3A23FC"/>
    <w:rsid w:val="7D3D4510"/>
    <w:rsid w:val="7D512219"/>
    <w:rsid w:val="7D596CDC"/>
    <w:rsid w:val="7D6A7CF0"/>
    <w:rsid w:val="7D7BAA86"/>
    <w:rsid w:val="7D7DEBB7"/>
    <w:rsid w:val="7DA024D6"/>
    <w:rsid w:val="7DA77B7C"/>
    <w:rsid w:val="7DAB26E8"/>
    <w:rsid w:val="7DAC3778"/>
    <w:rsid w:val="7DAF3D55"/>
    <w:rsid w:val="7DAF5F30"/>
    <w:rsid w:val="7DB41313"/>
    <w:rsid w:val="7DB8125E"/>
    <w:rsid w:val="7DBC38D5"/>
    <w:rsid w:val="7DC927EE"/>
    <w:rsid w:val="7DCD34A9"/>
    <w:rsid w:val="7DD1602F"/>
    <w:rsid w:val="7DDD79F9"/>
    <w:rsid w:val="7DDE2123"/>
    <w:rsid w:val="7DE37724"/>
    <w:rsid w:val="7DE7410A"/>
    <w:rsid w:val="7DED0007"/>
    <w:rsid w:val="7DEE0D61"/>
    <w:rsid w:val="7DFB187B"/>
    <w:rsid w:val="7DFE4EC7"/>
    <w:rsid w:val="7DFFCB28"/>
    <w:rsid w:val="7E0B4B47"/>
    <w:rsid w:val="7E0D2D37"/>
    <w:rsid w:val="7E1150D6"/>
    <w:rsid w:val="7E2447D7"/>
    <w:rsid w:val="7E3201EE"/>
    <w:rsid w:val="7E3A3239"/>
    <w:rsid w:val="7E3B60E6"/>
    <w:rsid w:val="7E5656C0"/>
    <w:rsid w:val="7E5A3003"/>
    <w:rsid w:val="7E694EB9"/>
    <w:rsid w:val="7E702D4F"/>
    <w:rsid w:val="7E73447D"/>
    <w:rsid w:val="7E746479"/>
    <w:rsid w:val="7E8412AD"/>
    <w:rsid w:val="7E8D6A07"/>
    <w:rsid w:val="7E936085"/>
    <w:rsid w:val="7E955A58"/>
    <w:rsid w:val="7E962A62"/>
    <w:rsid w:val="7EBE700C"/>
    <w:rsid w:val="7EC2393B"/>
    <w:rsid w:val="7ECA5B6E"/>
    <w:rsid w:val="7ED20926"/>
    <w:rsid w:val="7ED95003"/>
    <w:rsid w:val="7EDC604B"/>
    <w:rsid w:val="7EE1028D"/>
    <w:rsid w:val="7EEE78CB"/>
    <w:rsid w:val="7EFE7DEF"/>
    <w:rsid w:val="7F093C4D"/>
    <w:rsid w:val="7F0D5DAE"/>
    <w:rsid w:val="7F0F6AEE"/>
    <w:rsid w:val="7F0F6E3F"/>
    <w:rsid w:val="7F176427"/>
    <w:rsid w:val="7F181840"/>
    <w:rsid w:val="7F2B63DB"/>
    <w:rsid w:val="7F2F0A58"/>
    <w:rsid w:val="7F396F3C"/>
    <w:rsid w:val="7F434859"/>
    <w:rsid w:val="7F4514DB"/>
    <w:rsid w:val="7F505FC9"/>
    <w:rsid w:val="7F556937"/>
    <w:rsid w:val="7F6A4DD4"/>
    <w:rsid w:val="7F77465A"/>
    <w:rsid w:val="7F7B9674"/>
    <w:rsid w:val="7F8830F2"/>
    <w:rsid w:val="7F8D64E6"/>
    <w:rsid w:val="7F930B43"/>
    <w:rsid w:val="7F942DB0"/>
    <w:rsid w:val="7F9BDCC8"/>
    <w:rsid w:val="7F9C24B0"/>
    <w:rsid w:val="7FB73304"/>
    <w:rsid w:val="7FC03CB9"/>
    <w:rsid w:val="7FDE487A"/>
    <w:rsid w:val="7FDFFF44"/>
    <w:rsid w:val="7FECF6BD"/>
    <w:rsid w:val="7FED3ED0"/>
    <w:rsid w:val="7FF11F9E"/>
    <w:rsid w:val="7FF30FA0"/>
    <w:rsid w:val="7FF332A8"/>
    <w:rsid w:val="7FF5C7F9"/>
    <w:rsid w:val="7FFB1D68"/>
    <w:rsid w:val="7FFFE5CE"/>
    <w:rsid w:val="9F7BBE3B"/>
    <w:rsid w:val="A5FF920B"/>
    <w:rsid w:val="A7FF6531"/>
    <w:rsid w:val="AE2FD64D"/>
    <w:rsid w:val="AFF7847B"/>
    <w:rsid w:val="B56A2165"/>
    <w:rsid w:val="B7F4557A"/>
    <w:rsid w:val="B98AB133"/>
    <w:rsid w:val="BBFF417C"/>
    <w:rsid w:val="BF5E733C"/>
    <w:rsid w:val="BF7D0E26"/>
    <w:rsid w:val="BFB78EF0"/>
    <w:rsid w:val="BFBF7B8E"/>
    <w:rsid w:val="C39ACA65"/>
    <w:rsid w:val="CCBF4163"/>
    <w:rsid w:val="CF7E8EF9"/>
    <w:rsid w:val="D4BF86C9"/>
    <w:rsid w:val="D7FF16CF"/>
    <w:rsid w:val="DB2DDDA8"/>
    <w:rsid w:val="DCFFD526"/>
    <w:rsid w:val="DDF7DAF1"/>
    <w:rsid w:val="DEFF1B55"/>
    <w:rsid w:val="E7C71E2C"/>
    <w:rsid w:val="E7F5CFAD"/>
    <w:rsid w:val="E9F92EFF"/>
    <w:rsid w:val="EA5481EC"/>
    <w:rsid w:val="EE7FBE7D"/>
    <w:rsid w:val="EFBFC07B"/>
    <w:rsid w:val="EFD9372C"/>
    <w:rsid w:val="EFDF81C4"/>
    <w:rsid w:val="EFFE9AA7"/>
    <w:rsid w:val="F2FF462E"/>
    <w:rsid w:val="F3D53566"/>
    <w:rsid w:val="F5DFAABC"/>
    <w:rsid w:val="F7D393A2"/>
    <w:rsid w:val="F9D7F67F"/>
    <w:rsid w:val="FB6F6285"/>
    <w:rsid w:val="FDBDDA66"/>
    <w:rsid w:val="FDD82E6C"/>
    <w:rsid w:val="FDF315CB"/>
    <w:rsid w:val="FE3FA395"/>
    <w:rsid w:val="FE5B8028"/>
    <w:rsid w:val="FE7F1E31"/>
    <w:rsid w:val="FEDB3E6A"/>
    <w:rsid w:val="FF75CE6E"/>
    <w:rsid w:val="FF9EA0AC"/>
    <w:rsid w:val="FF9FBD61"/>
    <w:rsid w:val="FFAFF89C"/>
    <w:rsid w:val="FFE6C866"/>
    <w:rsid w:val="FFFF8FA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6"/>
    <w:qFormat/>
    <w:uiPriority w:val="0"/>
    <w:pPr>
      <w:keepNext/>
      <w:keepLines/>
      <w:spacing w:line="578" w:lineRule="auto"/>
      <w:outlineLvl w:val="0"/>
    </w:pPr>
    <w:rPr>
      <w:rFonts w:ascii="Times New Roman" w:hAnsi="Times New Roman" w:eastAsia="Century Gothic"/>
      <w:b/>
      <w:bCs/>
      <w:kern w:val="44"/>
      <w:sz w:val="44"/>
      <w:szCs w:val="44"/>
    </w:rPr>
  </w:style>
  <w:style w:type="paragraph" w:styleId="4">
    <w:name w:val="heading 2"/>
    <w:basedOn w:val="1"/>
    <w:next w:val="1"/>
    <w:qFormat/>
    <w:uiPriority w:val="0"/>
    <w:pPr>
      <w:keepNext/>
      <w:keepLines/>
      <w:adjustRightInd w:val="0"/>
      <w:spacing w:line="415" w:lineRule="auto"/>
      <w:jc w:val="left"/>
      <w:outlineLvl w:val="1"/>
    </w:pPr>
    <w:rPr>
      <w:rFonts w:ascii="黑体" w:hAnsi="黑体" w:eastAsia="楷体"/>
      <w:b/>
      <w:bCs/>
      <w:sz w:val="32"/>
      <w:szCs w:val="32"/>
    </w:rPr>
  </w:style>
  <w:style w:type="paragraph" w:styleId="5">
    <w:name w:val="heading 3"/>
    <w:basedOn w:val="1"/>
    <w:next w:val="1"/>
    <w:qFormat/>
    <w:uiPriority w:val="0"/>
    <w:pPr>
      <w:keepNext/>
      <w:keepLines/>
      <w:spacing w:line="416" w:lineRule="auto"/>
      <w:outlineLvl w:val="2"/>
    </w:pPr>
    <w:rPr>
      <w:b/>
      <w:bCs/>
      <w:sz w:val="32"/>
      <w:szCs w:val="32"/>
    </w:rPr>
  </w:style>
  <w:style w:type="paragraph" w:styleId="6">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7">
    <w:name w:val="heading 5"/>
    <w:basedOn w:val="1"/>
    <w:next w:val="1"/>
    <w:qFormat/>
    <w:uiPriority w:val="0"/>
    <w:pPr>
      <w:widowControl/>
      <w:jc w:val="left"/>
      <w:outlineLvl w:val="4"/>
    </w:pPr>
    <w:rPr>
      <w:rFonts w:ascii="MS Sans Serif" w:eastAsia="MS Sans Serif"/>
      <w:kern w:val="0"/>
      <w:sz w:val="24"/>
      <w:szCs w:val="20"/>
    </w:rPr>
  </w:style>
  <w:style w:type="paragraph" w:styleId="8">
    <w:name w:val="heading 6"/>
    <w:basedOn w:val="1"/>
    <w:next w:val="1"/>
    <w:qFormat/>
    <w:uiPriority w:val="0"/>
    <w:pPr>
      <w:keepNext/>
      <w:keepLines/>
      <w:spacing w:line="320" w:lineRule="auto"/>
      <w:outlineLvl w:val="5"/>
    </w:pPr>
    <w:rPr>
      <w:rFonts w:ascii="黑体" w:hAnsi="黑体" w:eastAsia="楷体"/>
      <w:b/>
      <w:sz w:val="24"/>
      <w:szCs w:val="20"/>
    </w:rPr>
  </w:style>
  <w:style w:type="paragraph" w:styleId="9">
    <w:name w:val="heading 7"/>
    <w:basedOn w:val="1"/>
    <w:next w:val="1"/>
    <w:qFormat/>
    <w:uiPriority w:val="0"/>
    <w:pPr>
      <w:keepNext/>
      <w:keepLines/>
      <w:spacing w:line="320" w:lineRule="auto"/>
      <w:outlineLvl w:val="6"/>
    </w:pPr>
    <w:rPr>
      <w:b/>
      <w:sz w:val="24"/>
      <w:szCs w:val="20"/>
    </w:rPr>
  </w:style>
  <w:style w:type="paragraph" w:styleId="10">
    <w:name w:val="heading 8"/>
    <w:basedOn w:val="1"/>
    <w:next w:val="11"/>
    <w:qFormat/>
    <w:uiPriority w:val="0"/>
    <w:pPr>
      <w:keepNext/>
      <w:keepLines/>
      <w:spacing w:line="320" w:lineRule="auto"/>
      <w:outlineLvl w:val="7"/>
    </w:pPr>
    <w:rPr>
      <w:rFonts w:ascii="黑体" w:hAnsi="黑体" w:eastAsia="楷体"/>
      <w:sz w:val="24"/>
      <w:szCs w:val="20"/>
    </w:rPr>
  </w:style>
  <w:style w:type="paragraph" w:styleId="12">
    <w:name w:val="heading 9"/>
    <w:basedOn w:val="1"/>
    <w:next w:val="11"/>
    <w:qFormat/>
    <w:uiPriority w:val="0"/>
    <w:pPr>
      <w:keepNext/>
      <w:keepLines/>
      <w:spacing w:line="320" w:lineRule="auto"/>
      <w:outlineLvl w:val="8"/>
    </w:pPr>
    <w:rPr>
      <w:rFonts w:ascii="黑体" w:hAnsi="黑体" w:eastAsia="楷体"/>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720"/>
      </w:tabs>
      <w:jc w:val="left"/>
    </w:pPr>
    <w:rPr>
      <w:rFonts w:ascii="Century Gothic" w:hAnsi="Century Gothic"/>
      <w:bCs/>
      <w:caps/>
      <w:sz w:val="20"/>
      <w:szCs w:val="20"/>
    </w:rPr>
  </w:style>
  <w:style w:type="paragraph" w:styleId="11">
    <w:name w:val="Normal Indent"/>
    <w:basedOn w:val="1"/>
    <w:next w:val="1"/>
    <w:link w:val="67"/>
    <w:qFormat/>
    <w:uiPriority w:val="0"/>
    <w:pPr>
      <w:widowControl/>
      <w:ind w:firstLine="420"/>
      <w:jc w:val="left"/>
    </w:pPr>
    <w:rPr>
      <w:rFonts w:ascii="Arial" w:hAnsi="Arial" w:cs="Arial"/>
      <w:kern w:val="0"/>
      <w:sz w:val="20"/>
      <w:szCs w:val="20"/>
    </w:rPr>
  </w:style>
  <w:style w:type="paragraph" w:styleId="13">
    <w:name w:val="toc 7"/>
    <w:basedOn w:val="1"/>
    <w:next w:val="1"/>
    <w:semiHidden/>
    <w:qFormat/>
    <w:uiPriority w:val="0"/>
    <w:pPr>
      <w:ind w:left="1260"/>
      <w:jc w:val="left"/>
    </w:pPr>
    <w:rPr>
      <w:sz w:val="18"/>
      <w:szCs w:val="18"/>
    </w:rPr>
  </w:style>
  <w:style w:type="paragraph" w:styleId="14">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5">
    <w:name w:val="caption"/>
    <w:basedOn w:val="1"/>
    <w:next w:val="1"/>
    <w:qFormat/>
    <w:uiPriority w:val="0"/>
    <w:rPr>
      <w:rFonts w:ascii="黑体" w:hAnsi="黑体" w:eastAsia="楷体" w:cs="黑体"/>
      <w:sz w:val="20"/>
      <w:szCs w:val="20"/>
    </w:rPr>
  </w:style>
  <w:style w:type="paragraph" w:styleId="16">
    <w:name w:val="Document Map"/>
    <w:basedOn w:val="1"/>
    <w:semiHidden/>
    <w:qFormat/>
    <w:uiPriority w:val="0"/>
    <w:pPr>
      <w:shd w:val="clear" w:color="auto" w:fill="000080"/>
    </w:pPr>
  </w:style>
  <w:style w:type="paragraph" w:styleId="17">
    <w:name w:val="annotation text"/>
    <w:basedOn w:val="1"/>
    <w:semiHidden/>
    <w:qFormat/>
    <w:uiPriority w:val="0"/>
    <w:pPr>
      <w:jc w:val="left"/>
    </w:pPr>
  </w:style>
  <w:style w:type="paragraph" w:styleId="18">
    <w:name w:val="Body Text"/>
    <w:basedOn w:val="1"/>
    <w:next w:val="19"/>
    <w:qFormat/>
    <w:uiPriority w:val="0"/>
  </w:style>
  <w:style w:type="paragraph" w:styleId="19">
    <w:name w:val="Body Text First Indent"/>
    <w:basedOn w:val="18"/>
    <w:next w:val="1"/>
    <w:qFormat/>
    <w:uiPriority w:val="0"/>
    <w:pPr>
      <w:ind w:firstLine="420"/>
    </w:pPr>
  </w:style>
  <w:style w:type="paragraph" w:styleId="20">
    <w:name w:val="Body Text Indent"/>
    <w:basedOn w:val="1"/>
    <w:next w:val="21"/>
    <w:link w:val="68"/>
    <w:qFormat/>
    <w:uiPriority w:val="0"/>
    <w:pPr>
      <w:adjustRightInd w:val="0"/>
      <w:spacing w:line="360" w:lineRule="auto"/>
      <w:ind w:firstLine="490"/>
      <w:jc w:val="left"/>
    </w:pPr>
    <w:rPr>
      <w:rFonts w:ascii="Century Gothic" w:hAnsi="Century Gothic" w:eastAsia="Century Gothic"/>
      <w:sz w:val="24"/>
      <w:szCs w:val="20"/>
    </w:rPr>
  </w:style>
  <w:style w:type="paragraph" w:customStyle="1" w:styleId="21">
    <w:name w:val="正文文本首行缩进 21"/>
    <w:basedOn w:val="22"/>
    <w:qFormat/>
    <w:uiPriority w:val="99"/>
    <w:pPr>
      <w:tabs>
        <w:tab w:val="right" w:leader="dot" w:pos="8268"/>
      </w:tabs>
      <w:spacing w:line="200" w:lineRule="atLeast"/>
      <w:ind w:firstLine="420"/>
    </w:pPr>
    <w:rPr>
      <w:spacing w:val="-4"/>
      <w:sz w:val="18"/>
    </w:rPr>
  </w:style>
  <w:style w:type="paragraph" w:customStyle="1" w:styleId="22">
    <w:name w:val="正文缩进1"/>
    <w:basedOn w:val="23"/>
    <w:next w:val="2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3">
    <w:name w:val="正文1"/>
    <w:basedOn w:val="24"/>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4">
    <w:name w:val="toc 3"/>
    <w:basedOn w:val="1"/>
    <w:next w:val="1"/>
    <w:semiHidden/>
    <w:qFormat/>
    <w:uiPriority w:val="0"/>
    <w:pPr>
      <w:ind w:left="420"/>
      <w:jc w:val="left"/>
    </w:pPr>
    <w:rPr>
      <w:i/>
      <w:iCs/>
      <w:sz w:val="20"/>
      <w:szCs w:val="20"/>
    </w:rPr>
  </w:style>
  <w:style w:type="paragraph" w:styleId="25">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6">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7">
    <w:name w:val="toc 5"/>
    <w:basedOn w:val="1"/>
    <w:next w:val="1"/>
    <w:semiHidden/>
    <w:qFormat/>
    <w:uiPriority w:val="0"/>
    <w:pPr>
      <w:ind w:left="840"/>
      <w:jc w:val="left"/>
    </w:pPr>
    <w:rPr>
      <w:sz w:val="18"/>
      <w:szCs w:val="18"/>
    </w:rPr>
  </w:style>
  <w:style w:type="paragraph" w:styleId="28">
    <w:name w:val="Plain Text"/>
    <w:basedOn w:val="1"/>
    <w:next w:val="1"/>
    <w:link w:val="69"/>
    <w:qFormat/>
    <w:uiPriority w:val="0"/>
    <w:rPr>
      <w:rFonts w:ascii="Century Gothic" w:hAnsi="楷体_GB2312" w:eastAsia="Century Gothic" w:cs="楷体_GB2312"/>
      <w:szCs w:val="21"/>
    </w:rPr>
  </w:style>
  <w:style w:type="paragraph" w:styleId="29">
    <w:name w:val="toc 8"/>
    <w:basedOn w:val="1"/>
    <w:next w:val="1"/>
    <w:semiHidden/>
    <w:qFormat/>
    <w:uiPriority w:val="0"/>
    <w:pPr>
      <w:ind w:left="1470"/>
      <w:jc w:val="left"/>
    </w:pPr>
    <w:rPr>
      <w:sz w:val="18"/>
      <w:szCs w:val="18"/>
    </w:rPr>
  </w:style>
  <w:style w:type="paragraph" w:styleId="30">
    <w:name w:val="Date"/>
    <w:basedOn w:val="1"/>
    <w:next w:val="1"/>
    <w:qFormat/>
    <w:uiPriority w:val="0"/>
    <w:pPr>
      <w:ind w:left="100" w:leftChars="2500"/>
    </w:pPr>
  </w:style>
  <w:style w:type="paragraph" w:styleId="31">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32">
    <w:name w:val="Balloon Text"/>
    <w:basedOn w:val="1"/>
    <w:semiHidden/>
    <w:qFormat/>
    <w:uiPriority w:val="0"/>
    <w:rPr>
      <w:sz w:val="18"/>
      <w:szCs w:val="18"/>
    </w:rPr>
  </w:style>
  <w:style w:type="paragraph" w:styleId="33">
    <w:name w:val="footer"/>
    <w:basedOn w:val="1"/>
    <w:link w:val="70"/>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34">
    <w:name w:val="envelope return"/>
    <w:basedOn w:val="1"/>
    <w:qFormat/>
    <w:uiPriority w:val="0"/>
    <w:pPr>
      <w:snapToGrid w:val="0"/>
    </w:pPr>
    <w:rPr>
      <w:rFonts w:ascii="Arial" w:hAnsi="Arial"/>
    </w:rPr>
  </w:style>
  <w:style w:type="paragraph" w:styleId="35">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6">
    <w:name w:val="toc 4"/>
    <w:basedOn w:val="1"/>
    <w:next w:val="1"/>
    <w:semiHidden/>
    <w:qFormat/>
    <w:uiPriority w:val="0"/>
    <w:pPr>
      <w:ind w:left="630"/>
      <w:jc w:val="left"/>
    </w:pPr>
    <w:rPr>
      <w:sz w:val="18"/>
      <w:szCs w:val="18"/>
    </w:rPr>
  </w:style>
  <w:style w:type="paragraph" w:styleId="37">
    <w:name w:val="toc 6"/>
    <w:basedOn w:val="1"/>
    <w:next w:val="1"/>
    <w:semiHidden/>
    <w:qFormat/>
    <w:uiPriority w:val="0"/>
    <w:pPr>
      <w:ind w:left="1050"/>
      <w:jc w:val="left"/>
    </w:pPr>
    <w:rPr>
      <w:sz w:val="18"/>
      <w:szCs w:val="18"/>
    </w:rPr>
  </w:style>
  <w:style w:type="paragraph" w:styleId="38">
    <w:name w:val="List 5"/>
    <w:basedOn w:val="1"/>
    <w:qFormat/>
    <w:uiPriority w:val="0"/>
    <w:pPr>
      <w:ind w:left="100" w:leftChars="800" w:hanging="200" w:hangingChars="200"/>
    </w:pPr>
    <w:rPr>
      <w:szCs w:val="20"/>
    </w:rPr>
  </w:style>
  <w:style w:type="paragraph" w:styleId="39">
    <w:name w:val="Body Text Indent 3"/>
    <w:basedOn w:val="1"/>
    <w:qFormat/>
    <w:uiPriority w:val="0"/>
    <w:pPr>
      <w:ind w:left="420" w:leftChars="200"/>
    </w:pPr>
    <w:rPr>
      <w:sz w:val="16"/>
      <w:szCs w:val="16"/>
    </w:rPr>
  </w:style>
  <w:style w:type="paragraph" w:styleId="40">
    <w:name w:val="toc 2"/>
    <w:basedOn w:val="1"/>
    <w:next w:val="1"/>
    <w:qFormat/>
    <w:uiPriority w:val="39"/>
    <w:pPr>
      <w:tabs>
        <w:tab w:val="right" w:leader="dot" w:pos="8720"/>
      </w:tabs>
      <w:adjustRightInd w:val="0"/>
      <w:snapToGrid w:val="0"/>
      <w:jc w:val="left"/>
    </w:pPr>
    <w:rPr>
      <w:smallCaps/>
      <w:sz w:val="20"/>
      <w:szCs w:val="20"/>
    </w:rPr>
  </w:style>
  <w:style w:type="paragraph" w:styleId="41">
    <w:name w:val="toc 9"/>
    <w:basedOn w:val="1"/>
    <w:next w:val="1"/>
    <w:semiHidden/>
    <w:qFormat/>
    <w:uiPriority w:val="0"/>
    <w:pPr>
      <w:ind w:left="1680"/>
      <w:jc w:val="left"/>
    </w:pPr>
    <w:rPr>
      <w:sz w:val="18"/>
      <w:szCs w:val="18"/>
    </w:rPr>
  </w:style>
  <w:style w:type="paragraph" w:styleId="42">
    <w:name w:val="Body Text 2"/>
    <w:basedOn w:val="1"/>
    <w:qFormat/>
    <w:uiPriority w:val="0"/>
    <w:rPr>
      <w:sz w:val="24"/>
    </w:rPr>
  </w:style>
  <w:style w:type="paragraph" w:styleId="4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4">
    <w:name w:val="Normal (Web)"/>
    <w:basedOn w:val="1"/>
    <w:qFormat/>
    <w:uiPriority w:val="0"/>
    <w:pPr>
      <w:widowControl/>
      <w:shd w:val="clear" w:color="auto" w:fill="FFFFFF"/>
      <w:spacing w:beforeAutospacing="1" w:afterAutospacing="1"/>
      <w:jc w:val="left"/>
    </w:pPr>
    <w:rPr>
      <w:rFonts w:ascii="Century Gothic" w:hAnsi="Century Gothic"/>
      <w:kern w:val="0"/>
      <w:sz w:val="18"/>
      <w:szCs w:val="18"/>
    </w:rPr>
  </w:style>
  <w:style w:type="paragraph" w:styleId="45">
    <w:name w:val="Title"/>
    <w:basedOn w:val="1"/>
    <w:next w:val="1"/>
    <w:qFormat/>
    <w:uiPriority w:val="0"/>
    <w:pPr>
      <w:tabs>
        <w:tab w:val="left" w:pos="1200"/>
      </w:tabs>
      <w:spacing w:afterLines="200"/>
      <w:ind w:left="1440" w:hanging="720"/>
      <w:jc w:val="center"/>
    </w:pPr>
    <w:rPr>
      <w:b/>
      <w:bCs/>
      <w:spacing w:val="60"/>
      <w:sz w:val="32"/>
    </w:rPr>
  </w:style>
  <w:style w:type="paragraph" w:styleId="46">
    <w:name w:val="annotation subject"/>
    <w:basedOn w:val="17"/>
    <w:next w:val="17"/>
    <w:semiHidden/>
    <w:qFormat/>
    <w:uiPriority w:val="0"/>
    <w:rPr>
      <w:b/>
      <w:bCs/>
    </w:rPr>
  </w:style>
  <w:style w:type="paragraph" w:styleId="47">
    <w:name w:val="Body Text First Indent 2"/>
    <w:basedOn w:val="20"/>
    <w:next w:val="1"/>
    <w:qFormat/>
    <w:uiPriority w:val="0"/>
    <w:pPr>
      <w:ind w:firstLine="420" w:firstLineChars="200"/>
    </w:pPr>
  </w:style>
  <w:style w:type="table" w:styleId="49">
    <w:name w:val="Table Grid"/>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rPr>
  </w:style>
  <w:style w:type="character" w:styleId="52">
    <w:name w:val="page number"/>
    <w:qFormat/>
    <w:uiPriority w:val="0"/>
  </w:style>
  <w:style w:type="character" w:styleId="53">
    <w:name w:val="FollowedHyperlink"/>
    <w:qFormat/>
    <w:uiPriority w:val="0"/>
    <w:rPr>
      <w:color w:val="3177FD"/>
      <w:sz w:val="21"/>
      <w:szCs w:val="21"/>
      <w:u w:val="none"/>
    </w:rPr>
  </w:style>
  <w:style w:type="character" w:styleId="54">
    <w:name w:val="Emphasis"/>
    <w:basedOn w:val="50"/>
    <w:qFormat/>
    <w:uiPriority w:val="0"/>
    <w:rPr>
      <w:color w:val="F73131"/>
    </w:rPr>
  </w:style>
  <w:style w:type="character" w:styleId="55">
    <w:name w:val="HTML Definition"/>
    <w:qFormat/>
    <w:uiPriority w:val="0"/>
    <w:rPr>
      <w:i/>
      <w:color w:val="FFFFFF"/>
      <w:u w:val="none"/>
    </w:rPr>
  </w:style>
  <w:style w:type="character" w:styleId="56">
    <w:name w:val="Hyperlink"/>
    <w:qFormat/>
    <w:uiPriority w:val="0"/>
    <w:rPr>
      <w:color w:val="3177FD"/>
      <w:u w:val="none"/>
    </w:rPr>
  </w:style>
  <w:style w:type="character" w:styleId="57">
    <w:name w:val="HTML Code"/>
    <w:qFormat/>
    <w:uiPriority w:val="0"/>
    <w:rPr>
      <w:rFonts w:hint="default" w:ascii="Consolas" w:hAnsi="Consolas" w:eastAsia="Consolas" w:cs="Consolas"/>
      <w:sz w:val="21"/>
      <w:szCs w:val="21"/>
    </w:rPr>
  </w:style>
  <w:style w:type="character" w:styleId="58">
    <w:name w:val="annotation reference"/>
    <w:semiHidden/>
    <w:qFormat/>
    <w:uiPriority w:val="0"/>
    <w:rPr>
      <w:sz w:val="21"/>
      <w:szCs w:val="21"/>
    </w:rPr>
  </w:style>
  <w:style w:type="character" w:styleId="59">
    <w:name w:val="HTML Cite"/>
    <w:basedOn w:val="50"/>
    <w:qFormat/>
    <w:uiPriority w:val="0"/>
    <w:rPr>
      <w:color w:val="008000"/>
    </w:rPr>
  </w:style>
  <w:style w:type="character" w:styleId="60">
    <w:name w:val="HTML Keyboard"/>
    <w:qFormat/>
    <w:uiPriority w:val="0"/>
    <w:rPr>
      <w:rFonts w:ascii="Consolas" w:hAnsi="Consolas" w:eastAsia="Consolas" w:cs="Consolas"/>
      <w:sz w:val="21"/>
      <w:szCs w:val="21"/>
    </w:rPr>
  </w:style>
  <w:style w:type="character" w:styleId="61">
    <w:name w:val="HTML Sample"/>
    <w:qFormat/>
    <w:uiPriority w:val="0"/>
    <w:rPr>
      <w:rFonts w:hint="default" w:ascii="Consolas" w:hAnsi="Consolas" w:eastAsia="Consolas" w:cs="Consolas"/>
      <w:sz w:val="21"/>
      <w:szCs w:val="21"/>
    </w:rPr>
  </w:style>
  <w:style w:type="paragraph" w:styleId="62">
    <w:name w:val="List Paragraph"/>
    <w:basedOn w:val="1"/>
    <w:link w:val="96"/>
    <w:qFormat/>
    <w:uiPriority w:val="34"/>
    <w:pPr>
      <w:ind w:firstLine="420" w:firstLineChars="200"/>
    </w:pPr>
    <w:rPr>
      <w:rFonts w:ascii="Times New Roman" w:hAnsi="Times New Roman"/>
    </w:rPr>
  </w:style>
  <w:style w:type="paragraph" w:customStyle="1" w:styleId="63">
    <w:name w:val="正文文字"/>
    <w:basedOn w:val="1"/>
    <w:qFormat/>
    <w:uiPriority w:val="0"/>
    <w:pPr>
      <w:widowControl/>
      <w:spacing w:line="952" w:lineRule="atLeast"/>
      <w:ind w:firstLine="419"/>
    </w:pPr>
    <w:rPr>
      <w:b/>
      <w:color w:val="000000"/>
      <w:sz w:val="44"/>
      <w:szCs w:val="20"/>
    </w:rPr>
  </w:style>
  <w:style w:type="paragraph" w:customStyle="1" w:styleId="64">
    <w:name w:val="_Style 2"/>
    <w:basedOn w:val="1"/>
    <w:qFormat/>
    <w:uiPriority w:val="0"/>
    <w:pPr>
      <w:ind w:firstLine="200" w:firstLineChars="200"/>
    </w:pPr>
    <w:rPr>
      <w:rFonts w:ascii="Calibri" w:hAnsi="Calibri"/>
      <w:sz w:val="28"/>
      <w:szCs w:val="22"/>
    </w:rPr>
  </w:style>
  <w:style w:type="paragraph" w:customStyle="1" w:styleId="65">
    <w:name w:val="_Style 1"/>
    <w:qFormat/>
    <w:uiPriority w:val="0"/>
    <w:rPr>
      <w:rFonts w:ascii="Calibri" w:hAnsi="Calibri" w:eastAsia="宋体" w:cs="Times New Roman"/>
      <w:kern w:val="2"/>
      <w:sz w:val="28"/>
      <w:szCs w:val="22"/>
      <w:lang w:val="en-US" w:eastAsia="zh-CN" w:bidi="ar-SA"/>
    </w:rPr>
  </w:style>
  <w:style w:type="character" w:customStyle="1" w:styleId="66">
    <w:name w:val="标题 1 Char"/>
    <w:link w:val="3"/>
    <w:qFormat/>
    <w:uiPriority w:val="0"/>
    <w:rPr>
      <w:rFonts w:eastAsia="Century Gothic"/>
      <w:b/>
      <w:bCs/>
      <w:kern w:val="44"/>
      <w:sz w:val="44"/>
      <w:szCs w:val="44"/>
      <w:lang w:val="en-US" w:eastAsia="zh-CN" w:bidi="ar-SA"/>
    </w:rPr>
  </w:style>
  <w:style w:type="character" w:customStyle="1" w:styleId="67">
    <w:name w:val="正文缩进 Char"/>
    <w:link w:val="11"/>
    <w:qFormat/>
    <w:uiPriority w:val="0"/>
    <w:rPr>
      <w:rFonts w:ascii="Arial" w:hAnsi="Arial" w:eastAsia="宋体" w:cs="Arial"/>
      <w:lang w:val="en-US" w:eastAsia="zh-CN" w:bidi="ar-SA"/>
    </w:rPr>
  </w:style>
  <w:style w:type="character" w:customStyle="1" w:styleId="68">
    <w:name w:val="正文文本缩进 Char"/>
    <w:link w:val="20"/>
    <w:semiHidden/>
    <w:qFormat/>
    <w:uiPriority w:val="0"/>
    <w:rPr>
      <w:rFonts w:ascii="Century Gothic" w:hAnsi="Century Gothic" w:eastAsia="Century Gothic"/>
      <w:kern w:val="2"/>
      <w:sz w:val="24"/>
      <w:lang w:val="en-US" w:eastAsia="zh-CN" w:bidi="ar-SA"/>
    </w:rPr>
  </w:style>
  <w:style w:type="character" w:customStyle="1" w:styleId="69">
    <w:name w:val="纯文本 Char"/>
    <w:link w:val="28"/>
    <w:qFormat/>
    <w:uiPriority w:val="0"/>
    <w:rPr>
      <w:rFonts w:ascii="Century Gothic" w:hAnsi="楷体_GB2312" w:eastAsia="Century Gothic" w:cs="楷体_GB2312"/>
      <w:kern w:val="2"/>
      <w:sz w:val="21"/>
      <w:szCs w:val="21"/>
      <w:lang w:val="en-US" w:eastAsia="zh-CN" w:bidi="ar-SA"/>
    </w:rPr>
  </w:style>
  <w:style w:type="character" w:customStyle="1" w:styleId="70">
    <w:name w:val="页脚 Char"/>
    <w:link w:val="33"/>
    <w:qFormat/>
    <w:uiPriority w:val="0"/>
    <w:rPr>
      <w:rFonts w:eastAsia="Century Gothic"/>
      <w:kern w:val="2"/>
      <w:sz w:val="18"/>
      <w:lang w:val="en-US" w:eastAsia="zh-CN" w:bidi="ar-SA"/>
    </w:rPr>
  </w:style>
  <w:style w:type="character" w:customStyle="1" w:styleId="71">
    <w:name w:val="zbggmain style9"/>
    <w:qFormat/>
    <w:uiPriority w:val="0"/>
    <w:rPr>
      <w:rFonts w:ascii="Courier New" w:eastAsia="Courier New"/>
      <w:b/>
      <w:kern w:val="2"/>
      <w:sz w:val="32"/>
      <w:szCs w:val="32"/>
      <w:lang w:val="en-US" w:eastAsia="zh-CN" w:bidi="ar-SA"/>
    </w:rPr>
  </w:style>
  <w:style w:type="character" w:customStyle="1" w:styleId="72">
    <w:name w:val="temp1"/>
    <w:qFormat/>
    <w:uiPriority w:val="0"/>
  </w:style>
  <w:style w:type="character" w:customStyle="1" w:styleId="73">
    <w:name w:val="Char Char21"/>
    <w:qFormat/>
    <w:uiPriority w:val="0"/>
    <w:rPr>
      <w:rFonts w:eastAsia="Century Gothic"/>
      <w:b/>
      <w:bCs/>
      <w:kern w:val="44"/>
      <w:sz w:val="32"/>
      <w:szCs w:val="44"/>
      <w:lang w:val="en-US" w:eastAsia="zh-CN" w:bidi="ar-SA"/>
    </w:rPr>
  </w:style>
  <w:style w:type="character" w:customStyle="1" w:styleId="74">
    <w:name w:val="Char Char12"/>
    <w:qFormat/>
    <w:uiPriority w:val="0"/>
    <w:rPr>
      <w:rFonts w:ascii="Century Gothic" w:hAnsi="楷体_GB2312" w:eastAsia="Century Gothic" w:cs="楷体_GB2312"/>
      <w:kern w:val="2"/>
      <w:sz w:val="21"/>
      <w:szCs w:val="21"/>
      <w:lang w:val="en-US" w:eastAsia="zh-CN" w:bidi="ar-SA"/>
    </w:rPr>
  </w:style>
  <w:style w:type="character" w:customStyle="1" w:styleId="75">
    <w:name w:val="first-child7"/>
    <w:qFormat/>
    <w:uiPriority w:val="0"/>
  </w:style>
  <w:style w:type="character" w:customStyle="1" w:styleId="76">
    <w:name w:val="ant-select-tree-checkbox"/>
    <w:qFormat/>
    <w:uiPriority w:val="0"/>
  </w:style>
  <w:style w:type="character" w:customStyle="1" w:styleId="77">
    <w:name w:val="tag-type"/>
    <w:qFormat/>
    <w:uiPriority w:val="0"/>
    <w:rPr>
      <w:color w:val="FFFFFF"/>
      <w:sz w:val="18"/>
      <w:szCs w:val="18"/>
      <w:shd w:val="clear" w:color="auto" w:fill="317FFD"/>
    </w:rPr>
  </w:style>
  <w:style w:type="character" w:customStyle="1" w:styleId="78">
    <w:name w:val="ant-select-tree-switcher"/>
    <w:qFormat/>
    <w:uiPriority w:val="0"/>
  </w:style>
  <w:style w:type="character" w:customStyle="1" w:styleId="79">
    <w:name w:val="Default Char"/>
    <w:link w:val="80"/>
    <w:qFormat/>
    <w:uiPriority w:val="0"/>
    <w:rPr>
      <w:rFonts w:ascii="楷体" w:eastAsia="楷体"/>
      <w:color w:val="000000"/>
      <w:sz w:val="24"/>
      <w:szCs w:val="24"/>
      <w:lang w:val="en-US" w:eastAsia="zh-CN" w:bidi="ar-SA"/>
    </w:rPr>
  </w:style>
  <w:style w:type="paragraph" w:customStyle="1" w:styleId="80">
    <w:name w:val="Default"/>
    <w:next w:val="81"/>
    <w:link w:val="79"/>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84">
    <w:name w:val="font71"/>
    <w:qFormat/>
    <w:uiPriority w:val="0"/>
    <w:rPr>
      <w:rFonts w:hint="eastAsia" w:ascii="宋体" w:hAnsi="宋体" w:eastAsia="宋体" w:cs="宋体"/>
      <w:color w:val="000000"/>
      <w:sz w:val="20"/>
      <w:szCs w:val="20"/>
      <w:u w:val="none"/>
    </w:rPr>
  </w:style>
  <w:style w:type="character" w:customStyle="1" w:styleId="85">
    <w:name w:val="current"/>
    <w:qFormat/>
    <w:uiPriority w:val="0"/>
    <w:rPr>
      <w:color w:val="00C1DE"/>
    </w:rPr>
  </w:style>
  <w:style w:type="character" w:customStyle="1" w:styleId="86">
    <w:name w:val="last-of-type"/>
    <w:qFormat/>
    <w:uiPriority w:val="0"/>
    <w:rPr>
      <w:color w:val="FF4A44"/>
      <w:sz w:val="27"/>
      <w:szCs w:val="27"/>
    </w:rPr>
  </w:style>
  <w:style w:type="character" w:customStyle="1" w:styleId="87">
    <w:name w:val="font121"/>
    <w:qFormat/>
    <w:uiPriority w:val="0"/>
    <w:rPr>
      <w:rFonts w:hint="eastAsia" w:ascii="宋体" w:hAnsi="宋体" w:eastAsia="宋体" w:cs="宋体"/>
      <w:b/>
      <w:color w:val="000000"/>
      <w:sz w:val="20"/>
      <w:szCs w:val="20"/>
      <w:u w:val="none"/>
    </w:rPr>
  </w:style>
  <w:style w:type="character" w:customStyle="1" w:styleId="88">
    <w:name w:val="font01"/>
    <w:basedOn w:val="50"/>
    <w:qFormat/>
    <w:uiPriority w:val="0"/>
    <w:rPr>
      <w:rFonts w:hint="eastAsia" w:ascii="宋体" w:hAnsi="宋体" w:eastAsia="宋体" w:cs="宋体"/>
      <w:color w:val="000000"/>
      <w:sz w:val="20"/>
      <w:szCs w:val="20"/>
      <w:u w:val="none"/>
      <w:vertAlign w:val="superscript"/>
    </w:rPr>
  </w:style>
  <w:style w:type="character" w:customStyle="1" w:styleId="89">
    <w:name w:val="first-child"/>
    <w:qFormat/>
    <w:uiPriority w:val="0"/>
  </w:style>
  <w:style w:type="character" w:customStyle="1" w:styleId="90">
    <w:name w:val="current1"/>
    <w:qFormat/>
    <w:uiPriority w:val="0"/>
    <w:rPr>
      <w:color w:val="00C1DE"/>
    </w:rPr>
  </w:style>
  <w:style w:type="character" w:customStyle="1" w:styleId="91">
    <w:name w:val="zbggtop11 style5"/>
    <w:qFormat/>
    <w:uiPriority w:val="0"/>
  </w:style>
  <w:style w:type="character" w:customStyle="1" w:styleId="92">
    <w:name w:val="style1"/>
    <w:qFormat/>
    <w:uiPriority w:val="0"/>
  </w:style>
  <w:style w:type="character" w:customStyle="1" w:styleId="93">
    <w:name w:val="ant-tree-iconele"/>
    <w:qFormat/>
    <w:uiPriority w:val="0"/>
  </w:style>
  <w:style w:type="character" w:customStyle="1" w:styleId="94">
    <w:name w:val="content"/>
    <w:qFormat/>
    <w:uiPriority w:val="0"/>
  </w:style>
  <w:style w:type="character" w:customStyle="1" w:styleId="95">
    <w:name w:val="font51"/>
    <w:qFormat/>
    <w:uiPriority w:val="0"/>
    <w:rPr>
      <w:rFonts w:hint="eastAsia" w:ascii="宋体" w:hAnsi="宋体" w:eastAsia="宋体" w:cs="宋体"/>
      <w:color w:val="000000"/>
      <w:sz w:val="20"/>
      <w:szCs w:val="20"/>
      <w:u w:val="none"/>
    </w:rPr>
  </w:style>
  <w:style w:type="character" w:customStyle="1" w:styleId="96">
    <w:name w:val="列出段落 Char"/>
    <w:link w:val="62"/>
    <w:qFormat/>
    <w:uiPriority w:val="34"/>
    <w:rPr>
      <w:kern w:val="2"/>
      <w:sz w:val="21"/>
      <w:szCs w:val="24"/>
    </w:rPr>
  </w:style>
  <w:style w:type="character" w:customStyle="1" w:styleId="97">
    <w:name w:val="ant-select-tree-iconele"/>
    <w:qFormat/>
    <w:uiPriority w:val="0"/>
  </w:style>
  <w:style w:type="character" w:customStyle="1" w:styleId="98">
    <w:name w:val="bookmark-item uuid-1588129097073 code-23007 addword single-line-text-input-box-cls readonly"/>
    <w:qFormat/>
    <w:uiPriority w:val="0"/>
  </w:style>
  <w:style w:type="character" w:customStyle="1" w:styleId="99">
    <w:name w:val="ant-badge-status-dot2"/>
    <w:qFormat/>
    <w:uiPriority w:val="0"/>
    <w:rPr>
      <w:shd w:val="clear" w:color="auto" w:fill="FFFFFF"/>
    </w:rPr>
  </w:style>
  <w:style w:type="character" w:customStyle="1" w:styleId="100">
    <w:name w:val="change-camera-place"/>
    <w:qFormat/>
    <w:uiPriority w:val="0"/>
    <w:rPr>
      <w:color w:val="3177FD"/>
    </w:rPr>
  </w:style>
  <w:style w:type="character" w:customStyle="1" w:styleId="101">
    <w:name w:val="last-child1"/>
    <w:qFormat/>
    <w:uiPriority w:val="0"/>
  </w:style>
  <w:style w:type="character" w:customStyle="1" w:styleId="102">
    <w:name w:val="first-child9"/>
    <w:qFormat/>
    <w:uiPriority w:val="0"/>
  </w:style>
  <w:style w:type="character" w:customStyle="1" w:styleId="103">
    <w:name w:val="all-fit-info2"/>
    <w:qFormat/>
    <w:uiPriority w:val="0"/>
    <w:rPr>
      <w:color w:val="939393"/>
    </w:rPr>
  </w:style>
  <w:style w:type="character" w:customStyle="1" w:styleId="104">
    <w:name w:val="ant-tree-switcher"/>
    <w:qFormat/>
    <w:uiPriority w:val="0"/>
  </w:style>
  <w:style w:type="character" w:customStyle="1" w:styleId="105">
    <w:name w:val="temp2"/>
    <w:qFormat/>
    <w:uiPriority w:val="0"/>
  </w:style>
  <w:style w:type="character" w:customStyle="1" w:styleId="106">
    <w:name w:val="tpc_content1"/>
    <w:qFormat/>
    <w:uiPriority w:val="0"/>
    <w:rPr>
      <w:sz w:val="20"/>
      <w:szCs w:val="20"/>
    </w:rPr>
  </w:style>
  <w:style w:type="character" w:customStyle="1" w:styleId="107">
    <w:name w:val="font81"/>
    <w:basedOn w:val="50"/>
    <w:qFormat/>
    <w:uiPriority w:val="0"/>
    <w:rPr>
      <w:rFonts w:hint="eastAsia" w:ascii="宋体" w:hAnsi="宋体" w:eastAsia="宋体" w:cs="宋体"/>
      <w:color w:val="FF0000"/>
      <w:sz w:val="24"/>
      <w:szCs w:val="24"/>
      <w:u w:val="none"/>
    </w:rPr>
  </w:style>
  <w:style w:type="character" w:customStyle="1" w:styleId="108">
    <w:name w:val="tag-type1"/>
    <w:qFormat/>
    <w:uiPriority w:val="0"/>
    <w:rPr>
      <w:color w:val="FFFFFF"/>
      <w:sz w:val="18"/>
      <w:szCs w:val="18"/>
      <w:shd w:val="clear" w:color="auto" w:fill="317FFD"/>
    </w:rPr>
  </w:style>
  <w:style w:type="character" w:customStyle="1" w:styleId="109">
    <w:name w:val="font21"/>
    <w:basedOn w:val="50"/>
    <w:qFormat/>
    <w:uiPriority w:val="0"/>
    <w:rPr>
      <w:rFonts w:hint="default" w:ascii="Arial" w:hAnsi="Arial" w:cs="Arial"/>
      <w:color w:val="000000"/>
      <w:sz w:val="21"/>
      <w:szCs w:val="21"/>
      <w:u w:val="none"/>
    </w:rPr>
  </w:style>
  <w:style w:type="character" w:customStyle="1" w:styleId="110">
    <w:name w:val="last-child2"/>
    <w:qFormat/>
    <w:uiPriority w:val="0"/>
  </w:style>
  <w:style w:type="character" w:customStyle="1" w:styleId="111">
    <w:name w:val="info-content"/>
    <w:qFormat/>
    <w:uiPriority w:val="0"/>
    <w:rPr>
      <w:color w:val="808080"/>
    </w:rPr>
  </w:style>
  <w:style w:type="character" w:customStyle="1" w:styleId="112">
    <w:name w:val="Char Char"/>
    <w:qFormat/>
    <w:uiPriority w:val="0"/>
    <w:rPr>
      <w:rFonts w:ascii="Courier New" w:eastAsia="Courier New"/>
      <w:color w:val="FF0000"/>
      <w:kern w:val="2"/>
      <w:sz w:val="24"/>
      <w:szCs w:val="24"/>
      <w:u w:val="single"/>
      <w:lang w:val="en-US" w:eastAsia="zh-CN" w:bidi="ar-SA"/>
    </w:rPr>
  </w:style>
  <w:style w:type="character" w:customStyle="1" w:styleId="113">
    <w:name w:val="ant-tree-checkbox2"/>
    <w:qFormat/>
    <w:uiPriority w:val="0"/>
  </w:style>
  <w:style w:type="character" w:customStyle="1" w:styleId="114">
    <w:name w:val="label2"/>
    <w:qFormat/>
    <w:uiPriority w:val="0"/>
  </w:style>
  <w:style w:type="character" w:customStyle="1" w:styleId="115">
    <w:name w:val="标准文本 Char"/>
    <w:link w:val="116"/>
    <w:qFormat/>
    <w:uiPriority w:val="0"/>
    <w:rPr>
      <w:rFonts w:eastAsia="宋体" w:cs="宋体"/>
      <w:kern w:val="2"/>
      <w:sz w:val="24"/>
      <w:lang w:val="en-US" w:eastAsia="zh-CN" w:bidi="ar-SA"/>
    </w:rPr>
  </w:style>
  <w:style w:type="paragraph" w:customStyle="1" w:styleId="116">
    <w:name w:val="标准文本"/>
    <w:basedOn w:val="1"/>
    <w:link w:val="115"/>
    <w:qFormat/>
    <w:uiPriority w:val="0"/>
    <w:pPr>
      <w:spacing w:line="360" w:lineRule="auto"/>
      <w:ind w:firstLine="480" w:firstLineChars="200"/>
    </w:pPr>
    <w:rPr>
      <w:rFonts w:ascii="Times New Roman" w:hAnsi="Times New Roman" w:cs="宋体"/>
      <w:sz w:val="24"/>
      <w:szCs w:val="20"/>
    </w:rPr>
  </w:style>
  <w:style w:type="character" w:customStyle="1" w:styleId="117">
    <w:name w:val="正文2 Char"/>
    <w:link w:val="118"/>
    <w:qFormat/>
    <w:uiPriority w:val="0"/>
    <w:rPr>
      <w:rFonts w:eastAsia="宋体"/>
      <w:kern w:val="2"/>
      <w:sz w:val="24"/>
      <w:lang w:val="en-US" w:eastAsia="zh-CN" w:bidi="ar-SA"/>
    </w:rPr>
  </w:style>
  <w:style w:type="paragraph" w:customStyle="1" w:styleId="118">
    <w:name w:val="正文2"/>
    <w:basedOn w:val="1"/>
    <w:link w:val="117"/>
    <w:qFormat/>
    <w:uiPriority w:val="0"/>
    <w:pPr>
      <w:spacing w:line="360" w:lineRule="auto"/>
      <w:ind w:firstLine="510" w:firstLineChars="200"/>
    </w:pPr>
    <w:rPr>
      <w:rFonts w:ascii="Times New Roman" w:hAnsi="Times New Roman"/>
      <w:sz w:val="24"/>
      <w:szCs w:val="20"/>
    </w:rPr>
  </w:style>
  <w:style w:type="character" w:customStyle="1" w:styleId="119">
    <w:name w:val="bulletintext1"/>
    <w:qFormat/>
    <w:uiPriority w:val="0"/>
    <w:rPr>
      <w:color w:val="000000"/>
      <w:sz w:val="18"/>
    </w:rPr>
  </w:style>
  <w:style w:type="character" w:customStyle="1" w:styleId="120">
    <w:name w:val="last-child"/>
    <w:qFormat/>
    <w:uiPriority w:val="0"/>
  </w:style>
  <w:style w:type="character" w:customStyle="1" w:styleId="121">
    <w:name w:val="font101"/>
    <w:qFormat/>
    <w:uiPriority w:val="0"/>
    <w:rPr>
      <w:rFonts w:ascii="Calibri" w:hAnsi="Calibri" w:cs="Calibri"/>
      <w:color w:val="000000"/>
      <w:sz w:val="20"/>
      <w:szCs w:val="20"/>
      <w:u w:val="none"/>
    </w:rPr>
  </w:style>
  <w:style w:type="character" w:customStyle="1" w:styleId="122">
    <w:name w:val="font61"/>
    <w:basedOn w:val="50"/>
    <w:qFormat/>
    <w:uiPriority w:val="0"/>
    <w:rPr>
      <w:rFonts w:hint="eastAsia" w:ascii="宋体" w:hAnsi="宋体" w:eastAsia="宋体" w:cs="宋体"/>
      <w:color w:val="161616"/>
      <w:sz w:val="20"/>
      <w:szCs w:val="20"/>
      <w:u w:val="none"/>
    </w:rPr>
  </w:style>
  <w:style w:type="character" w:customStyle="1" w:styleId="123">
    <w:name w:val="all-fit-info"/>
    <w:qFormat/>
    <w:uiPriority w:val="0"/>
    <w:rPr>
      <w:color w:val="939393"/>
    </w:rPr>
  </w:style>
  <w:style w:type="character" w:customStyle="1" w:styleId="124">
    <w:name w:val="ant-tree-checkbox"/>
    <w:qFormat/>
    <w:uiPriority w:val="0"/>
  </w:style>
  <w:style w:type="character" w:customStyle="1" w:styleId="125">
    <w:name w:val="ant-badge-status-dot"/>
    <w:qFormat/>
    <w:uiPriority w:val="0"/>
    <w:rPr>
      <w:shd w:val="clear" w:color="auto" w:fill="FFFFFF"/>
    </w:rPr>
  </w:style>
  <w:style w:type="character" w:customStyle="1" w:styleId="126">
    <w:name w:val="bookmark-item uuid-1591619842642 code-23011 addword date-time-selection-cls"/>
    <w:qFormat/>
    <w:uiPriority w:val="0"/>
  </w:style>
  <w:style w:type="character" w:customStyle="1" w:styleId="127">
    <w:name w:val="content8"/>
    <w:qFormat/>
    <w:uiPriority w:val="0"/>
  </w:style>
  <w:style w:type="character" w:customStyle="1" w:styleId="128">
    <w:name w:val="info-label"/>
    <w:qFormat/>
    <w:uiPriority w:val="0"/>
    <w:rPr>
      <w:b/>
    </w:rPr>
  </w:style>
  <w:style w:type="character" w:customStyle="1" w:styleId="129">
    <w:name w:val="ant-select-tree-checkbox2"/>
    <w:qFormat/>
    <w:uiPriority w:val="0"/>
  </w:style>
  <w:style w:type="character" w:customStyle="1" w:styleId="130">
    <w:name w:val="temp"/>
    <w:qFormat/>
    <w:uiPriority w:val="0"/>
  </w:style>
  <w:style w:type="character" w:customStyle="1" w:styleId="131">
    <w:name w:val="label"/>
    <w:qFormat/>
    <w:uiPriority w:val="0"/>
  </w:style>
  <w:style w:type="character" w:customStyle="1" w:styleId="132">
    <w:name w:val="ant-tree-icon_loading"/>
    <w:qFormat/>
    <w:uiPriority w:val="0"/>
    <w:rPr>
      <w:shd w:val="clear" w:color="auto" w:fill="FFFFFF"/>
    </w:rPr>
  </w:style>
  <w:style w:type="character" w:customStyle="1" w:styleId="133">
    <w:name w:val="last-child3"/>
    <w:qFormat/>
    <w:uiPriority w:val="0"/>
  </w:style>
  <w:style w:type="character" w:customStyle="1" w:styleId="134">
    <w:name w:val="font11"/>
    <w:basedOn w:val="50"/>
    <w:qFormat/>
    <w:uiPriority w:val="0"/>
    <w:rPr>
      <w:rFonts w:hint="eastAsia" w:ascii="宋体" w:hAnsi="宋体" w:eastAsia="宋体" w:cs="宋体"/>
      <w:color w:val="000000"/>
      <w:sz w:val="21"/>
      <w:szCs w:val="21"/>
      <w:u w:val="none"/>
    </w:rPr>
  </w:style>
  <w:style w:type="character" w:customStyle="1" w:styleId="135">
    <w:name w:val="all-fit-info1"/>
    <w:qFormat/>
    <w:uiPriority w:val="0"/>
    <w:rPr>
      <w:color w:val="939393"/>
    </w:rPr>
  </w:style>
  <w:style w:type="paragraph" w:customStyle="1" w:styleId="136">
    <w:name w:val="[Normal]"/>
    <w:qFormat/>
    <w:uiPriority w:val="0"/>
    <w:rPr>
      <w:rFonts w:ascii="宋体" w:hAnsi="宋体" w:eastAsia="宋体" w:cs="Arial"/>
      <w:sz w:val="24"/>
      <w:szCs w:val="22"/>
      <w:lang w:val="zh-CN" w:eastAsia="zh-CN" w:bidi="ar-SA"/>
    </w:rPr>
  </w:style>
  <w:style w:type="paragraph" w:customStyle="1" w:styleId="137">
    <w:name w:val="font5"/>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38">
    <w:name w:val="样式5"/>
    <w:basedOn w:val="6"/>
    <w:qFormat/>
    <w:uiPriority w:val="0"/>
    <w:pPr>
      <w:keepLines/>
      <w:widowControl w:val="0"/>
      <w:spacing w:line="376" w:lineRule="auto"/>
    </w:pPr>
    <w:rPr>
      <w:rFonts w:ascii="Century Gothic" w:hAnsi="Century Gothic" w:eastAsia="Century Gothic"/>
      <w:b/>
      <w:bCs/>
      <w:snapToGrid/>
      <w:kern w:val="2"/>
      <w:sz w:val="32"/>
      <w:szCs w:val="32"/>
    </w:rPr>
  </w:style>
  <w:style w:type="paragraph" w:customStyle="1" w:styleId="139">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40">
    <w:name w:val="标书标题4"/>
    <w:basedOn w:val="6"/>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141">
    <w:name w:val="xl3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2">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143">
    <w:name w:val="xl36"/>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4">
    <w:name w:val="xl2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font6"/>
    <w:basedOn w:val="1"/>
    <w:qFormat/>
    <w:uiPriority w:val="0"/>
    <w:pPr>
      <w:widowControl/>
      <w:spacing w:beforeAutospacing="1" w:afterAutospacing="1"/>
      <w:jc w:val="left"/>
    </w:pPr>
    <w:rPr>
      <w:kern w:val="0"/>
      <w:sz w:val="18"/>
      <w:szCs w:val="18"/>
    </w:rPr>
  </w:style>
  <w:style w:type="paragraph" w:customStyle="1" w:styleId="14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48">
    <w:name w:val="列出段落1"/>
    <w:basedOn w:val="1"/>
    <w:qFormat/>
    <w:uiPriority w:val="0"/>
    <w:pPr>
      <w:ind w:firstLine="420" w:firstLineChars="200"/>
    </w:pPr>
    <w:rPr>
      <w:rFonts w:ascii="等线" w:hAnsi="等线"/>
      <w:szCs w:val="21"/>
    </w:rPr>
  </w:style>
  <w:style w:type="paragraph" w:customStyle="1" w:styleId="149">
    <w:name w:val="xl27"/>
    <w:basedOn w:val="1"/>
    <w:qFormat/>
    <w:uiPriority w:val="0"/>
    <w:pPr>
      <w:widowControl/>
      <w:pBdr>
        <w:bottom w:val="single" w:color="auto" w:sz="4" w:space="0"/>
      </w:pBdr>
      <w:spacing w:beforeAutospacing="1" w:afterAutospacing="1"/>
      <w:jc w:val="center"/>
      <w:textAlignment w:val="center"/>
    </w:pPr>
    <w:rPr>
      <w:rFonts w:ascii="Arial Narrow" w:hAnsi="Century Gothic" w:eastAsia="Arial Narrow" w:cs="Century Gothic"/>
      <w:kern w:val="0"/>
      <w:sz w:val="36"/>
      <w:szCs w:val="36"/>
    </w:rPr>
  </w:style>
  <w:style w:type="paragraph" w:customStyle="1" w:styleId="150">
    <w:name w:val="BodyText1I"/>
    <w:basedOn w:val="151"/>
    <w:qFormat/>
    <w:uiPriority w:val="0"/>
    <w:pPr>
      <w:spacing w:after="120"/>
      <w:ind w:firstLine="420" w:firstLineChars="100"/>
    </w:pPr>
  </w:style>
  <w:style w:type="paragraph" w:customStyle="1" w:styleId="151">
    <w:name w:val="BodyText"/>
    <w:basedOn w:val="1"/>
    <w:next w:val="150"/>
    <w:qFormat/>
    <w:uiPriority w:val="0"/>
    <w:rPr>
      <w:sz w:val="20"/>
    </w:rPr>
  </w:style>
  <w:style w:type="paragraph" w:customStyle="1" w:styleId="152">
    <w:name w:val="索引 11"/>
    <w:basedOn w:val="1"/>
    <w:next w:val="1"/>
    <w:qFormat/>
    <w:uiPriority w:val="99"/>
    <w:pPr>
      <w:spacing w:line="360" w:lineRule="auto"/>
    </w:pPr>
    <w:rPr>
      <w:rFonts w:ascii="仿宋_GB2312" w:eastAsia="仿宋_GB2312"/>
      <w:sz w:val="24"/>
      <w:szCs w:val="20"/>
    </w:rPr>
  </w:style>
  <w:style w:type="paragraph" w:customStyle="1" w:styleId="153">
    <w:name w:val="Char Char Char Char Char"/>
    <w:basedOn w:val="1"/>
    <w:qFormat/>
    <w:uiPriority w:val="0"/>
    <w:pPr>
      <w:widowControl/>
      <w:spacing w:line="240" w:lineRule="exact"/>
      <w:jc w:val="left"/>
    </w:pPr>
    <w:rPr>
      <w:rFonts w:ascii="Verdana" w:hAnsi="Verdana" w:eastAsia="华文细黑"/>
    </w:rPr>
  </w:style>
  <w:style w:type="paragraph" w:customStyle="1" w:styleId="154">
    <w:name w:val="无间距1"/>
    <w:qFormat/>
    <w:uiPriority w:val="0"/>
    <w:rPr>
      <w:rFonts w:ascii="Times New Roman" w:hAnsi="Times New Roman" w:eastAsia="??" w:cs="宋体"/>
      <w:sz w:val="22"/>
      <w:szCs w:val="22"/>
      <w:lang w:val="en-US" w:eastAsia="en-US" w:bidi="ar-SA"/>
    </w:rPr>
  </w:style>
  <w:style w:type="paragraph" w:customStyle="1" w:styleId="155">
    <w:name w:val="x正文"/>
    <w:basedOn w:val="1"/>
    <w:qFormat/>
    <w:uiPriority w:val="0"/>
    <w:pPr>
      <w:spacing w:line="360" w:lineRule="auto"/>
      <w:ind w:left="482" w:firstLine="480" w:firstLineChars="200"/>
    </w:pPr>
    <w:rPr>
      <w:rFonts w:ascii="宋体" w:hAnsi="宋体"/>
      <w:color w:val="000000"/>
      <w:sz w:val="24"/>
      <w:szCs w:val="22"/>
    </w:rPr>
  </w:style>
  <w:style w:type="paragraph" w:customStyle="1" w:styleId="156">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5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58">
    <w:name w:val="方案三级标题"/>
    <w:basedOn w:val="4"/>
    <w:qFormat/>
    <w:uiPriority w:val="0"/>
    <w:pPr>
      <w:spacing w:before="120" w:after="120" w:line="300" w:lineRule="auto"/>
    </w:pPr>
    <w:rPr>
      <w:rFonts w:ascii="宋体" w:hAnsi="宋体" w:eastAsia="宋体"/>
      <w:sz w:val="30"/>
    </w:rPr>
  </w:style>
  <w:style w:type="paragraph" w:customStyle="1" w:styleId="159">
    <w:name w:val="标书标题2"/>
    <w:basedOn w:val="4"/>
    <w:qFormat/>
    <w:uiPriority w:val="0"/>
    <w:pPr>
      <w:keepLines w:val="0"/>
      <w:widowControl/>
      <w:tabs>
        <w:tab w:val="left" w:pos="1320"/>
      </w:tabs>
      <w:snapToGrid w:val="0"/>
      <w:spacing w:beforeLines="50" w:line="300" w:lineRule="auto"/>
      <w:ind w:left="1320" w:hanging="420"/>
      <w:jc w:val="both"/>
    </w:pPr>
    <w:rPr>
      <w:rFonts w:ascii="_x000B__x000C_" w:hAnsi="_x000B__x000C_" w:eastAsia="Courier New"/>
      <w:color w:val="000000"/>
      <w:kern w:val="0"/>
      <w:sz w:val="28"/>
      <w:szCs w:val="20"/>
    </w:rPr>
  </w:style>
  <w:style w:type="paragraph" w:customStyle="1" w:styleId="160">
    <w:name w:val="xl22"/>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hint="eastAsia" w:ascii="Arial Unicode MS" w:hAnsi="Arial Unicode MS" w:eastAsia="Arial Unicode MS"/>
      <w:kern w:val="0"/>
      <w:sz w:val="24"/>
      <w:szCs w:val="20"/>
    </w:rPr>
  </w:style>
  <w:style w:type="paragraph" w:customStyle="1" w:styleId="161">
    <w:name w:val="正文（缩进）"/>
    <w:basedOn w:val="1"/>
    <w:qFormat/>
    <w:uiPriority w:val="0"/>
    <w:pPr>
      <w:spacing w:before="156" w:after="156"/>
      <w:ind w:firstLine="480"/>
    </w:pPr>
    <w:rPr>
      <w:rFonts w:ascii="Times New Roman" w:hAnsi="Times New Roman"/>
    </w:rPr>
  </w:style>
  <w:style w:type="paragraph" w:customStyle="1" w:styleId="162">
    <w:name w:val="Body Text Indent1"/>
    <w:basedOn w:val="1"/>
    <w:qFormat/>
    <w:uiPriority w:val="0"/>
    <w:pPr>
      <w:spacing w:line="200" w:lineRule="exact"/>
      <w:ind w:firstLine="301"/>
    </w:pPr>
    <w:rPr>
      <w:rFonts w:ascii="宋体" w:hAnsi="Courier New"/>
      <w:spacing w:val="-4"/>
      <w:sz w:val="18"/>
    </w:rPr>
  </w:style>
  <w:style w:type="paragraph" w:customStyle="1" w:styleId="163">
    <w:name w:val="title11"/>
    <w:basedOn w:val="1"/>
    <w:qFormat/>
    <w:uiPriority w:val="0"/>
    <w:pPr>
      <w:spacing w:before="150"/>
      <w:jc w:val="left"/>
    </w:pPr>
    <w:rPr>
      <w:b/>
      <w:kern w:val="0"/>
    </w:rPr>
  </w:style>
  <w:style w:type="paragraph" w:customStyle="1" w:styleId="164">
    <w:name w:val="Char Char Char Char"/>
    <w:basedOn w:val="1"/>
    <w:qFormat/>
    <w:uiPriority w:val="0"/>
    <w:rPr>
      <w:szCs w:val="20"/>
    </w:rPr>
  </w:style>
  <w:style w:type="paragraph" w:customStyle="1" w:styleId="165">
    <w:name w:val="_Style 158"/>
    <w:unhideWhenUsed/>
    <w:qFormat/>
    <w:uiPriority w:val="99"/>
    <w:rPr>
      <w:rFonts w:ascii="Times New Roman" w:hAnsi="Times New Roman" w:eastAsia="宋体" w:cs="Times New Roman"/>
      <w:kern w:val="2"/>
      <w:sz w:val="21"/>
      <w:szCs w:val="24"/>
      <w:lang w:val="en-US" w:eastAsia="zh-CN" w:bidi="ar-SA"/>
    </w:rPr>
  </w:style>
  <w:style w:type="paragraph" w:customStyle="1" w:styleId="166">
    <w:name w:val="纯文本1"/>
    <w:basedOn w:val="1"/>
    <w:qFormat/>
    <w:uiPriority w:val="0"/>
    <w:rPr>
      <w:rFonts w:ascii="宋体" w:hAnsi="Courier New"/>
      <w:kern w:val="0"/>
      <w:sz w:val="20"/>
      <w:szCs w:val="20"/>
    </w:rPr>
  </w:style>
  <w:style w:type="paragraph" w:customStyle="1" w:styleId="167">
    <w:name w:val="xl38"/>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68">
    <w:name w:val="Table Paragraph"/>
    <w:basedOn w:val="1"/>
    <w:qFormat/>
    <w:uiPriority w:val="1"/>
    <w:pPr>
      <w:autoSpaceDE w:val="0"/>
      <w:autoSpaceDN w:val="0"/>
      <w:adjustRightInd w:val="0"/>
      <w:jc w:val="left"/>
    </w:pPr>
    <w:rPr>
      <w:rFonts w:ascii="宋体" w:hAnsi="Times New Roman" w:cs="宋体"/>
      <w:kern w:val="0"/>
      <w:sz w:val="24"/>
    </w:rPr>
  </w:style>
  <w:style w:type="paragraph" w:customStyle="1" w:styleId="169">
    <w:name w:val="标书标题3"/>
    <w:basedOn w:val="5"/>
    <w:qFormat/>
    <w:uiPriority w:val="0"/>
    <w:pPr>
      <w:keepLines w:val="0"/>
      <w:widowControl/>
      <w:adjustRightInd w:val="0"/>
      <w:snapToGrid w:val="0"/>
      <w:spacing w:line="300" w:lineRule="auto"/>
      <w:jc w:val="left"/>
    </w:pPr>
    <w:rPr>
      <w:rFonts w:ascii="_x000B__x000C_" w:hAnsi="_x000B__x000C_" w:eastAsia="Courier New"/>
      <w:b w:val="0"/>
      <w:bCs w:val="0"/>
      <w:color w:val="000000"/>
      <w:kern w:val="0"/>
      <w:sz w:val="28"/>
    </w:rPr>
  </w:style>
  <w:style w:type="paragraph" w:customStyle="1" w:styleId="170">
    <w:name w:val="xl33"/>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71">
    <w:name w:val="p0"/>
    <w:basedOn w:val="1"/>
    <w:unhideWhenUsed/>
    <w:qFormat/>
    <w:uiPriority w:val="0"/>
    <w:pPr>
      <w:widowControl/>
    </w:pPr>
    <w:rPr>
      <w:rFonts w:hint="eastAsia"/>
    </w:rPr>
  </w:style>
  <w:style w:type="paragraph" w:customStyle="1" w:styleId="172">
    <w:name w:val="正文段"/>
    <w:basedOn w:val="1"/>
    <w:qFormat/>
    <w:uiPriority w:val="0"/>
    <w:pPr>
      <w:widowControl/>
      <w:snapToGrid w:val="0"/>
      <w:spacing w:afterLines="50"/>
      <w:ind w:firstLine="200" w:firstLineChars="200"/>
    </w:pPr>
    <w:rPr>
      <w:kern w:val="0"/>
      <w:sz w:val="24"/>
      <w:szCs w:val="20"/>
    </w:rPr>
  </w:style>
  <w:style w:type="paragraph" w:customStyle="1" w:styleId="173">
    <w:name w:val="节"/>
    <w:basedOn w:val="4"/>
    <w:qFormat/>
    <w:uiPriority w:val="0"/>
    <w:pPr>
      <w:adjustRightInd/>
      <w:spacing w:line="720" w:lineRule="exact"/>
      <w:jc w:val="center"/>
    </w:pPr>
    <w:rPr>
      <w:rFonts w:ascii="Arial" w:hAnsi="Arial"/>
      <w:b w:val="0"/>
      <w:color w:val="000000"/>
      <w:spacing w:val="14"/>
      <w:kern w:val="24"/>
      <w:sz w:val="28"/>
      <w:szCs w:val="20"/>
    </w:rPr>
  </w:style>
  <w:style w:type="paragraph" w:customStyle="1" w:styleId="174">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75">
    <w:name w:val="Char3 Char Char Char"/>
    <w:basedOn w:val="1"/>
    <w:qFormat/>
    <w:uiPriority w:val="0"/>
    <w:pPr>
      <w:widowControl/>
      <w:spacing w:line="240" w:lineRule="exact"/>
      <w:jc w:val="left"/>
    </w:pPr>
    <w:rPr>
      <w:szCs w:val="20"/>
    </w:rPr>
  </w:style>
  <w:style w:type="paragraph" w:customStyle="1" w:styleId="1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rPr>
  </w:style>
  <w:style w:type="paragraph" w:customStyle="1" w:styleId="178">
    <w:name w:val="小节"/>
    <w:basedOn w:val="5"/>
    <w:qFormat/>
    <w:uiPriority w:val="0"/>
    <w:pPr>
      <w:spacing w:line="560" w:lineRule="exact"/>
      <w:jc w:val="left"/>
    </w:pPr>
    <w:rPr>
      <w:rFonts w:ascii="Century Gothic" w:hAnsi="Century Gothic"/>
      <w:bCs w:val="0"/>
      <w:color w:val="000000"/>
      <w:spacing w:val="10"/>
      <w:kern w:val="24"/>
      <w:sz w:val="28"/>
    </w:rPr>
  </w:style>
  <w:style w:type="paragraph" w:customStyle="1" w:styleId="179">
    <w:name w:val="Heading1"/>
    <w:basedOn w:val="1"/>
    <w:next w:val="1"/>
    <w:qFormat/>
    <w:uiPriority w:val="0"/>
    <w:pPr>
      <w:keepNext/>
      <w:widowControl/>
      <w:spacing w:line="360" w:lineRule="auto"/>
      <w:jc w:val="center"/>
      <w:textAlignment w:val="baseline"/>
    </w:pPr>
    <w:rPr>
      <w:rFonts w:ascii="??" w:hAnsi="??" w:eastAsia="??"/>
      <w:b/>
      <w:kern w:val="36"/>
      <w:sz w:val="32"/>
      <w:szCs w:val="28"/>
    </w:rPr>
  </w:style>
  <w:style w:type="paragraph" w:customStyle="1" w:styleId="180">
    <w:name w:val="1正文"/>
    <w:basedOn w:val="1"/>
    <w:qFormat/>
    <w:uiPriority w:val="0"/>
    <w:rPr>
      <w:rFonts w:ascii="仿宋_GB2312" w:hAnsi="仿宋_GB2312"/>
      <w:szCs w:val="28"/>
    </w:rPr>
  </w:style>
  <w:style w:type="paragraph" w:customStyle="1" w:styleId="181">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2">
    <w:name w:val="Char1"/>
    <w:basedOn w:val="1"/>
    <w:qFormat/>
    <w:uiPriority w:val="0"/>
    <w:pPr>
      <w:widowControl/>
      <w:spacing w:line="240" w:lineRule="exact"/>
      <w:jc w:val="left"/>
    </w:pPr>
    <w:rPr>
      <w:szCs w:val="20"/>
    </w:rPr>
  </w:style>
  <w:style w:type="paragraph" w:customStyle="1" w:styleId="183">
    <w:name w:val="Char"/>
    <w:basedOn w:val="1"/>
    <w:qFormat/>
    <w:uiPriority w:val="0"/>
  </w:style>
  <w:style w:type="paragraph" w:customStyle="1" w:styleId="184">
    <w:name w:val="正文文字格式"/>
    <w:basedOn w:val="1"/>
    <w:qFormat/>
    <w:uiPriority w:val="0"/>
    <w:pPr>
      <w:spacing w:line="460" w:lineRule="exact"/>
      <w:ind w:firstLine="505"/>
      <w:jc w:val="left"/>
    </w:pPr>
    <w:rPr>
      <w:rFonts w:ascii="Century Gothic"/>
      <w:kern w:val="24"/>
      <w:sz w:val="24"/>
      <w:szCs w:val="20"/>
    </w:rPr>
  </w:style>
  <w:style w:type="paragraph" w:customStyle="1" w:styleId="185">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86">
    <w:name w:val="纯文本2"/>
    <w:basedOn w:val="23"/>
    <w:qFormat/>
    <w:uiPriority w:val="0"/>
    <w:pPr>
      <w:widowControl/>
      <w:jc w:val="left"/>
    </w:pPr>
    <w:rPr>
      <w:rFonts w:ascii="宋体" w:hAnsi="Courier New"/>
    </w:rPr>
  </w:style>
  <w:style w:type="paragraph" w:customStyle="1" w:styleId="187">
    <w:name w:val="Heading2"/>
    <w:basedOn w:val="179"/>
    <w:next w:val="1"/>
    <w:qFormat/>
    <w:uiPriority w:val="0"/>
    <w:pPr>
      <w:keepLines/>
      <w:tabs>
        <w:tab w:val="left" w:pos="706"/>
        <w:tab w:val="left" w:pos="1110"/>
      </w:tabs>
      <w:ind w:left="106" w:firstLine="454"/>
    </w:pPr>
    <w:rPr>
      <w:rFonts w:ascii="Arial" w:hAnsi="Arial" w:cs="Arial"/>
      <w:bCs/>
      <w:szCs w:val="32"/>
    </w:rPr>
  </w:style>
  <w:style w:type="paragraph" w:customStyle="1" w:styleId="188">
    <w:name w:val="样式 标题 1 + 四号 加粗"/>
    <w:basedOn w:val="3"/>
    <w:qFormat/>
    <w:uiPriority w:val="0"/>
    <w:rPr>
      <w:rFonts w:eastAsia="黑体"/>
    </w:rPr>
  </w:style>
  <w:style w:type="paragraph" w:customStyle="1" w:styleId="189">
    <w:name w:val="xl30"/>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0">
    <w:name w:val="DAS正文"/>
    <w:basedOn w:val="1"/>
    <w:qFormat/>
    <w:uiPriority w:val="0"/>
    <w:pPr>
      <w:spacing w:line="360" w:lineRule="auto"/>
      <w:ind w:right="181" w:firstLine="480" w:firstLineChars="200"/>
    </w:pPr>
    <w:rPr>
      <w:rFonts w:ascii="Verdana" w:hAnsi="Verdana"/>
      <w:sz w:val="24"/>
      <w:szCs w:val="20"/>
    </w:rPr>
  </w:style>
  <w:style w:type="paragraph" w:customStyle="1" w:styleId="1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2">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3">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List Paragraph1"/>
    <w:basedOn w:val="1"/>
    <w:qFormat/>
    <w:uiPriority w:val="0"/>
    <w:pPr>
      <w:ind w:firstLine="420" w:firstLineChars="200"/>
    </w:pPr>
  </w:style>
  <w:style w:type="paragraph" w:customStyle="1" w:styleId="196">
    <w:name w:val="纯文本_0_0"/>
    <w:basedOn w:val="145"/>
    <w:qFormat/>
    <w:uiPriority w:val="0"/>
    <w:rPr>
      <w:rFonts w:ascii="宋体" w:hAnsi="Courier New"/>
      <w:szCs w:val="21"/>
    </w:rPr>
  </w:style>
  <w:style w:type="paragraph" w:customStyle="1" w:styleId="197">
    <w:name w:val="p15"/>
    <w:basedOn w:val="1"/>
    <w:qFormat/>
    <w:uiPriority w:val="0"/>
    <w:pPr>
      <w:widowControl/>
      <w:ind w:firstLine="420"/>
    </w:pPr>
    <w:rPr>
      <w:rFonts w:cs="宋体"/>
      <w:kern w:val="0"/>
      <w:szCs w:val="21"/>
    </w:rPr>
  </w:style>
  <w:style w:type="paragraph" w:customStyle="1" w:styleId="198">
    <w:name w:val="xl35"/>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9">
    <w:name w:val="Blockquote"/>
    <w:basedOn w:val="1"/>
    <w:qFormat/>
    <w:uiPriority w:val="0"/>
    <w:pPr>
      <w:autoSpaceDE w:val="0"/>
      <w:autoSpaceDN w:val="0"/>
      <w:adjustRightInd w:val="0"/>
      <w:ind w:left="360" w:right="360"/>
      <w:jc w:val="left"/>
    </w:pPr>
    <w:rPr>
      <w:kern w:val="0"/>
      <w:sz w:val="24"/>
      <w:szCs w:val="20"/>
    </w:rPr>
  </w:style>
  <w:style w:type="paragraph" w:customStyle="1" w:styleId="200">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201">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02">
    <w:name w:val="【正文】"/>
    <w:basedOn w:val="1"/>
    <w:qFormat/>
    <w:uiPriority w:val="0"/>
    <w:pPr>
      <w:ind w:firstLine="480"/>
    </w:pPr>
    <w:rPr>
      <w:rFonts w:cs="DokChampa"/>
      <w:szCs w:val="22"/>
    </w:rPr>
  </w:style>
  <w:style w:type="paragraph" w:customStyle="1" w:styleId="20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font1"/>
    <w:basedOn w:val="1"/>
    <w:qFormat/>
    <w:uiPriority w:val="0"/>
    <w:pPr>
      <w:widowControl/>
      <w:spacing w:beforeAutospacing="1" w:afterAutospacing="1"/>
      <w:jc w:val="left"/>
    </w:pPr>
    <w:rPr>
      <w:rFonts w:ascii="Century Gothic" w:hAnsi="Century Gothic"/>
      <w:kern w:val="0"/>
      <w:sz w:val="24"/>
      <w:szCs w:val="20"/>
    </w:rPr>
  </w:style>
  <w:style w:type="paragraph" w:customStyle="1" w:styleId="205">
    <w:name w:val="xl32"/>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6">
    <w:name w:val="无间隔1"/>
    <w:qFormat/>
    <w:uiPriority w:val="0"/>
    <w:rPr>
      <w:rFonts w:ascii="Times New Roman" w:hAnsi="Times New Roman" w:eastAsia="宋体" w:cs="Times New Roman"/>
      <w:sz w:val="22"/>
      <w:szCs w:val="22"/>
      <w:lang w:val="en-US" w:eastAsia="en-US" w:bidi="ar-SA"/>
    </w:rPr>
  </w:style>
  <w:style w:type="paragraph" w:customStyle="1" w:styleId="207">
    <w:name w:val="正文不缩进"/>
    <w:basedOn w:val="1"/>
    <w:qFormat/>
    <w:uiPriority w:val="0"/>
    <w:pPr>
      <w:spacing w:before="240" w:after="240" w:line="360" w:lineRule="auto"/>
      <w:jc w:val="left"/>
    </w:pPr>
  </w:style>
  <w:style w:type="paragraph" w:customStyle="1" w:styleId="208">
    <w:name w:val="Body Text First Indent 21"/>
    <w:basedOn w:val="162"/>
    <w:qFormat/>
    <w:uiPriority w:val="0"/>
    <w:pPr>
      <w:spacing w:after="120" w:line="240" w:lineRule="auto"/>
      <w:ind w:left="420" w:leftChars="200" w:firstLine="420" w:firstLineChars="200"/>
    </w:pPr>
    <w:rPr>
      <w:sz w:val="21"/>
    </w:rPr>
  </w:style>
  <w:style w:type="paragraph" w:customStyle="1" w:styleId="209">
    <w:name w:val="样式1"/>
    <w:basedOn w:val="1"/>
    <w:qFormat/>
    <w:uiPriority w:val="0"/>
    <w:pPr>
      <w:spacing w:line="360" w:lineRule="exact"/>
      <w:ind w:firstLine="200" w:firstLineChars="200"/>
    </w:pPr>
    <w:rPr>
      <w:rFonts w:ascii="Arial" w:hAnsi="Arial"/>
    </w:rPr>
  </w:style>
  <w:style w:type="paragraph" w:customStyle="1" w:styleId="210">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Char Char Char Char Char Char Char Char"/>
    <w:basedOn w:val="1"/>
    <w:qFormat/>
    <w:uiPriority w:val="0"/>
    <w:pPr>
      <w:tabs>
        <w:tab w:val="left" w:pos="360"/>
      </w:tabs>
    </w:pPr>
    <w:rPr>
      <w:szCs w:val="20"/>
    </w:rPr>
  </w:style>
  <w:style w:type="paragraph" w:customStyle="1" w:styleId="212">
    <w:name w:val="xl31"/>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13">
    <w:name w:val="Char2"/>
    <w:basedOn w:val="1"/>
    <w:qFormat/>
    <w:uiPriority w:val="0"/>
    <w:rPr>
      <w:rFonts w:ascii="Courier New" w:eastAsia="Courier New"/>
      <w:b/>
      <w:sz w:val="32"/>
      <w:szCs w:val="32"/>
    </w:rPr>
  </w:style>
  <w:style w:type="paragraph" w:customStyle="1" w:styleId="214">
    <w:name w:val="首行缩进"/>
    <w:basedOn w:val="1"/>
    <w:next w:val="18"/>
    <w:qFormat/>
    <w:uiPriority w:val="0"/>
    <w:pPr>
      <w:spacing w:line="360" w:lineRule="auto"/>
      <w:ind w:firstLine="480" w:firstLineChars="200"/>
    </w:pPr>
    <w:rPr>
      <w:rFonts w:ascii="宋体"/>
      <w:sz w:val="24"/>
      <w:szCs w:val="20"/>
    </w:rPr>
  </w:style>
  <w:style w:type="character" w:customStyle="1" w:styleId="215">
    <w:name w:val="font31"/>
    <w:basedOn w:val="50"/>
    <w:qFormat/>
    <w:uiPriority w:val="0"/>
    <w:rPr>
      <w:rFonts w:hint="default" w:ascii="仿宋_GB2312" w:eastAsia="仿宋_GB2312" w:cs="仿宋_GB2312"/>
      <w:color w:val="000000"/>
      <w:sz w:val="22"/>
      <w:szCs w:val="22"/>
      <w:u w:val="none"/>
    </w:rPr>
  </w:style>
  <w:style w:type="character" w:customStyle="1" w:styleId="216">
    <w:name w:val="font131"/>
    <w:basedOn w:val="50"/>
    <w:qFormat/>
    <w:uiPriority w:val="0"/>
    <w:rPr>
      <w:rFonts w:hint="eastAsia" w:ascii="宋体" w:hAnsi="宋体" w:eastAsia="宋体" w:cs="宋体"/>
      <w:color w:val="000000"/>
      <w:sz w:val="22"/>
      <w:szCs w:val="22"/>
      <w:u w:val="none"/>
    </w:rPr>
  </w:style>
  <w:style w:type="character" w:customStyle="1" w:styleId="217">
    <w:name w:val="NormalCharacter"/>
    <w:link w:val="218"/>
    <w:qFormat/>
    <w:uiPriority w:val="0"/>
    <w:rPr>
      <w:rFonts w:ascii="Calibri"/>
      <w:szCs w:val="22"/>
    </w:rPr>
  </w:style>
  <w:style w:type="paragraph" w:customStyle="1" w:styleId="218">
    <w:name w:val="UserStyle_127"/>
    <w:basedOn w:val="1"/>
    <w:link w:val="217"/>
    <w:qFormat/>
    <w:uiPriority w:val="0"/>
    <w:pPr>
      <w:spacing w:after="160" w:line="240" w:lineRule="exact"/>
      <w:jc w:val="left"/>
    </w:pPr>
    <w:rPr>
      <w:rFonts w:ascii="Calibri"/>
      <w:szCs w:val="22"/>
    </w:rPr>
  </w:style>
  <w:style w:type="character" w:customStyle="1" w:styleId="219">
    <w:name w:val="hover29"/>
    <w:basedOn w:val="50"/>
    <w:qFormat/>
    <w:uiPriority w:val="0"/>
    <w:rPr>
      <w:color w:val="315EFB"/>
    </w:rPr>
  </w:style>
  <w:style w:type="character" w:customStyle="1" w:styleId="220">
    <w:name w:val="hover30"/>
    <w:basedOn w:val="50"/>
    <w:qFormat/>
    <w:uiPriority w:val="0"/>
    <w:rPr>
      <w:color w:val="315EFB"/>
      <w:shd w:val="clear" w:fill="F0F3FD"/>
    </w:rPr>
  </w:style>
  <w:style w:type="character" w:customStyle="1" w:styleId="221">
    <w:name w:val="hover31"/>
    <w:basedOn w:val="50"/>
    <w:qFormat/>
    <w:uiPriority w:val="0"/>
  </w:style>
  <w:style w:type="character" w:customStyle="1" w:styleId="222">
    <w:name w:val="hover32"/>
    <w:basedOn w:val="50"/>
    <w:qFormat/>
    <w:uiPriority w:val="0"/>
    <w:rPr>
      <w:color w:val="315EFB"/>
    </w:rPr>
  </w:style>
  <w:style w:type="character" w:customStyle="1" w:styleId="223">
    <w:name w:val="c-icon32"/>
    <w:basedOn w:val="50"/>
    <w:qFormat/>
    <w:uiPriority w:val="0"/>
  </w:style>
  <w:style w:type="character" w:customStyle="1" w:styleId="224">
    <w:name w:val="ec_d20_recomm_link1"/>
    <w:basedOn w:val="50"/>
    <w:qFormat/>
    <w:uiPriority w:val="0"/>
    <w:rPr>
      <w:shd w:val="clear" w:fill="F5F5F6"/>
    </w:rPr>
  </w:style>
  <w:style w:type="paragraph" w:customStyle="1" w:styleId="225">
    <w:name w:val="中等深浅网格 2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88</Pages>
  <Words>44963</Words>
  <Characters>47164</Characters>
  <Lines>370</Lines>
  <Paragraphs>104</Paragraphs>
  <TotalTime>4</TotalTime>
  <ScaleCrop>false</ScaleCrop>
  <LinksUpToDate>false</LinksUpToDate>
  <CharactersWithSpaces>49683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2022-09-30T20:37:00Z</dcterms:created>
  <dc:creator>微软用户</dc:creator>
  <cp:lastModifiedBy>唐稳</cp:lastModifiedBy>
  <cp:lastPrinted>2023-05-06T06:01:00Z</cp:lastPrinted>
  <dcterms:modified xsi:type="dcterms:W3CDTF">2024-08-23T10:45:02Z</dcterms:modified>
  <dc:title>杭州下沙服务外包人才培训基地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579237958FAB4D1A8EE2FEB2606949EE_13</vt:lpwstr>
  </property>
</Properties>
</file>