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97F6E">
      <w:pPr>
        <w:adjustRightInd w:val="0"/>
        <w:snapToGrid w:val="0"/>
        <w:spacing w:line="360" w:lineRule="auto"/>
        <w:rPr>
          <w:rFonts w:ascii="仿宋" w:hAnsi="仿宋" w:eastAsia="仿宋" w:cs="仿宋"/>
          <w:color w:val="auto"/>
          <w:w w:val="80"/>
          <w:sz w:val="52"/>
          <w:szCs w:val="52"/>
          <w:highlight w:val="none"/>
          <w:lang w:bidi="th-TH"/>
        </w:rPr>
      </w:pPr>
    </w:p>
    <w:p w14:paraId="502FD036">
      <w:pPr>
        <w:pStyle w:val="3"/>
        <w:adjustRightInd w:val="0"/>
        <w:snapToGrid w:val="0"/>
        <w:spacing w:line="360" w:lineRule="auto"/>
        <w:ind w:firstLine="0"/>
        <w:rPr>
          <w:rFonts w:ascii="仿宋" w:hAnsi="仿宋" w:eastAsia="仿宋" w:cs="仿宋"/>
          <w:color w:val="auto"/>
          <w:highlight w:val="none"/>
        </w:rPr>
      </w:pPr>
    </w:p>
    <w:p w14:paraId="6A2F5978">
      <w:pPr>
        <w:rPr>
          <w:highlight w:val="none"/>
        </w:rPr>
      </w:pPr>
    </w:p>
    <w:p w14:paraId="1565E65E">
      <w:pPr>
        <w:pStyle w:val="3"/>
        <w:adjustRightInd w:val="0"/>
        <w:snapToGrid w:val="0"/>
        <w:spacing w:line="360" w:lineRule="auto"/>
        <w:ind w:firstLine="0"/>
        <w:rPr>
          <w:rFonts w:ascii="仿宋" w:hAnsi="仿宋" w:eastAsia="仿宋" w:cs="仿宋"/>
          <w:color w:val="auto"/>
          <w:highlight w:val="none"/>
        </w:rPr>
      </w:pPr>
    </w:p>
    <w:p w14:paraId="3FB8ADEB">
      <w:pPr>
        <w:pStyle w:val="63"/>
        <w:widowControl w:val="0"/>
        <w:adjustRightInd w:val="0"/>
        <w:snapToGrid w:val="0"/>
        <w:spacing w:line="360" w:lineRule="auto"/>
        <w:ind w:firstLine="0"/>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eastAsia="zh-CN"/>
        </w:rPr>
        <w:t>白杨街道“小脑+手脚”，“四平台处置”服务采购项目（2024-2025年）</w:t>
      </w:r>
    </w:p>
    <w:p w14:paraId="364486E4">
      <w:pPr>
        <w:adjustRightInd w:val="0"/>
        <w:snapToGrid w:val="0"/>
        <w:spacing w:line="360" w:lineRule="auto"/>
        <w:jc w:val="center"/>
        <w:rPr>
          <w:rFonts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14:paraId="03940C89">
      <w:pPr>
        <w:pStyle w:val="2"/>
        <w:rPr>
          <w:rFonts w:ascii="仿宋" w:hAnsi="仿宋" w:eastAsia="仿宋" w:cs="仿宋"/>
          <w:color w:val="auto"/>
          <w:highlight w:val="none"/>
        </w:rPr>
      </w:pPr>
    </w:p>
    <w:p w14:paraId="0E41A155">
      <w:pPr>
        <w:jc w:val="center"/>
        <w:rPr>
          <w:rFonts w:ascii="仿宋" w:hAnsi="仿宋" w:eastAsia="仿宋" w:cs="仿宋"/>
          <w:b/>
          <w:color w:val="auto"/>
          <w:szCs w:val="84"/>
          <w:highlight w:val="none"/>
        </w:rPr>
      </w:pPr>
    </w:p>
    <w:p w14:paraId="75E8E732">
      <w:pPr>
        <w:jc w:val="center"/>
        <w:rPr>
          <w:rFonts w:ascii="仿宋" w:hAnsi="仿宋" w:eastAsia="仿宋" w:cs="仿宋"/>
          <w:b/>
          <w:color w:val="auto"/>
          <w:szCs w:val="84"/>
          <w:highlight w:val="none"/>
        </w:rPr>
      </w:pPr>
    </w:p>
    <w:p w14:paraId="1CCB2FC4">
      <w:pPr>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采 购 文 件</w:t>
      </w:r>
    </w:p>
    <w:p w14:paraId="26C643AA">
      <w:pPr>
        <w:jc w:val="center"/>
        <w:rPr>
          <w:rFonts w:ascii="仿宋" w:hAnsi="仿宋" w:eastAsia="仿宋" w:cs="仿宋"/>
          <w:b/>
          <w:color w:val="auto"/>
          <w:szCs w:val="84"/>
          <w:highlight w:val="none"/>
        </w:rPr>
      </w:pPr>
    </w:p>
    <w:p w14:paraId="1DE3B249">
      <w:pPr>
        <w:jc w:val="center"/>
        <w:rPr>
          <w:rFonts w:ascii="仿宋" w:hAnsi="仿宋" w:eastAsia="仿宋" w:cs="仿宋"/>
          <w:b/>
          <w:color w:val="auto"/>
          <w:szCs w:val="84"/>
          <w:highlight w:val="none"/>
        </w:rPr>
      </w:pPr>
    </w:p>
    <w:p w14:paraId="2A34A338">
      <w:pPr>
        <w:spacing w:line="360" w:lineRule="auto"/>
        <w:jc w:val="center"/>
        <w:rPr>
          <w:rFonts w:hint="eastAsia" w:ascii="仿宋" w:hAnsi="仿宋" w:eastAsia="仿宋" w:cs="仿宋"/>
          <w:b/>
          <w:color w:val="auto"/>
          <w:w w:val="80"/>
          <w:sz w:val="36"/>
          <w:szCs w:val="36"/>
          <w:highlight w:val="none"/>
          <w:lang w:eastAsia="zh-CN" w:bidi="th-TH"/>
        </w:rPr>
      </w:pPr>
      <w:r>
        <w:rPr>
          <w:rFonts w:hint="eastAsia" w:ascii="仿宋" w:hAnsi="仿宋" w:eastAsia="仿宋" w:cs="仿宋"/>
          <w:b/>
          <w:color w:val="auto"/>
          <w:w w:val="80"/>
          <w:sz w:val="36"/>
          <w:szCs w:val="36"/>
          <w:highlight w:val="none"/>
          <w:lang w:bidi="th-TH"/>
        </w:rPr>
        <w:t>项目编号：</w:t>
      </w:r>
      <w:r>
        <w:rPr>
          <w:rFonts w:hint="eastAsia" w:ascii="仿宋" w:hAnsi="仿宋" w:eastAsia="仿宋" w:cs="仿宋"/>
          <w:b/>
          <w:color w:val="auto"/>
          <w:w w:val="80"/>
          <w:sz w:val="36"/>
          <w:szCs w:val="36"/>
          <w:highlight w:val="none"/>
          <w:lang w:eastAsia="zh-CN" w:bidi="th-TH"/>
        </w:rPr>
        <w:t>QTCG-GK-2024-176</w:t>
      </w:r>
    </w:p>
    <w:p w14:paraId="766B6382">
      <w:pPr>
        <w:pStyle w:val="27"/>
        <w:ind w:left="5250"/>
        <w:rPr>
          <w:rFonts w:ascii="仿宋" w:hAnsi="仿宋" w:eastAsia="仿宋" w:cs="仿宋"/>
          <w:b/>
          <w:color w:val="auto"/>
          <w:szCs w:val="28"/>
          <w:highlight w:val="none"/>
        </w:rPr>
      </w:pPr>
    </w:p>
    <w:p w14:paraId="0F3689E1">
      <w:pPr>
        <w:rPr>
          <w:rFonts w:ascii="仿宋" w:hAnsi="仿宋" w:eastAsia="仿宋" w:cs="仿宋"/>
          <w:b/>
          <w:color w:val="auto"/>
          <w:highlight w:val="none"/>
        </w:rPr>
      </w:pPr>
    </w:p>
    <w:p w14:paraId="27E88279">
      <w:pPr>
        <w:rPr>
          <w:rFonts w:ascii="仿宋" w:hAnsi="仿宋" w:eastAsia="仿宋" w:cs="仿宋"/>
          <w:b/>
          <w:color w:val="auto"/>
          <w:highlight w:val="none"/>
        </w:rPr>
      </w:pPr>
    </w:p>
    <w:p w14:paraId="3600460E">
      <w:pPr>
        <w:rPr>
          <w:rFonts w:ascii="仿宋" w:hAnsi="仿宋" w:eastAsia="仿宋" w:cs="仿宋"/>
          <w:b/>
          <w:color w:val="auto"/>
          <w:highlight w:val="none"/>
        </w:rPr>
      </w:pPr>
    </w:p>
    <w:p w14:paraId="32EACC03">
      <w:pPr>
        <w:rPr>
          <w:rFonts w:ascii="仿宋" w:hAnsi="仿宋" w:eastAsia="仿宋" w:cs="仿宋"/>
          <w:b/>
          <w:color w:val="auto"/>
          <w:highlight w:val="none"/>
        </w:rPr>
      </w:pPr>
    </w:p>
    <w:p w14:paraId="0BFAB26D">
      <w:pPr>
        <w:pStyle w:val="59"/>
        <w:rPr>
          <w:highlight w:val="none"/>
        </w:rPr>
      </w:pPr>
    </w:p>
    <w:p w14:paraId="3FFF488F">
      <w:pPr>
        <w:rPr>
          <w:rFonts w:ascii="仿宋" w:hAnsi="仿宋" w:eastAsia="仿宋" w:cs="仿宋"/>
          <w:b/>
          <w:color w:val="auto"/>
          <w:highlight w:val="none"/>
        </w:rPr>
      </w:pPr>
    </w:p>
    <w:p w14:paraId="3B3E1F9F">
      <w:pPr>
        <w:rPr>
          <w:rFonts w:ascii="仿宋" w:hAnsi="仿宋" w:eastAsia="仿宋" w:cs="仿宋"/>
          <w:b/>
          <w:color w:val="auto"/>
          <w:highlight w:val="none"/>
        </w:rPr>
      </w:pPr>
    </w:p>
    <w:tbl>
      <w:tblPr>
        <w:tblStyle w:val="45"/>
        <w:tblW w:w="6244" w:type="dxa"/>
        <w:jc w:val="center"/>
        <w:tblLayout w:type="fixed"/>
        <w:tblCellMar>
          <w:top w:w="0" w:type="dxa"/>
          <w:left w:w="108" w:type="dxa"/>
          <w:bottom w:w="0" w:type="dxa"/>
          <w:right w:w="108" w:type="dxa"/>
        </w:tblCellMar>
      </w:tblPr>
      <w:tblGrid>
        <w:gridCol w:w="2160"/>
        <w:gridCol w:w="260"/>
        <w:gridCol w:w="3824"/>
      </w:tblGrid>
      <w:tr w14:paraId="3C429B1F">
        <w:tblPrEx>
          <w:tblCellMar>
            <w:top w:w="0" w:type="dxa"/>
            <w:left w:w="108" w:type="dxa"/>
            <w:bottom w:w="0" w:type="dxa"/>
            <w:right w:w="108" w:type="dxa"/>
          </w:tblCellMar>
        </w:tblPrEx>
        <w:trPr>
          <w:trHeight w:val="680" w:hRule="atLeast"/>
          <w:jc w:val="center"/>
        </w:trPr>
        <w:tc>
          <w:tcPr>
            <w:tcW w:w="2160" w:type="dxa"/>
            <w:noWrap/>
            <w:vAlign w:val="center"/>
          </w:tcPr>
          <w:p w14:paraId="19E8B78E">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noWrap/>
            <w:vAlign w:val="center"/>
          </w:tcPr>
          <w:p w14:paraId="3A7F4F02">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14:paraId="0C550849">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杭州市钱塘区人民政府</w:t>
            </w:r>
          </w:p>
          <w:p w14:paraId="3FDB7872">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白杨街道办事处</w:t>
            </w:r>
          </w:p>
        </w:tc>
      </w:tr>
      <w:tr w14:paraId="5D5A32A8">
        <w:tblPrEx>
          <w:tblCellMar>
            <w:top w:w="0" w:type="dxa"/>
            <w:left w:w="108" w:type="dxa"/>
            <w:bottom w:w="0" w:type="dxa"/>
            <w:right w:w="108" w:type="dxa"/>
          </w:tblCellMar>
        </w:tblPrEx>
        <w:trPr>
          <w:trHeight w:val="297" w:hRule="atLeast"/>
          <w:jc w:val="center"/>
        </w:trPr>
        <w:tc>
          <w:tcPr>
            <w:tcW w:w="2160" w:type="dxa"/>
            <w:noWrap/>
            <w:vAlign w:val="center"/>
          </w:tcPr>
          <w:p w14:paraId="3E25EF10">
            <w:pPr>
              <w:snapToGrid w:val="0"/>
              <w:jc w:val="distribute"/>
              <w:rPr>
                <w:rFonts w:ascii="仿宋" w:hAnsi="仿宋" w:eastAsia="仿宋" w:cs="仿宋"/>
                <w:b/>
                <w:color w:val="auto"/>
                <w:sz w:val="22"/>
                <w:szCs w:val="22"/>
                <w:highlight w:val="none"/>
              </w:rPr>
            </w:pPr>
          </w:p>
        </w:tc>
        <w:tc>
          <w:tcPr>
            <w:tcW w:w="260" w:type="dxa"/>
            <w:noWrap/>
            <w:vAlign w:val="center"/>
          </w:tcPr>
          <w:p w14:paraId="0ADFB194">
            <w:pPr>
              <w:snapToGrid w:val="0"/>
              <w:jc w:val="distribute"/>
              <w:rPr>
                <w:rFonts w:ascii="仿宋" w:hAnsi="仿宋" w:eastAsia="仿宋" w:cs="仿宋"/>
                <w:b/>
                <w:color w:val="auto"/>
                <w:sz w:val="22"/>
                <w:szCs w:val="22"/>
                <w:highlight w:val="none"/>
              </w:rPr>
            </w:pPr>
          </w:p>
        </w:tc>
        <w:tc>
          <w:tcPr>
            <w:tcW w:w="3824" w:type="dxa"/>
            <w:noWrap/>
            <w:vAlign w:val="center"/>
          </w:tcPr>
          <w:p w14:paraId="56E76B6A">
            <w:pPr>
              <w:snapToGrid w:val="0"/>
              <w:jc w:val="distribute"/>
              <w:rPr>
                <w:rFonts w:ascii="仿宋" w:hAnsi="仿宋" w:eastAsia="仿宋" w:cs="仿宋"/>
                <w:b/>
                <w:color w:val="auto"/>
                <w:sz w:val="22"/>
                <w:szCs w:val="22"/>
                <w:highlight w:val="none"/>
              </w:rPr>
            </w:pPr>
          </w:p>
        </w:tc>
      </w:tr>
      <w:tr w14:paraId="75CC5958">
        <w:tblPrEx>
          <w:tblCellMar>
            <w:top w:w="0" w:type="dxa"/>
            <w:left w:w="108" w:type="dxa"/>
            <w:bottom w:w="0" w:type="dxa"/>
            <w:right w:w="108" w:type="dxa"/>
          </w:tblCellMar>
        </w:tblPrEx>
        <w:trPr>
          <w:trHeight w:val="680" w:hRule="atLeast"/>
          <w:jc w:val="center"/>
        </w:trPr>
        <w:tc>
          <w:tcPr>
            <w:tcW w:w="2160" w:type="dxa"/>
            <w:noWrap/>
            <w:vAlign w:val="center"/>
          </w:tcPr>
          <w:p w14:paraId="7D6731A7">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noWrap/>
            <w:vAlign w:val="center"/>
          </w:tcPr>
          <w:p w14:paraId="6D2C0906">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14:paraId="79655858">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浙江国际招投标有限公司</w:t>
            </w:r>
          </w:p>
        </w:tc>
      </w:tr>
      <w:tr w14:paraId="167D7228">
        <w:tblPrEx>
          <w:tblCellMar>
            <w:top w:w="0" w:type="dxa"/>
            <w:left w:w="108" w:type="dxa"/>
            <w:bottom w:w="0" w:type="dxa"/>
            <w:right w:w="108" w:type="dxa"/>
          </w:tblCellMar>
        </w:tblPrEx>
        <w:trPr>
          <w:trHeight w:val="462" w:hRule="atLeast"/>
          <w:jc w:val="center"/>
        </w:trPr>
        <w:tc>
          <w:tcPr>
            <w:tcW w:w="2160" w:type="dxa"/>
            <w:noWrap/>
            <w:vAlign w:val="center"/>
          </w:tcPr>
          <w:p w14:paraId="07D268FB">
            <w:pPr>
              <w:snapToGrid w:val="0"/>
              <w:jc w:val="distribute"/>
              <w:rPr>
                <w:rFonts w:ascii="仿宋" w:hAnsi="仿宋" w:eastAsia="仿宋" w:cs="仿宋"/>
                <w:b/>
                <w:color w:val="auto"/>
                <w:sz w:val="30"/>
                <w:szCs w:val="30"/>
                <w:highlight w:val="none"/>
              </w:rPr>
            </w:pPr>
          </w:p>
        </w:tc>
        <w:tc>
          <w:tcPr>
            <w:tcW w:w="260" w:type="dxa"/>
            <w:noWrap/>
            <w:vAlign w:val="center"/>
          </w:tcPr>
          <w:p w14:paraId="6972FBD1">
            <w:pPr>
              <w:snapToGrid w:val="0"/>
              <w:jc w:val="distribute"/>
              <w:rPr>
                <w:rFonts w:ascii="仿宋" w:hAnsi="仿宋" w:eastAsia="仿宋" w:cs="仿宋"/>
                <w:b/>
                <w:color w:val="auto"/>
                <w:sz w:val="30"/>
                <w:szCs w:val="30"/>
                <w:highlight w:val="none"/>
              </w:rPr>
            </w:pPr>
          </w:p>
        </w:tc>
        <w:tc>
          <w:tcPr>
            <w:tcW w:w="3824" w:type="dxa"/>
            <w:noWrap/>
            <w:vAlign w:val="center"/>
          </w:tcPr>
          <w:p w14:paraId="274DBE5A">
            <w:pPr>
              <w:snapToGrid w:val="0"/>
              <w:jc w:val="distribute"/>
              <w:rPr>
                <w:rFonts w:ascii="仿宋" w:hAnsi="仿宋" w:eastAsia="仿宋" w:cs="仿宋"/>
                <w:b/>
                <w:color w:val="auto"/>
                <w:sz w:val="30"/>
                <w:szCs w:val="30"/>
                <w:highlight w:val="none"/>
              </w:rPr>
            </w:pPr>
          </w:p>
        </w:tc>
      </w:tr>
      <w:tr w14:paraId="66B72182">
        <w:tblPrEx>
          <w:tblCellMar>
            <w:top w:w="0" w:type="dxa"/>
            <w:left w:w="108" w:type="dxa"/>
            <w:bottom w:w="0" w:type="dxa"/>
            <w:right w:w="108" w:type="dxa"/>
          </w:tblCellMar>
        </w:tblPrEx>
        <w:trPr>
          <w:trHeight w:val="680" w:hRule="atLeast"/>
          <w:jc w:val="center"/>
        </w:trPr>
        <w:tc>
          <w:tcPr>
            <w:tcW w:w="6244" w:type="dxa"/>
            <w:gridSpan w:val="3"/>
            <w:noWrap/>
            <w:vAlign w:val="bottom"/>
          </w:tcPr>
          <w:p w14:paraId="7D3DB2EC">
            <w:pPr>
              <w:snapToGrid w:val="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08</w:t>
            </w:r>
            <w:r>
              <w:rPr>
                <w:rFonts w:hint="eastAsia" w:ascii="仿宋" w:hAnsi="仿宋" w:eastAsia="仿宋" w:cs="仿宋"/>
                <w:b/>
                <w:color w:val="auto"/>
                <w:sz w:val="30"/>
                <w:szCs w:val="30"/>
                <w:highlight w:val="none"/>
              </w:rPr>
              <w:t>月</w:t>
            </w:r>
          </w:p>
        </w:tc>
      </w:tr>
    </w:tbl>
    <w:p w14:paraId="4FCA5EC0">
      <w:pPr>
        <w:pStyle w:val="25"/>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32"/>
          <w:szCs w:val="32"/>
          <w:highlight w:val="none"/>
        </w:rPr>
        <w:t>目    录</w:t>
      </w:r>
    </w:p>
    <w:p w14:paraId="61AAEFD8">
      <w:pPr>
        <w:pStyle w:val="3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 w:val="24"/>
          <w:szCs w:val="40"/>
          <w:highlight w:val="none"/>
        </w:rPr>
        <w:t>第一部分  采购公告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_Toc13451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p>
    <w:p w14:paraId="66414B1A">
      <w:pPr>
        <w:pStyle w:val="37"/>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ind w:left="0" w:leftChars="0" w:firstLine="264" w:firstLineChars="110"/>
        <w:textAlignment w:val="auto"/>
        <w:rPr>
          <w:rFonts w:hint="eastAsia" w:ascii="仿宋" w:hAnsi="仿宋" w:eastAsia="仿宋" w:cs="仿宋"/>
          <w:sz w:val="24"/>
          <w:szCs w:val="24"/>
          <w:highlight w:val="none"/>
        </w:rPr>
      </w:pPr>
      <w:r>
        <w:rPr>
          <w:rFonts w:hint="eastAsia" w:ascii="仿宋" w:hAnsi="仿宋" w:eastAsia="仿宋" w:cs="仿宋"/>
          <w:color w:val="auto"/>
          <w:sz w:val="24"/>
          <w:szCs w:val="40"/>
          <w:highlight w:val="none"/>
        </w:rPr>
        <w:t>前 附 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p>
    <w:p w14:paraId="1D0C1C98">
      <w:pPr>
        <w:pStyle w:val="3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color w:val="auto"/>
          <w:sz w:val="24"/>
          <w:szCs w:val="40"/>
          <w:highlight w:val="none"/>
        </w:rPr>
        <w:t>第二部分  投标须知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_Toc28292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p>
    <w:p w14:paraId="12574357">
      <w:pPr>
        <w:pStyle w:val="3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color w:val="auto"/>
          <w:sz w:val="24"/>
          <w:szCs w:val="40"/>
          <w:highlight w:val="none"/>
        </w:rPr>
        <w:t>第三部分  采购需求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_Toc11107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27</w:t>
      </w:r>
      <w:r>
        <w:rPr>
          <w:rFonts w:hint="eastAsia" w:ascii="仿宋" w:hAnsi="仿宋" w:eastAsia="仿宋" w:cs="仿宋"/>
          <w:sz w:val="24"/>
          <w:szCs w:val="24"/>
          <w:highlight w:val="none"/>
        </w:rPr>
        <w:fldChar w:fldCharType="end"/>
      </w:r>
    </w:p>
    <w:p w14:paraId="49EDD32E">
      <w:pPr>
        <w:pStyle w:val="3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color w:val="auto"/>
          <w:sz w:val="24"/>
          <w:szCs w:val="40"/>
          <w:highlight w:val="none"/>
        </w:rPr>
        <w:t>第四部分  评标办法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_Toc25398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39</w:t>
      </w:r>
      <w:r>
        <w:rPr>
          <w:rFonts w:hint="eastAsia" w:ascii="仿宋" w:hAnsi="仿宋" w:eastAsia="仿宋" w:cs="仿宋"/>
          <w:sz w:val="24"/>
          <w:szCs w:val="24"/>
          <w:highlight w:val="none"/>
        </w:rPr>
        <w:fldChar w:fldCharType="end"/>
      </w:r>
    </w:p>
    <w:p w14:paraId="4B5DB5C9">
      <w:pPr>
        <w:pStyle w:val="37"/>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ind w:left="0" w:leftChars="0" w:firstLine="264" w:firstLineChars="110"/>
        <w:textAlignment w:val="auto"/>
        <w:rPr>
          <w:rFonts w:hint="eastAsia" w:ascii="仿宋" w:hAnsi="仿宋" w:eastAsia="仿宋" w:cs="仿宋"/>
          <w:sz w:val="24"/>
          <w:szCs w:val="24"/>
          <w:highlight w:val="none"/>
        </w:rPr>
      </w:pPr>
      <w:r>
        <w:rPr>
          <w:rFonts w:hint="eastAsia" w:ascii="仿宋" w:hAnsi="仿宋" w:eastAsia="仿宋" w:cs="仿宋"/>
          <w:color w:val="auto"/>
          <w:sz w:val="24"/>
          <w:szCs w:val="36"/>
          <w:highlight w:val="none"/>
        </w:rPr>
        <w:t>评标办法前附表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_Toc11969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39</w:t>
      </w:r>
      <w:r>
        <w:rPr>
          <w:rFonts w:hint="eastAsia" w:ascii="仿宋" w:hAnsi="仿宋" w:eastAsia="仿宋" w:cs="仿宋"/>
          <w:sz w:val="24"/>
          <w:szCs w:val="24"/>
          <w:highlight w:val="none"/>
        </w:rPr>
        <w:fldChar w:fldCharType="end"/>
      </w:r>
    </w:p>
    <w:p w14:paraId="76BFB9AB">
      <w:pPr>
        <w:pStyle w:val="3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color w:val="auto"/>
          <w:sz w:val="24"/>
          <w:szCs w:val="40"/>
          <w:highlight w:val="none"/>
        </w:rPr>
        <w:t>第五部分  合同条款</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_Toc2880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48</w:t>
      </w:r>
      <w:r>
        <w:rPr>
          <w:rFonts w:hint="eastAsia" w:ascii="仿宋" w:hAnsi="仿宋" w:eastAsia="仿宋" w:cs="仿宋"/>
          <w:sz w:val="24"/>
          <w:szCs w:val="24"/>
          <w:highlight w:val="none"/>
        </w:rPr>
        <w:fldChar w:fldCharType="end"/>
      </w:r>
    </w:p>
    <w:p w14:paraId="57FFF126">
      <w:pPr>
        <w:pStyle w:val="3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highlight w:val="none"/>
        </w:rPr>
      </w:pPr>
      <w:r>
        <w:rPr>
          <w:rFonts w:hint="eastAsia" w:ascii="仿宋" w:hAnsi="仿宋" w:eastAsia="仿宋" w:cs="仿宋"/>
          <w:color w:val="auto"/>
          <w:sz w:val="24"/>
          <w:szCs w:val="40"/>
          <w:highlight w:val="none"/>
        </w:rPr>
        <w:t>第六部分  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_Toc21370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57</w:t>
      </w:r>
      <w:r>
        <w:rPr>
          <w:rFonts w:hint="eastAsia" w:ascii="仿宋" w:hAnsi="仿宋" w:eastAsia="仿宋" w:cs="仿宋"/>
          <w:sz w:val="24"/>
          <w:szCs w:val="24"/>
          <w:highlight w:val="none"/>
        </w:rPr>
        <w:fldChar w:fldCharType="end"/>
      </w:r>
    </w:p>
    <w:p w14:paraId="2C48E450">
      <w:pPr>
        <w:pStyle w:val="37"/>
        <w:tabs>
          <w:tab w:val="right" w:leader="dot" w:pos="8306"/>
          <w:tab w:val="clear" w:pos="8720"/>
        </w:tabs>
        <w:rPr>
          <w:highlight w:val="none"/>
        </w:rPr>
      </w:pPr>
    </w:p>
    <w:p w14:paraId="6854124D">
      <w:pPr>
        <w:pStyle w:val="32"/>
        <w:tabs>
          <w:tab w:val="right" w:leader="dot" w:pos="8306"/>
          <w:tab w:val="clear" w:pos="8720"/>
        </w:tabs>
        <w:rPr>
          <w:highlight w:val="none"/>
        </w:rPr>
      </w:pPr>
    </w:p>
    <w:p w14:paraId="00715337">
      <w:pPr>
        <w:jc w:val="center"/>
        <w:rPr>
          <w:rFonts w:ascii="仿宋" w:hAnsi="仿宋" w:eastAsia="仿宋" w:cs="仿宋"/>
          <w:color w:val="auto"/>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color w:val="auto"/>
          <w:szCs w:val="21"/>
          <w:highlight w:val="none"/>
        </w:rPr>
        <w:fldChar w:fldCharType="end"/>
      </w:r>
    </w:p>
    <w:p w14:paraId="6934B3EA">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0" w:name="_Toc13451"/>
      <w:bookmarkStart w:id="1" w:name="_Toc21665"/>
      <w:r>
        <w:rPr>
          <w:rFonts w:hint="eastAsia" w:ascii="仿宋" w:hAnsi="仿宋" w:eastAsia="仿宋" w:cs="仿宋"/>
          <w:b/>
          <w:color w:val="auto"/>
          <w:sz w:val="30"/>
          <w:szCs w:val="30"/>
          <w:highlight w:val="none"/>
        </w:rPr>
        <w:t>第一部分  采购公告</w:t>
      </w:r>
      <w:bookmarkEnd w:id="0"/>
      <w:bookmarkEnd w:id="1"/>
    </w:p>
    <w:p w14:paraId="23473CFF">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14:paraId="38AB08CC">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白杨街道“小脑+手脚”，“四平台处置”服务采购项目（2024-2025年）</w:t>
      </w:r>
      <w:r>
        <w:rPr>
          <w:rFonts w:hint="eastAsia" w:ascii="仿宋" w:hAnsi="仿宋" w:eastAsia="仿宋" w:cs="仿宋"/>
          <w:color w:val="auto"/>
          <w:kern w:val="0"/>
          <w:sz w:val="24"/>
          <w:highlight w:val="none"/>
        </w:rPr>
        <w:t xml:space="preserve">招标项目的潜在投标人应在政采云平台线上获取（下载）招标文件，并于 </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lang w:val="en-US" w:eastAsia="zh-CN"/>
        </w:rPr>
        <w:t>09月11日</w:t>
      </w:r>
      <w:r>
        <w:rPr>
          <w:rFonts w:hint="eastAsia" w:ascii="仿宋" w:hAnsi="仿宋" w:eastAsia="仿宋" w:cs="仿宋"/>
          <w:color w:val="auto"/>
          <w:kern w:val="0"/>
          <w:sz w:val="24"/>
          <w:highlight w:val="none"/>
        </w:rPr>
        <w:t xml:space="preserve"> 09:30（北京时间）前递交（上传）投标文件。      </w:t>
      </w:r>
    </w:p>
    <w:p w14:paraId="0F5D4A72">
      <w:pPr>
        <w:pStyle w:val="41"/>
        <w:adjustRightInd w:val="0"/>
        <w:snapToGrid w:val="0"/>
        <w:spacing w:beforeAutospacing="0" w:afterAutospacing="0" w:line="360" w:lineRule="auto"/>
        <w:jc w:val="both"/>
        <w:rPr>
          <w:rFonts w:ascii="仿宋" w:hAnsi="仿宋" w:eastAsia="仿宋" w:cs="仿宋"/>
          <w:color w:val="auto"/>
          <w:sz w:val="24"/>
          <w:szCs w:val="24"/>
          <w:highlight w:val="none"/>
        </w:rPr>
      </w:pPr>
    </w:p>
    <w:p w14:paraId="59D63231">
      <w:pPr>
        <w:pStyle w:val="41"/>
        <w:adjustRightInd w:val="0"/>
        <w:snapToGrid w:val="0"/>
        <w:spacing w:beforeAutospacing="0" w:afterAutospacing="0" w:line="360" w:lineRule="auto"/>
        <w:jc w:val="both"/>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14:paraId="6C55A22E">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QTCG-GK-2024-176</w:t>
      </w:r>
    </w:p>
    <w:p w14:paraId="3547E30C">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白杨街道“小脑+手脚”，“四平台处置”服务采购项目（2024-2025年）</w:t>
      </w:r>
    </w:p>
    <w:p w14:paraId="45330AC1">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4068000</w:t>
      </w:r>
    </w:p>
    <w:p w14:paraId="6D51B46C">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w:t>
      </w:r>
    </w:p>
    <w:p w14:paraId="2FA31954">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p>
    <w:p w14:paraId="0F6E8FEB">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14:paraId="584743C3">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白杨街道“小脑+手脚”，“四平台处置”服务采购项目（2024-2025年）</w:t>
      </w:r>
    </w:p>
    <w:p w14:paraId="2A8A1908">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中小企业政策： 中小企业预留</w:t>
      </w:r>
    </w:p>
    <w:p w14:paraId="492F244F">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14:paraId="3471B60D">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4068000</w:t>
      </w:r>
    </w:p>
    <w:p w14:paraId="4623F6C7">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为持续加强白杨街道基层治理体系和治理能力现代化建设，加快推进"四平台"建设，进一步提升基层治理，服务群众的能力和水平，营造矛盾纠纷联调、治安问题联治、社会问题联抓、平安建设联创、为民实事联办的良好局面。拟"将小脑＋手脚"、"四平台处置"部分事项以公开招标方式进行服务采购</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供应商可点击本公告下方“浏览采购文件”查看采购需求。</w:t>
      </w:r>
    </w:p>
    <w:p w14:paraId="2EBD30F7">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B5ED552">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p>
    <w:p w14:paraId="63732938">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合同履约期限：标项 1，</w:t>
      </w:r>
      <w:r>
        <w:rPr>
          <w:rFonts w:hint="eastAsia" w:ascii="仿宋" w:hAnsi="仿宋" w:eastAsia="仿宋" w:cs="仿宋"/>
          <w:color w:val="auto"/>
          <w:sz w:val="24"/>
          <w:szCs w:val="24"/>
          <w:highlight w:val="none"/>
          <w:lang w:val="en-US" w:eastAsia="zh-CN"/>
        </w:rPr>
        <w:t>整体服务期为1年，具体以合同时间为准。</w:t>
      </w:r>
    </w:p>
    <w:p w14:paraId="5A7C5C6E">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本项目（是）接受联合体投标。</w:t>
      </w:r>
    </w:p>
    <w:p w14:paraId="74B0E3A5">
      <w:pPr>
        <w:pStyle w:val="41"/>
        <w:adjustRightInd w:val="0"/>
        <w:snapToGrid w:val="0"/>
        <w:spacing w:beforeAutospacing="0" w:afterAutospacing="0" w:line="360" w:lineRule="auto"/>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1C4877BA">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1BBFE94">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标项1：</w:t>
      </w:r>
      <w:r>
        <w:rPr>
          <w:rFonts w:hint="eastAsia" w:ascii="仿宋_GB2312" w:hAnsi="仿宋" w:eastAsia="仿宋_GB2312"/>
          <w:color w:val="auto"/>
          <w:sz w:val="24"/>
          <w:highlight w:val="none"/>
        </w:rPr>
        <w:t>服务全部由符合政策要求的中小企业承接，提供中小企业声明函</w:t>
      </w:r>
      <w:r>
        <w:rPr>
          <w:rFonts w:hint="eastAsia" w:ascii="仿宋" w:hAnsi="仿宋" w:eastAsia="仿宋" w:cs="仿宋"/>
          <w:snapToGrid w:val="0"/>
          <w:color w:val="auto"/>
          <w:kern w:val="28"/>
          <w:sz w:val="24"/>
          <w:szCs w:val="20"/>
          <w:highlight w:val="none"/>
        </w:rPr>
        <w:t>。</w:t>
      </w:r>
    </w:p>
    <w:p w14:paraId="63E6D69A">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w:t>
      </w:r>
      <w:r>
        <w:rPr>
          <w:rFonts w:hint="eastAsia" w:ascii="仿宋" w:hAnsi="仿宋" w:eastAsia="仿宋" w:cs="仿宋"/>
          <w:snapToGrid w:val="0"/>
          <w:color w:val="auto"/>
          <w:kern w:val="28"/>
          <w:sz w:val="24"/>
          <w:szCs w:val="20"/>
          <w:highlight w:val="none"/>
          <w:lang w:val="en-US" w:eastAsia="zh-CN"/>
        </w:rPr>
        <w:t>标项</w:t>
      </w:r>
      <w:bookmarkStart w:id="168" w:name="_GoBack"/>
      <w:bookmarkEnd w:id="168"/>
      <w:r>
        <w:rPr>
          <w:rFonts w:hint="eastAsia" w:ascii="仿宋" w:hAnsi="仿宋" w:eastAsia="仿宋" w:cs="仿宋"/>
          <w:snapToGrid w:val="0"/>
          <w:color w:val="auto"/>
          <w:kern w:val="28"/>
          <w:sz w:val="24"/>
          <w:szCs w:val="20"/>
          <w:highlight w:val="none"/>
          <w:lang w:val="en-US" w:eastAsia="zh-CN"/>
        </w:rPr>
        <w:t>1：</w:t>
      </w:r>
      <w:r>
        <w:rPr>
          <w:rFonts w:hint="eastAsia" w:ascii="仿宋" w:hAnsi="仿宋" w:eastAsia="仿宋" w:cs="仿宋"/>
          <w:snapToGrid w:val="0"/>
          <w:color w:val="auto"/>
          <w:kern w:val="28"/>
          <w:sz w:val="24"/>
          <w:szCs w:val="20"/>
          <w:highlight w:val="none"/>
        </w:rPr>
        <w:t>具有相关行政主管部门颁发的有效的保安服务许可证</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kern w:val="28"/>
          <w:sz w:val="24"/>
          <w:szCs w:val="20"/>
          <w:highlight w:val="none"/>
          <w:lang w:val="en-US" w:eastAsia="zh-CN"/>
        </w:rPr>
        <w:t>法规依据为《保安服务管理条例》</w:t>
      </w:r>
      <w:r>
        <w:rPr>
          <w:rFonts w:hint="eastAsia" w:ascii="仿宋" w:hAnsi="仿宋" w:eastAsia="仿宋" w:cs="仿宋"/>
          <w:snapToGrid w:val="0"/>
          <w:color w:val="auto"/>
          <w:kern w:val="28"/>
          <w:sz w:val="24"/>
          <w:szCs w:val="20"/>
          <w:highlight w:val="none"/>
        </w:rPr>
        <w:t>。</w:t>
      </w:r>
    </w:p>
    <w:p w14:paraId="66BFD967">
      <w:pPr>
        <w:pStyle w:val="41"/>
        <w:adjustRightInd w:val="0"/>
        <w:snapToGrid w:val="0"/>
        <w:spacing w:beforeAutospacing="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p>
    <w:p w14:paraId="24229DA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09月11日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8EAF0B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政采云平台线上获取</w:t>
      </w:r>
      <w:r>
        <w:rPr>
          <w:rFonts w:hint="eastAsia" w:ascii="仿宋" w:hAnsi="仿宋" w:eastAsia="仿宋" w:cs="仿宋"/>
          <w:color w:val="auto"/>
          <w:sz w:val="24"/>
          <w:highlight w:val="none"/>
        </w:rPr>
        <w:t xml:space="preserve"> </w:t>
      </w:r>
    </w:p>
    <w:p w14:paraId="5F7E671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9F4247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39635D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D2C961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09月11日</w:t>
      </w:r>
      <w:r>
        <w:rPr>
          <w:rFonts w:hint="eastAsia" w:ascii="仿宋" w:hAnsi="仿宋" w:eastAsia="仿宋" w:cs="仿宋"/>
          <w:color w:val="auto"/>
          <w:sz w:val="24"/>
          <w:highlight w:val="none"/>
          <w:u w:val="single"/>
        </w:rPr>
        <w:t>09:30</w:t>
      </w:r>
      <w:r>
        <w:rPr>
          <w:rFonts w:hint="eastAsia" w:ascii="仿宋" w:hAnsi="仿宋" w:eastAsia="仿宋" w:cs="仿宋"/>
          <w:color w:val="auto"/>
          <w:sz w:val="24"/>
          <w:highlight w:val="none"/>
        </w:rPr>
        <w:t>（北京时间）</w:t>
      </w:r>
    </w:p>
    <w:p w14:paraId="5E1A933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投标地点（网址）：请登录政采云投标客户端投标</w:t>
      </w:r>
      <w:r>
        <w:rPr>
          <w:rFonts w:hint="eastAsia" w:ascii="仿宋" w:hAnsi="仿宋" w:eastAsia="仿宋" w:cs="仿宋"/>
          <w:color w:val="auto"/>
          <w:sz w:val="24"/>
          <w:highlight w:val="none"/>
        </w:rPr>
        <w:t xml:space="preserve"> </w:t>
      </w:r>
    </w:p>
    <w:p w14:paraId="0B04CFF4">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09月11日</w:t>
      </w:r>
      <w:r>
        <w:rPr>
          <w:rFonts w:hint="eastAsia" w:ascii="仿宋" w:hAnsi="仿宋" w:eastAsia="仿宋" w:cs="仿宋"/>
          <w:color w:val="auto"/>
          <w:sz w:val="24"/>
          <w:highlight w:val="none"/>
          <w:u w:val="single"/>
        </w:rPr>
        <w:t>09:30</w:t>
      </w:r>
    </w:p>
    <w:p w14:paraId="0A51BAA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A7451CC">
      <w:pPr>
        <w:spacing w:line="360" w:lineRule="auto"/>
        <w:ind w:firstLine="1446" w:firstLineChars="6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（线下）：</w:t>
      </w:r>
      <w:r>
        <w:rPr>
          <w:rFonts w:hint="eastAsia" w:ascii="仿宋" w:hAnsi="仿宋" w:eastAsia="仿宋" w:cs="仿宋"/>
          <w:color w:val="auto"/>
          <w:sz w:val="24"/>
          <w:highlight w:val="none"/>
          <w:lang w:val="en-US" w:eastAsia="zh-CN"/>
        </w:rPr>
        <w:t>杭州市钱塘区金沙大道600号东楼6楼3号开标室</w:t>
      </w:r>
    </w:p>
    <w:p w14:paraId="242A9EA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4B741F35">
      <w:pPr>
        <w:spacing w:line="360" w:lineRule="auto"/>
        <w:ind w:firstLine="400" w:firstLineChars="20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fldChar w:fldCharType="begin"/>
      </w:r>
      <w:r>
        <w:rPr>
          <w:rFonts w:hint="eastAsia" w:ascii="仿宋" w:hAnsi="仿宋" w:eastAsia="仿宋" w:cs="仿宋"/>
          <w:color w:val="auto"/>
          <w:sz w:val="20"/>
          <w:szCs w:val="20"/>
          <w:highlight w:val="none"/>
          <w:lang w:eastAsia="zh-CN"/>
        </w:rPr>
        <w:instrText xml:space="preserve"> HYPERLINK "https://zfcg.czt.zj.gov.cn/luban/detail?parentId=600007&amp;articleId=e4z3q21xXcMX2ZrUiy0hdA==&amp;utm=app-announcement-front.124d4c4f.0.0.be4c3190382311efb16187ebe34e99d6，" </w:instrText>
      </w:r>
      <w:r>
        <w:rPr>
          <w:rFonts w:hint="eastAsia" w:ascii="仿宋" w:hAnsi="仿宋" w:eastAsia="仿宋" w:cs="仿宋"/>
          <w:color w:val="auto"/>
          <w:sz w:val="20"/>
          <w:szCs w:val="20"/>
          <w:highlight w:val="none"/>
          <w:lang w:eastAsia="zh-CN"/>
        </w:rPr>
        <w:fldChar w:fldCharType="separate"/>
      </w:r>
      <w:r>
        <w:rPr>
          <w:rStyle w:val="53"/>
          <w:rFonts w:hint="eastAsia" w:ascii="仿宋" w:hAnsi="仿宋" w:eastAsia="仿宋" w:cs="仿宋"/>
          <w:color w:val="auto"/>
          <w:sz w:val="20"/>
          <w:szCs w:val="20"/>
          <w:highlight w:val="none"/>
          <w:lang w:eastAsia="zh-CN"/>
        </w:rPr>
        <w:t>https://zfcg.czt.zj.gov.cn/luban/detail?parentId=600007&amp;articleId=e4z3q21xXcMX2ZrUiy0hdA==&amp;utm=app-announcement-front.124d4c4f.0.0.be4c3190382311efb16187ebe34e99d6，</w:t>
      </w:r>
      <w:r>
        <w:rPr>
          <w:rFonts w:hint="eastAsia" w:ascii="仿宋" w:hAnsi="仿宋" w:eastAsia="仿宋" w:cs="仿宋"/>
          <w:color w:val="auto"/>
          <w:sz w:val="20"/>
          <w:szCs w:val="20"/>
          <w:highlight w:val="none"/>
          <w:lang w:eastAsia="zh-CN"/>
        </w:rPr>
        <w:fldChar w:fldCharType="end"/>
      </w:r>
    </w:p>
    <w:p w14:paraId="04BE4567">
      <w:pPr>
        <w:spacing w:line="360" w:lineRule="auto"/>
        <w:ind w:firstLine="400" w:firstLineChars="200"/>
        <w:rPr>
          <w:rStyle w:val="53"/>
          <w:rFonts w:hint="eastAsia" w:ascii="仿宋" w:hAnsi="仿宋" w:eastAsia="仿宋" w:cs="仿宋"/>
          <w:color w:val="auto"/>
          <w:sz w:val="20"/>
          <w:szCs w:val="20"/>
          <w:highlight w:val="none"/>
          <w:lang w:eastAsia="zh-CN"/>
        </w:rPr>
      </w:pPr>
      <w:r>
        <w:rPr>
          <w:rStyle w:val="53"/>
          <w:rFonts w:hint="eastAsia" w:ascii="仿宋" w:hAnsi="仿宋" w:eastAsia="仿宋" w:cs="仿宋"/>
          <w:color w:val="auto"/>
          <w:sz w:val="20"/>
          <w:szCs w:val="20"/>
          <w:highlight w:val="none"/>
          <w:lang w:eastAsia="zh-CN"/>
        </w:rPr>
        <w:t>https://zfcg.czt.zj.gov.cn/luban/detail?parentId=600007&amp;articleId=e4z3q21xXcMX2ZrUiy0hdA==&amp;utm=app-announcement-front.124d4c4f.0.0.be4c3190382311efb16187ebe34e99d6</w:t>
      </w:r>
    </w:p>
    <w:p w14:paraId="7725E9F7">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5A0E02D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736472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6DB81345">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40B5D6EA">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5386A8">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4AECF6">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w:t>
      </w:r>
    </w:p>
    <w:p w14:paraId="197682F8">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14:paraId="377844AC">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AD0C396">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4"/>
          <w:highlight w:val="none"/>
        </w:rPr>
        <w:t>钱塘区政府采购支持中小企业信用融资：</w:t>
      </w:r>
    </w:p>
    <w:p w14:paraId="1558869D">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4650C2F2">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A.适用对象：在浙江“政采云”平台注册入库，并取得钱塘区政府采购合同的中小企业供应商。</w:t>
      </w:r>
    </w:p>
    <w:p w14:paraId="023A31DA">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B.相关信息获取方式：具体合作银行及联系方式详见采购文件。</w:t>
      </w:r>
      <w:r>
        <w:rPr>
          <w:rFonts w:hint="eastAsia" w:ascii="仿宋" w:hAnsi="仿宋" w:eastAsia="仿宋" w:cs="仿宋"/>
          <w:color w:val="auto"/>
          <w:sz w:val="24"/>
          <w:szCs w:val="24"/>
          <w:highlight w:val="none"/>
          <w:lang w:val="en-US" w:eastAsia="zh-CN"/>
        </w:rPr>
        <w:t>登陆</w:t>
      </w:r>
      <w:r>
        <w:rPr>
          <w:rFonts w:hint="eastAsia" w:ascii="仿宋" w:hAnsi="仿宋" w:eastAsia="仿宋" w:cs="仿宋"/>
          <w:color w:val="auto"/>
          <w:sz w:val="24"/>
          <w:szCs w:val="24"/>
          <w:highlight w:val="none"/>
        </w:rPr>
        <w:t>杭州钱塘区管理委员会官网（http://qt.hangzhou.gov.cn） “公告公示”专栏，可查看信用融资政策文件及各相关银行服务方案。</w:t>
      </w:r>
    </w:p>
    <w:p w14:paraId="5FA6E223">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301F0660">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FAC460">
      <w:pPr>
        <w:pStyle w:val="41"/>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（5）本项目采购文件公告期限为本公告发布之日起5个工作日。</w:t>
      </w:r>
    </w:p>
    <w:p w14:paraId="39FD280E">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　　　</w:t>
      </w:r>
      <w:r>
        <w:rPr>
          <w:rFonts w:hint="eastAsia" w:ascii="仿宋" w:hAnsi="仿宋" w:eastAsia="仿宋" w:cs="仿宋"/>
          <w:color w:val="auto"/>
          <w:sz w:val="24"/>
          <w:szCs w:val="24"/>
          <w:highlight w:val="none"/>
        </w:rPr>
        <w:t>　　　　　　　　　</w:t>
      </w:r>
    </w:p>
    <w:p w14:paraId="50DCBDFC">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2FD7EFB">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w:t>
      </w:r>
      <w:r>
        <w:rPr>
          <w:rFonts w:hint="eastAsia" w:ascii="仿宋" w:hAnsi="仿宋" w:eastAsia="仿宋" w:cs="仿宋"/>
          <w:color w:val="auto"/>
          <w:sz w:val="24"/>
          <w:szCs w:val="24"/>
          <w:highlight w:val="none"/>
          <w:lang w:eastAsia="zh-CN"/>
        </w:rPr>
        <w:t>杭州市钱塘区人民政府白杨街道办事处</w:t>
      </w:r>
      <w:r>
        <w:rPr>
          <w:rFonts w:hint="eastAsia" w:ascii="仿宋" w:hAnsi="仿宋" w:eastAsia="仿宋" w:cs="仿宋"/>
          <w:color w:val="auto"/>
          <w:sz w:val="24"/>
          <w:szCs w:val="24"/>
          <w:highlight w:val="none"/>
        </w:rPr>
        <w:t>　　　　　　　　　</w:t>
      </w:r>
    </w:p>
    <w:p w14:paraId="5EEA7042">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地址：</w:t>
      </w:r>
      <w:r>
        <w:rPr>
          <w:rFonts w:hint="eastAsia" w:ascii="仿宋" w:hAnsi="仿宋" w:eastAsia="仿宋" w:cs="仿宋"/>
          <w:color w:val="auto"/>
          <w:sz w:val="24"/>
          <w:szCs w:val="24"/>
          <w:highlight w:val="none"/>
          <w:lang w:val="en-US" w:eastAsia="zh-CN"/>
        </w:rPr>
        <w:t>杭州市钱塘区4号大街17-6号</w:t>
      </w:r>
    </w:p>
    <w:p w14:paraId="1D3B731E">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14:paraId="2C779F38">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王利倩 </w:t>
      </w:r>
      <w:r>
        <w:rPr>
          <w:rFonts w:hint="eastAsia" w:ascii="仿宋" w:hAnsi="仿宋" w:eastAsia="仿宋" w:cs="仿宋"/>
          <w:color w:val="auto"/>
          <w:sz w:val="24"/>
          <w:szCs w:val="24"/>
          <w:highlight w:val="none"/>
        </w:rPr>
        <w:t>　　　　　　　</w:t>
      </w:r>
    </w:p>
    <w:p w14:paraId="4E6F3A5D">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w:t>
      </w:r>
      <w:r>
        <w:rPr>
          <w:rFonts w:hint="eastAsia" w:ascii="仿宋" w:hAnsi="仿宋" w:eastAsia="仿宋" w:cs="仿宋"/>
          <w:color w:val="auto"/>
          <w:sz w:val="24"/>
          <w:szCs w:val="24"/>
          <w:highlight w:val="none"/>
          <w:lang w:val="en-US" w:eastAsia="zh-CN"/>
        </w:rPr>
        <w:t>问）：</w:t>
      </w:r>
      <w:r>
        <w:rPr>
          <w:rFonts w:hint="eastAsia" w:ascii="宋体" w:hAnsi="宋体" w:eastAsia="宋体" w:cs="宋体"/>
          <w:color w:val="auto"/>
          <w:sz w:val="24"/>
          <w:szCs w:val="24"/>
          <w:highlight w:val="none"/>
          <w:lang w:val="en-US" w:eastAsia="zh-CN"/>
        </w:rPr>
        <w:t>0571-85123561</w:t>
      </w:r>
      <w:r>
        <w:rPr>
          <w:rFonts w:hint="eastAsia" w:ascii="仿宋" w:hAnsi="仿宋" w:eastAsia="仿宋" w:cs="仿宋"/>
          <w:color w:val="auto"/>
          <w:sz w:val="24"/>
          <w:szCs w:val="24"/>
          <w:highlight w:val="none"/>
          <w:lang w:val="en-US" w:eastAsia="zh-CN"/>
        </w:rPr>
        <w:t xml:space="preserve"> </w:t>
      </w:r>
    </w:p>
    <w:p w14:paraId="3EBD0A23">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质疑联系人：申叶</w:t>
      </w:r>
    </w:p>
    <w:p w14:paraId="788FF4D0">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w:t>
      </w:r>
      <w:r>
        <w:rPr>
          <w:rFonts w:hint="eastAsia" w:ascii="仿宋" w:hAnsi="仿宋" w:eastAsia="仿宋" w:cs="仿宋"/>
          <w:color w:val="auto"/>
          <w:sz w:val="24"/>
          <w:szCs w:val="24"/>
          <w:highlight w:val="none"/>
          <w:lang w:val="en-US" w:eastAsia="zh-CN"/>
        </w:rPr>
        <w:t>： 0571-86878760</w:t>
      </w:r>
      <w:r>
        <w:rPr>
          <w:rFonts w:hint="eastAsia" w:ascii="仿宋" w:hAnsi="仿宋" w:eastAsia="仿宋" w:cs="仿宋"/>
          <w:color w:val="auto"/>
          <w:sz w:val="24"/>
          <w:szCs w:val="24"/>
          <w:highlight w:val="none"/>
        </w:rPr>
        <w:t>（请通过以下路径在线提起质疑：政采云-项目采购-询问质疑投诉-质疑列表）　　　</w:t>
      </w:r>
    </w:p>
    <w:p w14:paraId="30AC69A2">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77D9F29A">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名称：浙江国际招投标有限公司 　　　　　　　　　　　</w:t>
      </w:r>
    </w:p>
    <w:p w14:paraId="7BD60556">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地址：浙江省杭州市西湖区文三路90号东部软件园1号楼3楼 </w:t>
      </w:r>
    </w:p>
    <w:p w14:paraId="5B4A8959">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0571-88473411   　</w:t>
      </w:r>
    </w:p>
    <w:p w14:paraId="34EB2657">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项目联系人（询问）：唐稳 　   　　　　　　　　　　　</w:t>
      </w:r>
    </w:p>
    <w:p w14:paraId="541E1197">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项目联系方式（询问）：0571-81061825 </w:t>
      </w:r>
    </w:p>
    <w:p w14:paraId="38935455">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质疑联系人：赵娟 </w:t>
      </w:r>
    </w:p>
    <w:p w14:paraId="57C10BC9">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质疑联系方式：0571-81061819（请通过以下路径在线提起质疑：政采云-项目采购-询问质疑投诉-质疑列表）　</w:t>
      </w:r>
    </w:p>
    <w:p w14:paraId="2CDE5640">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3.同级政府采购监督管理部门</w:t>
      </w:r>
    </w:p>
    <w:p w14:paraId="68B43F81">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名称：杭州市钱塘区财政局、浙江省政府采购行政裁决服务中心 (杭州)</w:t>
      </w:r>
    </w:p>
    <w:p w14:paraId="5C7A160C">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地址：杭州市上城区四季青街道新业路市民之家GO3办公室 (快递仅限ems或顺丰)             </w:t>
      </w:r>
    </w:p>
    <w:p w14:paraId="3B7A7C26">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p w14:paraId="72791DA9">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联系人：朱女士、王女士      </w:t>
      </w:r>
    </w:p>
    <w:p w14:paraId="6556E178">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监督投诉电话：0571-85252453  （仅限投诉事项）</w:t>
      </w:r>
    </w:p>
    <w:p w14:paraId="13391EA5">
      <w:pPr>
        <w:pStyle w:val="41"/>
        <w:adjustRightInd w:val="0"/>
        <w:snapToGrid w:val="0"/>
        <w:spacing w:beforeAutospacing="0" w:afterAutospacing="0" w:line="360" w:lineRule="auto"/>
        <w:rPr>
          <w:rFonts w:ascii="仿宋" w:hAnsi="仿宋" w:eastAsia="仿宋" w:cs="仿宋"/>
          <w:color w:val="auto"/>
          <w:sz w:val="24"/>
          <w:szCs w:val="24"/>
          <w:highlight w:val="none"/>
        </w:rPr>
      </w:pPr>
    </w:p>
    <w:p w14:paraId="2C5211FF">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47CD7E70">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14:paraId="54930989">
      <w:pPr>
        <w:widowControl/>
        <w:tabs>
          <w:tab w:val="left" w:pos="8647"/>
        </w:tabs>
        <w:adjustRightInd w:val="0"/>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1014"/>
      <w:r>
        <w:rPr>
          <w:rFonts w:hint="eastAsia" w:ascii="仿宋" w:hAnsi="仿宋" w:eastAsia="仿宋" w:cs="仿宋"/>
          <w:b/>
          <w:color w:val="auto"/>
          <w:sz w:val="30"/>
          <w:szCs w:val="30"/>
          <w:highlight w:val="none"/>
        </w:rPr>
        <w:t>前 附 表</w:t>
      </w:r>
      <w:bookmarkEnd w:id="2"/>
    </w:p>
    <w:tbl>
      <w:tblPr>
        <w:tblStyle w:val="4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4DB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14:paraId="6CFAEDA0">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0B8EBFBA">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5B09E35">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5E11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26B0F363">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464887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589CD38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 w:eastAsia="仿宋_GB2312" w:cs="Arial"/>
                <w:b/>
                <w:color w:val="auto"/>
                <w:kern w:val="0"/>
                <w:sz w:val="24"/>
                <w:highlight w:val="none"/>
              </w:rPr>
            </w:pPr>
            <w:r>
              <w:rPr>
                <w:rFonts w:hint="eastAsia" w:ascii="仿宋" w:hAnsi="仿宋" w:eastAsia="仿宋" w:cs="仿宋"/>
                <w:color w:val="auto"/>
                <w:sz w:val="24"/>
                <w:highlight w:val="none"/>
              </w:rPr>
              <w:t>服务类</w:t>
            </w:r>
          </w:p>
        </w:tc>
      </w:tr>
      <w:tr w14:paraId="7E584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rPr>
        <w:tc>
          <w:tcPr>
            <w:tcW w:w="629" w:type="dxa"/>
            <w:vMerge w:val="restart"/>
            <w:tcBorders>
              <w:top w:val="single" w:color="auto" w:sz="4" w:space="0"/>
              <w:left w:val="single" w:color="auto" w:sz="4" w:space="0"/>
              <w:right w:val="single" w:color="auto" w:sz="4" w:space="0"/>
            </w:tcBorders>
            <w:noWrap/>
            <w:vAlign w:val="center"/>
          </w:tcPr>
          <w:p w14:paraId="2CA48DA4">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1843" w:type="dxa"/>
            <w:vMerge w:val="restart"/>
            <w:tcBorders>
              <w:top w:val="single" w:color="000000" w:sz="8" w:space="0"/>
              <w:left w:val="single" w:color="auto" w:sz="4" w:space="0"/>
              <w:right w:val="single" w:color="000000" w:sz="8" w:space="0"/>
            </w:tcBorders>
            <w:noWrap/>
            <w:vAlign w:val="center"/>
          </w:tcPr>
          <w:p w14:paraId="69C92706">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26FBEB4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 w:eastAsia="仿宋_GB2312" w:cs="Arial"/>
                <w:b/>
                <w:color w:val="auto"/>
                <w:kern w:val="0"/>
                <w:sz w:val="24"/>
                <w:highlight w:val="none"/>
              </w:rPr>
            </w:pPr>
            <w:r>
              <w:rPr>
                <w:rFonts w:hint="eastAsia" w:ascii="仿宋" w:hAnsi="仿宋" w:eastAsia="仿宋" w:cs="仿宋"/>
                <w:b/>
                <w:bCs/>
                <w:color w:val="auto"/>
                <w:kern w:val="0"/>
                <w:sz w:val="24"/>
                <w:szCs w:val="24"/>
                <w:highlight w:val="none"/>
              </w:rPr>
              <w:t>标的</w:t>
            </w:r>
            <w:r>
              <w:rPr>
                <w:rFonts w:hint="eastAsia" w:ascii="仿宋" w:hAnsi="仿宋" w:eastAsia="仿宋" w:cs="仿宋"/>
                <w:b/>
                <w:bCs/>
                <w:color w:val="auto"/>
                <w:kern w:val="0"/>
                <w:sz w:val="24"/>
                <w:szCs w:val="24"/>
                <w:highlight w:val="none"/>
                <w:lang w:val="en-US" w:eastAsia="zh-CN"/>
              </w:rPr>
              <w:t>为</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single"/>
                <w:lang w:val="en-US" w:eastAsia="zh-CN"/>
              </w:rPr>
              <w:t xml:space="preserve">白杨街道“小脑+手脚”，“四平台处置”服务采购项目（2024-2025年） </w:t>
            </w:r>
            <w:r>
              <w:rPr>
                <w:rFonts w:hint="eastAsia" w:ascii="仿宋" w:hAnsi="仿宋" w:eastAsia="仿宋" w:cs="仿宋"/>
                <w:b/>
                <w:bCs/>
                <w:color w:val="auto"/>
                <w:kern w:val="0"/>
                <w:sz w:val="24"/>
                <w:szCs w:val="24"/>
                <w:highlight w:val="none"/>
              </w:rPr>
              <w:t>，属于</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 xml:space="preserve">租赁和商务服务业 </w:t>
            </w:r>
          </w:p>
        </w:tc>
      </w:tr>
      <w:tr w14:paraId="49C37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right w:val="single" w:color="auto" w:sz="4" w:space="0"/>
            </w:tcBorders>
            <w:noWrap/>
            <w:vAlign w:val="center"/>
          </w:tcPr>
          <w:p w14:paraId="2359C55F">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right w:val="single" w:color="000000" w:sz="8" w:space="0"/>
            </w:tcBorders>
            <w:noWrap/>
            <w:vAlign w:val="center"/>
          </w:tcPr>
          <w:p w14:paraId="6F204122">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2961487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Times New Roman"/>
                <w:color w:val="auto"/>
                <w:kern w:val="0"/>
                <w:sz w:val="24"/>
                <w:highlight w:val="none"/>
                <w:lang w:val="en-US" w:eastAsia="zh-CN"/>
              </w:rPr>
            </w:pP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lang w:val="en-US" w:eastAsia="zh-CN"/>
              </w:rPr>
              <w:t>中，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CB74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bottom w:val="single" w:color="auto" w:sz="4" w:space="0"/>
              <w:right w:val="single" w:color="auto" w:sz="4" w:space="0"/>
            </w:tcBorders>
            <w:noWrap/>
            <w:vAlign w:val="center"/>
          </w:tcPr>
          <w:p w14:paraId="51A204CA">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bottom w:val="single" w:color="000000" w:sz="8" w:space="0"/>
              <w:right w:val="single" w:color="000000" w:sz="8" w:space="0"/>
            </w:tcBorders>
            <w:noWrap/>
            <w:vAlign w:val="center"/>
          </w:tcPr>
          <w:p w14:paraId="0947A204">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56CECCA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（1）投标人填写中小企业声明函时，标的为</w:t>
            </w:r>
            <w:r>
              <w:rPr>
                <w:rFonts w:hint="eastAsia" w:ascii="仿宋" w:hAnsi="仿宋" w:eastAsia="仿宋" w:cs="仿宋"/>
                <w:b/>
                <w:bCs/>
                <w:color w:val="auto"/>
                <w:kern w:val="0"/>
                <w:sz w:val="24"/>
                <w:szCs w:val="24"/>
                <w:highlight w:val="none"/>
                <w:u w:val="single"/>
                <w:lang w:val="en-US" w:eastAsia="zh-CN"/>
              </w:rPr>
              <w:t>白杨街道“小脑+手脚”，“四平台处置”服务采购项目（2024-2025年）</w:t>
            </w:r>
            <w:r>
              <w:rPr>
                <w:rFonts w:hint="eastAsia" w:ascii="仿宋" w:hAnsi="仿宋" w:eastAsia="仿宋" w:cs="仿宋"/>
                <w:b/>
                <w:bCs/>
                <w:color w:val="auto"/>
                <w:kern w:val="0"/>
                <w:sz w:val="24"/>
                <w:szCs w:val="24"/>
                <w:highlight w:val="none"/>
                <w:lang w:val="en-US" w:eastAsia="zh-CN"/>
              </w:rPr>
              <w:t>，所属行业为</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lang w:val="en-US" w:eastAsia="zh-CN"/>
              </w:rPr>
              <w:t>；</w:t>
            </w:r>
          </w:p>
          <w:p w14:paraId="2B33161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从业人员、营业收入、资产总额填报上一年度数据，无上一年度数据的新成立企业可不填报</w:t>
            </w:r>
            <w:r>
              <w:rPr>
                <w:rFonts w:hint="eastAsia" w:ascii="仿宋" w:hAnsi="仿宋" w:eastAsia="仿宋" w:cs="仿宋"/>
                <w:b/>
                <w:bCs/>
                <w:color w:val="auto"/>
                <w:kern w:val="0"/>
                <w:sz w:val="24"/>
                <w:szCs w:val="24"/>
                <w:highlight w:val="none"/>
                <w:lang w:eastAsia="zh-CN"/>
              </w:rPr>
              <w:t>；</w:t>
            </w:r>
          </w:p>
          <w:p w14:paraId="2A34BA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Times New Roman"/>
                <w:color w:val="auto"/>
                <w:kern w:val="0"/>
                <w:sz w:val="24"/>
                <w:highlight w:val="none"/>
                <w:lang w:val="en-US"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中型企业、小型企业、微型企业等3种企业类型，结合以上数据，依据《中小企业划型标准规定》（工信部联企业〔2011〕300号）确定</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rPr>
              <w:t>，</w:t>
            </w:r>
            <w:r>
              <w:rPr>
                <w:rFonts w:hint="eastAsia" w:ascii="仿宋" w:hAnsi="仿宋" w:eastAsia="仿宋" w:cs="仿宋"/>
                <w:b/>
                <w:bCs/>
                <w:strike w:val="0"/>
                <w:dstrike w:val="0"/>
                <w:color w:val="auto"/>
                <w:kern w:val="0"/>
                <w:sz w:val="24"/>
                <w:szCs w:val="24"/>
                <w:highlight w:val="none"/>
                <w:u w:val="single"/>
              </w:rPr>
              <w:t>填写时应明确是中型或小型或微型</w:t>
            </w:r>
            <w:r>
              <w:rPr>
                <w:rFonts w:hint="eastAsia" w:ascii="仿宋" w:hAnsi="仿宋" w:eastAsia="仿宋" w:cs="仿宋"/>
                <w:b/>
                <w:bCs/>
                <w:color w:val="auto"/>
                <w:kern w:val="0"/>
                <w:sz w:val="24"/>
                <w:szCs w:val="24"/>
                <w:highlight w:val="none"/>
                <w:lang w:eastAsia="zh-CN"/>
              </w:rPr>
              <w:t>。</w:t>
            </w:r>
          </w:p>
        </w:tc>
      </w:tr>
      <w:tr w14:paraId="0E6BC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16DB7E65">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4057F5F9">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3530A00">
            <w:pPr>
              <w:adjustRightInd w:val="0"/>
              <w:snapToGrid w:val="0"/>
              <w:spacing w:line="400" w:lineRule="exact"/>
              <w:rPr>
                <w:rFonts w:ascii="FangSong_GB2312" w:hAnsi="仿宋" w:eastAsia="FangSong_GB2312" w:cs="Arial"/>
                <w:color w:val="auto"/>
                <w:kern w:val="0"/>
                <w:sz w:val="24"/>
                <w:highlight w:val="none"/>
              </w:rPr>
            </w:pPr>
            <w:r>
              <w:rPr>
                <w:rFonts w:ascii="MS Gothic" w:hAnsi="MS Gothic" w:eastAsia="FangSong_GB2312" w:cs="Arial"/>
                <w:color w:val="auto"/>
                <w:kern w:val="0"/>
                <w:sz w:val="24"/>
                <w:highlight w:val="none"/>
              </w:rPr>
              <w:sym w:font="Wingdings" w:char="00FE"/>
            </w:r>
            <w:r>
              <w:rPr>
                <w:rFonts w:hint="eastAsia" w:ascii="FangSong_GB2312" w:hAnsi="仿宋" w:eastAsia="FangSong_GB2312" w:cs="Arial"/>
                <w:color w:val="auto"/>
                <w:kern w:val="0"/>
                <w:sz w:val="24"/>
                <w:highlight w:val="none"/>
              </w:rPr>
              <w:t>本项目不允许采购进口产品。</w:t>
            </w:r>
          </w:p>
          <w:p w14:paraId="30A10FEC">
            <w:pPr>
              <w:adjustRightInd w:val="0"/>
              <w:snapToGrid w:val="0"/>
              <w:spacing w:line="400" w:lineRule="exact"/>
              <w:rPr>
                <w:rFonts w:hint="eastAsia" w:ascii="MS Gothic" w:hAnsi="MS Gothic" w:eastAsia="MS Gothic" w:cs="Arial"/>
                <w:color w:val="auto"/>
                <w:kern w:val="0"/>
                <w:sz w:val="24"/>
                <w:highlight w:val="none"/>
              </w:rPr>
            </w:pPr>
            <w:r>
              <w:rPr>
                <w:rFonts w:ascii="MS Gothic" w:hAnsi="MS Gothic" w:eastAsia="MS Gothic" w:cs="Arial"/>
                <w:color w:val="auto"/>
                <w:kern w:val="0"/>
                <w:sz w:val="24"/>
                <w:highlight w:val="none"/>
              </w:rPr>
              <w:t>☐</w:t>
            </w:r>
            <w:r>
              <w:rPr>
                <w:rFonts w:hint="eastAsia" w:ascii="FangSong_GB2312" w:hAnsi="仿宋" w:eastAsia="FangSong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FC7F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77724423">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7FDF46BF">
            <w:pPr>
              <w:adjustRightInd w:val="0"/>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3D82F887">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sym w:font="Wingdings" w:char="00A8"/>
            </w:r>
            <w:r>
              <w:rPr>
                <w:rFonts w:ascii="仿宋" w:hAnsi="仿宋" w:eastAsia="仿宋" w:cs="Arial"/>
                <w:color w:val="auto"/>
                <w:kern w:val="0"/>
                <w:sz w:val="24"/>
                <w:highlight w:val="none"/>
              </w:rPr>
              <w:t xml:space="preserve"> A</w:t>
            </w:r>
            <w:r>
              <w:rPr>
                <w:rFonts w:hint="eastAsia" w:ascii="仿宋" w:hAnsi="仿宋" w:eastAsia="仿宋"/>
                <w:color w:val="auto"/>
                <w:sz w:val="24"/>
                <w:highlight w:val="none"/>
              </w:rPr>
              <w:t>同意将非主体、非关键性的工作分包。</w:t>
            </w:r>
          </w:p>
          <w:p w14:paraId="090CB7DA">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sym w:font="Wingdings" w:char="00FE"/>
            </w:r>
            <w:r>
              <w:rPr>
                <w:rFonts w:ascii="仿宋" w:hAnsi="仿宋" w:eastAsia="仿宋" w:cs="Arial"/>
                <w:color w:val="auto"/>
                <w:kern w:val="0"/>
                <w:sz w:val="24"/>
                <w:highlight w:val="none"/>
              </w:rPr>
              <w:t xml:space="preserve"> B</w:t>
            </w:r>
            <w:r>
              <w:rPr>
                <w:rFonts w:hint="eastAsia" w:ascii="仿宋" w:hAnsi="仿宋" w:eastAsia="仿宋"/>
                <w:color w:val="auto"/>
                <w:sz w:val="24"/>
                <w:highlight w:val="none"/>
              </w:rPr>
              <w:t>同意向小微企业合理分包。</w:t>
            </w:r>
          </w:p>
          <w:p w14:paraId="13D8BF40">
            <w:pPr>
              <w:adjustRightInd w:val="0"/>
              <w:snapToGrid w:val="0"/>
              <w:spacing w:line="400" w:lineRule="exact"/>
              <w:rPr>
                <w:rFonts w:hint="eastAsia" w:ascii="MS Gothic" w:hAnsi="MS Gothic" w:eastAsia="MS Gothic" w:cs="Arial"/>
                <w:color w:val="auto"/>
                <w:kern w:val="0"/>
                <w:sz w:val="24"/>
                <w:highlight w:val="none"/>
              </w:rPr>
            </w:pPr>
            <w:r>
              <w:rPr>
                <w:rFonts w:hint="eastAsia" w:ascii="Segoe UI Symbol" w:hAnsi="Segoe UI Symbol" w:eastAsia="仿宋" w:cs="Segoe UI Symbol"/>
                <w:color w:val="auto"/>
                <w:kern w:val="0"/>
                <w:sz w:val="24"/>
                <w:highlight w:val="none"/>
                <w:lang w:eastAsia="zh-CN"/>
              </w:rPr>
              <w:t>□</w:t>
            </w:r>
            <w:r>
              <w:rPr>
                <w:rFonts w:hint="eastAsia" w:ascii="仿宋" w:hAnsi="仿宋" w:eastAsia="仿宋" w:cs="Arial"/>
                <w:color w:val="auto"/>
                <w:kern w:val="0"/>
                <w:sz w:val="24"/>
                <w:highlight w:val="none"/>
              </w:rPr>
              <w:t>C</w:t>
            </w:r>
            <w:r>
              <w:rPr>
                <w:rFonts w:hint="eastAsia" w:ascii="仿宋" w:hAnsi="仿宋" w:eastAsia="仿宋"/>
                <w:color w:val="auto"/>
                <w:sz w:val="24"/>
                <w:highlight w:val="none"/>
              </w:rPr>
              <w:t>不同意分包。</w:t>
            </w:r>
          </w:p>
        </w:tc>
      </w:tr>
      <w:tr w14:paraId="524A5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1119FA52">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25DBC77A">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0112D62">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14:paraId="63799766">
            <w:pPr>
              <w:adjustRightInd w:val="0"/>
              <w:snapToGrid w:val="0"/>
              <w:spacing w:line="400" w:lineRule="exact"/>
              <w:rPr>
                <w:rFonts w:hint="eastAsia" w:ascii="MS Gothic" w:hAnsi="MS Gothic" w:eastAsia="MS Gothic" w:cs="Arial"/>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w:t>
            </w:r>
            <w:r>
              <w:rPr>
                <w:rFonts w:ascii="仿宋" w:hAnsi="仿宋" w:eastAsia="仿宋"/>
                <w:color w:val="auto"/>
                <w:sz w:val="24"/>
                <w:highlight w:val="none"/>
              </w:rPr>
              <w:t>,地点：</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，联系方式：</w:t>
            </w:r>
            <w:r>
              <w:rPr>
                <w:rFonts w:hint="eastAsia" w:ascii="仿宋" w:hAnsi="仿宋" w:eastAsia="仿宋"/>
                <w:color w:val="auto"/>
                <w:sz w:val="24"/>
                <w:highlight w:val="none"/>
                <w:u w:val="single"/>
              </w:rPr>
              <w:t>/</w:t>
            </w:r>
            <w:r>
              <w:rPr>
                <w:rFonts w:hint="eastAsia" w:ascii="仿宋" w:hAnsi="仿宋" w:eastAsia="仿宋"/>
                <w:color w:val="auto"/>
                <w:sz w:val="24"/>
                <w:szCs w:val="20"/>
                <w:highlight w:val="none"/>
              </w:rPr>
              <w:t>。</w:t>
            </w:r>
          </w:p>
        </w:tc>
      </w:tr>
      <w:tr w14:paraId="5055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00A6C49">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2CF95572">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655F3BD">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14:paraId="29D579A5">
            <w:pPr>
              <w:adjustRightInd w:val="0"/>
              <w:snapToGrid w:val="0"/>
              <w:spacing w:line="400" w:lineRule="exact"/>
              <w:rPr>
                <w:rFonts w:ascii="仿宋" w:hAnsi="仿宋" w:eastAsia="仿宋"/>
                <w:color w:val="auto"/>
                <w:kern w:val="0"/>
                <w:sz w:val="24"/>
                <w:highlight w:val="none"/>
              </w:rPr>
            </w:pP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14:paraId="44D6C6F8">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u w:val="single"/>
              </w:rPr>
              <w:t xml:space="preserve">  /  </w:t>
            </w:r>
            <w:r>
              <w:rPr>
                <w:rFonts w:hint="eastAsia" w:ascii="仿宋" w:hAnsi="仿宋" w:eastAsia="仿宋"/>
                <w:snapToGrid w:val="0"/>
                <w:color w:val="auto"/>
                <w:kern w:val="28"/>
                <w:sz w:val="24"/>
                <w:highlight w:val="none"/>
              </w:rPr>
              <w:t>；</w:t>
            </w:r>
          </w:p>
          <w:p w14:paraId="61F4B9EB">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color w:val="auto"/>
                <w:kern w:val="28"/>
                <w:sz w:val="24"/>
                <w:highlight w:val="none"/>
                <w:u w:val="single"/>
              </w:rPr>
              <w:t>/</w:t>
            </w:r>
            <w:r>
              <w:rPr>
                <w:rFonts w:hint="eastAsia" w:ascii="仿宋" w:hAnsi="仿宋" w:eastAsia="仿宋"/>
                <w:color w:val="auto"/>
                <w:kern w:val="0"/>
                <w:sz w:val="24"/>
                <w:highlight w:val="none"/>
              </w:rPr>
              <w:t>；</w:t>
            </w:r>
          </w:p>
          <w:p w14:paraId="3ACE1C95">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w:t>
            </w:r>
            <w:r>
              <w:rPr>
                <w:rFonts w:hint="eastAsia" w:ascii="仿宋" w:hAnsi="仿宋" w:eastAsia="仿宋"/>
                <w:color w:val="auto"/>
                <w:kern w:val="0"/>
                <w:sz w:val="24"/>
                <w:highlight w:val="none"/>
              </w:rPr>
              <w:t>；</w:t>
            </w:r>
          </w:p>
          <w:p w14:paraId="4EBD842E">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否；</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w:t>
            </w:r>
          </w:p>
          <w:p w14:paraId="7A43DC5B">
            <w:pPr>
              <w:numPr>
                <w:ilvl w:val="0"/>
                <w:numId w:val="1"/>
              </w:numPr>
              <w:adjustRightInd w:val="0"/>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14:paraId="786A5D2D">
            <w:pPr>
              <w:numPr>
                <w:ilvl w:val="0"/>
                <w:numId w:val="1"/>
              </w:numPr>
              <w:adjustRightInd w:val="0"/>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478BDD5">
            <w:pPr>
              <w:numPr>
                <w:ilvl w:val="0"/>
                <w:numId w:val="1"/>
              </w:numPr>
              <w:adjustRightInd w:val="0"/>
              <w:snapToGrid w:val="0"/>
              <w:spacing w:line="400" w:lineRule="exact"/>
              <w:ind w:left="425" w:leftChars="0" w:hanging="425" w:firstLineChars="0"/>
              <w:rPr>
                <w:rFonts w:hint="eastAsia" w:ascii="MS Gothic" w:hAnsi="MS Gothic" w:eastAsia="MS Gothic" w:cs="Arial"/>
                <w:color w:val="auto"/>
                <w:kern w:val="0"/>
                <w:sz w:val="24"/>
                <w:highlight w:val="none"/>
              </w:rPr>
            </w:pPr>
            <w:r>
              <w:rPr>
                <w:rFonts w:ascii="仿宋" w:hAnsi="仿宋" w:eastAsia="仿宋"/>
                <w:color w:val="auto"/>
                <w:sz w:val="24"/>
                <w:highlight w:val="none"/>
              </w:rPr>
              <w:t>制作、运输、安装和保管样品所发生的一切费用由投标人自理。</w:t>
            </w:r>
          </w:p>
        </w:tc>
      </w:tr>
      <w:tr w14:paraId="1C40B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2A2040AF">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055DC5EF">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27A420E3">
            <w:pPr>
              <w:adjustRightInd w:val="0"/>
              <w:snapToGrid w:val="0"/>
              <w:spacing w:line="400" w:lineRule="exact"/>
              <w:rPr>
                <w:rFonts w:ascii="FangSong_GB2312" w:hAnsi="仿宋" w:eastAsia="FangSong_GB2312"/>
                <w:color w:val="auto"/>
                <w:sz w:val="24"/>
                <w:highlight w:val="none"/>
              </w:rPr>
            </w:pPr>
            <w:r>
              <w:rPr>
                <w:rFonts w:ascii="MS Gothic" w:hAnsi="MS Gothic" w:eastAsia="FangSong_GB2312" w:cs="Arial"/>
                <w:color w:val="auto"/>
                <w:kern w:val="0"/>
                <w:sz w:val="24"/>
                <w:highlight w:val="none"/>
              </w:rPr>
              <w:sym w:font="Wingdings" w:char="00FE"/>
            </w:r>
            <w:r>
              <w:rPr>
                <w:rFonts w:ascii="FangSong_GB2312" w:hAnsi="仿宋" w:eastAsia="FangSong_GB2312" w:cs="Arial"/>
                <w:color w:val="auto"/>
                <w:kern w:val="0"/>
                <w:sz w:val="24"/>
                <w:highlight w:val="none"/>
              </w:rPr>
              <w:t>A</w:t>
            </w:r>
            <w:r>
              <w:rPr>
                <w:rFonts w:hint="eastAsia" w:ascii="FangSong_GB2312" w:hAnsi="仿宋" w:eastAsia="FangSong_GB2312"/>
                <w:color w:val="auto"/>
                <w:sz w:val="24"/>
                <w:highlight w:val="none"/>
              </w:rPr>
              <w:t>不组织。</w:t>
            </w:r>
          </w:p>
          <w:p w14:paraId="617926A5">
            <w:pPr>
              <w:adjustRightInd w:val="0"/>
              <w:snapToGrid w:val="0"/>
              <w:spacing w:line="400" w:lineRule="exact"/>
              <w:rPr>
                <w:rFonts w:ascii="FangSong_GB2312" w:hAnsi="仿宋" w:eastAsia="FangSong_GB2312"/>
                <w:color w:val="auto"/>
                <w:kern w:val="0"/>
                <w:sz w:val="24"/>
                <w:highlight w:val="none"/>
              </w:rPr>
            </w:pPr>
            <w:r>
              <w:rPr>
                <w:rFonts w:ascii="MS Gothic" w:hAnsi="MS Gothic" w:eastAsia="FangSong_GB2312" w:cs="Arial"/>
                <w:color w:val="auto"/>
                <w:kern w:val="0"/>
                <w:sz w:val="24"/>
                <w:highlight w:val="none"/>
              </w:rPr>
              <w:sym w:font="Wingdings" w:char="00A8"/>
            </w:r>
            <w:r>
              <w:rPr>
                <w:rFonts w:ascii="FangSong_GB2312" w:hAnsi="仿宋" w:eastAsia="FangSong_GB2312"/>
                <w:color w:val="auto"/>
                <w:kern w:val="0"/>
                <w:sz w:val="24"/>
                <w:highlight w:val="none"/>
              </w:rPr>
              <w:t>B组织。</w:t>
            </w:r>
          </w:p>
          <w:p w14:paraId="07876761">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（1）在评标时安排每个投标人进行方案讲解演示。每个投标人时间不超过20分钟，讲解次序以投标文件解密时间先后次序为准，讲解演示人员不超过3人。讲解演示结束后按要求解答评标委员会提问。</w:t>
            </w:r>
          </w:p>
          <w:p w14:paraId="37895897">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（2）方案讲解演示可选择以下其中一种方式：</w:t>
            </w:r>
          </w:p>
          <w:p w14:paraId="1BC43E36">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方式一：政采云平台在线讲解演示。政采云平台在线讲解需投标人根据政采云平台操作要求做好准备工作，提前完善软硬件配置环境。</w:t>
            </w:r>
          </w:p>
          <w:p w14:paraId="1FE2EF06">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方式二：交易中心现场讲解演示。现场讲解地点为    ，讲解演示所用电脑等设备由投标人自备。现场讲解演示人员进场时提供讲解人员名单（加盖公章）及身份证明，否则不得讲解演示。</w:t>
            </w:r>
          </w:p>
          <w:p w14:paraId="3AA8DF7E">
            <w:pPr>
              <w:adjustRightInd w:val="0"/>
              <w:snapToGrid w:val="0"/>
              <w:spacing w:line="400" w:lineRule="exact"/>
              <w:rPr>
                <w:rFonts w:ascii="仿宋" w:hAnsi="仿宋" w:eastAsia="仿宋"/>
                <w:color w:val="auto"/>
                <w:sz w:val="24"/>
                <w:highlight w:val="none"/>
              </w:rPr>
            </w:pPr>
            <w:r>
              <w:rPr>
                <w:rFonts w:hint="eastAsia" w:ascii="FangSong_GB2312" w:hAnsi="仿宋" w:eastAsia="FangSong_GB2312" w:cs="FangSong_GB2312"/>
                <w:bCs/>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4B008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noWrap/>
            <w:vAlign w:val="center"/>
          </w:tcPr>
          <w:p w14:paraId="15D279D1">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noWrap/>
            <w:vAlign w:val="center"/>
          </w:tcPr>
          <w:p w14:paraId="7DDED028">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14:paraId="7F90ED9B">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14:paraId="069CF325">
            <w:pPr>
              <w:adjustRightInd w:val="0"/>
              <w:snapToGrid w:val="0"/>
              <w:spacing w:line="400" w:lineRule="exact"/>
              <w:rPr>
                <w:rFonts w:ascii="仿宋" w:hAnsi="仿宋" w:eastAsia="仿宋" w:cs="仿宋"/>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14:paraId="6FD97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noWrap/>
            <w:vAlign w:val="center"/>
          </w:tcPr>
          <w:p w14:paraId="151A1891">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14:paraId="0AF0C24E">
            <w:pPr>
              <w:adjustRightInd w:val="0"/>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14:paraId="1ED4E403">
            <w:pPr>
              <w:adjustRightInd w:val="0"/>
              <w:snapToGrid w:val="0"/>
              <w:spacing w:line="400" w:lineRule="exact"/>
              <w:rPr>
                <w:rFonts w:ascii="仿宋" w:hAnsi="仿宋" w:eastAsia="仿宋" w:cs="仿宋"/>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14:paraId="50E0F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noWrap/>
            <w:vAlign w:val="center"/>
          </w:tcPr>
          <w:p w14:paraId="611BA9EC">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noWrap/>
            <w:vAlign w:val="center"/>
          </w:tcPr>
          <w:p w14:paraId="41613E8B">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auto" w:sz="4" w:space="0"/>
              <w:left w:val="single" w:color="000000" w:sz="2" w:space="0"/>
              <w:bottom w:val="single" w:color="000000" w:sz="8" w:space="0"/>
              <w:right w:val="single" w:color="000000" w:sz="8" w:space="0"/>
            </w:tcBorders>
            <w:noWrap/>
            <w:vAlign w:val="center"/>
          </w:tcPr>
          <w:p w14:paraId="2B57CEB1">
            <w:pPr>
              <w:pStyle w:val="2"/>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5324760F">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A无</w:t>
            </w:r>
          </w:p>
          <w:p w14:paraId="0BB9553D">
            <w:pPr>
              <w:pStyle w:val="2"/>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B 政府</w:t>
            </w:r>
            <w:r>
              <w:rPr>
                <w:rFonts w:hint="eastAsia" w:ascii="仿宋" w:hAnsi="仿宋" w:eastAsia="仿宋" w:cs="仿宋"/>
                <w:color w:val="auto"/>
                <w:sz w:val="24"/>
                <w:highlight w:val="none"/>
              </w:rPr>
              <w:t>强制采购节能产品</w:t>
            </w:r>
            <w:r>
              <w:rPr>
                <w:rFonts w:hint="eastAsia" w:ascii="仿宋" w:hAnsi="仿宋" w:eastAsia="仿宋" w:cs="仿宋"/>
                <w:color w:val="auto"/>
                <w:kern w:val="0"/>
                <w:sz w:val="24"/>
                <w:highlight w:val="none"/>
              </w:rPr>
              <w:t>：</w:t>
            </w:r>
          </w:p>
          <w:p w14:paraId="2DF67EB6">
            <w:pPr>
              <w:pStyle w:val="2"/>
              <w:rPr>
                <w:rFonts w:ascii="仿宋" w:hAnsi="仿宋" w:eastAsia="仿宋" w:cs="仿宋"/>
                <w:color w:val="auto"/>
                <w:sz w:val="24"/>
                <w:highlight w:val="none"/>
                <w:u w:val="single"/>
              </w:rPr>
            </w:pPr>
            <w:r>
              <w:rPr>
                <w:rFonts w:hint="eastAsia" w:ascii="仿宋" w:hAnsi="仿宋" w:eastAsia="仿宋" w:cs="仿宋"/>
                <w:color w:val="auto"/>
                <w:sz w:val="24"/>
                <w:highlight w:val="none"/>
              </w:rPr>
              <w:t>（1）；</w:t>
            </w:r>
          </w:p>
          <w:p w14:paraId="0B33128A">
            <w:pPr>
              <w:pStyle w:val="2"/>
              <w:rPr>
                <w:rFonts w:ascii="仿宋" w:hAnsi="仿宋" w:eastAsia="仿宋" w:cs="仿宋"/>
                <w:color w:val="auto"/>
                <w:sz w:val="24"/>
                <w:highlight w:val="none"/>
              </w:rPr>
            </w:pPr>
            <w:r>
              <w:rPr>
                <w:rFonts w:hint="eastAsia" w:ascii="仿宋" w:hAnsi="仿宋" w:eastAsia="仿宋" w:cs="仿宋"/>
                <w:color w:val="auto"/>
                <w:sz w:val="24"/>
                <w:highlight w:val="none"/>
              </w:rPr>
              <w:t>（2）……</w:t>
            </w:r>
          </w:p>
          <w:p w14:paraId="3281F069">
            <w:pPr>
              <w:pStyle w:val="2"/>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 xml:space="preserve">C </w:t>
            </w:r>
            <w:r>
              <w:rPr>
                <w:rFonts w:hint="eastAsia" w:ascii="仿宋" w:hAnsi="仿宋" w:eastAsia="仿宋" w:cs="仿宋"/>
                <w:color w:val="auto"/>
                <w:sz w:val="24"/>
                <w:highlight w:val="none"/>
              </w:rPr>
              <w:t>政府优先采购节能产品</w:t>
            </w:r>
            <w:r>
              <w:rPr>
                <w:rFonts w:hint="eastAsia" w:ascii="仿宋" w:hAnsi="仿宋" w:eastAsia="仿宋" w:cs="仿宋"/>
                <w:color w:val="auto"/>
                <w:kern w:val="0"/>
                <w:sz w:val="24"/>
                <w:highlight w:val="none"/>
              </w:rPr>
              <w:t>：</w:t>
            </w:r>
          </w:p>
          <w:p w14:paraId="24DB3C0E">
            <w:pPr>
              <w:pStyle w:val="2"/>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14:paraId="38D7C741">
            <w:pPr>
              <w:pStyle w:val="2"/>
              <w:rPr>
                <w:rFonts w:ascii="仿宋" w:hAnsi="仿宋" w:eastAsia="仿宋" w:cs="仿宋"/>
                <w:color w:val="auto"/>
                <w:sz w:val="24"/>
                <w:highlight w:val="none"/>
              </w:rPr>
            </w:pPr>
            <w:r>
              <w:rPr>
                <w:rFonts w:hint="eastAsia" w:ascii="仿宋" w:hAnsi="仿宋" w:eastAsia="仿宋" w:cs="仿宋"/>
                <w:color w:val="auto"/>
                <w:sz w:val="24"/>
                <w:highlight w:val="none"/>
              </w:rPr>
              <w:t>（2）……</w:t>
            </w:r>
          </w:p>
          <w:p w14:paraId="02BB15F6">
            <w:pPr>
              <w:pStyle w:val="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☐D </w:t>
            </w:r>
            <w:r>
              <w:rPr>
                <w:rFonts w:hint="eastAsia" w:ascii="仿宋" w:hAnsi="仿宋" w:eastAsia="仿宋" w:cs="仿宋"/>
                <w:color w:val="auto"/>
                <w:sz w:val="24"/>
                <w:highlight w:val="none"/>
              </w:rPr>
              <w:t>政府优先采购环境标志产品</w:t>
            </w:r>
            <w:r>
              <w:rPr>
                <w:rFonts w:hint="eastAsia" w:ascii="仿宋" w:hAnsi="仿宋" w:eastAsia="仿宋" w:cs="仿宋"/>
                <w:color w:val="auto"/>
                <w:kern w:val="0"/>
                <w:sz w:val="24"/>
                <w:highlight w:val="none"/>
              </w:rPr>
              <w:t>：</w:t>
            </w:r>
          </w:p>
          <w:p w14:paraId="54A475A3">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14:paraId="45D95273">
            <w:pPr>
              <w:pStyle w:val="2"/>
              <w:rPr>
                <w:rFonts w:hint="eastAsia" w:ascii="仿宋_GB2312" w:hAnsi="仿宋" w:eastAsia="仿宋_GB2312"/>
                <w:color w:val="auto"/>
                <w:sz w:val="24"/>
                <w:highlight w:val="none"/>
              </w:rPr>
            </w:pPr>
            <w:r>
              <w:rPr>
                <w:rFonts w:hint="eastAsia" w:ascii="仿宋" w:hAnsi="仿宋" w:eastAsia="仿宋" w:cs="仿宋"/>
                <w:color w:val="auto"/>
                <w:sz w:val="24"/>
                <w:highlight w:val="none"/>
              </w:rPr>
              <w:t>（2）……</w:t>
            </w:r>
          </w:p>
        </w:tc>
      </w:tr>
      <w:tr w14:paraId="0DDDD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194A48A">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4CFA42B2">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6453833E">
            <w:pPr>
              <w:keepNext w:val="0"/>
              <w:keepLines w:val="0"/>
              <w:pageBreakBefore w:val="0"/>
              <w:widowControl w:val="0"/>
              <w:tabs>
                <w:tab w:val="left" w:pos="3570"/>
              </w:tabs>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13DDE7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A47F476">
            <w:pPr>
              <w:numPr>
                <w:ilvl w:val="0"/>
                <w:numId w:val="2"/>
              </w:numPr>
              <w:adjustRightInd w:val="0"/>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14:paraId="5EEB8BD3">
            <w:pPr>
              <w:numPr>
                <w:ilvl w:val="0"/>
                <w:numId w:val="2"/>
              </w:numPr>
              <w:adjustRightInd w:val="0"/>
              <w:snapToGrid w:val="0"/>
              <w:spacing w:line="400" w:lineRule="exact"/>
              <w:jc w:val="left"/>
              <w:rPr>
                <w:rFonts w:ascii="仿宋_GB2312" w:hAnsi="仿宋" w:eastAsia="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14:paraId="377D05EA">
            <w:pPr>
              <w:numPr>
                <w:ilvl w:val="0"/>
                <w:numId w:val="2"/>
              </w:numPr>
              <w:adjustRightInd w:val="0"/>
              <w:snapToGrid w:val="0"/>
              <w:spacing w:line="400" w:lineRule="exact"/>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14:paraId="3CA86D3B">
            <w:pPr>
              <w:numPr>
                <w:ilvl w:val="0"/>
                <w:numId w:val="2"/>
              </w:numPr>
              <w:adjustRightInd w:val="0"/>
              <w:snapToGrid w:val="0"/>
              <w:spacing w:line="400" w:lineRule="exact"/>
              <w:ind w:left="425" w:leftChars="0" w:hanging="425" w:firstLineChars="0"/>
              <w:rPr>
                <w:rFonts w:ascii="仿宋" w:hAnsi="仿宋" w:eastAsia="仿宋" w:cs="仿宋"/>
                <w:color w:val="auto"/>
                <w:sz w:val="24"/>
                <w:szCs w:val="20"/>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14:paraId="783A5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restart"/>
            <w:tcBorders>
              <w:top w:val="single" w:color="auto" w:sz="4" w:space="0"/>
              <w:left w:val="single" w:color="auto" w:sz="4" w:space="0"/>
              <w:right w:val="single" w:color="auto" w:sz="4" w:space="0"/>
            </w:tcBorders>
            <w:noWrap/>
            <w:vAlign w:val="center"/>
          </w:tcPr>
          <w:p w14:paraId="3E54CEE8">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vMerge w:val="restart"/>
            <w:tcBorders>
              <w:top w:val="single" w:color="000000" w:sz="8" w:space="0"/>
              <w:left w:val="single" w:color="auto" w:sz="4" w:space="0"/>
              <w:right w:val="single" w:color="000000" w:sz="8" w:space="0"/>
            </w:tcBorders>
            <w:noWrap/>
            <w:vAlign w:val="center"/>
          </w:tcPr>
          <w:p w14:paraId="243F0B3E">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31E36082">
            <w:pPr>
              <w:adjustRightInd w:val="0"/>
              <w:snapToGrid w:val="0"/>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为支持和促进中小企业发展，进一步发挥政府采购政策功能，根据《杭州市政府采购支持中小企业信用融资管理办法》和《关于钱塘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政府采购支持中小企业信用融资有关事项的通知》，供应商若有融资意向，详见本采购文件尾页《关于钱塘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政府采购支持中小企业信用融资相关事项通知》，或登录杭州钱塘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管理委员会官网查看信用融资相关政策及各相关银行服务方案、联系方式。</w:t>
            </w:r>
          </w:p>
        </w:tc>
      </w:tr>
      <w:tr w14:paraId="75A33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continue"/>
            <w:tcBorders>
              <w:left w:val="single" w:color="auto" w:sz="4" w:space="0"/>
              <w:bottom w:val="single" w:color="auto" w:sz="4" w:space="0"/>
              <w:right w:val="single" w:color="auto" w:sz="4" w:space="0"/>
            </w:tcBorders>
            <w:noWrap/>
            <w:vAlign w:val="center"/>
          </w:tcPr>
          <w:p w14:paraId="34FF6990">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14:paraId="5E7E981F">
            <w:pPr>
              <w:adjustRightInd w:val="0"/>
              <w:snapToGrid w:val="0"/>
              <w:spacing w:line="400" w:lineRule="exact"/>
              <w:ind w:firstLine="482" w:firstLineChars="200"/>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57F209D1">
            <w:pPr>
              <w:adjustRightInd w:val="0"/>
              <w:snapToGrid w:val="0"/>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DD5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14:paraId="149932AC">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14:paraId="1932D7E2">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20CEDD3">
            <w:pPr>
              <w:pStyle w:val="25"/>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杭州市文三路90号东部软件园一号楼319室  </w:t>
            </w:r>
            <w:r>
              <w:rPr>
                <w:rFonts w:hint="eastAsia" w:ascii="仿宋" w:hAnsi="仿宋" w:eastAsia="仿宋" w:cs="仿宋"/>
                <w:color w:val="auto"/>
                <w:kern w:val="28"/>
                <w:sz w:val="24"/>
                <w:szCs w:val="24"/>
                <w:highlight w:val="none"/>
              </w:rPr>
              <w:t>；</w:t>
            </w:r>
          </w:p>
          <w:p w14:paraId="3FE426D5">
            <w:pPr>
              <w:pStyle w:val="25"/>
              <w:adjustRightInd w:val="0"/>
              <w:snapToGrid w:val="0"/>
              <w:spacing w:line="400" w:lineRule="exact"/>
              <w:rPr>
                <w:rFonts w:hint="default" w:ascii="仿宋" w:hAnsi="仿宋" w:eastAsia="仿宋" w:cs="仿宋"/>
                <w:color w:val="auto"/>
                <w:kern w:val="28"/>
                <w:sz w:val="24"/>
                <w:szCs w:val="24"/>
                <w:highlight w:val="none"/>
                <w:lang w:val="en-US" w:eastAsia="zh-CN"/>
              </w:rPr>
            </w:pPr>
            <w:r>
              <w:rPr>
                <w:rFonts w:hint="eastAsia" w:ascii="仿宋" w:hAnsi="仿宋" w:eastAsia="仿宋" w:cs="仿宋"/>
                <w:b/>
                <w:bCs/>
                <w:color w:val="auto"/>
                <w:kern w:val="28"/>
                <w:sz w:val="24"/>
                <w:szCs w:val="24"/>
                <w:highlight w:val="none"/>
                <w:lang w:val="en-US" w:eastAsia="zh-CN"/>
              </w:rPr>
              <w:t>因开标地点与代理机构办公地点不在同一处，备份文件如开标当天送出或可以收到的，</w:t>
            </w:r>
            <w:r>
              <w:rPr>
                <w:rFonts w:hint="eastAsia" w:ascii="仿宋" w:hAnsi="仿宋" w:eastAsia="仿宋" w:cs="仿宋"/>
                <w:color w:val="auto"/>
                <w:kern w:val="28"/>
                <w:sz w:val="24"/>
                <w:szCs w:val="24"/>
                <w:highlight w:val="none"/>
                <w:lang w:val="en-US" w:eastAsia="zh-CN"/>
              </w:rPr>
              <w:t>请在投标截止时间之前，送至</w:t>
            </w:r>
            <w:r>
              <w:rPr>
                <w:rFonts w:hint="eastAsia" w:ascii="仿宋" w:hAnsi="仿宋" w:eastAsia="仿宋" w:cs="仿宋"/>
                <w:color w:val="auto"/>
                <w:sz w:val="24"/>
                <w:highlight w:val="none"/>
                <w:u w:val="single"/>
                <w:lang w:val="en-US" w:eastAsia="zh-CN"/>
              </w:rPr>
              <w:t>杭州市钱塘区金沙大道600号东楼6楼3号开标室</w:t>
            </w:r>
            <w:r>
              <w:rPr>
                <w:rFonts w:hint="eastAsia" w:ascii="仿宋" w:hAnsi="仿宋" w:eastAsia="仿宋" w:cs="仿宋"/>
                <w:color w:val="auto"/>
                <w:sz w:val="24"/>
                <w:highlight w:val="none"/>
                <w:lang w:val="en-US" w:eastAsia="zh-CN"/>
              </w:rPr>
              <w:t>。</w:t>
            </w:r>
          </w:p>
          <w:p w14:paraId="70001135">
            <w:pPr>
              <w:pStyle w:val="25"/>
              <w:adjustRightInd w:val="0"/>
              <w:snapToGrid w:val="0"/>
              <w:spacing w:line="400" w:lineRule="exact"/>
              <w:rPr>
                <w:rFonts w:hint="default" w:eastAsia="仿宋"/>
                <w:highlight w:val="none"/>
                <w:lang w:val="en-US" w:eastAsia="zh-CN"/>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唐稳，13777483506   </w:t>
            </w:r>
            <w:r>
              <w:rPr>
                <w:rFonts w:hint="eastAsia" w:ascii="仿宋" w:hAnsi="仿宋" w:eastAsia="仿宋" w:cs="仿宋"/>
                <w:color w:val="auto"/>
                <w:sz w:val="24"/>
                <w:szCs w:val="24"/>
                <w:highlight w:val="none"/>
              </w:rPr>
              <w:t>。</w:t>
            </w:r>
          </w:p>
          <w:p w14:paraId="2A946587">
            <w:pPr>
              <w:pStyle w:val="25"/>
              <w:adjustRightInd w:val="0"/>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b/>
                <w:color w:val="auto"/>
                <w:sz w:val="24"/>
                <w:szCs w:val="24"/>
                <w:highlight w:val="none"/>
              </w:rPr>
              <w:t>采购人、采购机构不强制或变相强制投标人提交备份投标文件。</w:t>
            </w:r>
          </w:p>
        </w:tc>
      </w:tr>
      <w:tr w14:paraId="1D031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14:paraId="08F81FBD">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14:paraId="5AB13ACD">
            <w:pPr>
              <w:adjustRightInd w:val="0"/>
              <w:snapToGrid w:val="0"/>
              <w:jc w:val="center"/>
              <w:rPr>
                <w:rFonts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0ED7F94">
            <w:pPr>
              <w:pStyle w:val="25"/>
              <w:adjustRightInd w:val="0"/>
              <w:snapToGrid w:val="0"/>
              <w:rPr>
                <w:rFonts w:hint="eastAsia" w:ascii="仿宋_GB2312" w:hAnsi="仿宋" w:eastAsia="仿宋_GB2312"/>
                <w:sz w:val="24"/>
                <w:highlight w:val="none"/>
                <w:lang w:val="en-US" w:eastAsia="zh-CN"/>
              </w:rPr>
            </w:pPr>
            <w:r>
              <w:rPr>
                <w:rFonts w:hint="eastAsia" w:ascii="仿宋_GB2312" w:hAnsi="仿宋" w:eastAsia="仿宋_GB2312"/>
                <w:sz w:val="24"/>
                <w:highlight w:val="none"/>
              </w:rPr>
              <w:t>1.本项目的采购代理费由中标人支付；以</w:t>
            </w:r>
            <w:r>
              <w:rPr>
                <w:rFonts w:hint="eastAsia" w:ascii="仿宋_GB2312" w:hAnsi="仿宋" w:eastAsia="仿宋_GB2312"/>
                <w:sz w:val="24"/>
                <w:highlight w:val="none"/>
                <w:lang w:val="en-US" w:eastAsia="zh-CN"/>
              </w:rPr>
              <w:t>中标金额</w:t>
            </w:r>
            <w:r>
              <w:rPr>
                <w:rFonts w:hint="eastAsia" w:ascii="仿宋_GB2312" w:hAnsi="仿宋" w:eastAsia="仿宋_GB2312"/>
                <w:sz w:val="24"/>
                <w:highlight w:val="none"/>
              </w:rPr>
              <w:t>为计费基准，计费标准按《计价格［2002］1980号》及《发改办价格［2003］857号》文件中服务类收费标准</w:t>
            </w:r>
            <w:r>
              <w:rPr>
                <w:rFonts w:hint="eastAsia" w:ascii="仿宋_GB2312" w:hAnsi="仿宋" w:eastAsia="仿宋_GB2312"/>
                <w:sz w:val="24"/>
                <w:highlight w:val="none"/>
                <w:lang w:val="en-US" w:eastAsia="zh-CN"/>
              </w:rPr>
              <w:t>的80%</w:t>
            </w:r>
            <w:r>
              <w:rPr>
                <w:rFonts w:hint="eastAsia" w:ascii="仿宋_GB2312" w:hAnsi="仿宋" w:eastAsia="仿宋_GB2312"/>
                <w:sz w:val="24"/>
                <w:highlight w:val="none"/>
              </w:rPr>
              <w:t>计算；</w:t>
            </w:r>
            <w:r>
              <w:rPr>
                <w:rFonts w:hint="eastAsia" w:ascii="仿宋_GB2312" w:hAnsi="仿宋" w:eastAsia="仿宋_GB2312"/>
                <w:sz w:val="24"/>
                <w:highlight w:val="none"/>
                <w:lang w:val="en-US" w:eastAsia="zh-CN"/>
              </w:rPr>
              <w:t>服务类收费标准如下（差额累计法）：</w:t>
            </w:r>
          </w:p>
          <w:tbl>
            <w:tblPr>
              <w:tblStyle w:val="45"/>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42C4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426784A4">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中标金额</w:t>
                  </w:r>
                </w:p>
              </w:tc>
              <w:tc>
                <w:tcPr>
                  <w:tcW w:w="1288" w:type="dxa"/>
                  <w:noWrap w:val="0"/>
                  <w:vAlign w:val="top"/>
                </w:tcPr>
                <w:p w14:paraId="5A5A5FAD">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标准费率</w:t>
                  </w:r>
                </w:p>
              </w:tc>
              <w:tc>
                <w:tcPr>
                  <w:tcW w:w="1925" w:type="dxa"/>
                  <w:noWrap w:val="0"/>
                  <w:vAlign w:val="top"/>
                </w:tcPr>
                <w:p w14:paraId="6E20E1CC">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八折费率</w:t>
                  </w:r>
                </w:p>
              </w:tc>
            </w:tr>
            <w:tr w14:paraId="737B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15C22420">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≤100万元</w:t>
                  </w:r>
                </w:p>
              </w:tc>
              <w:tc>
                <w:tcPr>
                  <w:tcW w:w="1288" w:type="dxa"/>
                  <w:noWrap w:val="0"/>
                  <w:vAlign w:val="top"/>
                </w:tcPr>
                <w:p w14:paraId="5616F108">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1.5%</w:t>
                  </w:r>
                </w:p>
              </w:tc>
              <w:tc>
                <w:tcPr>
                  <w:tcW w:w="1925" w:type="dxa"/>
                  <w:noWrap w:val="0"/>
                  <w:vAlign w:val="center"/>
                </w:tcPr>
                <w:p w14:paraId="0D123C07">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1.2%</w:t>
                  </w:r>
                </w:p>
              </w:tc>
            </w:tr>
            <w:tr w14:paraId="203A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3AE646EB">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100-500</w:t>
                  </w:r>
                </w:p>
              </w:tc>
              <w:tc>
                <w:tcPr>
                  <w:tcW w:w="1288" w:type="dxa"/>
                  <w:noWrap w:val="0"/>
                  <w:vAlign w:val="top"/>
                </w:tcPr>
                <w:p w14:paraId="1DD08CF7">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0.8%</w:t>
                  </w:r>
                </w:p>
              </w:tc>
              <w:tc>
                <w:tcPr>
                  <w:tcW w:w="1925" w:type="dxa"/>
                  <w:noWrap w:val="0"/>
                  <w:vAlign w:val="center"/>
                </w:tcPr>
                <w:p w14:paraId="7E9126EB">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0.64%</w:t>
                  </w:r>
                </w:p>
              </w:tc>
            </w:tr>
            <w:tr w14:paraId="6162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noWrap w:val="0"/>
                  <w:vAlign w:val="top"/>
                </w:tcPr>
                <w:p w14:paraId="2BE6B9E9">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500-1000</w:t>
                  </w:r>
                </w:p>
              </w:tc>
              <w:tc>
                <w:tcPr>
                  <w:tcW w:w="1288" w:type="dxa"/>
                  <w:noWrap w:val="0"/>
                  <w:vAlign w:val="top"/>
                </w:tcPr>
                <w:p w14:paraId="69532D7A">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0.45%</w:t>
                  </w:r>
                </w:p>
              </w:tc>
              <w:tc>
                <w:tcPr>
                  <w:tcW w:w="1925" w:type="dxa"/>
                  <w:noWrap w:val="0"/>
                  <w:vAlign w:val="center"/>
                </w:tcPr>
                <w:p w14:paraId="34F900AF">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0.36%</w:t>
                  </w:r>
                </w:p>
              </w:tc>
            </w:tr>
          </w:tbl>
          <w:p w14:paraId="1E988B3B">
            <w:pPr>
              <w:pStyle w:val="25"/>
              <w:adjustRightInd w:val="0"/>
              <w:snapToGrid w:val="0"/>
              <w:rPr>
                <w:rFonts w:hint="eastAsia" w:ascii="仿宋_GB2312" w:hAnsi="仿宋" w:eastAsia="仿宋_GB2312"/>
                <w:sz w:val="24"/>
                <w:highlight w:val="none"/>
              </w:rPr>
            </w:pPr>
          </w:p>
          <w:p w14:paraId="0B10EAF0">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2.结算方式及时间为：在</w:t>
            </w:r>
            <w:r>
              <w:rPr>
                <w:rFonts w:hint="eastAsia" w:ascii="仿宋_GB2312" w:hAnsi="仿宋" w:eastAsia="仿宋_GB2312"/>
                <w:sz w:val="24"/>
                <w:highlight w:val="none"/>
                <w:lang w:val="en-US" w:eastAsia="zh-CN"/>
              </w:rPr>
              <w:t>结果公告发布5个工作日内</w:t>
            </w:r>
            <w:r>
              <w:rPr>
                <w:rFonts w:hint="eastAsia" w:ascii="仿宋_GB2312" w:hAnsi="仿宋" w:eastAsia="仿宋_GB2312"/>
                <w:sz w:val="24"/>
                <w:highlight w:val="none"/>
              </w:rPr>
              <w:t>由</w:t>
            </w:r>
            <w:r>
              <w:rPr>
                <w:rFonts w:hint="eastAsia" w:ascii="仿宋_GB2312" w:hAnsi="仿宋" w:eastAsia="仿宋_GB2312"/>
                <w:sz w:val="24"/>
                <w:highlight w:val="none"/>
                <w:lang w:val="en-US" w:eastAsia="zh-CN"/>
              </w:rPr>
              <w:t>中标</w:t>
            </w:r>
            <w:r>
              <w:rPr>
                <w:rFonts w:hint="eastAsia" w:ascii="仿宋_GB2312" w:hAnsi="仿宋" w:eastAsia="仿宋_GB2312"/>
                <w:sz w:val="24"/>
                <w:highlight w:val="none"/>
              </w:rPr>
              <w:t>人一次性向采购代理机构付清。</w:t>
            </w:r>
          </w:p>
          <w:p w14:paraId="7E34DDF5">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3.代理机构账号信息：</w:t>
            </w:r>
          </w:p>
          <w:p w14:paraId="16DE1539">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（1）收款人（全称）：浙江国际招投标有限公司</w:t>
            </w:r>
          </w:p>
          <w:p w14:paraId="0290D718">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（2）开户银行：中国工商银行杭州武林支行</w:t>
            </w:r>
          </w:p>
          <w:p w14:paraId="17CA71D7">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（3）帐    号：1202 0212 0990 6782 015</w:t>
            </w:r>
          </w:p>
          <w:p w14:paraId="50083FB4">
            <w:pPr>
              <w:pStyle w:val="25"/>
              <w:adjustRightInd w:val="0"/>
              <w:snapToGrid w:val="0"/>
              <w:rPr>
                <w:rFonts w:hint="eastAsia" w:eastAsia="仿宋"/>
                <w:highlight w:val="none"/>
                <w:lang w:val="en-US" w:eastAsia="zh-CN"/>
              </w:rPr>
            </w:pPr>
            <w:r>
              <w:rPr>
                <w:rFonts w:hint="eastAsia" w:ascii="仿宋_GB2312" w:hAnsi="仿宋" w:eastAsia="仿宋_GB2312"/>
                <w:sz w:val="24"/>
                <w:highlight w:val="none"/>
                <w:lang w:val="en-US" w:eastAsia="zh-CN"/>
              </w:rPr>
              <w:t>4、中标、成交供应商放弃中标、成交资格导致重新采购的，应当承担支付代理费和专家评审费等费用在内的赔偿责任。</w:t>
            </w:r>
          </w:p>
        </w:tc>
      </w:tr>
      <w:tr w14:paraId="44C94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noWrap/>
            <w:vAlign w:val="center"/>
          </w:tcPr>
          <w:p w14:paraId="7EEA2A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p w14:paraId="41FB284A">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restart"/>
            <w:tcBorders>
              <w:top w:val="single" w:color="000000" w:sz="8" w:space="0"/>
              <w:left w:val="single" w:color="000000" w:sz="2" w:space="0"/>
              <w:bottom w:val="single" w:color="000000" w:sz="8" w:space="0"/>
              <w:right w:val="single" w:color="000000" w:sz="8" w:space="0"/>
            </w:tcBorders>
            <w:noWrap/>
            <w:vAlign w:val="center"/>
          </w:tcPr>
          <w:p w14:paraId="7B9C7FFA">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14:paraId="50BE2E4F">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323D8361">
            <w:pPr>
              <w:pStyle w:val="25"/>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lang w:val="en-US" w:eastAsia="zh-CN"/>
              </w:rPr>
              <w:t>以联合体形式参与投标的，</w:t>
            </w:r>
            <w:r>
              <w:rPr>
                <w:rFonts w:hint="eastAsia" w:ascii="仿宋" w:hAnsi="仿宋" w:eastAsia="仿宋" w:cs="仿宋"/>
                <w:kern w:val="28"/>
                <w:sz w:val="24"/>
                <w:szCs w:val="24"/>
                <w:highlight w:val="none"/>
              </w:rPr>
              <w:t>资格文件中：</w:t>
            </w:r>
          </w:p>
          <w:p w14:paraId="1A900919">
            <w:pPr>
              <w:pStyle w:val="25"/>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1、联合体各方均应提供“符合参加采购活动应当具备的一般条件的承诺函”，否则资格审查不通过。（承诺函格式见采购文件第六</w:t>
            </w:r>
            <w:r>
              <w:rPr>
                <w:rFonts w:hint="eastAsia" w:ascii="仿宋" w:hAnsi="仿宋" w:eastAsia="仿宋" w:cs="仿宋"/>
                <w:kern w:val="28"/>
                <w:sz w:val="24"/>
                <w:szCs w:val="24"/>
                <w:highlight w:val="none"/>
                <w:lang w:val="en-US" w:eastAsia="zh-CN"/>
              </w:rPr>
              <w:t>部分</w:t>
            </w:r>
            <w:r>
              <w:rPr>
                <w:rFonts w:hint="eastAsia" w:ascii="仿宋" w:hAnsi="仿宋" w:eastAsia="仿宋" w:cs="仿宋"/>
                <w:kern w:val="28"/>
                <w:sz w:val="24"/>
                <w:szCs w:val="24"/>
                <w:highlight w:val="none"/>
              </w:rPr>
              <w:t>）</w:t>
            </w:r>
          </w:p>
          <w:p w14:paraId="43CC2B31">
            <w:pPr>
              <w:pStyle w:val="25"/>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kern w:val="28"/>
                <w:sz w:val="24"/>
                <w:szCs w:val="24"/>
                <w:highlight w:val="none"/>
              </w:rPr>
              <w:t>2、资格文件中必须提供联合协议</w:t>
            </w:r>
            <w:r>
              <w:rPr>
                <w:rFonts w:hint="eastAsia" w:ascii="仿宋" w:hAnsi="仿宋" w:eastAsia="仿宋" w:cs="仿宋"/>
                <w:kern w:val="28"/>
                <w:sz w:val="24"/>
                <w:szCs w:val="24"/>
                <w:highlight w:val="none"/>
                <w:lang w:eastAsia="zh-CN"/>
              </w:rPr>
              <w:t>，</w:t>
            </w:r>
            <w:r>
              <w:rPr>
                <w:rFonts w:hint="eastAsia" w:ascii="仿宋" w:hAnsi="仿宋" w:eastAsia="仿宋" w:cs="仿宋"/>
                <w:kern w:val="28"/>
                <w:sz w:val="24"/>
                <w:szCs w:val="24"/>
                <w:highlight w:val="none"/>
              </w:rPr>
              <w:t>否则资格审查不通过。（联合协议格式见采购文件第六</w:t>
            </w:r>
            <w:r>
              <w:rPr>
                <w:rFonts w:hint="eastAsia" w:ascii="仿宋" w:hAnsi="仿宋" w:eastAsia="仿宋" w:cs="仿宋"/>
                <w:kern w:val="28"/>
                <w:sz w:val="24"/>
                <w:szCs w:val="24"/>
                <w:highlight w:val="none"/>
                <w:lang w:val="en-US" w:eastAsia="zh-CN"/>
              </w:rPr>
              <w:t>部分</w:t>
            </w:r>
            <w:r>
              <w:rPr>
                <w:rFonts w:hint="eastAsia" w:ascii="仿宋" w:hAnsi="仿宋" w:eastAsia="仿宋" w:cs="仿宋"/>
                <w:kern w:val="28"/>
                <w:sz w:val="24"/>
                <w:szCs w:val="24"/>
                <w:highlight w:val="none"/>
              </w:rPr>
              <w:t>）</w:t>
            </w:r>
          </w:p>
        </w:tc>
      </w:tr>
      <w:tr w14:paraId="2F3E7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left w:val="single" w:color="000000" w:sz="8" w:space="0"/>
              <w:right w:val="single" w:color="000000" w:sz="2" w:space="0"/>
            </w:tcBorders>
            <w:noWrap/>
            <w:vAlign w:val="center"/>
          </w:tcPr>
          <w:p w14:paraId="4F749147">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ign w:val="center"/>
          </w:tcPr>
          <w:p w14:paraId="71BE84F8">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13B0070">
            <w:pPr>
              <w:pStyle w:val="25"/>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4658D1D0">
            <w:pPr>
              <w:pStyle w:val="25"/>
              <w:adjustRightInd w:val="0"/>
              <w:snapToGrid w:val="0"/>
              <w:spacing w:line="400" w:lineRule="exact"/>
              <w:rPr>
                <w:rFonts w:hint="eastAsia" w:ascii="仿宋" w:hAnsi="仿宋" w:eastAsia="仿宋" w:cs="仿宋"/>
                <w:color w:val="auto"/>
                <w:kern w:val="28"/>
                <w:sz w:val="24"/>
                <w:szCs w:val="24"/>
                <w:highlight w:val="none"/>
              </w:rPr>
            </w:pPr>
            <w:r>
              <w:rPr>
                <w:rFonts w:ascii="Segoe UI Symbol" w:hAnsi="Segoe UI Symbol" w:eastAsia="仿宋" w:cs="Segoe UI Symbol"/>
                <w:color w:val="auto"/>
                <w:kern w:val="28"/>
                <w:sz w:val="24"/>
                <w:szCs w:val="24"/>
                <w:highlight w:val="none"/>
              </w:rPr>
              <w:t>☐</w:t>
            </w: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6E2DCCBB">
            <w:pPr>
              <w:pStyle w:val="25"/>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w:char="00FE"/>
            </w:r>
            <w:r>
              <w:rPr>
                <w:rFonts w:hint="eastAsia" w:ascii="仿宋" w:hAnsi="仿宋" w:eastAsia="仿宋" w:cs="仿宋"/>
                <w:color w:val="auto"/>
                <w:kern w:val="28"/>
                <w:sz w:val="24"/>
                <w:szCs w:val="24"/>
                <w:highlight w:val="none"/>
              </w:rPr>
              <w:t>联合体投标的，由联合体牵头方出具相应的业绩证明材料。</w:t>
            </w:r>
          </w:p>
          <w:p w14:paraId="18F39614">
            <w:pPr>
              <w:pStyle w:val="25"/>
              <w:adjustRightInd w:val="0"/>
              <w:snapToGrid w:val="0"/>
              <w:rPr>
                <w:rFonts w:hint="eastAsia" w:ascii="仿宋" w:hAnsi="仿宋" w:eastAsia="仿宋" w:cs="仿宋"/>
                <w:color w:val="auto"/>
                <w:kern w:val="28"/>
                <w:sz w:val="24"/>
                <w:szCs w:val="24"/>
                <w:highlight w:val="none"/>
                <w:lang w:val="en-US" w:eastAsia="zh-CN"/>
              </w:rPr>
            </w:pPr>
            <w:r>
              <w:rPr>
                <w:rFonts w:ascii="Segoe UI Symbol" w:hAnsi="Segoe UI Symbol" w:eastAsia="仿宋" w:cs="Segoe UI Symbol"/>
                <w:color w:val="auto"/>
                <w:kern w:val="28"/>
                <w:sz w:val="24"/>
                <w:szCs w:val="24"/>
                <w:highlight w:val="none"/>
              </w:rPr>
              <w:t>☐</w:t>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          </w:t>
            </w:r>
          </w:p>
        </w:tc>
      </w:tr>
      <w:tr w14:paraId="48B7A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top w:val="single" w:color="auto" w:sz="4" w:space="0"/>
              <w:left w:val="single" w:color="000000" w:sz="8" w:space="0"/>
              <w:bottom w:val="single" w:color="auto" w:sz="4" w:space="0"/>
              <w:right w:val="single" w:color="000000" w:sz="2" w:space="0"/>
            </w:tcBorders>
            <w:noWrap/>
            <w:vAlign w:val="center"/>
          </w:tcPr>
          <w:p w14:paraId="5D6BF14D">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ign w:val="center"/>
          </w:tcPr>
          <w:p w14:paraId="3DD65EC2">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EEE7718">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35B0DE6F">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799099DD">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A8"/>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2D7AF849">
            <w:pPr>
              <w:pStyle w:val="25"/>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bl>
    <w:p w14:paraId="614F32CA">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14:paraId="1AD668A8">
      <w:pPr>
        <w:rPr>
          <w:rFonts w:ascii="仿宋" w:hAnsi="仿宋" w:eastAsia="仿宋" w:cs="仿宋"/>
          <w:color w:val="auto"/>
          <w:szCs w:val="21"/>
          <w:highlight w:val="none"/>
        </w:rPr>
      </w:pPr>
    </w:p>
    <w:p w14:paraId="65434556">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51566649"/>
      <w:bookmarkStart w:id="4" w:name="_Toc240450076"/>
    </w:p>
    <w:p w14:paraId="3F993478">
      <w:pPr>
        <w:adjustRightInd w:val="0"/>
        <w:snapToGrid w:val="0"/>
        <w:spacing w:before="120" w:beforeLines="50" w:after="120" w:afterLines="50"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28292"/>
      <w:bookmarkStart w:id="6" w:name="_Toc2187"/>
      <w:r>
        <w:rPr>
          <w:rFonts w:hint="eastAsia" w:ascii="仿宋" w:hAnsi="仿宋" w:eastAsia="仿宋" w:cs="仿宋"/>
          <w:b/>
          <w:color w:val="auto"/>
          <w:sz w:val="30"/>
          <w:szCs w:val="30"/>
          <w:highlight w:val="none"/>
        </w:rPr>
        <w:t>第二部分  投标须知</w:t>
      </w:r>
      <w:bookmarkEnd w:id="3"/>
      <w:bookmarkEnd w:id="4"/>
      <w:bookmarkEnd w:id="5"/>
      <w:bookmarkEnd w:id="6"/>
    </w:p>
    <w:p w14:paraId="7C1E7CF2">
      <w:pPr>
        <w:adjustRightInd/>
        <w:spacing w:line="360" w:lineRule="auto"/>
        <w:jc w:val="center"/>
        <w:outlineLvl w:val="1"/>
        <w:rPr>
          <w:rFonts w:hint="eastAsia" w:ascii="仿宋_GB2312" w:hAnsi="仿宋" w:eastAsia="仿宋_GB2312" w:cs="仿宋_GB2312"/>
          <w:b/>
          <w:color w:val="auto"/>
          <w:sz w:val="32"/>
          <w:szCs w:val="20"/>
          <w:highlight w:val="none"/>
        </w:rPr>
      </w:pPr>
      <w:bookmarkStart w:id="7" w:name="_Toc5875"/>
      <w:bookmarkStart w:id="8" w:name="_Toc29733"/>
      <w:bookmarkStart w:id="9" w:name="_Toc3612"/>
      <w:r>
        <w:rPr>
          <w:rFonts w:hint="eastAsia" w:ascii="仿宋_GB2312" w:hAnsi="仿宋" w:eastAsia="仿宋_GB2312" w:cs="仿宋_GB2312"/>
          <w:b/>
          <w:color w:val="auto"/>
          <w:sz w:val="32"/>
          <w:szCs w:val="20"/>
          <w:highlight w:val="none"/>
          <w:lang w:val="en-US" w:eastAsia="zh-CN"/>
        </w:rPr>
        <w:t>一、总则</w:t>
      </w:r>
      <w:bookmarkEnd w:id="7"/>
      <w:bookmarkEnd w:id="8"/>
      <w:bookmarkEnd w:id="9"/>
    </w:p>
    <w:p w14:paraId="16E2F224">
      <w:pPr>
        <w:numPr>
          <w:ilvl w:val="0"/>
          <w:numId w:val="3"/>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适用范围</w:t>
      </w:r>
    </w:p>
    <w:p w14:paraId="66048306">
      <w:pPr>
        <w:snapToGrid w:val="0"/>
        <w:spacing w:line="360" w:lineRule="auto"/>
        <w:ind w:firstLine="480" w:firstLineChars="200"/>
        <w:jc w:val="left"/>
        <w:rPr>
          <w:rFonts w:ascii="仿宋" w:hAnsi="仿宋" w:eastAsia="仿宋"/>
          <w:highlight w:val="none"/>
        </w:rPr>
      </w:pPr>
      <w:r>
        <w:rPr>
          <w:rFonts w:hint="eastAsia" w:ascii="仿宋" w:hAnsi="仿宋" w:eastAsia="仿宋"/>
          <w:sz w:val="24"/>
          <w:highlight w:val="none"/>
        </w:rPr>
        <w:t>本招标文件适用于该项目的招标、投标、开标、资格审查及信用信息查询、评标、定标、合同、验收等行为（法律、法规另有规定的，从其规定）。</w:t>
      </w:r>
    </w:p>
    <w:p w14:paraId="47459842">
      <w:pPr>
        <w:numPr>
          <w:ilvl w:val="0"/>
          <w:numId w:val="3"/>
        </w:numPr>
        <w:tabs>
          <w:tab w:val="left" w:pos="210"/>
        </w:tabs>
        <w:snapToGrid w:val="0"/>
        <w:spacing w:line="360" w:lineRule="auto"/>
        <w:jc w:val="left"/>
        <w:outlineLvl w:val="2"/>
        <w:rPr>
          <w:rFonts w:ascii="仿宋" w:hAnsi="仿宋" w:eastAsia="仿宋"/>
          <w:b/>
          <w:sz w:val="24"/>
          <w:highlight w:val="none"/>
        </w:rPr>
      </w:pPr>
      <w:r>
        <w:rPr>
          <w:rFonts w:ascii="仿宋" w:hAnsi="仿宋" w:eastAsia="仿宋"/>
          <w:b/>
          <w:sz w:val="24"/>
          <w:highlight w:val="none"/>
        </w:rPr>
        <w:t>定义</w:t>
      </w:r>
    </w:p>
    <w:p w14:paraId="78323E26">
      <w:pPr>
        <w:numPr>
          <w:ilvl w:val="1"/>
          <w:numId w:val="3"/>
        </w:numPr>
        <w:spacing w:line="360" w:lineRule="auto"/>
        <w:rPr>
          <w:rFonts w:ascii="仿宋" w:hAnsi="仿宋" w:eastAsia="仿宋"/>
          <w:sz w:val="24"/>
          <w:highlight w:val="none"/>
        </w:rPr>
      </w:pPr>
      <w:r>
        <w:rPr>
          <w:rFonts w:hint="eastAsia" w:ascii="仿宋" w:hAnsi="仿宋" w:eastAsia="仿宋"/>
          <w:sz w:val="24"/>
          <w:highlight w:val="none"/>
        </w:rPr>
        <w:t>“采购人”系指招标公告中载明的本项目的采购人。</w:t>
      </w:r>
    </w:p>
    <w:p w14:paraId="27DF139B">
      <w:pPr>
        <w:numPr>
          <w:ilvl w:val="1"/>
          <w:numId w:val="3"/>
        </w:numPr>
        <w:spacing w:line="360" w:lineRule="auto"/>
        <w:rPr>
          <w:rFonts w:ascii="仿宋" w:hAnsi="仿宋" w:eastAsia="仿宋"/>
          <w:sz w:val="24"/>
          <w:highlight w:val="none"/>
        </w:rPr>
      </w:pPr>
      <w:r>
        <w:rPr>
          <w:rFonts w:hint="eastAsia" w:ascii="仿宋" w:hAnsi="仿宋" w:eastAsia="仿宋"/>
          <w:sz w:val="24"/>
          <w:highlight w:val="none"/>
        </w:rPr>
        <w:t>“采购代理机构”系指招标公告中载明的本项目的采购代理机构。</w:t>
      </w:r>
    </w:p>
    <w:p w14:paraId="60D4B6C5">
      <w:pPr>
        <w:numPr>
          <w:ilvl w:val="1"/>
          <w:numId w:val="3"/>
        </w:numPr>
        <w:spacing w:line="360" w:lineRule="auto"/>
        <w:rPr>
          <w:rFonts w:ascii="仿宋" w:hAnsi="仿宋" w:eastAsia="仿宋"/>
          <w:sz w:val="24"/>
          <w:highlight w:val="none"/>
        </w:rPr>
      </w:pPr>
      <w:r>
        <w:rPr>
          <w:rFonts w:hint="eastAsia" w:ascii="仿宋" w:hAnsi="仿宋" w:eastAsia="仿宋"/>
          <w:sz w:val="24"/>
          <w:highlight w:val="none"/>
        </w:rPr>
        <w:t>“投标人”系指响应招标、参加投标竞争的法人、其他组织或者自然人。</w:t>
      </w:r>
    </w:p>
    <w:p w14:paraId="57627DFB">
      <w:pPr>
        <w:numPr>
          <w:ilvl w:val="1"/>
          <w:numId w:val="3"/>
        </w:numPr>
        <w:spacing w:line="360" w:lineRule="auto"/>
        <w:rPr>
          <w:rFonts w:ascii="仿宋" w:hAnsi="仿宋" w:eastAsia="仿宋"/>
          <w:sz w:val="24"/>
          <w:highlight w:val="none"/>
        </w:rPr>
      </w:pPr>
      <w:r>
        <w:rPr>
          <w:rFonts w:hint="eastAsia" w:ascii="仿宋" w:hAnsi="仿宋" w:eastAsia="仿宋"/>
          <w:sz w:val="24"/>
          <w:highlight w:val="none"/>
        </w:rPr>
        <w:t>“负责人”系指法人企业的法定负责人，或其他组织为法律、行政法规规定代表单位行使职权的主要负责人，或自然人本人。</w:t>
      </w:r>
    </w:p>
    <w:p w14:paraId="241950EE">
      <w:pPr>
        <w:numPr>
          <w:ilvl w:val="1"/>
          <w:numId w:val="3"/>
        </w:numPr>
        <w:spacing w:line="360" w:lineRule="auto"/>
        <w:rPr>
          <w:rFonts w:ascii="仿宋" w:hAnsi="仿宋" w:eastAsia="仿宋"/>
          <w:sz w:val="24"/>
          <w:highlight w:val="none"/>
        </w:rPr>
      </w:pPr>
      <w:r>
        <w:rPr>
          <w:rFonts w:ascii="仿宋" w:hAnsi="仿宋" w:eastAsia="仿宋"/>
          <w:sz w:val="24"/>
          <w:highlight w:val="none"/>
        </w:rPr>
        <w:t>“电子签名”系指数据电文中以电子形式所含、所附用于识别签名人身份并表明签名人认可其中内容的数据；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 w:hAnsi="仿宋" w:eastAsia="仿宋"/>
          <w:sz w:val="24"/>
          <w:highlight w:val="none"/>
        </w:rPr>
        <w:t>。</w:t>
      </w:r>
    </w:p>
    <w:p w14:paraId="4907DAE9">
      <w:pPr>
        <w:numPr>
          <w:ilvl w:val="1"/>
          <w:numId w:val="3"/>
        </w:numPr>
        <w:spacing w:line="360" w:lineRule="auto"/>
        <w:rPr>
          <w:rFonts w:ascii="仿宋" w:hAnsi="仿宋" w:eastAsia="仿宋"/>
          <w:sz w:val="24"/>
          <w:highlight w:val="none"/>
        </w:rPr>
      </w:pPr>
      <w:r>
        <w:rPr>
          <w:rFonts w:ascii="仿宋" w:hAnsi="仿宋" w:eastAsia="仿宋"/>
          <w:sz w:val="24"/>
          <w:highlight w:val="none"/>
        </w:rPr>
        <w:t>“电子交易平台”是指本项目政府采购活动所依托的政府采购云平台（https://www.zcygov.cn/）。</w:t>
      </w:r>
    </w:p>
    <w:p w14:paraId="38721FE3">
      <w:pPr>
        <w:numPr>
          <w:ilvl w:val="1"/>
          <w:numId w:val="3"/>
        </w:numPr>
        <w:spacing w:line="360" w:lineRule="auto"/>
        <w:rPr>
          <w:rFonts w:ascii="仿宋" w:hAnsi="仿宋" w:eastAsia="仿宋"/>
          <w:b/>
          <w:sz w:val="24"/>
          <w:highlight w:val="none"/>
        </w:rPr>
      </w:pPr>
      <w:r>
        <w:rPr>
          <w:rFonts w:hint="eastAsia" w:ascii="仿宋" w:hAnsi="仿宋" w:eastAsia="仿宋"/>
          <w:sz w:val="24"/>
          <w:highlight w:val="none"/>
        </w:rPr>
        <w:t>“▲” 系指实质性要求条款，“★”系关键技术指标，“</w:t>
      </w:r>
      <w:r>
        <w:rPr>
          <w:rFonts w:hint="eastAsia" w:ascii="仿宋" w:hAnsi="仿宋" w:eastAsia="仿宋" w:cs="仿宋"/>
          <w:kern w:val="28"/>
          <w:sz w:val="24"/>
          <w:highlight w:val="none"/>
        </w:rPr>
        <w:sym w:font="Wingdings" w:char="00FE"/>
      </w:r>
      <w:r>
        <w:rPr>
          <w:rFonts w:hint="eastAsia" w:ascii="仿宋" w:hAnsi="仿宋" w:eastAsia="仿宋"/>
          <w:sz w:val="24"/>
          <w:highlight w:val="none"/>
        </w:rPr>
        <w:t>” 系指适用本项目的要求，“</w:t>
      </w:r>
      <w:r>
        <w:rPr>
          <w:rFonts w:ascii="Segoe UI Symbol" w:hAnsi="Segoe UI Symbol" w:eastAsia="仿宋" w:cs="Segoe UI Symbol"/>
          <w:sz w:val="24"/>
          <w:highlight w:val="none"/>
        </w:rPr>
        <w:t>☐</w:t>
      </w:r>
      <w:r>
        <w:rPr>
          <w:rFonts w:hint="eastAsia" w:ascii="仿宋" w:hAnsi="仿宋" w:eastAsia="仿宋"/>
          <w:sz w:val="24"/>
          <w:highlight w:val="none"/>
        </w:rPr>
        <w:t>” 系指不适用本项目的要求。</w:t>
      </w:r>
    </w:p>
    <w:p w14:paraId="1297DD48">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采购项目需要落实的政府采购政策</w:t>
      </w:r>
    </w:p>
    <w:p w14:paraId="6B156EA0">
      <w:pPr>
        <w:numPr>
          <w:ilvl w:val="1"/>
          <w:numId w:val="3"/>
        </w:numPr>
        <w:spacing w:line="360" w:lineRule="auto"/>
        <w:rPr>
          <w:rFonts w:ascii="仿宋" w:hAnsi="仿宋" w:eastAsia="仿宋"/>
          <w:sz w:val="24"/>
          <w:highlight w:val="none"/>
        </w:rPr>
      </w:pPr>
      <w:r>
        <w:rPr>
          <w:rFonts w:hint="eastAsia" w:ascii="仿宋" w:hAnsi="仿宋" w:eastAsia="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89824B3">
      <w:pPr>
        <w:numPr>
          <w:ilvl w:val="1"/>
          <w:numId w:val="3"/>
        </w:numPr>
        <w:spacing w:line="360" w:lineRule="auto"/>
        <w:rPr>
          <w:rFonts w:ascii="仿宋" w:hAnsi="仿宋" w:eastAsia="仿宋"/>
          <w:sz w:val="24"/>
          <w:highlight w:val="none"/>
        </w:rPr>
      </w:pPr>
      <w:r>
        <w:rPr>
          <w:rFonts w:hint="eastAsia" w:ascii="仿宋" w:hAnsi="仿宋" w:eastAsia="仿宋"/>
          <w:sz w:val="24"/>
          <w:highlight w:val="none"/>
        </w:rPr>
        <w:t>支持绿色发展</w:t>
      </w:r>
    </w:p>
    <w:p w14:paraId="7F768E93">
      <w:pPr>
        <w:numPr>
          <w:ilvl w:val="2"/>
          <w:numId w:val="3"/>
        </w:numPr>
        <w:spacing w:line="360" w:lineRule="auto"/>
        <w:rPr>
          <w:rFonts w:hint="eastAsia" w:ascii="仿宋" w:hAnsi="仿宋" w:eastAsia="仿宋"/>
          <w:sz w:val="24"/>
          <w:highlight w:val="none"/>
        </w:rPr>
      </w:pPr>
      <w:r>
        <w:rPr>
          <w:rFonts w:hint="eastAsia" w:ascii="仿宋" w:hAnsi="仿宋" w:eastAsia="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0A792ED">
      <w:pPr>
        <w:spacing w:line="360" w:lineRule="auto"/>
        <w:ind w:firstLine="480" w:firstLineChars="200"/>
        <w:rPr>
          <w:rFonts w:ascii="仿宋" w:hAnsi="仿宋" w:eastAsia="仿宋"/>
          <w:b/>
          <w:sz w:val="24"/>
          <w:highlight w:val="none"/>
        </w:rPr>
      </w:pPr>
      <w:r>
        <w:rPr>
          <w:rFonts w:ascii="仿宋" w:hAnsi="仿宋" w:eastAsia="仿宋"/>
          <w:sz w:val="24"/>
          <w:highlight w:val="none"/>
        </w:rPr>
        <w:t>▲</w:t>
      </w:r>
      <w:r>
        <w:rPr>
          <w:rFonts w:hint="eastAsia" w:ascii="仿宋" w:hAnsi="仿宋" w:eastAsia="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EE95BE4">
      <w:pPr>
        <w:numPr>
          <w:ilvl w:val="2"/>
          <w:numId w:val="3"/>
        </w:numPr>
        <w:spacing w:line="360" w:lineRule="auto"/>
        <w:rPr>
          <w:rFonts w:hint="eastAsia" w:ascii="仿宋" w:hAnsi="仿宋" w:eastAsia="仿宋"/>
          <w:sz w:val="24"/>
          <w:highlight w:val="none"/>
        </w:rPr>
      </w:pPr>
      <w:r>
        <w:rPr>
          <w:rFonts w:hint="eastAsia" w:ascii="仿宋" w:hAnsi="仿宋" w:eastAsia="仿宋"/>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1BF454B3">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w:t>
      </w:r>
      <w:r>
        <w:rPr>
          <w:rFonts w:hint="eastAsia" w:ascii="仿宋_GB2312" w:hAnsi="仿宋" w:eastAsia="仿宋_GB2312"/>
          <w:color w:val="auto"/>
          <w:sz w:val="24"/>
          <w:highlight w:val="none"/>
        </w:rPr>
        <w:t>试行）》。鼓励采购单位优先采购秸秆环保板材等资源综合利用产品。鼓励采购单位优先采购绿色物流配送服务、提供新能源交通工具的租赁服务。</w:t>
      </w:r>
    </w:p>
    <w:p w14:paraId="48F176B1">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0033C0">
      <w:pPr>
        <w:numPr>
          <w:ilvl w:val="1"/>
          <w:numId w:val="3"/>
        </w:numPr>
        <w:spacing w:line="360" w:lineRule="auto"/>
        <w:rPr>
          <w:rFonts w:hint="eastAsia" w:ascii="仿宋" w:hAnsi="仿宋" w:eastAsia="仿宋"/>
          <w:sz w:val="24"/>
          <w:highlight w:val="none"/>
        </w:rPr>
      </w:pPr>
      <w:r>
        <w:rPr>
          <w:rFonts w:hint="eastAsia" w:ascii="仿宋" w:hAnsi="仿宋" w:eastAsia="仿宋"/>
          <w:sz w:val="24"/>
          <w:highlight w:val="none"/>
        </w:rPr>
        <w:t>支持中小企业发展</w:t>
      </w:r>
    </w:p>
    <w:p w14:paraId="421E045C">
      <w:pPr>
        <w:numPr>
          <w:ilvl w:val="2"/>
          <w:numId w:val="3"/>
        </w:numPr>
        <w:spacing w:line="360" w:lineRule="auto"/>
        <w:rPr>
          <w:rFonts w:ascii="仿宋" w:hAnsi="仿宋" w:eastAsia="仿宋"/>
          <w:sz w:val="24"/>
          <w:highlight w:val="none"/>
        </w:rPr>
      </w:pPr>
      <w:r>
        <w:rPr>
          <w:rFonts w:ascii="仿宋" w:hAnsi="仿宋" w:eastAsia="仿宋"/>
          <w:b/>
          <w:bCs/>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907041B">
      <w:pPr>
        <w:spacing w:line="360" w:lineRule="auto"/>
        <w:ind w:firstLine="840" w:firstLineChars="350"/>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14:paraId="0317FCDC">
      <w:pPr>
        <w:numPr>
          <w:ilvl w:val="2"/>
          <w:numId w:val="3"/>
        </w:numPr>
        <w:spacing w:line="360" w:lineRule="auto"/>
        <w:rPr>
          <w:rFonts w:hint="eastAsia" w:ascii="仿宋" w:hAnsi="仿宋" w:eastAsia="仿宋"/>
          <w:sz w:val="24"/>
          <w:highlight w:val="none"/>
        </w:rPr>
      </w:pPr>
      <w:r>
        <w:rPr>
          <w:rFonts w:hint="eastAsia" w:ascii="仿宋" w:hAnsi="仿宋" w:eastAsia="仿宋"/>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126ECE14">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14:paraId="198E5CA6">
      <w:pPr>
        <w:numPr>
          <w:ilvl w:val="2"/>
          <w:numId w:val="3"/>
        </w:numPr>
        <w:spacing w:line="360" w:lineRule="auto"/>
        <w:rPr>
          <w:rFonts w:hint="eastAsia" w:ascii="仿宋" w:hAnsi="仿宋" w:eastAsia="仿宋"/>
          <w:sz w:val="24"/>
          <w:highlight w:val="none"/>
        </w:rPr>
      </w:pPr>
      <w:r>
        <w:rPr>
          <w:rFonts w:hint="eastAsia" w:ascii="仿宋" w:hAnsi="仿宋" w:eastAsia="仿宋"/>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b/>
          <w:bCs/>
          <w:sz w:val="24"/>
          <w:highlight w:val="none"/>
        </w:rPr>
        <w:t>10%</w:t>
      </w:r>
      <w:r>
        <w:rPr>
          <w:rFonts w:hint="eastAsia" w:ascii="仿宋" w:hAnsi="仿宋" w:eastAsia="仿宋"/>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b/>
          <w:bCs/>
          <w:sz w:val="24"/>
          <w:highlight w:val="none"/>
        </w:rPr>
        <w:t>4%</w:t>
      </w:r>
      <w:r>
        <w:rPr>
          <w:rFonts w:hint="eastAsia" w:ascii="仿宋" w:hAnsi="仿宋" w:eastAsia="仿宋"/>
          <w:sz w:val="24"/>
          <w:highlight w:val="none"/>
        </w:rPr>
        <w:t>的扣除，用扣除后的价格参加评审。组成联合体或者接受分包的小微企业与联合体内其他企业、分包企业之间存在直接控股、管理关系的，不享受价格扣除优惠政策。</w:t>
      </w:r>
    </w:p>
    <w:p w14:paraId="7400BFB3">
      <w:pPr>
        <w:numPr>
          <w:ilvl w:val="2"/>
          <w:numId w:val="3"/>
        </w:numPr>
        <w:spacing w:line="360" w:lineRule="auto"/>
        <w:rPr>
          <w:rFonts w:hint="eastAsia" w:ascii="仿宋" w:hAnsi="仿宋" w:eastAsia="仿宋"/>
          <w:sz w:val="24"/>
          <w:highlight w:val="none"/>
        </w:rPr>
      </w:pPr>
      <w:r>
        <w:rPr>
          <w:rFonts w:hint="eastAsia" w:ascii="仿宋" w:hAnsi="仿宋" w:eastAsia="仿宋"/>
          <w:sz w:val="24"/>
          <w:highlight w:val="none"/>
        </w:rPr>
        <w:t>符合《关于促进残疾人就业政府采购政策的通知》（财库〔2017〕141号）规定的条件并提供《残疾人福利性单位声明函》（附件1）的残疾人福利性单位视同小型、微型企业；</w:t>
      </w:r>
    </w:p>
    <w:p w14:paraId="790A3E4F">
      <w:pPr>
        <w:numPr>
          <w:ilvl w:val="2"/>
          <w:numId w:val="3"/>
        </w:numPr>
        <w:spacing w:line="360" w:lineRule="auto"/>
        <w:rPr>
          <w:rFonts w:hint="eastAsia" w:ascii="仿宋" w:hAnsi="仿宋" w:eastAsia="仿宋"/>
          <w:sz w:val="24"/>
          <w:highlight w:val="none"/>
        </w:rPr>
      </w:pPr>
      <w:r>
        <w:rPr>
          <w:rFonts w:hint="eastAsia" w:ascii="仿宋" w:hAnsi="仿宋" w:eastAsia="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ED72A7D">
      <w:pPr>
        <w:numPr>
          <w:ilvl w:val="2"/>
          <w:numId w:val="3"/>
        </w:numPr>
        <w:spacing w:line="360" w:lineRule="auto"/>
        <w:rPr>
          <w:rFonts w:hint="eastAsia" w:ascii="仿宋" w:hAnsi="仿宋" w:eastAsia="仿宋"/>
          <w:sz w:val="24"/>
          <w:highlight w:val="none"/>
        </w:rPr>
      </w:pPr>
      <w:r>
        <w:rPr>
          <w:rFonts w:hint="eastAsia" w:ascii="仿宋" w:hAnsi="仿宋" w:eastAsia="仿宋"/>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A709A2">
      <w:pPr>
        <w:numPr>
          <w:ilvl w:val="2"/>
          <w:numId w:val="3"/>
        </w:numPr>
        <w:spacing w:line="360" w:lineRule="auto"/>
        <w:rPr>
          <w:rFonts w:hint="eastAsia" w:ascii="仿宋" w:hAnsi="仿宋" w:eastAsia="仿宋"/>
          <w:sz w:val="24"/>
          <w:highlight w:val="none"/>
        </w:rPr>
      </w:pPr>
      <w:r>
        <w:rPr>
          <w:rFonts w:hint="eastAsia" w:ascii="仿宋" w:hAnsi="仿宋" w:eastAsia="仿宋"/>
          <w:sz w:val="24"/>
          <w:highlight w:val="none"/>
        </w:rPr>
        <w:t>中小企业享受扶持政策获得政府采购合同的，小微企业不得将合同分包给大中型企业，中型企业不得将合同分包给大型企业。</w:t>
      </w:r>
    </w:p>
    <w:p w14:paraId="2B95AB53">
      <w:pPr>
        <w:numPr>
          <w:ilvl w:val="1"/>
          <w:numId w:val="3"/>
        </w:numPr>
        <w:spacing w:line="360" w:lineRule="auto"/>
        <w:rPr>
          <w:rFonts w:hint="eastAsia" w:ascii="仿宋" w:hAnsi="仿宋" w:eastAsia="仿宋"/>
          <w:sz w:val="24"/>
          <w:highlight w:val="none"/>
        </w:rPr>
      </w:pPr>
      <w:r>
        <w:rPr>
          <w:rFonts w:hint="eastAsia" w:ascii="仿宋" w:hAnsi="仿宋" w:eastAsia="仿宋"/>
          <w:sz w:val="24"/>
          <w:highlight w:val="none"/>
        </w:rPr>
        <w:t>支持创新发展</w:t>
      </w:r>
    </w:p>
    <w:p w14:paraId="2C8C23C1">
      <w:pPr>
        <w:numPr>
          <w:ilvl w:val="2"/>
          <w:numId w:val="3"/>
        </w:numPr>
        <w:spacing w:line="360" w:lineRule="auto"/>
        <w:rPr>
          <w:rFonts w:ascii="仿宋" w:hAnsi="仿宋" w:eastAsia="仿宋"/>
          <w:sz w:val="24"/>
          <w:highlight w:val="none"/>
        </w:rPr>
      </w:pPr>
      <w:r>
        <w:rPr>
          <w:rFonts w:ascii="仿宋" w:hAnsi="仿宋" w:eastAsia="仿宋"/>
          <w:sz w:val="24"/>
          <w:highlight w:val="none"/>
        </w:rPr>
        <w:t>采购人优先采购被认定</w:t>
      </w:r>
      <w:r>
        <w:rPr>
          <w:rFonts w:hint="eastAsia" w:ascii="仿宋" w:hAnsi="仿宋" w:eastAsia="仿宋"/>
          <w:sz w:val="24"/>
          <w:highlight w:val="none"/>
        </w:rPr>
        <w:t>为首台套产品和“制造精品”的自主创新产品。</w:t>
      </w:r>
    </w:p>
    <w:p w14:paraId="586E5B77">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5CF8417">
      <w:pPr>
        <w:numPr>
          <w:ilvl w:val="1"/>
          <w:numId w:val="3"/>
        </w:numPr>
        <w:spacing w:line="360" w:lineRule="auto"/>
        <w:rPr>
          <w:rFonts w:hint="eastAsia" w:ascii="仿宋" w:hAnsi="仿宋" w:eastAsia="仿宋"/>
          <w:sz w:val="24"/>
          <w:highlight w:val="none"/>
        </w:rPr>
      </w:pPr>
      <w:r>
        <w:rPr>
          <w:rFonts w:hint="eastAsia" w:ascii="仿宋" w:hAnsi="仿宋" w:eastAsia="仿宋"/>
          <w:sz w:val="24"/>
          <w:highlight w:val="none"/>
        </w:rPr>
        <w:t>平等对待内外资企业和符合条件的破产重整企业</w:t>
      </w:r>
    </w:p>
    <w:p w14:paraId="7B847B24">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平等对待内外资企业和符合条件的破产重整企业，切实保障企业公平竞争，平等维护企业的合法利益。</w:t>
      </w:r>
    </w:p>
    <w:p w14:paraId="0BD309FF">
      <w:pPr>
        <w:numPr>
          <w:ilvl w:val="1"/>
          <w:numId w:val="3"/>
        </w:numPr>
        <w:spacing w:line="360" w:lineRule="auto"/>
        <w:rPr>
          <w:rFonts w:hint="eastAsia" w:ascii="仿宋" w:hAnsi="仿宋" w:eastAsia="仿宋"/>
          <w:sz w:val="24"/>
          <w:highlight w:val="none"/>
        </w:rPr>
      </w:pPr>
      <w:r>
        <w:rPr>
          <w:rFonts w:hint="eastAsia" w:ascii="仿宋" w:hAnsi="仿宋" w:eastAsia="仿宋"/>
          <w:sz w:val="24"/>
          <w:highlight w:val="none"/>
        </w:rPr>
        <w:t>中小企业信用融资：为支持和促进中小企业发展，进一步发挥政府采购政策功能，</w:t>
      </w: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849C528">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询问、质疑、投诉</w:t>
      </w:r>
    </w:p>
    <w:p w14:paraId="7B8A4083">
      <w:pPr>
        <w:numPr>
          <w:ilvl w:val="1"/>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8ED4A6">
      <w:pPr>
        <w:numPr>
          <w:ilvl w:val="1"/>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供应商询问</w:t>
      </w:r>
    </w:p>
    <w:p w14:paraId="2FF3D60A">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供应商对政府采购活动事项有疑问的，可以提出询问，采购人或者采购代理机构应当在</w:t>
      </w:r>
      <w:r>
        <w:rPr>
          <w:rFonts w:ascii="仿宋" w:hAnsi="仿宋" w:eastAsia="仿宋" w:cs="微软雅黑"/>
          <w:kern w:val="0"/>
          <w:sz w:val="24"/>
          <w:highlight w:val="none"/>
          <w:lang w:val="zh-CN"/>
        </w:rPr>
        <w:t>3个工作日内对供应</w:t>
      </w:r>
      <w:r>
        <w:rPr>
          <w:rFonts w:hint="eastAsia" w:ascii="仿宋" w:hAnsi="仿宋" w:eastAsia="仿宋"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57FCBBE1">
      <w:pPr>
        <w:numPr>
          <w:ilvl w:val="1"/>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供应商质疑</w:t>
      </w:r>
    </w:p>
    <w:p w14:paraId="49548B73">
      <w:pPr>
        <w:numPr>
          <w:ilvl w:val="2"/>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提出质疑的供应商应当是参与所质疑项目采购活动的供应商。潜在供应商已依法获取其可质疑的招标文件的，可以对该文件提出质疑。</w:t>
      </w:r>
    </w:p>
    <w:p w14:paraId="4F2803CF">
      <w:pPr>
        <w:numPr>
          <w:ilvl w:val="2"/>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4C0613">
      <w:pPr>
        <w:numPr>
          <w:ilvl w:val="3"/>
          <w:numId w:val="3"/>
        </w:numPr>
        <w:tabs>
          <w:tab w:val="left" w:pos="210"/>
          <w:tab w:val="left" w:pos="1050"/>
        </w:tabs>
        <w:snapToGrid w:val="0"/>
        <w:spacing w:line="360" w:lineRule="auto"/>
        <w:ind w:left="1050" w:hanging="1050"/>
        <w:jc w:val="left"/>
        <w:rPr>
          <w:rFonts w:hint="eastAsia" w:ascii="仿宋" w:hAnsi="仿宋" w:eastAsia="仿宋"/>
          <w:bCs/>
          <w:sz w:val="24"/>
          <w:highlight w:val="none"/>
          <w:lang w:val="zh-CN"/>
        </w:rPr>
      </w:pPr>
      <w:r>
        <w:rPr>
          <w:rFonts w:hint="eastAsia" w:ascii="仿宋" w:hAnsi="仿宋" w:eastAsia="仿宋"/>
          <w:bCs/>
          <w:sz w:val="24"/>
          <w:highlight w:val="none"/>
          <w:lang w:val="zh-CN"/>
        </w:rPr>
        <w:t>对招标文件提出质疑的，质疑期限为供应商获得招标文件之日或者招标文件公告期限届满之日起计算。</w:t>
      </w:r>
    </w:p>
    <w:p w14:paraId="05985468">
      <w:pPr>
        <w:numPr>
          <w:ilvl w:val="3"/>
          <w:numId w:val="3"/>
        </w:numPr>
        <w:tabs>
          <w:tab w:val="left" w:pos="210"/>
          <w:tab w:val="left" w:pos="1050"/>
        </w:tabs>
        <w:snapToGrid w:val="0"/>
        <w:spacing w:line="360" w:lineRule="auto"/>
        <w:ind w:left="1050" w:hanging="1050"/>
        <w:jc w:val="left"/>
        <w:rPr>
          <w:rFonts w:hint="eastAsia" w:ascii="仿宋" w:hAnsi="仿宋" w:eastAsia="仿宋"/>
          <w:bCs/>
          <w:sz w:val="24"/>
          <w:highlight w:val="none"/>
          <w:lang w:val="zh-CN"/>
        </w:rPr>
      </w:pPr>
      <w:r>
        <w:rPr>
          <w:rFonts w:hint="eastAsia" w:ascii="仿宋" w:hAnsi="仿宋" w:eastAsia="仿宋"/>
          <w:bCs/>
          <w:sz w:val="24"/>
          <w:highlight w:val="none"/>
          <w:lang w:val="zh-CN"/>
        </w:rPr>
        <w:t>对采购过程提出质疑的，质疑期限为各采购程序环节结束之日起计算。</w:t>
      </w:r>
    </w:p>
    <w:p w14:paraId="28A6535C">
      <w:pPr>
        <w:numPr>
          <w:ilvl w:val="3"/>
          <w:numId w:val="3"/>
        </w:numPr>
        <w:tabs>
          <w:tab w:val="left" w:pos="210"/>
          <w:tab w:val="left" w:pos="1050"/>
        </w:tabs>
        <w:snapToGrid w:val="0"/>
        <w:spacing w:line="360" w:lineRule="auto"/>
        <w:ind w:left="1050" w:hanging="1050"/>
        <w:jc w:val="left"/>
        <w:rPr>
          <w:rFonts w:hint="eastAsia" w:ascii="仿宋" w:hAnsi="仿宋" w:eastAsia="仿宋"/>
          <w:bCs/>
          <w:sz w:val="24"/>
          <w:highlight w:val="none"/>
          <w:lang w:val="zh-CN"/>
        </w:rPr>
      </w:pPr>
      <w:r>
        <w:rPr>
          <w:rFonts w:hint="eastAsia" w:ascii="仿宋" w:hAnsi="仿宋" w:eastAsia="仿宋"/>
          <w:bCs/>
          <w:sz w:val="24"/>
          <w:highlight w:val="none"/>
          <w:lang w:val="zh-CN"/>
        </w:rPr>
        <w:t>对采购结果提出质疑的，质疑期限自采购结果公告期限届满之日起计算。</w:t>
      </w:r>
    </w:p>
    <w:p w14:paraId="79CFBACE">
      <w:pPr>
        <w:numPr>
          <w:ilvl w:val="2"/>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供应商提出质疑应当提交质疑函和必要的证明材料。质疑函应当包括下列内容：</w:t>
      </w:r>
    </w:p>
    <w:p w14:paraId="629A8DA1">
      <w:pPr>
        <w:numPr>
          <w:ilvl w:val="3"/>
          <w:numId w:val="3"/>
        </w:numPr>
        <w:tabs>
          <w:tab w:val="left" w:pos="210"/>
          <w:tab w:val="left" w:pos="1050"/>
        </w:tabs>
        <w:snapToGrid w:val="0"/>
        <w:spacing w:line="360" w:lineRule="auto"/>
        <w:ind w:hanging="210"/>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供应商的姓名或者名称、地址、邮编、联系人及联系电话；</w:t>
      </w:r>
    </w:p>
    <w:p w14:paraId="2478D102">
      <w:pPr>
        <w:numPr>
          <w:ilvl w:val="3"/>
          <w:numId w:val="3"/>
        </w:numPr>
        <w:tabs>
          <w:tab w:val="left" w:pos="210"/>
          <w:tab w:val="left" w:pos="1050"/>
        </w:tabs>
        <w:snapToGrid w:val="0"/>
        <w:spacing w:line="360" w:lineRule="auto"/>
        <w:ind w:hanging="210"/>
        <w:jc w:val="left"/>
        <w:rPr>
          <w:rFonts w:hint="eastAsia" w:ascii="仿宋" w:hAnsi="仿宋" w:eastAsia="仿宋"/>
          <w:bCs/>
          <w:sz w:val="24"/>
          <w:highlight w:val="none"/>
          <w:lang w:val="zh-CN"/>
        </w:rPr>
      </w:pPr>
      <w:r>
        <w:rPr>
          <w:rFonts w:hint="eastAsia" w:ascii="仿宋" w:hAnsi="仿宋" w:eastAsia="仿宋"/>
          <w:bCs/>
          <w:sz w:val="24"/>
          <w:highlight w:val="none"/>
          <w:lang w:val="zh-CN"/>
        </w:rPr>
        <w:t>质疑项目的名称、编号；</w:t>
      </w:r>
    </w:p>
    <w:p w14:paraId="30C71769">
      <w:pPr>
        <w:numPr>
          <w:ilvl w:val="3"/>
          <w:numId w:val="3"/>
        </w:numPr>
        <w:tabs>
          <w:tab w:val="left" w:pos="210"/>
          <w:tab w:val="left" w:pos="1050"/>
        </w:tabs>
        <w:snapToGrid w:val="0"/>
        <w:spacing w:line="360" w:lineRule="auto"/>
        <w:ind w:hanging="210"/>
        <w:jc w:val="left"/>
        <w:rPr>
          <w:rFonts w:hint="eastAsia" w:ascii="仿宋" w:hAnsi="仿宋" w:eastAsia="仿宋"/>
          <w:bCs/>
          <w:sz w:val="24"/>
          <w:highlight w:val="none"/>
          <w:lang w:val="zh-CN"/>
        </w:rPr>
      </w:pPr>
      <w:r>
        <w:rPr>
          <w:rFonts w:hint="eastAsia" w:ascii="仿宋" w:hAnsi="仿宋" w:eastAsia="仿宋"/>
          <w:bCs/>
          <w:sz w:val="24"/>
          <w:highlight w:val="none"/>
          <w:lang w:val="zh-CN"/>
        </w:rPr>
        <w:t>具体、明确的质疑事项和与质疑事项相关的请求；</w:t>
      </w:r>
    </w:p>
    <w:p w14:paraId="477A9ABF">
      <w:pPr>
        <w:numPr>
          <w:ilvl w:val="3"/>
          <w:numId w:val="3"/>
        </w:numPr>
        <w:tabs>
          <w:tab w:val="left" w:pos="210"/>
          <w:tab w:val="left" w:pos="1050"/>
        </w:tabs>
        <w:snapToGrid w:val="0"/>
        <w:spacing w:line="360" w:lineRule="auto"/>
        <w:ind w:hanging="210"/>
        <w:jc w:val="left"/>
        <w:rPr>
          <w:rFonts w:hint="eastAsia" w:ascii="仿宋" w:hAnsi="仿宋" w:eastAsia="仿宋"/>
          <w:bCs/>
          <w:sz w:val="24"/>
          <w:highlight w:val="none"/>
          <w:lang w:val="zh-CN"/>
        </w:rPr>
      </w:pPr>
      <w:r>
        <w:rPr>
          <w:rFonts w:hint="eastAsia" w:ascii="仿宋" w:hAnsi="仿宋" w:eastAsia="仿宋"/>
          <w:bCs/>
          <w:sz w:val="24"/>
          <w:highlight w:val="none"/>
          <w:lang w:val="zh-CN"/>
        </w:rPr>
        <w:t>事实依据；</w:t>
      </w:r>
    </w:p>
    <w:p w14:paraId="65BEFBB9">
      <w:pPr>
        <w:numPr>
          <w:ilvl w:val="3"/>
          <w:numId w:val="3"/>
        </w:numPr>
        <w:tabs>
          <w:tab w:val="left" w:pos="210"/>
          <w:tab w:val="left" w:pos="1050"/>
        </w:tabs>
        <w:snapToGrid w:val="0"/>
        <w:spacing w:line="360" w:lineRule="auto"/>
        <w:ind w:hanging="210"/>
        <w:jc w:val="left"/>
        <w:rPr>
          <w:rFonts w:hint="eastAsia" w:ascii="仿宋" w:hAnsi="仿宋" w:eastAsia="仿宋"/>
          <w:bCs/>
          <w:sz w:val="24"/>
          <w:highlight w:val="none"/>
          <w:lang w:val="zh-CN"/>
        </w:rPr>
      </w:pPr>
      <w:r>
        <w:rPr>
          <w:rFonts w:hint="eastAsia" w:ascii="仿宋" w:hAnsi="仿宋" w:eastAsia="仿宋"/>
          <w:bCs/>
          <w:sz w:val="24"/>
          <w:highlight w:val="none"/>
          <w:lang w:val="zh-CN"/>
        </w:rPr>
        <w:t>必要的法律依据；</w:t>
      </w:r>
    </w:p>
    <w:p w14:paraId="229FF5C2">
      <w:pPr>
        <w:numPr>
          <w:ilvl w:val="3"/>
          <w:numId w:val="3"/>
        </w:numPr>
        <w:tabs>
          <w:tab w:val="left" w:pos="210"/>
          <w:tab w:val="left" w:pos="1050"/>
        </w:tabs>
        <w:snapToGrid w:val="0"/>
        <w:spacing w:line="360" w:lineRule="auto"/>
        <w:ind w:hanging="210"/>
        <w:jc w:val="left"/>
        <w:rPr>
          <w:rFonts w:hint="eastAsia" w:ascii="仿宋" w:hAnsi="仿宋" w:eastAsia="仿宋"/>
          <w:bCs/>
          <w:sz w:val="24"/>
          <w:highlight w:val="none"/>
          <w:lang w:val="zh-CN"/>
        </w:rPr>
      </w:pPr>
      <w:r>
        <w:rPr>
          <w:rFonts w:hint="eastAsia" w:ascii="仿宋" w:hAnsi="仿宋" w:eastAsia="仿宋"/>
          <w:bCs/>
          <w:sz w:val="24"/>
          <w:highlight w:val="none"/>
          <w:lang w:val="zh-CN"/>
        </w:rPr>
        <w:t>提出质疑的日期。</w:t>
      </w:r>
    </w:p>
    <w:p w14:paraId="33854294">
      <w:pPr>
        <w:tabs>
          <w:tab w:val="left" w:pos="210"/>
        </w:tabs>
        <w:snapToGrid w:val="0"/>
        <w:spacing w:line="360" w:lineRule="auto"/>
        <w:ind w:firstLine="480" w:firstLineChars="200"/>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EAC45F8">
      <w:pPr>
        <w:tabs>
          <w:tab w:val="left" w:pos="210"/>
        </w:tabs>
        <w:snapToGrid w:val="0"/>
        <w:spacing w:line="360" w:lineRule="auto"/>
        <w:ind w:firstLine="480" w:firstLineChars="200"/>
        <w:jc w:val="left"/>
        <w:rPr>
          <w:rFonts w:hint="eastAsia" w:ascii="仿宋" w:hAnsi="仿宋" w:eastAsia="仿宋"/>
          <w:bCs/>
          <w:sz w:val="24"/>
          <w:highlight w:val="none"/>
          <w:lang w:val="zh-CN"/>
        </w:rPr>
      </w:pPr>
      <w:r>
        <w:rPr>
          <w:rFonts w:hint="eastAsia" w:ascii="仿宋" w:hAnsi="仿宋" w:eastAsia="仿宋"/>
          <w:bCs/>
          <w:sz w:val="24"/>
          <w:highlight w:val="none"/>
          <w:lang w:val="zh-CN"/>
        </w:rPr>
        <w:t>质疑函范本及制作说明详见附件2。</w:t>
      </w:r>
    </w:p>
    <w:p w14:paraId="607EC591">
      <w:pPr>
        <w:numPr>
          <w:ilvl w:val="2"/>
          <w:numId w:val="3"/>
        </w:numPr>
        <w:tabs>
          <w:tab w:val="left" w:pos="210"/>
          <w:tab w:val="left" w:pos="84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对同一采购程序环节的质疑，供应商须在法定质疑期内一次性提出。</w:t>
      </w:r>
    </w:p>
    <w:p w14:paraId="73362930">
      <w:pPr>
        <w:keepNext w:val="0"/>
        <w:keepLines w:val="0"/>
        <w:pageBreakBefore w:val="0"/>
        <w:widowControl w:val="0"/>
        <w:numPr>
          <w:ilvl w:val="2"/>
          <w:numId w:val="3"/>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14:paraId="597EF739">
      <w:pPr>
        <w:keepNext w:val="0"/>
        <w:keepLines w:val="0"/>
        <w:pageBreakBefore w:val="0"/>
        <w:widowControl w:val="0"/>
        <w:numPr>
          <w:ilvl w:val="2"/>
          <w:numId w:val="3"/>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采购人或者</w:t>
      </w:r>
      <w:r>
        <w:rPr>
          <w:rFonts w:hint="eastAsia" w:ascii="仿宋_GB2312" w:hAnsi="仿宋" w:eastAsia="仿宋_GB2312"/>
          <w:b w:val="0"/>
          <w:bCs/>
          <w:sz w:val="24"/>
          <w:highlight w:val="none"/>
          <w:lang w:val="zh-CN" w:eastAsia="zh-CN"/>
        </w:rPr>
        <w:t>采购代理机构</w:t>
      </w:r>
      <w:r>
        <w:rPr>
          <w:rFonts w:hint="eastAsia" w:ascii="仿宋_GB2312" w:hAnsi="仿宋" w:eastAsia="仿宋_GB2312"/>
          <w:b w:val="0"/>
          <w:bCs/>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_GB2312" w:hAnsi="仿宋" w:eastAsia="仿宋_GB2312"/>
          <w:b w:val="0"/>
          <w:bCs/>
          <w:sz w:val="24"/>
          <w:highlight w:val="none"/>
          <w:lang w:val="zh-CN" w:eastAsia="zh-CN"/>
        </w:rPr>
        <w:t>采购代理机构</w:t>
      </w:r>
      <w:r>
        <w:rPr>
          <w:rFonts w:hint="eastAsia" w:ascii="仿宋_GB2312" w:hAnsi="仿宋" w:eastAsia="仿宋_GB2312"/>
          <w:b w:val="0"/>
          <w:bCs/>
          <w:sz w:val="24"/>
          <w:highlight w:val="none"/>
          <w:lang w:val="zh-CN"/>
        </w:rPr>
        <w:t>在质疑回复后5个工作日内，在浙江政府采购网的“其他公告”栏目公开质疑答复，答复内容应当完整。质疑函作为附件上传。</w:t>
      </w:r>
    </w:p>
    <w:p w14:paraId="4A1B1DE9">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询问或者质疑事项可能影响采购结果的，采购人应当暂停签订合同，已经签订合同的，应当中止履行合同。</w:t>
      </w:r>
    </w:p>
    <w:p w14:paraId="59B6B621">
      <w:pPr>
        <w:numPr>
          <w:ilvl w:val="1"/>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供应商投诉</w:t>
      </w:r>
    </w:p>
    <w:p w14:paraId="2C913AE9">
      <w:pPr>
        <w:numPr>
          <w:ilvl w:val="2"/>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7BB69B2F">
      <w:pPr>
        <w:numPr>
          <w:ilvl w:val="2"/>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供应商投诉的事项不得超出已质疑事项的范围，基于质疑答复内容提出的投诉事项除外。</w:t>
      </w:r>
    </w:p>
    <w:p w14:paraId="7A0A9BC6">
      <w:pPr>
        <w:numPr>
          <w:ilvl w:val="2"/>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供应商投诉应当有明确的请求和必要的证明材料。</w:t>
      </w:r>
    </w:p>
    <w:p w14:paraId="0AF7D006">
      <w:pPr>
        <w:numPr>
          <w:ilvl w:val="2"/>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以联合体形式参加政府采购活动的，其投诉应当由组成联合体的所有供应商共同提出。</w:t>
      </w:r>
    </w:p>
    <w:p w14:paraId="23BC609F">
      <w:pPr>
        <w:numPr>
          <w:ilvl w:val="2"/>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政府采购项目投诉材料可寄送浙江省政府采购行政裁决服务中心（杭州），地址：杭州市上城区四季青街道新业路市民之家G03办公室，收件人：朱女士，电话：15121014815。</w:t>
      </w:r>
    </w:p>
    <w:p w14:paraId="22796F44">
      <w:pPr>
        <w:tabs>
          <w:tab w:val="left" w:pos="210"/>
        </w:tabs>
        <w:snapToGrid w:val="0"/>
        <w:spacing w:line="360" w:lineRule="auto"/>
        <w:ind w:firstLine="480" w:firstLineChars="200"/>
        <w:jc w:val="left"/>
        <w:rPr>
          <w:rFonts w:hint="eastAsia" w:ascii="仿宋" w:hAnsi="仿宋" w:eastAsia="仿宋"/>
          <w:bCs/>
          <w:sz w:val="24"/>
          <w:highlight w:val="none"/>
          <w:lang w:val="zh-CN"/>
        </w:rPr>
      </w:pPr>
      <w:r>
        <w:rPr>
          <w:rFonts w:hint="eastAsia" w:ascii="仿宋" w:hAnsi="仿宋" w:eastAsia="仿宋"/>
          <w:bCs/>
          <w:sz w:val="24"/>
          <w:highlight w:val="none"/>
          <w:lang w:val="zh-CN"/>
        </w:rPr>
        <w:t>投诉书范本及制作说明详见附件3。</w:t>
      </w:r>
    </w:p>
    <w:p w14:paraId="05E2928A">
      <w:pPr>
        <w:rPr>
          <w:rFonts w:ascii="仿宋" w:hAnsi="仿宋" w:eastAsia="仿宋"/>
          <w:highlight w:val="none"/>
        </w:rPr>
      </w:pPr>
    </w:p>
    <w:p w14:paraId="2C760284">
      <w:pPr>
        <w:spacing w:line="360" w:lineRule="auto"/>
        <w:jc w:val="center"/>
        <w:outlineLvl w:val="1"/>
        <w:rPr>
          <w:rFonts w:hint="eastAsia" w:ascii="仿宋" w:hAnsi="仿宋" w:eastAsia="仿宋" w:cs="仿宋_GB2312"/>
          <w:b/>
          <w:sz w:val="32"/>
          <w:szCs w:val="20"/>
          <w:highlight w:val="none"/>
        </w:rPr>
      </w:pPr>
      <w:bookmarkStart w:id="10" w:name="_Toc5240"/>
      <w:bookmarkStart w:id="11" w:name="_Toc27887"/>
      <w:bookmarkStart w:id="12" w:name="_Toc28192"/>
      <w:bookmarkStart w:id="13" w:name="_Toc30065"/>
      <w:bookmarkStart w:id="14" w:name="_Toc14473"/>
      <w:r>
        <w:rPr>
          <w:rFonts w:hint="eastAsia" w:ascii="仿宋" w:hAnsi="仿宋" w:eastAsia="仿宋" w:cs="仿宋_GB2312"/>
          <w:b/>
          <w:sz w:val="32"/>
          <w:szCs w:val="20"/>
          <w:highlight w:val="none"/>
        </w:rPr>
        <w:t>二、招标文件的构成、澄清、修改</w:t>
      </w:r>
      <w:bookmarkEnd w:id="10"/>
      <w:bookmarkEnd w:id="11"/>
      <w:bookmarkEnd w:id="12"/>
      <w:bookmarkEnd w:id="13"/>
      <w:bookmarkEnd w:id="14"/>
    </w:p>
    <w:p w14:paraId="1C66D233">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招标文件的构成</w:t>
      </w:r>
    </w:p>
    <w:p w14:paraId="3859E009">
      <w:pPr>
        <w:numPr>
          <w:ilvl w:val="1"/>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招标文件包括下列文件及附件：</w:t>
      </w:r>
    </w:p>
    <w:p w14:paraId="0D8AACA1">
      <w:pPr>
        <w:numPr>
          <w:ilvl w:val="2"/>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招标公告；</w:t>
      </w:r>
    </w:p>
    <w:p w14:paraId="02D828B6">
      <w:pPr>
        <w:numPr>
          <w:ilvl w:val="2"/>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投标人须知；</w:t>
      </w:r>
    </w:p>
    <w:p w14:paraId="03C89781">
      <w:pPr>
        <w:numPr>
          <w:ilvl w:val="2"/>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采购需求；</w:t>
      </w:r>
    </w:p>
    <w:p w14:paraId="0ABCF559">
      <w:pPr>
        <w:numPr>
          <w:ilvl w:val="2"/>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评标办法；</w:t>
      </w:r>
    </w:p>
    <w:p w14:paraId="4DD1E75F">
      <w:pPr>
        <w:numPr>
          <w:ilvl w:val="2"/>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拟签订的合同文本；</w:t>
      </w:r>
    </w:p>
    <w:p w14:paraId="4DFF2D5E">
      <w:pPr>
        <w:numPr>
          <w:ilvl w:val="2"/>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应提交的有关格式范例。</w:t>
      </w:r>
    </w:p>
    <w:p w14:paraId="5A8901E3">
      <w:pPr>
        <w:numPr>
          <w:ilvl w:val="1"/>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与本项目有关的澄清或者修改的内容为招标文件的组成部分。</w:t>
      </w:r>
    </w:p>
    <w:p w14:paraId="5FB73417">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招标文件的澄清、修改</w:t>
      </w:r>
    </w:p>
    <w:p w14:paraId="292B62D1">
      <w:pPr>
        <w:numPr>
          <w:ilvl w:val="1"/>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已获取招标文件的潜在投标人，若有问题需要澄清，应于投标截止时间前，以书面形式向采购代理机构提出。</w:t>
      </w:r>
    </w:p>
    <w:p w14:paraId="4989F2A0">
      <w:pPr>
        <w:numPr>
          <w:ilvl w:val="1"/>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5E222E">
      <w:pPr>
        <w:rPr>
          <w:rFonts w:ascii="仿宋" w:hAnsi="仿宋" w:eastAsia="仿宋"/>
          <w:highlight w:val="none"/>
        </w:rPr>
      </w:pPr>
      <w:r>
        <w:rPr>
          <w:rFonts w:ascii="仿宋" w:hAnsi="仿宋" w:eastAsia="仿宋"/>
          <w:highlight w:val="none"/>
        </w:rPr>
        <w:t xml:space="preserve">    </w:t>
      </w:r>
    </w:p>
    <w:p w14:paraId="22B1D13A">
      <w:pPr>
        <w:spacing w:line="360" w:lineRule="auto"/>
        <w:jc w:val="center"/>
        <w:outlineLvl w:val="1"/>
        <w:rPr>
          <w:rFonts w:ascii="仿宋" w:hAnsi="仿宋" w:eastAsia="仿宋" w:cs="仿宋_GB2312"/>
          <w:b/>
          <w:sz w:val="30"/>
          <w:szCs w:val="20"/>
          <w:highlight w:val="none"/>
        </w:rPr>
      </w:pPr>
      <w:bookmarkStart w:id="15" w:name="_Toc10627"/>
      <w:bookmarkStart w:id="16" w:name="_Toc8085"/>
      <w:bookmarkStart w:id="17" w:name="_Toc484"/>
      <w:bookmarkStart w:id="18" w:name="_Toc25644"/>
      <w:bookmarkStart w:id="19" w:name="_Toc2344"/>
      <w:r>
        <w:rPr>
          <w:rFonts w:hint="eastAsia" w:ascii="仿宋" w:hAnsi="仿宋" w:eastAsia="仿宋" w:cs="仿宋_GB2312"/>
          <w:b/>
          <w:sz w:val="30"/>
          <w:szCs w:val="20"/>
          <w:highlight w:val="none"/>
        </w:rPr>
        <w:t>三、投标</w:t>
      </w:r>
      <w:bookmarkEnd w:id="15"/>
      <w:bookmarkEnd w:id="16"/>
      <w:bookmarkEnd w:id="17"/>
      <w:bookmarkEnd w:id="18"/>
      <w:bookmarkEnd w:id="19"/>
    </w:p>
    <w:p w14:paraId="5D6126D7">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招标文件的获取</w:t>
      </w:r>
    </w:p>
    <w:p w14:paraId="72569BA7">
      <w:pPr>
        <w:spacing w:line="360" w:lineRule="auto"/>
        <w:ind w:firstLine="42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详见招标公告中获取招标文件的时间期限、地点、方式及招标文件售价。</w:t>
      </w:r>
    </w:p>
    <w:p w14:paraId="58E4B85A">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开标前答疑会或现场考察</w:t>
      </w:r>
    </w:p>
    <w:p w14:paraId="00F8A2DD">
      <w:pPr>
        <w:pStyle w:val="25"/>
        <w:spacing w:line="360" w:lineRule="auto"/>
        <w:ind w:firstLine="420"/>
        <w:rPr>
          <w:rFonts w:ascii="仿宋" w:hAnsi="仿宋" w:eastAsia="仿宋"/>
          <w:sz w:val="24"/>
          <w:szCs w:val="24"/>
          <w:highlight w:val="none"/>
        </w:rPr>
      </w:pPr>
      <w:r>
        <w:rPr>
          <w:rFonts w:hint="eastAsia" w:ascii="仿宋" w:hAnsi="仿宋" w:eastAsia="仿宋"/>
          <w:sz w:val="24"/>
          <w:szCs w:val="24"/>
          <w:highlight w:val="none"/>
        </w:rPr>
        <w:t>采购人组织潜在投标人现场考察或者召开开标前答疑会的，潜在投标人按第二部分投标人须知前附表的规定参加现场考察或者开标前答疑会。</w:t>
      </w:r>
    </w:p>
    <w:p w14:paraId="3F3F0221">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投标保证金</w:t>
      </w:r>
    </w:p>
    <w:p w14:paraId="18382DE6">
      <w:pPr>
        <w:pStyle w:val="12"/>
        <w:spacing w:line="360" w:lineRule="auto"/>
        <w:ind w:firstLine="470" w:firstLineChars="196"/>
        <w:rPr>
          <w:rFonts w:ascii="仿宋" w:hAnsi="仿宋" w:eastAsia="仿宋" w:cs="仿宋_GB2312"/>
          <w:sz w:val="24"/>
          <w:highlight w:val="none"/>
        </w:rPr>
      </w:pPr>
      <w:r>
        <w:rPr>
          <w:rFonts w:hint="eastAsia" w:ascii="仿宋" w:hAnsi="仿宋" w:eastAsia="仿宋" w:cs="仿宋_GB2312"/>
          <w:sz w:val="24"/>
          <w:highlight w:val="none"/>
        </w:rPr>
        <w:t>本项目不需缴纳投标保证金。</w:t>
      </w:r>
    </w:p>
    <w:p w14:paraId="51DE8DD0">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投标文件的语言</w:t>
      </w:r>
    </w:p>
    <w:p w14:paraId="742E4C93">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rPr>
        <w:t>投标文件及投标人与采购有关的来往通知、函件和文件均应使用中文。</w:t>
      </w:r>
    </w:p>
    <w:p w14:paraId="7A1835D3">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投标文件的组成</w:t>
      </w:r>
    </w:p>
    <w:p w14:paraId="1AA26F9A">
      <w:pPr>
        <w:numPr>
          <w:ilvl w:val="1"/>
          <w:numId w:val="3"/>
        </w:numPr>
        <w:tabs>
          <w:tab w:val="left" w:pos="210"/>
          <w:tab w:val="left" w:pos="630"/>
          <w:tab w:val="left" w:pos="840"/>
        </w:tabs>
        <w:snapToGrid w:val="0"/>
        <w:spacing w:line="360" w:lineRule="auto"/>
        <w:jc w:val="left"/>
        <w:rPr>
          <w:rFonts w:hint="eastAsia" w:ascii="仿宋" w:hAnsi="仿宋" w:eastAsia="仿宋"/>
          <w:b/>
          <w:sz w:val="24"/>
          <w:highlight w:val="none"/>
        </w:rPr>
      </w:pPr>
      <w:r>
        <w:rPr>
          <w:rFonts w:hint="eastAsia" w:ascii="仿宋" w:hAnsi="仿宋" w:eastAsia="仿宋"/>
          <w:b/>
          <w:sz w:val="24"/>
          <w:highlight w:val="none"/>
        </w:rPr>
        <w:t>资格文件：</w:t>
      </w:r>
    </w:p>
    <w:p w14:paraId="46BB07A2">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符合参加政府采购活动应当具备的一般条件的承诺函；</w:t>
      </w:r>
    </w:p>
    <w:p w14:paraId="54FD41F1">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联合协议；（如果有）</w:t>
      </w:r>
    </w:p>
    <w:p w14:paraId="445D4F16">
      <w:pPr>
        <w:numPr>
          <w:ilvl w:val="2"/>
          <w:numId w:val="3"/>
        </w:numPr>
        <w:tabs>
          <w:tab w:val="left" w:pos="210"/>
          <w:tab w:val="left" w:pos="630"/>
          <w:tab w:val="left" w:pos="840"/>
        </w:tabs>
        <w:snapToGrid w:val="0"/>
        <w:spacing w:line="360" w:lineRule="auto"/>
        <w:jc w:val="left"/>
        <w:rPr>
          <w:rFonts w:hint="eastAsia" w:ascii="仿宋" w:hAnsi="仿宋" w:eastAsia="仿宋" w:cs="仿宋"/>
          <w:snapToGrid w:val="0"/>
          <w:kern w:val="0"/>
          <w:sz w:val="24"/>
          <w:highlight w:val="none"/>
        </w:rPr>
      </w:pPr>
      <w:r>
        <w:rPr>
          <w:rFonts w:hint="eastAsia" w:ascii="仿宋" w:hAnsi="仿宋" w:eastAsia="仿宋"/>
          <w:bCs/>
          <w:sz w:val="24"/>
          <w:highlight w:val="none"/>
        </w:rPr>
        <w:t>落实政府采购政策需满足的资格要求；</w:t>
      </w:r>
      <w:r>
        <w:rPr>
          <w:rFonts w:hint="eastAsia" w:ascii="仿宋" w:hAnsi="仿宋" w:eastAsia="仿宋" w:cs="仿宋"/>
          <w:snapToGrid w:val="0"/>
          <w:kern w:val="0"/>
          <w:sz w:val="24"/>
          <w:highlight w:val="none"/>
        </w:rPr>
        <w:t>（本项目专门面向中小企业</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提供中小企业声明函</w:t>
      </w:r>
      <w:r>
        <w:rPr>
          <w:rFonts w:hint="eastAsia" w:ascii="仿宋" w:hAnsi="仿宋" w:eastAsia="仿宋" w:cs="仿宋"/>
          <w:snapToGrid w:val="0"/>
          <w:kern w:val="0"/>
          <w:sz w:val="24"/>
          <w:highlight w:val="none"/>
        </w:rPr>
        <w:t>）</w:t>
      </w:r>
    </w:p>
    <w:p w14:paraId="449D2E51">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本项目的特定资格要求。</w:t>
      </w:r>
      <w:r>
        <w:rPr>
          <w:rFonts w:hint="eastAsia" w:ascii="仿宋" w:hAnsi="仿宋" w:eastAsia="仿宋"/>
          <w:bCs/>
          <w:sz w:val="24"/>
          <w:highlight w:val="none"/>
          <w:lang w:eastAsia="zh-CN"/>
        </w:rPr>
        <w:t>（提供有效的保安服务许可证扫描件）</w:t>
      </w:r>
    </w:p>
    <w:p w14:paraId="52CCC937">
      <w:pPr>
        <w:numPr>
          <w:ilvl w:val="1"/>
          <w:numId w:val="3"/>
        </w:numPr>
        <w:tabs>
          <w:tab w:val="left" w:pos="210"/>
          <w:tab w:val="left" w:pos="630"/>
          <w:tab w:val="left" w:pos="840"/>
        </w:tabs>
        <w:snapToGrid w:val="0"/>
        <w:spacing w:line="360" w:lineRule="auto"/>
        <w:jc w:val="left"/>
        <w:rPr>
          <w:rFonts w:hint="eastAsia" w:ascii="仿宋" w:hAnsi="仿宋" w:eastAsia="仿宋"/>
          <w:b/>
          <w:sz w:val="24"/>
          <w:highlight w:val="none"/>
          <w:lang w:val="zh-CN"/>
        </w:rPr>
      </w:pPr>
      <w:r>
        <w:rPr>
          <w:rFonts w:hint="eastAsia" w:ascii="仿宋" w:hAnsi="仿宋" w:eastAsia="仿宋"/>
          <w:b/>
          <w:sz w:val="24"/>
          <w:highlight w:val="none"/>
        </w:rPr>
        <w:t>商务技术</w:t>
      </w:r>
      <w:r>
        <w:rPr>
          <w:rFonts w:hint="eastAsia" w:ascii="仿宋" w:hAnsi="仿宋" w:eastAsia="仿宋"/>
          <w:b/>
          <w:sz w:val="24"/>
          <w:highlight w:val="none"/>
          <w:lang w:val="zh-CN"/>
        </w:rPr>
        <w:t>文件：</w:t>
      </w:r>
    </w:p>
    <w:p w14:paraId="45261B40">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投标函；</w:t>
      </w:r>
      <w:r>
        <w:rPr>
          <w:rFonts w:hint="eastAsia" w:ascii="仿宋" w:hAnsi="仿宋" w:eastAsia="仿宋"/>
          <w:bCs/>
          <w:sz w:val="24"/>
          <w:highlight w:val="none"/>
          <w:lang w:val="zh-CN"/>
        </w:rPr>
        <w:t xml:space="preserve"> </w:t>
      </w:r>
    </w:p>
    <w:p w14:paraId="3A172FED">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授权委托书或法定代表人（单位负责人、自然人本人）身份证明</w:t>
      </w:r>
      <w:r>
        <w:rPr>
          <w:rFonts w:hint="eastAsia" w:ascii="仿宋" w:hAnsi="仿宋" w:eastAsia="仿宋"/>
          <w:bCs/>
          <w:sz w:val="24"/>
          <w:highlight w:val="none"/>
          <w:lang w:eastAsia="zh-CN"/>
        </w:rPr>
        <w:t>，</w:t>
      </w:r>
      <w:r>
        <w:rPr>
          <w:rFonts w:hint="eastAsia" w:ascii="仿宋" w:hAnsi="仿宋" w:eastAsia="仿宋"/>
          <w:bCs/>
          <w:sz w:val="24"/>
          <w:highlight w:val="none"/>
          <w:lang w:val="en-US" w:eastAsia="zh-CN"/>
        </w:rPr>
        <w:t>以及为授权代表缴纳、距投标截止时间3个月内任意时间出具的社保证明材料</w:t>
      </w:r>
      <w:r>
        <w:rPr>
          <w:rFonts w:hint="eastAsia" w:ascii="仿宋" w:hAnsi="仿宋" w:eastAsia="仿宋"/>
          <w:bCs/>
          <w:sz w:val="24"/>
          <w:highlight w:val="none"/>
        </w:rPr>
        <w:t>；</w:t>
      </w:r>
    </w:p>
    <w:p w14:paraId="760784E8">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分包意向协议；（如果有）</w:t>
      </w:r>
    </w:p>
    <w:p w14:paraId="39C331B6">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符合性审查资料；</w:t>
      </w:r>
    </w:p>
    <w:p w14:paraId="1B11486F">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评标标准相应的商务技术资料；</w:t>
      </w:r>
    </w:p>
    <w:p w14:paraId="662A7CA8">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投标标的清单；</w:t>
      </w:r>
    </w:p>
    <w:p w14:paraId="01574E5D">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商务技术偏离表；</w:t>
      </w:r>
    </w:p>
    <w:p w14:paraId="4DF5217E">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政府采购供应商廉洁自律承诺书。</w:t>
      </w:r>
    </w:p>
    <w:p w14:paraId="296F3980">
      <w:pPr>
        <w:numPr>
          <w:ilvl w:val="1"/>
          <w:numId w:val="3"/>
        </w:numPr>
        <w:tabs>
          <w:tab w:val="left" w:pos="210"/>
          <w:tab w:val="left" w:pos="630"/>
          <w:tab w:val="left" w:pos="840"/>
        </w:tabs>
        <w:snapToGrid w:val="0"/>
        <w:spacing w:line="360" w:lineRule="auto"/>
        <w:jc w:val="left"/>
        <w:rPr>
          <w:rFonts w:hint="eastAsia" w:ascii="仿宋" w:hAnsi="仿宋" w:eastAsia="仿宋"/>
          <w:b/>
          <w:sz w:val="24"/>
          <w:highlight w:val="none"/>
          <w:lang w:val="zh-CN"/>
        </w:rPr>
      </w:pPr>
      <w:r>
        <w:rPr>
          <w:rFonts w:hint="eastAsia" w:ascii="仿宋" w:hAnsi="仿宋" w:eastAsia="仿宋"/>
          <w:b/>
          <w:sz w:val="24"/>
          <w:highlight w:val="none"/>
        </w:rPr>
        <w:t xml:space="preserve">报价文件： </w:t>
      </w:r>
    </w:p>
    <w:p w14:paraId="633636F2">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开标一览表（报价表）；</w:t>
      </w:r>
    </w:p>
    <w:p w14:paraId="63A1DC98">
      <w:pPr>
        <w:numPr>
          <w:ilvl w:val="2"/>
          <w:numId w:val="3"/>
        </w:numPr>
        <w:tabs>
          <w:tab w:val="left" w:pos="210"/>
          <w:tab w:val="left" w:pos="630"/>
          <w:tab w:val="left" w:pos="8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lang w:val="en-US" w:eastAsia="zh-CN"/>
        </w:rPr>
        <w:t>报价明细表</w:t>
      </w:r>
      <w:r>
        <w:rPr>
          <w:rFonts w:hint="eastAsia" w:ascii="仿宋" w:hAnsi="仿宋" w:eastAsia="仿宋"/>
          <w:bCs/>
          <w:sz w:val="24"/>
          <w:highlight w:val="none"/>
        </w:rPr>
        <w:t>。（自拟）</w:t>
      </w:r>
    </w:p>
    <w:p w14:paraId="65919F1F">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投标文件含有采购人不能接受的附加条件的，投标无效；</w:t>
      </w:r>
    </w:p>
    <w:p w14:paraId="67D721B8">
      <w:pPr>
        <w:spacing w:line="360" w:lineRule="auto"/>
        <w:ind w:firstLine="482" w:firstLineChars="200"/>
        <w:rPr>
          <w:rFonts w:hint="eastAsia" w:ascii="仿宋" w:hAnsi="仿宋" w:eastAsia="仿宋"/>
          <w:b/>
          <w:sz w:val="24"/>
          <w:highlight w:val="none"/>
          <w:lang w:eastAsia="zh-CN"/>
        </w:rPr>
      </w:pPr>
      <w:r>
        <w:rPr>
          <w:rFonts w:hint="eastAsia" w:ascii="仿宋" w:hAnsi="仿宋" w:eastAsia="仿宋"/>
          <w:b/>
          <w:sz w:val="24"/>
          <w:highlight w:val="none"/>
        </w:rPr>
        <w:t>投标人提供虚假材料投标的，投标无效</w:t>
      </w:r>
      <w:r>
        <w:rPr>
          <w:rFonts w:hint="eastAsia" w:ascii="仿宋" w:hAnsi="仿宋" w:eastAsia="仿宋"/>
          <w:b/>
          <w:sz w:val="24"/>
          <w:highlight w:val="none"/>
          <w:lang w:eastAsia="zh-CN"/>
        </w:rPr>
        <w:t>；</w:t>
      </w:r>
    </w:p>
    <w:p w14:paraId="6673540B">
      <w:pPr>
        <w:spacing w:line="360" w:lineRule="auto"/>
        <w:ind w:firstLine="482" w:firstLineChars="200"/>
        <w:rPr>
          <w:rFonts w:hint="eastAsia" w:ascii="仿宋" w:hAnsi="仿宋" w:eastAsia="仿宋" w:cs="Times New Roman"/>
          <w:b/>
          <w:sz w:val="24"/>
          <w:highlight w:val="none"/>
          <w:lang w:eastAsia="zh-CN"/>
        </w:rPr>
      </w:pPr>
      <w:r>
        <w:rPr>
          <w:rFonts w:hint="eastAsia" w:ascii="仿宋" w:hAnsi="仿宋" w:eastAsia="仿宋" w:cs="Times New Roman"/>
          <w:b/>
          <w:sz w:val="24"/>
          <w:highlight w:val="none"/>
        </w:rPr>
        <w:t>投标人应对投标文件中材料的真实性、合法性负责。</w:t>
      </w:r>
    </w:p>
    <w:p w14:paraId="5278F640">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投标文件的编制</w:t>
      </w:r>
    </w:p>
    <w:p w14:paraId="0770F3E5">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C2628F">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ED9C142">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使用“政采云电子交易客户端”需要提前申领CA数字证书，申领流程请自行前往“浙江政府采购网-下载专区-电子交易客户端-CA驱动和申领流程”进行查阅。</w:t>
      </w:r>
    </w:p>
    <w:p w14:paraId="12A0CD4D">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投标文件的签署、盖章</w:t>
      </w:r>
    </w:p>
    <w:p w14:paraId="72BC46DE">
      <w:pPr>
        <w:numPr>
          <w:ilvl w:val="1"/>
          <w:numId w:val="3"/>
        </w:numPr>
        <w:tabs>
          <w:tab w:val="left" w:pos="210"/>
          <w:tab w:val="left" w:pos="6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投标文件按照招标文件第六部分格式要求进行签署、盖章。</w:t>
      </w:r>
    </w:p>
    <w:p w14:paraId="3E773B72">
      <w:pPr>
        <w:pStyle w:val="118"/>
        <w:snapToGrid w:val="0"/>
        <w:spacing w:before="0"/>
        <w:ind w:firstLine="489"/>
        <w:rPr>
          <w:rFonts w:ascii="仿宋" w:hAnsi="仿宋" w:eastAsia="仿宋" w:cs="仿宋_GB2312"/>
          <w:b/>
          <w:highlight w:val="none"/>
        </w:rPr>
      </w:pPr>
      <w:r>
        <w:rPr>
          <w:rFonts w:hint="eastAsia" w:ascii="仿宋" w:hAnsi="仿宋" w:eastAsia="仿宋"/>
          <w:b/>
          <w:highlight w:val="none"/>
        </w:rPr>
        <w:t>▲</w:t>
      </w:r>
      <w:r>
        <w:rPr>
          <w:rFonts w:hint="eastAsia" w:ascii="仿宋" w:hAnsi="仿宋" w:eastAsia="仿宋" w:cs="仿宋_GB2312"/>
          <w:b/>
          <w:highlight w:val="none"/>
        </w:rPr>
        <w:t>投标人的投标文件未按照招标文件要求签署、盖章的，其投标无效</w:t>
      </w:r>
      <w:r>
        <w:rPr>
          <w:rFonts w:hint="eastAsia" w:ascii="仿宋" w:hAnsi="仿宋" w:eastAsia="仿宋" w:cs="仿宋_GB2312"/>
          <w:szCs w:val="24"/>
          <w:highlight w:val="none"/>
        </w:rPr>
        <w:t>。</w:t>
      </w:r>
    </w:p>
    <w:p w14:paraId="39526542">
      <w:pPr>
        <w:numPr>
          <w:ilvl w:val="1"/>
          <w:numId w:val="3"/>
        </w:numPr>
        <w:tabs>
          <w:tab w:val="left" w:pos="210"/>
          <w:tab w:val="left" w:pos="640"/>
        </w:tabs>
        <w:snapToGrid w:val="0"/>
        <w:spacing w:line="360" w:lineRule="auto"/>
        <w:ind w:left="627" w:hanging="627"/>
        <w:jc w:val="left"/>
        <w:rPr>
          <w:rFonts w:hint="eastAsia" w:ascii="仿宋" w:hAnsi="仿宋" w:eastAsia="仿宋"/>
          <w:bCs/>
          <w:sz w:val="24"/>
          <w:highlight w:val="none"/>
        </w:rPr>
      </w:pPr>
      <w:r>
        <w:rPr>
          <w:rFonts w:hint="eastAsia" w:ascii="仿宋" w:hAnsi="仿宋" w:eastAsia="仿宋"/>
          <w:bCs/>
          <w:sz w:val="24"/>
          <w:highlight w:val="none"/>
        </w:rPr>
        <w:t>为确保网上操作合法、有效和安全，投标人应当在投标截止时间前完成在“政府采购云平台”的身份认证，确保在电子投标过程中能够对相关数据电文进行加密和使用电子签名。</w:t>
      </w:r>
    </w:p>
    <w:p w14:paraId="2C806E12">
      <w:pPr>
        <w:numPr>
          <w:ilvl w:val="1"/>
          <w:numId w:val="3"/>
        </w:numPr>
        <w:tabs>
          <w:tab w:val="left" w:pos="210"/>
          <w:tab w:val="left" w:pos="640"/>
        </w:tabs>
        <w:snapToGrid w:val="0"/>
        <w:spacing w:line="360" w:lineRule="auto"/>
        <w:ind w:left="627" w:hanging="627"/>
        <w:jc w:val="left"/>
        <w:rPr>
          <w:rFonts w:hint="eastAsia" w:ascii="仿宋" w:hAnsi="仿宋" w:eastAsia="仿宋"/>
          <w:bCs/>
          <w:sz w:val="24"/>
          <w:highlight w:val="none"/>
        </w:rPr>
      </w:pPr>
      <w:r>
        <w:rPr>
          <w:rFonts w:hint="eastAsia" w:ascii="仿宋" w:hAnsi="仿宋" w:eastAsia="仿宋"/>
          <w:bCs/>
          <w:sz w:val="24"/>
          <w:highlight w:val="none"/>
        </w:rPr>
        <w:t>招标文件对投标文件签署、盖章的要求适用于电子签名。</w:t>
      </w:r>
    </w:p>
    <w:p w14:paraId="2E3B0E4B">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投标文件的提交、补充、修改、撤回</w:t>
      </w:r>
    </w:p>
    <w:p w14:paraId="7A47EBE9">
      <w:pPr>
        <w:numPr>
          <w:ilvl w:val="1"/>
          <w:numId w:val="3"/>
        </w:numPr>
        <w:tabs>
          <w:tab w:val="left" w:pos="210"/>
          <w:tab w:val="left" w:pos="640"/>
        </w:tabs>
        <w:snapToGrid w:val="0"/>
        <w:spacing w:line="360" w:lineRule="auto"/>
        <w:ind w:left="627" w:hanging="627"/>
        <w:jc w:val="left"/>
        <w:rPr>
          <w:rFonts w:hint="eastAsia" w:ascii="仿宋" w:hAnsi="仿宋" w:eastAsia="仿宋"/>
          <w:bCs/>
          <w:sz w:val="24"/>
          <w:highlight w:val="none"/>
        </w:rPr>
      </w:pPr>
      <w:r>
        <w:rPr>
          <w:rFonts w:hint="eastAsia" w:ascii="仿宋_GB2312" w:hAnsi="仿宋" w:eastAsia="仿宋_GB2312"/>
          <w:b w:val="0"/>
          <w:bCs/>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CC4C4A9">
      <w:pPr>
        <w:numPr>
          <w:ilvl w:val="1"/>
          <w:numId w:val="3"/>
        </w:numPr>
        <w:tabs>
          <w:tab w:val="left" w:pos="210"/>
          <w:tab w:val="left" w:pos="6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115D663C">
      <w:pPr>
        <w:numPr>
          <w:ilvl w:val="1"/>
          <w:numId w:val="3"/>
        </w:numPr>
        <w:tabs>
          <w:tab w:val="left" w:pos="210"/>
          <w:tab w:val="left" w:pos="6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308C58A7">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备份投标文件</w:t>
      </w:r>
    </w:p>
    <w:p w14:paraId="19A57399">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投标人在电子交易平台传输递交投标文件后，还可以在投标截止时间前直接提交或者以邮政快递方式递交备份投标文件1份，</w:t>
      </w:r>
      <w:r>
        <w:rPr>
          <w:rFonts w:hint="eastAsia" w:ascii="仿宋" w:hAnsi="仿宋" w:eastAsia="仿宋"/>
          <w:b/>
          <w:sz w:val="24"/>
          <w:highlight w:val="none"/>
        </w:rPr>
        <w:t>但采购人、采购代理机构不强制或变相强制投标人提交备份投标文件</w:t>
      </w:r>
      <w:r>
        <w:rPr>
          <w:rFonts w:hint="eastAsia" w:ascii="仿宋" w:hAnsi="仿宋" w:eastAsia="仿宋"/>
          <w:bCs/>
          <w:sz w:val="24"/>
          <w:highlight w:val="none"/>
        </w:rPr>
        <w:t>。</w:t>
      </w:r>
    </w:p>
    <w:p w14:paraId="217B0F97">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b/>
          <w:sz w:val="24"/>
          <w:highlight w:val="none"/>
        </w:rPr>
        <w:t>不符合上述制作、存储、密封规定的备份投标文件将被视为无效或者被拒绝接收。</w:t>
      </w:r>
    </w:p>
    <w:p w14:paraId="57BF71B2">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直接提交备份投标文件的，投标人应于投标截止时间前在招标公告中载明的开标地点将备份投标文件提交给采购代理机构，</w:t>
      </w:r>
      <w:r>
        <w:rPr>
          <w:rFonts w:hint="eastAsia" w:ascii="仿宋" w:hAnsi="仿宋" w:eastAsia="仿宋"/>
          <w:b/>
          <w:sz w:val="24"/>
          <w:highlight w:val="none"/>
        </w:rPr>
        <w:t>采购代理机构将拒绝接受逾期送达的备份投标文件</w:t>
      </w:r>
      <w:r>
        <w:rPr>
          <w:rFonts w:hint="eastAsia" w:ascii="仿宋" w:hAnsi="仿宋" w:eastAsia="仿宋"/>
          <w:bCs/>
          <w:sz w:val="24"/>
          <w:highlight w:val="none"/>
        </w:rPr>
        <w:t>。</w:t>
      </w:r>
    </w:p>
    <w:p w14:paraId="522B1258">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3222B21">
      <w:pPr>
        <w:numPr>
          <w:ilvl w:val="1"/>
          <w:numId w:val="3"/>
        </w:numPr>
        <w:tabs>
          <w:tab w:val="left" w:pos="210"/>
          <w:tab w:val="left" w:pos="640"/>
        </w:tabs>
        <w:snapToGrid w:val="0"/>
        <w:spacing w:line="360" w:lineRule="auto"/>
        <w:ind w:left="629" w:hanging="629"/>
        <w:jc w:val="left"/>
        <w:rPr>
          <w:rFonts w:hint="eastAsia" w:ascii="仿宋" w:hAnsi="仿宋" w:eastAsia="仿宋"/>
          <w:b/>
          <w:sz w:val="24"/>
          <w:highlight w:val="none"/>
        </w:rPr>
      </w:pPr>
      <w:r>
        <w:rPr>
          <w:rFonts w:hint="eastAsia" w:ascii="仿宋" w:hAnsi="仿宋" w:eastAsia="仿宋"/>
          <w:b/>
          <w:sz w:val="24"/>
          <w:highlight w:val="none"/>
        </w:rPr>
        <w:t>投标人仅提交备份投标文件，未在电子交易平台传输递交投标文件的，投标无效。</w:t>
      </w:r>
    </w:p>
    <w:p w14:paraId="0E7CACA1">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投标文件的无效处理</w:t>
      </w:r>
    </w:p>
    <w:p w14:paraId="5824BFEF">
      <w:pPr>
        <w:pStyle w:val="19"/>
        <w:ind w:firstLine="360" w:firstLineChars="150"/>
        <w:rPr>
          <w:rFonts w:hint="eastAsia" w:ascii="仿宋" w:hAnsi="仿宋" w:eastAsia="仿宋" w:cs="仿宋_GB2312"/>
          <w:szCs w:val="21"/>
          <w:highlight w:val="none"/>
          <w:lang w:eastAsia="zh-CN"/>
        </w:rPr>
      </w:pPr>
      <w:r>
        <w:rPr>
          <w:rFonts w:hint="eastAsia" w:ascii="仿宋" w:hAnsi="仿宋" w:eastAsia="仿宋" w:cs="仿宋_GB2312"/>
          <w:szCs w:val="21"/>
          <w:highlight w:val="none"/>
        </w:rPr>
        <w:t>有招标文件第四部分</w:t>
      </w:r>
      <w:r>
        <w:rPr>
          <w:rFonts w:hint="eastAsia" w:ascii="仿宋" w:hAnsi="仿宋" w:eastAsia="仿宋"/>
          <w:highlight w:val="none"/>
        </w:rPr>
        <w:t>第4.2</w:t>
      </w:r>
      <w:r>
        <w:rPr>
          <w:rFonts w:ascii="仿宋" w:hAnsi="仿宋" w:eastAsia="仿宋"/>
          <w:highlight w:val="none"/>
        </w:rPr>
        <w:t>项规定</w:t>
      </w:r>
      <w:r>
        <w:rPr>
          <w:rFonts w:hint="eastAsia" w:ascii="仿宋" w:hAnsi="仿宋" w:eastAsia="仿宋" w:cs="仿宋_GB2312"/>
          <w:szCs w:val="21"/>
          <w:highlight w:val="none"/>
        </w:rPr>
        <w:t>的情形之一的，投标无效</w:t>
      </w:r>
      <w:r>
        <w:rPr>
          <w:rFonts w:hint="eastAsia" w:ascii="仿宋" w:hAnsi="仿宋" w:eastAsia="仿宋" w:cs="仿宋_GB2312"/>
          <w:szCs w:val="21"/>
          <w:highlight w:val="none"/>
          <w:lang w:eastAsia="zh-CN"/>
        </w:rPr>
        <w:t>。</w:t>
      </w:r>
    </w:p>
    <w:p w14:paraId="4E9E4C76">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投标有效期</w:t>
      </w:r>
    </w:p>
    <w:p w14:paraId="099EAC63">
      <w:pPr>
        <w:numPr>
          <w:ilvl w:val="1"/>
          <w:numId w:val="3"/>
        </w:numPr>
        <w:tabs>
          <w:tab w:val="left" w:pos="210"/>
          <w:tab w:val="left" w:pos="64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rPr>
        <w:t>投标有效期为从提交投标文件的截止之日起90天。</w:t>
      </w:r>
    </w:p>
    <w:p w14:paraId="0EE6B0F2">
      <w:pPr>
        <w:spacing w:line="360" w:lineRule="auto"/>
        <w:ind w:firstLine="480" w:firstLineChars="200"/>
        <w:rPr>
          <w:rFonts w:ascii="仿宋" w:hAnsi="仿宋" w:eastAsia="仿宋" w:cs="仿宋_GB2312"/>
          <w:b/>
          <w:sz w:val="24"/>
          <w:szCs w:val="21"/>
          <w:highlight w:val="none"/>
        </w:rPr>
      </w:pPr>
      <w:r>
        <w:rPr>
          <w:rFonts w:ascii="仿宋" w:hAnsi="仿宋" w:eastAsia="仿宋" w:cs="仿宋_GB2312"/>
          <w:sz w:val="24"/>
          <w:szCs w:val="20"/>
          <w:highlight w:val="none"/>
        </w:rPr>
        <w:t>▲</w:t>
      </w:r>
      <w:r>
        <w:rPr>
          <w:rFonts w:hint="eastAsia" w:ascii="仿宋" w:hAnsi="仿宋" w:eastAsia="仿宋" w:cs="仿宋_GB2312"/>
          <w:b/>
          <w:sz w:val="24"/>
          <w:szCs w:val="20"/>
          <w:highlight w:val="none"/>
        </w:rPr>
        <w:t>投标人的投标文件中承</w:t>
      </w:r>
      <w:r>
        <w:rPr>
          <w:rFonts w:hint="eastAsia" w:ascii="仿宋" w:hAnsi="仿宋" w:eastAsia="仿宋" w:cs="仿宋_GB2312"/>
          <w:b/>
          <w:sz w:val="24"/>
          <w:szCs w:val="21"/>
          <w:highlight w:val="none"/>
        </w:rPr>
        <w:t>诺的投标有效期少于招标文件中载明的投标有效期的，投标无效。</w:t>
      </w:r>
    </w:p>
    <w:p w14:paraId="23977E9C">
      <w:pPr>
        <w:numPr>
          <w:ilvl w:val="1"/>
          <w:numId w:val="3"/>
        </w:numPr>
        <w:tabs>
          <w:tab w:val="left" w:pos="210"/>
          <w:tab w:val="left" w:pos="640"/>
        </w:tabs>
        <w:snapToGrid w:val="0"/>
        <w:spacing w:line="360" w:lineRule="auto"/>
        <w:ind w:left="627" w:hanging="627"/>
        <w:jc w:val="left"/>
        <w:rPr>
          <w:rFonts w:hint="eastAsia" w:ascii="仿宋" w:hAnsi="仿宋" w:eastAsia="仿宋"/>
          <w:bCs/>
          <w:sz w:val="24"/>
          <w:highlight w:val="none"/>
        </w:rPr>
      </w:pPr>
      <w:r>
        <w:rPr>
          <w:rFonts w:hint="eastAsia" w:ascii="仿宋" w:hAnsi="仿宋" w:eastAsia="仿宋"/>
          <w:bCs/>
          <w:sz w:val="24"/>
          <w:highlight w:val="none"/>
        </w:rPr>
        <w:t>投标文件合格投递后，自投标截止日期起，在投标有效期内有效。</w:t>
      </w:r>
    </w:p>
    <w:p w14:paraId="1C44D6C8">
      <w:pPr>
        <w:numPr>
          <w:ilvl w:val="1"/>
          <w:numId w:val="3"/>
        </w:numPr>
        <w:tabs>
          <w:tab w:val="left" w:pos="210"/>
          <w:tab w:val="left" w:pos="640"/>
        </w:tabs>
        <w:snapToGrid w:val="0"/>
        <w:spacing w:line="360" w:lineRule="auto"/>
        <w:ind w:left="627" w:hanging="627"/>
        <w:jc w:val="left"/>
        <w:rPr>
          <w:rFonts w:hint="eastAsia" w:ascii="仿宋" w:hAnsi="仿宋" w:eastAsia="仿宋"/>
          <w:bCs/>
          <w:sz w:val="24"/>
          <w:highlight w:val="none"/>
        </w:rPr>
      </w:pPr>
      <w:r>
        <w:rPr>
          <w:rFonts w:hint="eastAsia" w:ascii="仿宋" w:hAnsi="仿宋" w:eastAsia="仿宋"/>
          <w:bCs/>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253EE9DD">
      <w:pPr>
        <w:numPr>
          <w:ilvl w:val="1"/>
          <w:numId w:val="3"/>
        </w:numPr>
        <w:tabs>
          <w:tab w:val="left" w:pos="210"/>
          <w:tab w:val="left" w:pos="640"/>
        </w:tabs>
        <w:snapToGrid w:val="0"/>
        <w:spacing w:line="360" w:lineRule="auto"/>
        <w:ind w:left="627" w:leftChars="0" w:hanging="627" w:firstLineChars="0"/>
        <w:jc w:val="left"/>
        <w:outlineLvl w:val="2"/>
        <w:rPr>
          <w:rFonts w:hint="eastAsia"/>
          <w:highlight w:val="none"/>
        </w:rPr>
      </w:pPr>
      <w:r>
        <w:rPr>
          <w:rFonts w:hint="eastAsia" w:ascii="仿宋_GB2312" w:hAnsi="仿宋" w:eastAsia="仿宋_GB2312"/>
          <w:b w:val="0"/>
          <w:bCs/>
          <w:sz w:val="24"/>
          <w:highlight w:val="none"/>
          <w:lang w:val="en-US" w:eastAsia="zh-CN"/>
        </w:rPr>
        <w:t>自</w:t>
      </w:r>
      <w:r>
        <w:rPr>
          <w:rFonts w:hint="eastAsia" w:ascii="仿宋_GB2312" w:hAnsi="仿宋" w:eastAsia="仿宋_GB2312"/>
          <w:b w:val="0"/>
          <w:bCs/>
          <w:sz w:val="24"/>
          <w:highlight w:val="none"/>
        </w:rPr>
        <w:t>投标截止时间起至投标有效期届满，供应商投标文件不可撤销。</w:t>
      </w:r>
    </w:p>
    <w:p w14:paraId="0EF534F4">
      <w:pPr>
        <w:pStyle w:val="118"/>
        <w:spacing w:before="0"/>
        <w:ind w:firstLine="653"/>
        <w:rPr>
          <w:rFonts w:ascii="仿宋" w:hAnsi="仿宋" w:eastAsia="仿宋" w:cs="仿宋_GB2312"/>
          <w:b/>
          <w:sz w:val="32"/>
          <w:highlight w:val="none"/>
        </w:rPr>
      </w:pPr>
    </w:p>
    <w:p w14:paraId="1EF360EC">
      <w:pPr>
        <w:spacing w:line="360" w:lineRule="auto"/>
        <w:jc w:val="center"/>
        <w:outlineLvl w:val="1"/>
        <w:rPr>
          <w:rFonts w:hint="eastAsia" w:ascii="仿宋" w:hAnsi="仿宋" w:eastAsia="仿宋" w:cs="仿宋_GB2312"/>
          <w:b/>
          <w:sz w:val="30"/>
          <w:szCs w:val="20"/>
          <w:highlight w:val="none"/>
        </w:rPr>
      </w:pPr>
      <w:bookmarkStart w:id="20" w:name="_Toc25497"/>
      <w:bookmarkStart w:id="21" w:name="_Toc533"/>
      <w:bookmarkStart w:id="22" w:name="_Toc11837"/>
      <w:bookmarkStart w:id="23" w:name="_Toc16113"/>
      <w:bookmarkStart w:id="24" w:name="_Toc3728"/>
      <w:r>
        <w:rPr>
          <w:rFonts w:hint="eastAsia" w:ascii="仿宋" w:hAnsi="仿宋" w:eastAsia="仿宋" w:cs="仿宋_GB2312"/>
          <w:b/>
          <w:sz w:val="30"/>
          <w:szCs w:val="20"/>
          <w:highlight w:val="none"/>
        </w:rPr>
        <w:t>四、开标、资格审查与信用信息查询</w:t>
      </w:r>
      <w:bookmarkEnd w:id="20"/>
      <w:bookmarkEnd w:id="21"/>
      <w:bookmarkEnd w:id="22"/>
      <w:bookmarkEnd w:id="23"/>
      <w:bookmarkEnd w:id="24"/>
    </w:p>
    <w:p w14:paraId="33157BDF">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 xml:space="preserve">开标 </w:t>
      </w:r>
    </w:p>
    <w:p w14:paraId="1918C496">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采购代理机构按照招标文件规定的时间通过电子交易平台组织开标，所有投标人均应当准时在线参加。投标人不足3家的，不得开标。</w:t>
      </w:r>
    </w:p>
    <w:p w14:paraId="233B453E">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1FA7093D">
      <w:pPr>
        <w:numPr>
          <w:ilvl w:val="1"/>
          <w:numId w:val="3"/>
        </w:numPr>
        <w:tabs>
          <w:tab w:val="left" w:pos="210"/>
          <w:tab w:val="left" w:pos="640"/>
        </w:tabs>
        <w:snapToGrid w:val="0"/>
        <w:spacing w:line="360" w:lineRule="auto"/>
        <w:ind w:left="629" w:hanging="629"/>
        <w:jc w:val="left"/>
        <w:rPr>
          <w:rFonts w:hint="eastAsia" w:ascii="仿宋" w:hAnsi="仿宋" w:eastAsia="仿宋"/>
          <w:b/>
          <w:sz w:val="24"/>
          <w:highlight w:val="none"/>
        </w:rPr>
      </w:pPr>
      <w:r>
        <w:rPr>
          <w:rFonts w:hint="eastAsia" w:ascii="仿宋" w:hAnsi="仿宋" w:eastAsia="仿宋"/>
          <w:b/>
          <w:sz w:val="24"/>
          <w:highlight w:val="none"/>
        </w:rPr>
        <w:t>投标文件未按时解密，投标人提供了备份投标文件的，以备份投标文件作为依据，否则视为投标文件撤回。投标文件已按时解密的，备份投标文件自动失效。</w:t>
      </w:r>
    </w:p>
    <w:p w14:paraId="65788C92">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资格审查</w:t>
      </w:r>
    </w:p>
    <w:p w14:paraId="5CC72497">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_GB2312" w:hAnsi="仿宋" w:eastAsia="仿宋_GB2312"/>
          <w:b w:val="0"/>
          <w:bCs/>
          <w:color w:val="auto"/>
          <w:sz w:val="24"/>
          <w:highlight w:val="none"/>
          <w:lang w:eastAsia="zh-CN"/>
        </w:rPr>
        <w:t>开标后，</w:t>
      </w:r>
      <w:r>
        <w:rPr>
          <w:rFonts w:hint="eastAsia" w:ascii="仿宋_GB2312" w:hAnsi="仿宋" w:eastAsia="仿宋_GB2312"/>
          <w:b w:val="0"/>
          <w:bCs/>
          <w:color w:val="auto"/>
          <w:sz w:val="24"/>
          <w:highlight w:val="none"/>
        </w:rPr>
        <w:t>采购人或采购代理机构依据法律法规和招标文件的规定，对投标人的资格进行审查</w:t>
      </w:r>
      <w:r>
        <w:rPr>
          <w:rFonts w:hint="eastAsia" w:ascii="仿宋" w:hAnsi="仿宋" w:eastAsia="仿宋"/>
          <w:bCs/>
          <w:sz w:val="24"/>
          <w:highlight w:val="none"/>
        </w:rPr>
        <w:t>。</w:t>
      </w:r>
    </w:p>
    <w:p w14:paraId="26F2D494">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采购人或采购代理机构依据法律法规和招标文件的规定，对投标人的基本资格条件、特定资格条件进行审查。</w:t>
      </w:r>
    </w:p>
    <w:p w14:paraId="1C4E2D2D">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投标人未按照招标文件要求提供与基本资格条件、特定资格条件相应的有效资格证明材料的，视为投标人不具备招标文件中规定的资格要求，其投标无效。</w:t>
      </w:r>
    </w:p>
    <w:p w14:paraId="050319B1">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对未通过资格审查的投标人，采购人或采购代理机构告知其未通过的原因。</w:t>
      </w:r>
    </w:p>
    <w:p w14:paraId="668D972A">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合格投标人不足3家的，不再评标。</w:t>
      </w:r>
    </w:p>
    <w:p w14:paraId="7AF537B2">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信用信息查询</w:t>
      </w:r>
    </w:p>
    <w:p w14:paraId="1C10D6C3">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信用信息查询渠道及截止时间：采购代理机构将通过“信用中国”网站(www.creditchina.gov.cn)、中国政府采购网(www.ccgp.gov.cn)渠道查询投标人投标截止时间当天的信用记录。</w:t>
      </w:r>
    </w:p>
    <w:p w14:paraId="7B24EC13">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信用信息查询记录和证据留存的具体方式：现场查询的投标人的信用记录、查询结果经确认后将与采购文件一起存档。</w:t>
      </w:r>
    </w:p>
    <w:p w14:paraId="7883AD95">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信用信息的使用规则：经查询列入失信被执行人名单、重大税收违法案件当事人名单、政府采购严重违法失信行为记录名单的投标人将被拒绝参与政府采购活动。</w:t>
      </w:r>
    </w:p>
    <w:p w14:paraId="66E96F3C">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3EB501">
      <w:pPr>
        <w:snapToGrid w:val="0"/>
        <w:spacing w:line="360" w:lineRule="auto"/>
        <w:jc w:val="center"/>
        <w:outlineLvl w:val="1"/>
        <w:rPr>
          <w:rFonts w:ascii="仿宋" w:hAnsi="仿宋" w:eastAsia="仿宋" w:cs="仿宋_GB2312"/>
          <w:b/>
          <w:sz w:val="36"/>
          <w:szCs w:val="36"/>
          <w:highlight w:val="none"/>
        </w:rPr>
      </w:pPr>
      <w:bookmarkStart w:id="25" w:name="_Toc22552"/>
      <w:bookmarkStart w:id="26" w:name="_Toc24431"/>
      <w:bookmarkStart w:id="27" w:name="_Toc19433"/>
      <w:bookmarkStart w:id="28" w:name="_Toc7171"/>
      <w:bookmarkStart w:id="29" w:name="_Toc9793"/>
      <w:r>
        <w:rPr>
          <w:rFonts w:hint="eastAsia" w:ascii="仿宋" w:hAnsi="仿宋" w:eastAsia="仿宋" w:cs="仿宋_GB2312"/>
          <w:b/>
          <w:sz w:val="36"/>
          <w:szCs w:val="36"/>
          <w:highlight w:val="none"/>
        </w:rPr>
        <w:t>五、评标</w:t>
      </w:r>
      <w:bookmarkEnd w:id="25"/>
      <w:bookmarkEnd w:id="26"/>
      <w:bookmarkEnd w:id="27"/>
      <w:bookmarkEnd w:id="28"/>
      <w:bookmarkEnd w:id="29"/>
    </w:p>
    <w:p w14:paraId="66B40F9E">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评标</w:t>
      </w:r>
    </w:p>
    <w:p w14:paraId="31EFF947">
      <w:pPr>
        <w:spacing w:line="360" w:lineRule="auto"/>
        <w:ind w:firstLine="480" w:firstLineChars="200"/>
        <w:rPr>
          <w:rFonts w:ascii="仿宋" w:hAnsi="仿宋" w:eastAsia="仿宋" w:cs="仿宋_GB2312"/>
          <w:b/>
          <w:sz w:val="24"/>
          <w:highlight w:val="none"/>
        </w:rPr>
      </w:pPr>
      <w:r>
        <w:rPr>
          <w:rFonts w:hint="eastAsia" w:ascii="仿宋" w:hAnsi="仿宋" w:eastAsia="仿宋"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highlight w:val="none"/>
        </w:rPr>
        <w:t>详见招标文件第四部分评标办法。</w:t>
      </w:r>
    </w:p>
    <w:p w14:paraId="6126B0E7">
      <w:pPr>
        <w:snapToGrid w:val="0"/>
        <w:spacing w:line="360" w:lineRule="auto"/>
        <w:jc w:val="center"/>
        <w:outlineLvl w:val="1"/>
        <w:rPr>
          <w:rFonts w:ascii="仿宋" w:hAnsi="仿宋" w:eastAsia="仿宋" w:cs="仿宋_GB2312"/>
          <w:b/>
          <w:sz w:val="36"/>
          <w:szCs w:val="36"/>
          <w:highlight w:val="none"/>
        </w:rPr>
      </w:pPr>
      <w:bookmarkStart w:id="30" w:name="_Toc30302"/>
      <w:bookmarkStart w:id="31" w:name="_Toc7518"/>
      <w:bookmarkStart w:id="32" w:name="_Toc29939"/>
      <w:bookmarkStart w:id="33" w:name="_Toc31668"/>
      <w:bookmarkStart w:id="34" w:name="_Toc20749"/>
      <w:r>
        <w:rPr>
          <w:rFonts w:hint="eastAsia" w:ascii="仿宋" w:hAnsi="仿宋" w:eastAsia="仿宋" w:cs="仿宋_GB2312"/>
          <w:b/>
          <w:sz w:val="36"/>
          <w:szCs w:val="36"/>
          <w:highlight w:val="none"/>
        </w:rPr>
        <w:t>六、定</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标</w:t>
      </w:r>
      <w:bookmarkEnd w:id="30"/>
      <w:bookmarkEnd w:id="31"/>
      <w:bookmarkEnd w:id="32"/>
      <w:bookmarkEnd w:id="33"/>
      <w:bookmarkEnd w:id="34"/>
    </w:p>
    <w:p w14:paraId="50A01635">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确定中标供应商</w:t>
      </w:r>
    </w:p>
    <w:p w14:paraId="24FC5DBC">
      <w:pPr>
        <w:pStyle w:val="118"/>
        <w:snapToGrid w:val="0"/>
        <w:spacing w:before="0"/>
        <w:ind w:firstLine="420" w:firstLineChars="175"/>
        <w:rPr>
          <w:rFonts w:ascii="仿宋" w:hAnsi="仿宋" w:eastAsia="仿宋"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仿宋_GB2312" w:hAnsi="仿宋" w:eastAsia="仿宋_GB2312" w:cs="仿宋_GB2312"/>
          <w:szCs w:val="24"/>
          <w:highlight w:val="none"/>
          <w:lang w:eastAsia="zh-CN"/>
        </w:rPr>
        <w:t>中标候选人并列的，</w:t>
      </w:r>
      <w:r>
        <w:rPr>
          <w:rFonts w:hint="eastAsia" w:ascii="仿宋_GB2312" w:hAnsi="仿宋" w:eastAsia="仿宋_GB2312" w:cs="仿宋_GB2312"/>
          <w:szCs w:val="24"/>
          <w:highlight w:val="none"/>
        </w:rPr>
        <w:t>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r>
        <w:rPr>
          <w:rFonts w:hint="eastAsia" w:ascii="仿宋" w:hAnsi="仿宋" w:eastAsia="仿宋" w:cs="仿宋_GB2312"/>
          <w:szCs w:val="24"/>
          <w:highlight w:val="none"/>
        </w:rPr>
        <w:t>。</w:t>
      </w:r>
    </w:p>
    <w:p w14:paraId="3733EE90">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中标通知与中标结果公告</w:t>
      </w:r>
    </w:p>
    <w:p w14:paraId="17583223">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自中标人确定之日起2个工作日内，采购代理机构通过电子交易平台向中标人发出中标通知书，同时编制发布采购结果公告。采购代理机构也可以以纸质形式进行中标通知。</w:t>
      </w:r>
    </w:p>
    <w:p w14:paraId="1FCC2DA8">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5DA74B07">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公告期限为1个工作日。</w:t>
      </w:r>
    </w:p>
    <w:p w14:paraId="6A008691">
      <w:pPr>
        <w:rPr>
          <w:rFonts w:hint="eastAsia" w:ascii="仿宋" w:hAnsi="仿宋" w:eastAsia="仿宋"/>
          <w:highlight w:val="none"/>
        </w:rPr>
      </w:pPr>
    </w:p>
    <w:p w14:paraId="7DDDEC2E">
      <w:pPr>
        <w:snapToGrid w:val="0"/>
        <w:spacing w:line="360" w:lineRule="auto"/>
        <w:jc w:val="center"/>
        <w:outlineLvl w:val="1"/>
        <w:rPr>
          <w:rFonts w:hint="eastAsia" w:ascii="仿宋" w:hAnsi="仿宋" w:eastAsia="仿宋" w:cs="仿宋_GB2312"/>
          <w:b/>
          <w:sz w:val="36"/>
          <w:szCs w:val="36"/>
          <w:highlight w:val="none"/>
        </w:rPr>
      </w:pPr>
      <w:bookmarkStart w:id="35" w:name="_Toc12684"/>
      <w:bookmarkStart w:id="36" w:name="_Toc5538"/>
      <w:bookmarkStart w:id="37" w:name="_Toc21438"/>
      <w:bookmarkStart w:id="38" w:name="_Toc16906"/>
      <w:r>
        <w:rPr>
          <w:rFonts w:hint="eastAsia" w:ascii="仿宋" w:hAnsi="仿宋" w:eastAsia="仿宋" w:cs="仿宋_GB2312"/>
          <w:b/>
          <w:sz w:val="36"/>
          <w:szCs w:val="36"/>
          <w:highlight w:val="none"/>
        </w:rPr>
        <w:t>七、合同授予</w:t>
      </w:r>
      <w:bookmarkEnd w:id="35"/>
      <w:bookmarkEnd w:id="36"/>
      <w:bookmarkEnd w:id="37"/>
      <w:bookmarkEnd w:id="38"/>
    </w:p>
    <w:p w14:paraId="089C81E3">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合同授予</w:t>
      </w:r>
    </w:p>
    <w:p w14:paraId="0EE6911D">
      <w:pPr>
        <w:widowControl/>
        <w:shd w:val="clear" w:color="auto" w:fill="FFFFFF"/>
        <w:spacing w:line="360" w:lineRule="auto"/>
        <w:ind w:firstLine="420"/>
        <w:jc w:val="left"/>
        <w:rPr>
          <w:rFonts w:ascii="仿宋" w:hAnsi="仿宋" w:eastAsia="仿宋" w:cs="仿宋_GB2312"/>
          <w:b/>
          <w:highlight w:val="none"/>
        </w:rPr>
      </w:pPr>
      <w:r>
        <w:rPr>
          <w:rFonts w:hint="eastAsia" w:ascii="仿宋" w:hAnsi="仿宋" w:eastAsia="仿宋" w:cs="仿宋_GB2312"/>
          <w:sz w:val="24"/>
          <w:highlight w:val="none"/>
        </w:rPr>
        <w:t>合同主要条款详见第五部分拟签订的合同文本。</w:t>
      </w:r>
    </w:p>
    <w:p w14:paraId="66DBB09E">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合同的签订</w:t>
      </w:r>
    </w:p>
    <w:p w14:paraId="1C6C629F">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DB5007">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rPr>
      </w:pPr>
      <w:r>
        <w:rPr>
          <w:rFonts w:hint="eastAsia" w:ascii="仿宋" w:hAnsi="仿宋" w:eastAsia="仿宋"/>
          <w:bCs/>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86B3F8C">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如签订合同并生效后，供应商无故拒绝或延期，除按照合同条款处理外，列入不良行为记录一次，并给予通报。</w:t>
      </w:r>
    </w:p>
    <w:p w14:paraId="0D785016">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7C6264DD">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采购合同由采购人与中标供应商根据招标文件、投标文件等内容通过政府采购电子交易平台在线签订，自动备案。</w:t>
      </w:r>
    </w:p>
    <w:p w14:paraId="105B8545">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履约保证金</w:t>
      </w:r>
    </w:p>
    <w:p w14:paraId="3A87F85A">
      <w:pPr>
        <w:numPr>
          <w:ilvl w:val="1"/>
          <w:numId w:val="3"/>
        </w:numPr>
        <w:tabs>
          <w:tab w:val="left" w:pos="210"/>
          <w:tab w:val="left" w:pos="640"/>
        </w:tabs>
        <w:snapToGrid w:val="0"/>
        <w:spacing w:line="360" w:lineRule="auto"/>
        <w:ind w:left="627" w:hanging="627"/>
        <w:jc w:val="left"/>
        <w:rPr>
          <w:rFonts w:hint="eastAsia" w:ascii="仿宋" w:hAnsi="仿宋" w:eastAsia="仿宋"/>
          <w:bCs/>
          <w:sz w:val="24"/>
          <w:highlight w:val="none"/>
          <w:lang w:val="zh-CN"/>
        </w:rPr>
      </w:pPr>
      <w:r>
        <w:rPr>
          <w:rFonts w:hint="eastAsia" w:ascii="仿宋" w:hAnsi="仿宋" w:eastAsia="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bCs/>
          <w:sz w:val="24"/>
          <w:highlight w:val="none"/>
        </w:rPr>
        <w:t>1.0</w:t>
      </w:r>
      <w:r>
        <w:rPr>
          <w:rFonts w:hint="eastAsia" w:ascii="仿宋" w:hAnsi="仿宋" w:eastAsia="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1EEC3D5A">
      <w:pPr>
        <w:numPr>
          <w:ilvl w:val="1"/>
          <w:numId w:val="3"/>
        </w:numPr>
        <w:tabs>
          <w:tab w:val="left" w:pos="210"/>
          <w:tab w:val="left" w:pos="640"/>
        </w:tabs>
        <w:snapToGrid w:val="0"/>
        <w:spacing w:line="360" w:lineRule="auto"/>
        <w:ind w:left="627" w:hanging="627"/>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w:t>
      </w:r>
      <w:r>
        <w:rPr>
          <w:rFonts w:hint="eastAsia" w:ascii="仿宋" w:hAnsi="仿宋" w:eastAsia="仿宋"/>
          <w:bCs/>
          <w:sz w:val="24"/>
          <w:highlight w:val="none"/>
        </w:rPr>
        <w:t>可</w:t>
      </w:r>
      <w:r>
        <w:rPr>
          <w:rFonts w:hint="eastAsia" w:ascii="仿宋" w:hAnsi="仿宋" w:eastAsia="仿宋"/>
          <w:bCs/>
          <w:sz w:val="24"/>
          <w:highlight w:val="none"/>
          <w:lang w:val="zh-CN"/>
        </w:rPr>
        <w:t>登录政采云平台-【金融服务】—【我的项目】—【已备案合同】以保函形式提供：</w:t>
      </w:r>
    </w:p>
    <w:p w14:paraId="76191D5E">
      <w:pPr>
        <w:numPr>
          <w:ilvl w:val="2"/>
          <w:numId w:val="3"/>
        </w:numPr>
        <w:tabs>
          <w:tab w:val="left" w:pos="210"/>
        </w:tabs>
        <w:snapToGrid w:val="0"/>
        <w:spacing w:line="360" w:lineRule="auto"/>
        <w:jc w:val="left"/>
        <w:rPr>
          <w:rFonts w:hint="eastAsia" w:ascii="仿宋" w:hAnsi="仿宋" w:eastAsia="仿宋"/>
          <w:bCs/>
          <w:sz w:val="24"/>
          <w:highlight w:val="none"/>
          <w:lang w:val="zh-CN"/>
        </w:rPr>
      </w:pPr>
      <w:r>
        <w:rPr>
          <w:rFonts w:hint="eastAsia" w:ascii="仿宋" w:hAnsi="仿宋" w:eastAsia="仿宋"/>
          <w:bCs/>
          <w:sz w:val="24"/>
          <w:highlight w:val="none"/>
          <w:lang w:val="zh-CN"/>
        </w:rPr>
        <w:t>供应商在合同列表选择需要投保的合同，点击【保函推荐】。</w:t>
      </w:r>
    </w:p>
    <w:p w14:paraId="6EEB931F">
      <w:pPr>
        <w:numPr>
          <w:ilvl w:val="2"/>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lang w:val="zh-CN"/>
        </w:rPr>
        <w:t>在弹框里查看推荐的保函产品，供应商自行选择保函产品，点击【立即申请】。</w:t>
      </w:r>
    </w:p>
    <w:p w14:paraId="2A573428">
      <w:pPr>
        <w:numPr>
          <w:ilvl w:val="2"/>
          <w:numId w:val="3"/>
        </w:numPr>
        <w:tabs>
          <w:tab w:val="left" w:pos="210"/>
        </w:tabs>
        <w:snapToGrid w:val="0"/>
        <w:spacing w:line="360" w:lineRule="auto"/>
        <w:jc w:val="left"/>
        <w:rPr>
          <w:rFonts w:hint="eastAsia" w:ascii="仿宋" w:hAnsi="仿宋" w:eastAsia="仿宋"/>
          <w:bCs/>
          <w:sz w:val="24"/>
          <w:highlight w:val="none"/>
        </w:rPr>
      </w:pPr>
      <w:r>
        <w:rPr>
          <w:rFonts w:hint="eastAsia" w:ascii="仿宋" w:hAnsi="仿宋" w:eastAsia="仿宋"/>
          <w:bCs/>
          <w:sz w:val="24"/>
          <w:highlight w:val="none"/>
          <w:lang w:val="zh-CN"/>
        </w:rPr>
        <w:t>在弹框里填写保函申请信息。具体步骤：选择产品—填写供应商信息—选择中标项目—确认信息—等待保险/保函受理—确认保单—支付保费—成功出单。政采云金融专线400-903-9583。</w:t>
      </w:r>
    </w:p>
    <w:p w14:paraId="2F169E5E">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预付款</w:t>
      </w:r>
    </w:p>
    <w:p w14:paraId="5891058C">
      <w:pPr>
        <w:tabs>
          <w:tab w:val="left" w:pos="210"/>
          <w:tab w:val="left" w:pos="640"/>
        </w:tabs>
        <w:snapToGrid w:val="0"/>
        <w:spacing w:line="360" w:lineRule="auto"/>
        <w:ind w:firstLine="480" w:firstLineChars="200"/>
        <w:jc w:val="left"/>
        <w:rPr>
          <w:rFonts w:hint="eastAsia" w:ascii="仿宋" w:hAnsi="仿宋" w:eastAsia="仿宋"/>
          <w:bCs/>
          <w:sz w:val="24"/>
          <w:highlight w:val="none"/>
        </w:rPr>
      </w:pPr>
      <w:r>
        <w:rPr>
          <w:rFonts w:hint="eastAsia" w:ascii="仿宋" w:hAnsi="仿宋" w:eastAsia="仿宋"/>
          <w:bCs/>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105AFBB">
      <w:pPr>
        <w:snapToGrid w:val="0"/>
        <w:spacing w:line="360" w:lineRule="auto"/>
        <w:ind w:firstLine="3357" w:firstLineChars="1045"/>
        <w:rPr>
          <w:rFonts w:hint="eastAsia" w:ascii="仿宋" w:hAnsi="仿宋" w:eastAsia="仿宋" w:cs="仿宋_GB2312"/>
          <w:b/>
          <w:sz w:val="32"/>
          <w:highlight w:val="none"/>
        </w:rPr>
      </w:pPr>
    </w:p>
    <w:p w14:paraId="3324CC80">
      <w:pPr>
        <w:snapToGrid w:val="0"/>
        <w:spacing w:line="360" w:lineRule="auto"/>
        <w:jc w:val="center"/>
        <w:outlineLvl w:val="1"/>
        <w:rPr>
          <w:rFonts w:hint="eastAsia" w:ascii="仿宋" w:hAnsi="仿宋" w:eastAsia="仿宋" w:cs="仿宋_GB2312"/>
          <w:b/>
          <w:sz w:val="36"/>
          <w:szCs w:val="36"/>
          <w:highlight w:val="none"/>
        </w:rPr>
      </w:pPr>
      <w:bookmarkStart w:id="39" w:name="_Toc24890"/>
      <w:bookmarkStart w:id="40" w:name="_Toc32079"/>
      <w:bookmarkStart w:id="41" w:name="_Toc12260"/>
      <w:r>
        <w:rPr>
          <w:rFonts w:hint="eastAsia" w:ascii="仿宋" w:hAnsi="仿宋" w:eastAsia="仿宋" w:cs="仿宋_GB2312"/>
          <w:b/>
          <w:sz w:val="36"/>
          <w:szCs w:val="36"/>
          <w:highlight w:val="none"/>
        </w:rPr>
        <w:t>八、电子交易活动的中止</w:t>
      </w:r>
      <w:bookmarkEnd w:id="39"/>
      <w:bookmarkEnd w:id="40"/>
      <w:bookmarkEnd w:id="41"/>
    </w:p>
    <w:p w14:paraId="389B9DA9">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电子交易活动的中止</w:t>
      </w:r>
    </w:p>
    <w:p w14:paraId="5C6A816B">
      <w:pPr>
        <w:pStyle w:val="118"/>
        <w:snapToGrid w:val="0"/>
        <w:spacing w:before="0"/>
        <w:ind w:firstLine="480"/>
        <w:rPr>
          <w:rFonts w:ascii="仿宋" w:hAnsi="仿宋" w:eastAsia="仿宋" w:cs="仿宋_GB2312"/>
          <w:highlight w:val="none"/>
        </w:rPr>
      </w:pPr>
      <w:r>
        <w:rPr>
          <w:rFonts w:hint="eastAsia" w:ascii="仿宋" w:hAnsi="仿宋" w:eastAsia="仿宋" w:cs="仿宋_GB2312"/>
          <w:highlight w:val="none"/>
        </w:rPr>
        <w:t>采购过程中出现以下情形，导致电子交易平台无法正常运行，或者无法保证电子交易的公平、公正和安全时，采购代理机构可中止电子交易活动：</w:t>
      </w:r>
    </w:p>
    <w:p w14:paraId="203242DA">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 xml:space="preserve">电子交易平台发生故障而无法登录访问的； </w:t>
      </w:r>
    </w:p>
    <w:p w14:paraId="338F35AA">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电子交易平台应用或数据库出现错误，不能进行正常操作的；</w:t>
      </w:r>
    </w:p>
    <w:p w14:paraId="70DB2F0C">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电子交易平台发现严重安全漏洞，有潜在泄密危险的；</w:t>
      </w:r>
    </w:p>
    <w:p w14:paraId="6E0C91F8">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 xml:space="preserve">病毒发作导致不能进行正常操作的； </w:t>
      </w:r>
    </w:p>
    <w:p w14:paraId="22C73995">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其他无法保证电子交易的公平、公正和安全的情况。</w:t>
      </w:r>
    </w:p>
    <w:p w14:paraId="3E01287E">
      <w:pPr>
        <w:numPr>
          <w:ilvl w:val="0"/>
          <w:numId w:val="3"/>
        </w:numPr>
        <w:tabs>
          <w:tab w:val="left" w:pos="210"/>
        </w:tabs>
        <w:snapToGrid w:val="0"/>
        <w:spacing w:line="360" w:lineRule="auto"/>
        <w:ind w:left="403" w:hanging="403"/>
        <w:jc w:val="left"/>
        <w:outlineLvl w:val="2"/>
        <w:rPr>
          <w:rFonts w:hint="eastAsia" w:ascii="仿宋" w:hAnsi="仿宋" w:eastAsia="仿宋"/>
          <w:b/>
          <w:sz w:val="24"/>
          <w:highlight w:val="none"/>
        </w:rPr>
      </w:pPr>
      <w:r>
        <w:rPr>
          <w:rFonts w:hint="eastAsia" w:ascii="仿宋" w:hAnsi="仿宋" w:eastAsia="仿宋"/>
          <w:b/>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5644D0F">
      <w:pPr>
        <w:tabs>
          <w:tab w:val="left" w:pos="0"/>
        </w:tabs>
        <w:spacing w:line="360" w:lineRule="auto"/>
        <w:ind w:firstLine="480"/>
        <w:rPr>
          <w:rFonts w:ascii="仿宋" w:hAnsi="仿宋" w:eastAsia="仿宋"/>
          <w:sz w:val="24"/>
          <w:highlight w:val="none"/>
        </w:rPr>
      </w:pPr>
    </w:p>
    <w:p w14:paraId="05FFC577">
      <w:pPr>
        <w:snapToGrid w:val="0"/>
        <w:spacing w:line="360" w:lineRule="auto"/>
        <w:jc w:val="center"/>
        <w:outlineLvl w:val="1"/>
        <w:rPr>
          <w:rFonts w:hint="eastAsia" w:ascii="仿宋" w:hAnsi="仿宋" w:eastAsia="仿宋" w:cs="仿宋_GB2312"/>
          <w:b/>
          <w:sz w:val="36"/>
          <w:szCs w:val="36"/>
          <w:highlight w:val="none"/>
        </w:rPr>
      </w:pPr>
      <w:bookmarkStart w:id="42" w:name="_Toc26192"/>
      <w:bookmarkStart w:id="43" w:name="_Toc18624"/>
      <w:bookmarkStart w:id="44" w:name="_Toc24777"/>
      <w:r>
        <w:rPr>
          <w:rFonts w:hint="eastAsia" w:ascii="仿宋" w:hAnsi="仿宋" w:eastAsia="仿宋" w:cs="仿宋_GB2312"/>
          <w:b/>
          <w:sz w:val="36"/>
          <w:szCs w:val="36"/>
          <w:highlight w:val="none"/>
        </w:rPr>
        <w:t>九、验收</w:t>
      </w:r>
      <w:bookmarkEnd w:id="42"/>
      <w:bookmarkEnd w:id="43"/>
      <w:bookmarkEnd w:id="44"/>
    </w:p>
    <w:p w14:paraId="1B77103F">
      <w:pPr>
        <w:numPr>
          <w:ilvl w:val="0"/>
          <w:numId w:val="3"/>
        </w:numPr>
        <w:tabs>
          <w:tab w:val="left" w:pos="210"/>
        </w:tabs>
        <w:snapToGrid w:val="0"/>
        <w:spacing w:line="360" w:lineRule="auto"/>
        <w:jc w:val="left"/>
        <w:outlineLvl w:val="2"/>
        <w:rPr>
          <w:rFonts w:hint="eastAsia" w:ascii="仿宋" w:hAnsi="仿宋" w:eastAsia="仿宋"/>
          <w:b/>
          <w:sz w:val="24"/>
          <w:highlight w:val="none"/>
        </w:rPr>
      </w:pPr>
      <w:r>
        <w:rPr>
          <w:rFonts w:hint="eastAsia" w:ascii="仿宋" w:hAnsi="仿宋" w:eastAsia="仿宋"/>
          <w:b/>
          <w:sz w:val="24"/>
          <w:highlight w:val="none"/>
        </w:rPr>
        <w:t>验收</w:t>
      </w:r>
    </w:p>
    <w:p w14:paraId="3DA069A9">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BCB116">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采购人可以邀请参加本项目的其他投标人或者第三方机构参与验收。参与验收的投标人或者第三方机构的意见作为验收书的参考资料一并存档。</w:t>
      </w:r>
    </w:p>
    <w:p w14:paraId="794454A3">
      <w:pPr>
        <w:numPr>
          <w:ilvl w:val="1"/>
          <w:numId w:val="3"/>
        </w:numPr>
        <w:tabs>
          <w:tab w:val="left" w:pos="210"/>
          <w:tab w:val="left" w:pos="640"/>
        </w:tabs>
        <w:snapToGrid w:val="0"/>
        <w:spacing w:line="360" w:lineRule="auto"/>
        <w:ind w:left="629" w:hanging="629"/>
        <w:jc w:val="left"/>
        <w:rPr>
          <w:rFonts w:hint="eastAsia" w:ascii="仿宋" w:hAnsi="仿宋" w:eastAsia="仿宋"/>
          <w:bCs/>
          <w:sz w:val="24"/>
          <w:highlight w:val="none"/>
          <w:lang w:val="zh-CN"/>
        </w:rPr>
      </w:pPr>
      <w:r>
        <w:rPr>
          <w:rFonts w:hint="eastAsia" w:ascii="仿宋" w:hAnsi="仿宋" w:eastAsia="仿宋"/>
          <w:bCs/>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BB33C9">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cs="Times New Roman"/>
          <w:b w:val="0"/>
          <w:bCs/>
          <w:color w:val="auto"/>
          <w:sz w:val="24"/>
          <w:highlight w:val="none"/>
          <w:lang w:val="zh-CN" w:eastAsia="zh-CN"/>
        </w:rPr>
      </w:pPr>
      <w:r>
        <w:rPr>
          <w:rFonts w:hint="eastAsia" w:ascii="仿宋" w:hAnsi="仿宋" w:eastAsia="仿宋"/>
          <w:bCs/>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4EA01B">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r>
        <w:rPr>
          <w:rFonts w:hint="eastAsia" w:ascii="仿宋" w:hAnsi="仿宋" w:eastAsia="仿宋" w:cs="仿宋"/>
          <w:b/>
          <w:bCs/>
          <w:color w:val="auto"/>
          <w:sz w:val="28"/>
          <w:szCs w:val="21"/>
          <w:highlight w:val="none"/>
        </w:rPr>
        <w:br w:type="page"/>
      </w:r>
      <w:bookmarkStart w:id="45" w:name="_Toc83616202"/>
      <w:bookmarkStart w:id="46" w:name="_Toc31190"/>
      <w:bookmarkStart w:id="47" w:name="_Toc242012796"/>
      <w:bookmarkStart w:id="48" w:name="_Toc11107"/>
      <w:r>
        <w:rPr>
          <w:rFonts w:hint="eastAsia" w:ascii="仿宋" w:hAnsi="仿宋" w:eastAsia="仿宋" w:cs="仿宋"/>
          <w:b/>
          <w:color w:val="auto"/>
          <w:sz w:val="30"/>
          <w:szCs w:val="30"/>
          <w:highlight w:val="none"/>
        </w:rPr>
        <w:t>第三部分</w:t>
      </w:r>
      <w:bookmarkEnd w:id="45"/>
      <w:bookmarkEnd w:id="46"/>
      <w:bookmarkEnd w:id="47"/>
      <w:r>
        <w:rPr>
          <w:rFonts w:hint="eastAsia" w:ascii="仿宋" w:hAnsi="仿宋" w:eastAsia="仿宋" w:cs="仿宋"/>
          <w:b/>
          <w:color w:val="auto"/>
          <w:sz w:val="30"/>
          <w:szCs w:val="30"/>
          <w:highlight w:val="none"/>
        </w:rPr>
        <w:t xml:space="preserve">  采购需求</w:t>
      </w:r>
      <w:bookmarkEnd w:id="48"/>
    </w:p>
    <w:p w14:paraId="58A68BB2">
      <w:pPr>
        <w:pStyle w:val="5"/>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ascii="仿宋" w:hAnsi="仿宋" w:eastAsia="仿宋" w:cs="仿宋"/>
          <w:color w:val="auto"/>
          <w:sz w:val="24"/>
          <w:szCs w:val="24"/>
          <w:highlight w:val="none"/>
        </w:rPr>
      </w:pPr>
      <w:bookmarkStart w:id="49" w:name="_Toc22609"/>
      <w:bookmarkStart w:id="50" w:name="_Toc30857"/>
      <w:bookmarkStart w:id="51" w:name="_Toc28332"/>
      <w:bookmarkStart w:id="52" w:name="_Toc3945"/>
      <w:bookmarkStart w:id="53" w:name="_Toc32543"/>
      <w:bookmarkStart w:id="54" w:name="_Toc418846105"/>
      <w:bookmarkStart w:id="55" w:name="_Toc12471"/>
      <w:bookmarkStart w:id="56" w:name="_Toc306304665"/>
      <w:bookmarkStart w:id="57" w:name="_Toc194983818"/>
      <w:bookmarkStart w:id="58" w:name="_Toc203558307"/>
      <w:bookmarkStart w:id="59" w:name="_Toc342633574"/>
      <w:r>
        <w:rPr>
          <w:rFonts w:hint="eastAsia" w:ascii="仿宋" w:hAnsi="仿宋" w:eastAsia="仿宋" w:cs="仿宋"/>
          <w:color w:val="auto"/>
          <w:sz w:val="24"/>
          <w:szCs w:val="24"/>
          <w:highlight w:val="none"/>
        </w:rPr>
        <w:t>一、项目概况</w:t>
      </w:r>
      <w:bookmarkEnd w:id="49"/>
      <w:bookmarkEnd w:id="50"/>
      <w:bookmarkEnd w:id="51"/>
      <w:bookmarkEnd w:id="52"/>
      <w:bookmarkEnd w:id="53"/>
      <w:bookmarkEnd w:id="54"/>
    </w:p>
    <w:p w14:paraId="244E4DC5">
      <w:pPr>
        <w:tabs>
          <w:tab w:val="left" w:pos="0"/>
        </w:tabs>
        <w:adjustRightInd w:val="0"/>
        <w:snapToGrid w:val="0"/>
        <w:spacing w:line="360" w:lineRule="auto"/>
        <w:ind w:firstLine="480" w:firstLineChars="200"/>
        <w:rPr>
          <w:rFonts w:ascii="仿宋" w:hAnsi="仿宋" w:eastAsia="仿宋" w:cs="仿宋"/>
          <w:color w:val="auto"/>
          <w:sz w:val="24"/>
          <w:highlight w:val="none"/>
        </w:rPr>
      </w:pPr>
      <w:bookmarkStart w:id="60" w:name="_Toc418846106"/>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lang w:eastAsia="zh-CN"/>
        </w:rPr>
        <w:t>白杨街道“小脑+手脚”，“四平台处置”服务采购项目（2024-2025年）</w:t>
      </w:r>
      <w:r>
        <w:rPr>
          <w:rFonts w:hint="eastAsia" w:ascii="仿宋" w:hAnsi="仿宋" w:eastAsia="仿宋" w:cs="仿宋"/>
          <w:color w:val="auto"/>
          <w:sz w:val="24"/>
          <w:highlight w:val="none"/>
        </w:rPr>
        <w:t>。</w:t>
      </w:r>
    </w:p>
    <w:p w14:paraId="040703B4">
      <w:pPr>
        <w:pStyle w:val="2"/>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2、项目地点：按采购人指定地点。</w:t>
      </w:r>
    </w:p>
    <w:p w14:paraId="087A017D">
      <w:pPr>
        <w:pStyle w:val="2"/>
        <w:adjustRightInd w:val="0"/>
        <w:snapToGrid w:val="0"/>
        <w:spacing w:after="0"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3、实施期限：</w:t>
      </w:r>
      <w:r>
        <w:rPr>
          <w:rFonts w:hint="eastAsia" w:ascii="仿宋" w:hAnsi="仿宋" w:eastAsia="仿宋" w:cs="仿宋"/>
          <w:b w:val="0"/>
          <w:bCs w:val="0"/>
          <w:color w:val="auto"/>
          <w:sz w:val="24"/>
          <w:highlight w:val="none"/>
          <w:lang w:val="en-US" w:eastAsia="zh-CN"/>
        </w:rPr>
        <w:t>整体服务期为1年</w:t>
      </w:r>
      <w:r>
        <w:rPr>
          <w:rFonts w:hint="eastAsia" w:ascii="仿宋" w:hAnsi="仿宋" w:eastAsia="仿宋" w:cs="仿宋"/>
          <w:b w:val="0"/>
          <w:bCs w:val="0"/>
          <w:color w:val="auto"/>
          <w:sz w:val="24"/>
          <w:highlight w:val="none"/>
        </w:rPr>
        <w:t>。具体时间根据采购人要求安排。</w:t>
      </w:r>
    </w:p>
    <w:p w14:paraId="6ECC50B3">
      <w:pPr>
        <w:pStyle w:val="2"/>
        <w:adjustRightInd w:val="0"/>
        <w:snapToGrid w:val="0"/>
        <w:spacing w:after="0"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b w:val="0"/>
          <w:bCs w:val="0"/>
          <w:color w:val="auto"/>
          <w:sz w:val="24"/>
          <w:highlight w:val="none"/>
        </w:rPr>
        <w:t>4、</w:t>
      </w:r>
      <w:r>
        <w:rPr>
          <w:rFonts w:hint="eastAsia" w:ascii="仿宋" w:hAnsi="仿宋" w:eastAsia="仿宋" w:cs="仿宋"/>
          <w:b w:val="0"/>
          <w:bCs w:val="0"/>
          <w:color w:val="auto"/>
          <w:sz w:val="24"/>
          <w:highlight w:val="none"/>
          <w:lang w:val="en-US" w:eastAsia="zh-CN"/>
        </w:rPr>
        <w:t>基本内容：为持续加强白杨街道基层治理体系和治理能力现代化建设，加快推进"四平台"建设，进一步提升基层治理，服务群众的能力和水平，营造矛盾纠纷联调、治安问题联治、社会问题联抓、平安建设联创、为民实事联办的良好局面。拟"将小脑＋手脚"、"四平台处置"部分事项以公开招标方式进行服务采购。</w:t>
      </w:r>
    </w:p>
    <w:p w14:paraId="1E7EC0A7">
      <w:pPr>
        <w:pStyle w:val="2"/>
        <w:adjustRightInd w:val="0"/>
        <w:snapToGrid w:val="0"/>
        <w:spacing w:after="0"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5、服务区域现状：杭州市钱塘区</w:t>
      </w:r>
      <w:r>
        <w:rPr>
          <w:rFonts w:hint="default" w:ascii="仿宋" w:hAnsi="仿宋" w:eastAsia="仿宋" w:cs="仿宋"/>
          <w:b w:val="0"/>
          <w:bCs w:val="0"/>
          <w:color w:val="auto"/>
          <w:sz w:val="24"/>
          <w:highlight w:val="none"/>
          <w:lang w:val="en-US" w:eastAsia="zh-CN"/>
        </w:rPr>
        <w:t>白杨街道，隶属于浙江省杭州市钱塘区，地处钱塘区东部偏南，东、南临钱塘江与萧山区红山农场、钱江农场隔江相望，西、北与下沙街道毗邻。</w:t>
      </w:r>
      <w:r>
        <w:rPr>
          <w:rFonts w:hint="eastAsia" w:ascii="仿宋" w:hAnsi="仿宋" w:eastAsia="仿宋" w:cs="仿宋"/>
          <w:b w:val="0"/>
          <w:bCs w:val="0"/>
          <w:color w:val="auto"/>
          <w:sz w:val="24"/>
          <w:highlight w:val="none"/>
          <w:lang w:val="en-US" w:eastAsia="zh-CN"/>
        </w:rPr>
        <w:t>管辖总面积54.9平方公里，下辖25个社区，64个居民小区，</w:t>
      </w:r>
      <w:r>
        <w:rPr>
          <w:rFonts w:hint="default" w:ascii="仿宋" w:hAnsi="仿宋" w:eastAsia="仿宋" w:cs="仿宋"/>
          <w:b w:val="0"/>
          <w:bCs w:val="0"/>
          <w:color w:val="auto"/>
          <w:sz w:val="24"/>
          <w:highlight w:val="none"/>
          <w:lang w:val="en-US" w:eastAsia="zh-CN"/>
        </w:rPr>
        <w:t>总人口</w:t>
      </w:r>
      <w:r>
        <w:rPr>
          <w:rFonts w:hint="eastAsia" w:ascii="仿宋" w:hAnsi="仿宋" w:eastAsia="仿宋" w:cs="仿宋"/>
          <w:b w:val="0"/>
          <w:bCs w:val="0"/>
          <w:color w:val="auto"/>
          <w:sz w:val="24"/>
          <w:highlight w:val="none"/>
          <w:lang w:val="en-US" w:eastAsia="zh-CN"/>
        </w:rPr>
        <w:t>约54万</w:t>
      </w:r>
      <w:r>
        <w:rPr>
          <w:rFonts w:hint="default" w:ascii="仿宋" w:hAnsi="仿宋" w:eastAsia="仿宋" w:cs="仿宋"/>
          <w:b w:val="0"/>
          <w:bCs w:val="0"/>
          <w:color w:val="auto"/>
          <w:sz w:val="24"/>
          <w:highlight w:val="none"/>
          <w:lang w:val="en-US" w:eastAsia="zh-CN"/>
        </w:rPr>
        <w:t>人。</w:t>
      </w:r>
    </w:p>
    <w:p w14:paraId="1EE131F7">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、投标人提供的</w:t>
      </w:r>
      <w:r>
        <w:rPr>
          <w:rFonts w:hint="eastAsia" w:ascii="仿宋" w:hAnsi="仿宋" w:eastAsia="仿宋" w:cs="仿宋"/>
          <w:color w:val="auto"/>
          <w:sz w:val="24"/>
          <w:highlight w:val="none"/>
          <w:lang w:val="en-US" w:eastAsia="zh-CN"/>
        </w:rPr>
        <w:t>服务、证明材料等</w:t>
      </w:r>
      <w:r>
        <w:rPr>
          <w:rFonts w:hint="eastAsia" w:ascii="仿宋" w:hAnsi="仿宋" w:eastAsia="仿宋" w:cs="仿宋"/>
          <w:color w:val="auto"/>
          <w:sz w:val="24"/>
          <w:highlight w:val="none"/>
        </w:rPr>
        <w:t>实际情况与投标文件中所承诺</w:t>
      </w:r>
      <w:r>
        <w:rPr>
          <w:rFonts w:hint="eastAsia" w:ascii="仿宋" w:hAnsi="仿宋" w:eastAsia="仿宋" w:cs="仿宋"/>
          <w:color w:val="auto"/>
          <w:sz w:val="24"/>
          <w:highlight w:val="none"/>
          <w:lang w:val="en-US" w:eastAsia="zh-CN"/>
        </w:rPr>
        <w:t>或响应内容</w:t>
      </w:r>
      <w:r>
        <w:rPr>
          <w:rFonts w:hint="eastAsia" w:ascii="仿宋" w:hAnsi="仿宋" w:eastAsia="仿宋" w:cs="仿宋"/>
          <w:color w:val="auto"/>
          <w:sz w:val="24"/>
          <w:highlight w:val="none"/>
        </w:rPr>
        <w:t>不符合，可视为虚假应标及欺诈行为，并追究相应责任。</w:t>
      </w:r>
      <w:bookmarkEnd w:id="60"/>
      <w:bookmarkStart w:id="61" w:name="_Toc18368"/>
    </w:p>
    <w:p w14:paraId="033138BD">
      <w:pPr>
        <w:pStyle w:val="5"/>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二、工作内容及目标</w:t>
      </w:r>
    </w:p>
    <w:p w14:paraId="62E4FCE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（一）日常工作要求</w:t>
      </w:r>
    </w:p>
    <w:p w14:paraId="57D15480">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协助开展问题巡查、处置基层治理为主的服务内容。包括：</w:t>
      </w:r>
    </w:p>
    <w:p w14:paraId="3AA839AC">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（1）生态环境类：</w:t>
      </w:r>
      <w:r>
        <w:rPr>
          <w:rFonts w:hint="default" w:ascii="仿宋" w:hAnsi="仿宋" w:eastAsia="仿宋" w:cs="仿宋"/>
          <w:color w:val="auto"/>
          <w:sz w:val="24"/>
          <w:highlight w:val="none"/>
          <w:lang w:val="en-US" w:eastAsia="zh-CN"/>
        </w:rPr>
        <w:t>生态环境监管督查及处置；渣土及垃圾偷倒监管巡查及处置；拆违控违工作；瓶装燃气管控；</w:t>
      </w:r>
    </w:p>
    <w:p w14:paraId="27F9FC72">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（2）交通管理类：</w:t>
      </w:r>
      <w:r>
        <w:rPr>
          <w:rFonts w:hint="default" w:ascii="仿宋" w:hAnsi="仿宋" w:eastAsia="仿宋" w:cs="仿宋"/>
          <w:color w:val="auto"/>
          <w:sz w:val="24"/>
          <w:highlight w:val="none"/>
          <w:lang w:val="en-US" w:eastAsia="zh-CN"/>
        </w:rPr>
        <w:t>劝导管理服务区域内机动车停放入“位”，非机动车停放有序</w:t>
      </w:r>
      <w:r>
        <w:rPr>
          <w:rFonts w:hint="default" w:ascii="仿宋" w:hAnsi="仿宋" w:eastAsia="仿宋" w:cs="仿宋"/>
          <w:color w:val="auto"/>
          <w:sz w:val="24"/>
          <w:highlight w:val="none"/>
          <w:lang w:eastAsia="zh-CN"/>
        </w:rPr>
        <w:t>，对机动车违停进行辅助执法贴单</w:t>
      </w:r>
      <w:r>
        <w:rPr>
          <w:rFonts w:hint="eastAsia" w:ascii="仿宋" w:hAnsi="仿宋" w:eastAsia="仿宋" w:cs="仿宋"/>
          <w:color w:val="auto"/>
          <w:sz w:val="24"/>
          <w:highlight w:val="none"/>
          <w:lang w:val="en-US" w:eastAsia="zh-CN"/>
        </w:rPr>
        <w:t>；</w:t>
      </w:r>
    </w:p>
    <w:p w14:paraId="21B4C0F5">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城市序化管理</w:t>
      </w:r>
      <w:r>
        <w:rPr>
          <w:rFonts w:hint="eastAsia" w:ascii="仿宋" w:hAnsi="仿宋" w:eastAsia="仿宋" w:cs="仿宋"/>
          <w:color w:val="auto"/>
          <w:sz w:val="24"/>
          <w:highlight w:val="none"/>
          <w:lang w:val="en-US" w:eastAsia="zh-CN"/>
        </w:rPr>
        <w:t>类</w:t>
      </w:r>
      <w:r>
        <w:rPr>
          <w:rFonts w:hint="default" w:ascii="仿宋" w:hAnsi="仿宋" w:eastAsia="仿宋" w:cs="仿宋"/>
          <w:color w:val="auto"/>
          <w:sz w:val="24"/>
          <w:highlight w:val="none"/>
          <w:lang w:val="en-US" w:eastAsia="zh-CN"/>
        </w:rPr>
        <w:t>；制止无证流动摊贩内外设摊、沿街门店占道作业、出店经营；制止清理乱张贴，乱悬挂、乱堆放、乱搭建等行为；对乱晾晒及其他有碍市容观瞻的行为进行劝阻；对门店乱倒生活污水及乱堆装潢建筑垃圾加强管理；有序安排场内摊位，引导摊主规范经营，配合环卫部门定期清理疏导点内产生的垃圾；</w:t>
      </w:r>
    </w:p>
    <w:p w14:paraId="116AFCC5">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（4）平安类：根据企业自查和社区督导情况，每月不定期开展平安相关工作，督促相关企业开展安全生产问题自查自纠。</w:t>
      </w:r>
    </w:p>
    <w:p w14:paraId="07DA25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（二）其他工作要求</w:t>
      </w:r>
    </w:p>
    <w:p w14:paraId="4D2012B4">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协助开展整治、巡查相关工作。</w:t>
      </w:r>
    </w:p>
    <w:p w14:paraId="5E9C5706">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（1）参与各类专项整治，配合做好平安建设工作；</w:t>
      </w:r>
    </w:p>
    <w:p w14:paraId="5FCA0A85">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（2）重点道路进行巡查工作；</w:t>
      </w:r>
    </w:p>
    <w:p w14:paraId="6D2C23E9">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（3）做好特定时期的重点人员管控及巡查工作；</w:t>
      </w:r>
    </w:p>
    <w:p w14:paraId="27D2DE92">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（4）在特定时期做好辖区危化企业等周边环境巡查；</w:t>
      </w:r>
    </w:p>
    <w:p w14:paraId="0B9820BC">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（5）完成街道或上级交办的其他工作任务。</w:t>
      </w:r>
    </w:p>
    <w:p w14:paraId="6E612D1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（三）服务闭环</w:t>
      </w:r>
    </w:p>
    <w:p w14:paraId="342CF858">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以下为</w:t>
      </w:r>
      <w:r>
        <w:rPr>
          <w:rFonts w:hint="eastAsia" w:ascii="仿宋" w:hAnsi="仿宋" w:eastAsia="仿宋" w:cs="仿宋"/>
          <w:color w:val="auto"/>
          <w:sz w:val="24"/>
          <w:highlight w:val="none"/>
          <w:lang w:val="en-US" w:eastAsia="zh-CN"/>
        </w:rPr>
        <w:t>服务闭环流程及管理相关要求，投标人在投标文件中应提供满足服务闭环流程及管理要求的响应方案。</w:t>
      </w:r>
    </w:p>
    <w:p w14:paraId="4A38EC51">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街道综合信息指挥室承担"小脑"职能,构建横向联动、纵向贯通的综合指挥体系,具体负责统筹协调、指挥调度、视频巡查、信息研判、事件流转、监督考核等工作。整合公安、综合行政执法、网格、综治、矛盾纠纷调解等力量,落实24小时运行的值班值守制度,建立工作指令"派单、签收、监督、反馈”闭环管理机制,统筹中心各项工作。</w:t>
      </w:r>
    </w:p>
    <w:p w14:paraId="1E0E549D">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小脑”指挥室指挥员负责签收全部事件，安排人员力量前往现场处置，若属于警务类事件，需公安机关协同处置的，通知派出所同时赴现场处置，若需其他执法力量协助处置，由指挥员统一协调调度，做到“1分钟接收事件、3分钟联动响应、10分钟到达现场处置”。</w:t>
      </w:r>
    </w:p>
    <w:p w14:paraId="61F9081E">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指挥员需根据现场处置情况进行分类反馈：矛盾纠纷类已调解的按照办结反馈，未办结的说明原因，需要延长时间的，进行系统延期操作；需要上级单位协同处置的，通过系统及时上报；其他事件已妥善解决的，及时操作办结反馈。</w:t>
      </w:r>
    </w:p>
    <w:p w14:paraId="0FC8C1B8">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现场无法闭环处置，需街道相关职能科办、部门流转处置的事件，由夜班班组指挥员统一汇总，于次日交班时报至综合信息指挥室，由指挥室流转至相关职能科办或部门闭环处置，确保全部事件无缝衔接，严格闭环。</w:t>
      </w:r>
    </w:p>
    <w:bookmarkEnd w:id="61"/>
    <w:p w14:paraId="2D2CE911">
      <w:pPr>
        <w:pStyle w:val="5"/>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eastAsia="zh-CN"/>
        </w:rPr>
      </w:pPr>
      <w:bookmarkStart w:id="62" w:name="_Toc3585"/>
      <w:bookmarkStart w:id="63" w:name="_Toc24826"/>
      <w:bookmarkStart w:id="64" w:name="_Toc3088"/>
      <w:bookmarkStart w:id="65" w:name="_Toc378"/>
      <w:r>
        <w:rPr>
          <w:rFonts w:hint="eastAsia" w:ascii="仿宋" w:hAnsi="仿宋" w:eastAsia="仿宋" w:cs="仿宋"/>
          <w:color w:val="auto"/>
          <w:sz w:val="24"/>
          <w:szCs w:val="24"/>
          <w:highlight w:val="none"/>
          <w:lang w:val="en-US" w:eastAsia="zh-CN"/>
        </w:rPr>
        <w:t>三、</w:t>
      </w:r>
      <w:bookmarkEnd w:id="62"/>
      <w:bookmarkEnd w:id="63"/>
      <w:bookmarkEnd w:id="64"/>
      <w:bookmarkEnd w:id="65"/>
      <w:r>
        <w:rPr>
          <w:rFonts w:hint="eastAsia" w:ascii="仿宋" w:hAnsi="仿宋" w:eastAsia="仿宋" w:cs="仿宋"/>
          <w:color w:val="auto"/>
          <w:sz w:val="24"/>
          <w:szCs w:val="24"/>
          <w:highlight w:val="none"/>
          <w:lang w:val="en-US" w:eastAsia="zh-CN"/>
        </w:rPr>
        <w:t>服务响应要求</w:t>
      </w:r>
    </w:p>
    <w:p w14:paraId="74FD055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bookmarkStart w:id="66" w:name="_Toc441479867"/>
      <w:bookmarkStart w:id="67" w:name="_Toc437333312"/>
      <w:bookmarkStart w:id="68" w:name="_Toc447205610"/>
      <w:bookmarkStart w:id="69" w:name="_Toc8027"/>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lang w:val="en-US" w:eastAsia="zh-CN"/>
        </w:rPr>
        <w:t>一</w:t>
      </w:r>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lang w:val="en-US" w:eastAsia="zh-CN"/>
        </w:rPr>
        <w:t>项目管理团队</w:t>
      </w:r>
    </w:p>
    <w:p w14:paraId="57127126">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1、为本项目组建专门的项目管理团队，至少5人。该部分人员应提供投标人为其缴纳的、距投标截止时间3个月任意时间的社保证明。否则人员不予认可。</w:t>
      </w:r>
    </w:p>
    <w:p w14:paraId="567FD61B">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管理团队设项目负责人1名，从事公安或安保行业工作至少3年，具有保安师证书（即二级或一级保安员），为退伍军人，具有大专及以上文化水平，主要负责本项目人员的招录、培训、督察及日常工作管理指导，确保队员建设的完整和规范化。</w:t>
      </w:r>
    </w:p>
    <w:p w14:paraId="6455E7F7">
      <w:pPr>
        <w:pStyle w:val="2"/>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委派项目队长1名，具有保安师证书（即二级或一级保安员）证书，为退伍军人，具有大专及以上文化水平。项目队长与项目负责人可实行AB角制度，即两人不能同时不在岗，应保证至少1人参与相关管理，可对项目开展情况负责。</w:t>
      </w:r>
    </w:p>
    <w:p w14:paraId="7B341CE2">
      <w:pPr>
        <w:pStyle w:val="2"/>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除项目负责人及项目队长外，管理团队其余拟派成员中至少有3人为大专及以上学历，持有保安员技师职业资格证，其中至少有1人持有安全评价师职业资格证书（证书需为人社部门颁发），主要负责协助项目服务质量控制及安全管理。</w:t>
      </w:r>
    </w:p>
    <w:p w14:paraId="6F04A1BB">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5、以上人员不纳入本项目所需特保服务人员数量中，所需费用由投标人自行考虑，以管理费形式计入本项目费用。</w:t>
      </w:r>
    </w:p>
    <w:p w14:paraId="619AD0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（二）特保服务人员</w:t>
      </w:r>
    </w:p>
    <w:bookmarkEnd w:id="66"/>
    <w:bookmarkEnd w:id="67"/>
    <w:bookmarkEnd w:id="68"/>
    <w:p w14:paraId="1779A305">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1、投标人根据自身经验、技术实力、对项目的理解等综合情况，为项目投入特保服务人员，完成招标人下达的工作任务、达成相应工作目标。</w:t>
      </w:r>
    </w:p>
    <w:p w14:paraId="1D9BA3D6">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投标文件中提供人员投入方案，方案应尽量细化，具有完整性、可落实性、项目匹配性。</w:t>
      </w:r>
    </w:p>
    <w:p w14:paraId="5A23A789">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2、服务时间：</w:t>
      </w:r>
    </w:p>
    <w:p w14:paraId="07D6044A">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（1）投标人按本项目要求的工作或服务相关内容</w:t>
      </w:r>
      <w:r>
        <w:rPr>
          <w:rFonts w:hint="default"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提供</w:t>
      </w:r>
      <w:r>
        <w:rPr>
          <w:rFonts w:hint="default" w:ascii="仿宋" w:hAnsi="仿宋" w:eastAsia="仿宋" w:cs="仿宋"/>
          <w:color w:val="auto"/>
          <w:sz w:val="24"/>
          <w:highlight w:val="none"/>
          <w:lang w:val="en-US" w:eastAsia="zh-CN"/>
        </w:rPr>
        <w:t>巡查</w:t>
      </w:r>
      <w:r>
        <w:rPr>
          <w:rFonts w:hint="eastAsia" w:ascii="仿宋" w:hAnsi="仿宋" w:eastAsia="仿宋" w:cs="仿宋"/>
          <w:color w:val="auto"/>
          <w:sz w:val="24"/>
          <w:highlight w:val="none"/>
          <w:lang w:val="en-US" w:eastAsia="zh-CN"/>
        </w:rPr>
        <w:t>。处置。整治等各项工作。</w:t>
      </w:r>
    </w:p>
    <w:p w14:paraId="6B4356B9">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（2）如遇特殊实际情况，服务时间需调整的（包括延长、加班、紧急情形等等），在确保</w:t>
      </w:r>
      <w:r>
        <w:rPr>
          <w:rFonts w:hint="eastAsia" w:ascii="仿宋" w:hAnsi="仿宋" w:eastAsia="仿宋" w:cs="仿宋"/>
          <w:snapToGrid w:val="0"/>
          <w:color w:val="auto"/>
          <w:kern w:val="0"/>
          <w:sz w:val="24"/>
          <w:szCs w:val="24"/>
          <w:highlight w:val="none"/>
          <w:lang w:val="en-US" w:eastAsia="zh-CN"/>
        </w:rPr>
        <w:t>服务效果、质量等达到采购人要求前提下，中标人应</w:t>
      </w:r>
      <w:r>
        <w:rPr>
          <w:rFonts w:hint="default" w:ascii="仿宋" w:hAnsi="仿宋" w:eastAsia="仿宋" w:cs="仿宋"/>
          <w:color w:val="auto"/>
          <w:sz w:val="24"/>
          <w:highlight w:val="none"/>
          <w:lang w:eastAsia="zh-CN"/>
        </w:rPr>
        <w:t>按照</w:t>
      </w:r>
      <w:r>
        <w:rPr>
          <w:rFonts w:hint="eastAsia" w:ascii="仿宋" w:hAnsi="仿宋" w:eastAsia="仿宋" w:cs="仿宋"/>
          <w:color w:val="auto"/>
          <w:sz w:val="24"/>
          <w:highlight w:val="none"/>
          <w:lang w:val="en-US" w:eastAsia="zh-CN"/>
        </w:rPr>
        <w:t>采购</w:t>
      </w:r>
      <w:r>
        <w:rPr>
          <w:rFonts w:hint="default" w:ascii="仿宋" w:hAnsi="仿宋" w:eastAsia="仿宋" w:cs="仿宋"/>
          <w:color w:val="auto"/>
          <w:sz w:val="24"/>
          <w:highlight w:val="none"/>
          <w:lang w:eastAsia="zh-CN"/>
        </w:rPr>
        <w:t>人的</w:t>
      </w:r>
      <w:r>
        <w:rPr>
          <w:rFonts w:hint="eastAsia" w:ascii="仿宋" w:hAnsi="仿宋" w:eastAsia="仿宋" w:cs="仿宋"/>
          <w:color w:val="auto"/>
          <w:sz w:val="24"/>
          <w:highlight w:val="none"/>
          <w:lang w:val="en-US" w:eastAsia="zh-CN"/>
        </w:rPr>
        <w:t>服务</w:t>
      </w:r>
      <w:r>
        <w:rPr>
          <w:rFonts w:hint="default" w:ascii="仿宋" w:hAnsi="仿宋" w:eastAsia="仿宋" w:cs="仿宋"/>
          <w:color w:val="auto"/>
          <w:sz w:val="24"/>
          <w:highlight w:val="none"/>
          <w:lang w:eastAsia="zh-CN"/>
        </w:rPr>
        <w:t>要求执行</w:t>
      </w:r>
      <w:r>
        <w:rPr>
          <w:rFonts w:hint="eastAsia" w:ascii="仿宋" w:hAnsi="仿宋" w:eastAsia="仿宋" w:cs="仿宋"/>
          <w:color w:val="auto"/>
          <w:sz w:val="24"/>
          <w:highlight w:val="none"/>
          <w:lang w:val="en-US" w:eastAsia="zh-CN"/>
        </w:rPr>
        <w:t>。</w:t>
      </w:r>
    </w:p>
    <w:p w14:paraId="43D2740C">
      <w:pPr>
        <w:pStyle w:val="2"/>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snapToGrid w:val="0"/>
          <w:color w:val="auto"/>
          <w:kern w:val="0"/>
          <w:sz w:val="24"/>
          <w:szCs w:val="24"/>
          <w:highlight w:val="none"/>
          <w:lang w:val="en-US" w:eastAsia="zh-CN"/>
        </w:rPr>
        <w:t>人员基本</w:t>
      </w:r>
      <w:r>
        <w:rPr>
          <w:rFonts w:hint="eastAsia" w:ascii="仿宋" w:hAnsi="仿宋" w:eastAsia="仿宋" w:cs="仿宋"/>
          <w:snapToGrid w:val="0"/>
          <w:color w:val="auto"/>
          <w:kern w:val="0"/>
          <w:sz w:val="24"/>
          <w:szCs w:val="24"/>
          <w:highlight w:val="none"/>
          <w:lang w:eastAsia="zh-CN"/>
        </w:rPr>
        <w:t>要求</w:t>
      </w:r>
      <w:r>
        <w:rPr>
          <w:rFonts w:hint="eastAsia" w:ascii="仿宋" w:hAnsi="仿宋" w:eastAsia="仿宋" w:cs="仿宋"/>
          <w:snapToGrid w:val="0"/>
          <w:color w:val="auto"/>
          <w:kern w:val="0"/>
          <w:sz w:val="24"/>
          <w:szCs w:val="24"/>
          <w:highlight w:val="none"/>
        </w:rPr>
        <w:t>：</w:t>
      </w:r>
    </w:p>
    <w:p w14:paraId="79C706EC">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户籍不限，面向全国；</w:t>
      </w:r>
    </w:p>
    <w:p w14:paraId="54936615">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遵守中华人民共和国宪法，遵守国家法律法规，品行端正；具备一定法律素养；无违法犯罪记录；</w:t>
      </w:r>
    </w:p>
    <w:p w14:paraId="297514A5">
      <w:pPr>
        <w:adjustRightInd w:val="0"/>
        <w:snapToGrid w:val="0"/>
        <w:spacing w:line="360" w:lineRule="auto"/>
        <w:ind w:firstLine="480" w:firstLineChars="200"/>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具备履行职责所需要的身体素质和工作能力</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近三年未受到行政主管部门的行政处罚；</w:t>
      </w:r>
    </w:p>
    <w:p w14:paraId="50EAA7CB">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五官端正</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无有损社会形象纹身的，无影响工作的生理缺陷，无癫痫、精神病、传染病等其他严重疾病的；</w:t>
      </w:r>
    </w:p>
    <w:p w14:paraId="3F64C6A5">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）男性,身高</w:t>
      </w:r>
      <w:r>
        <w:rPr>
          <w:rFonts w:hint="eastAsia" w:ascii="仿宋" w:hAnsi="仿宋" w:eastAsia="仿宋" w:cs="仿宋"/>
          <w:snapToGrid w:val="0"/>
          <w:color w:val="auto"/>
          <w:kern w:val="0"/>
          <w:sz w:val="24"/>
          <w:szCs w:val="24"/>
          <w:highlight w:val="none"/>
          <w:lang w:val="en-US" w:eastAsia="zh-CN"/>
        </w:rPr>
        <w:t>一般</w:t>
      </w:r>
      <w:r>
        <w:rPr>
          <w:rFonts w:hint="eastAsia" w:ascii="仿宋" w:hAnsi="仿宋" w:eastAsia="仿宋" w:cs="仿宋"/>
          <w:snapToGrid w:val="0"/>
          <w:color w:val="auto"/>
          <w:kern w:val="0"/>
          <w:sz w:val="24"/>
          <w:szCs w:val="24"/>
          <w:highlight w:val="none"/>
          <w:lang w:eastAsia="zh-CN"/>
        </w:rPr>
        <w:t>不低于 1.70 米,女性，身高</w:t>
      </w:r>
      <w:r>
        <w:rPr>
          <w:rFonts w:hint="eastAsia" w:ascii="仿宋" w:hAnsi="仿宋" w:eastAsia="仿宋" w:cs="仿宋"/>
          <w:snapToGrid w:val="0"/>
          <w:color w:val="auto"/>
          <w:kern w:val="0"/>
          <w:sz w:val="24"/>
          <w:szCs w:val="24"/>
          <w:highlight w:val="none"/>
          <w:lang w:val="en-US" w:eastAsia="zh-CN"/>
        </w:rPr>
        <w:t>一般</w:t>
      </w:r>
      <w:r>
        <w:rPr>
          <w:rFonts w:hint="eastAsia" w:ascii="仿宋" w:hAnsi="仿宋" w:eastAsia="仿宋" w:cs="仿宋"/>
          <w:snapToGrid w:val="0"/>
          <w:color w:val="auto"/>
          <w:kern w:val="0"/>
          <w:sz w:val="24"/>
          <w:szCs w:val="24"/>
          <w:highlight w:val="none"/>
          <w:lang w:eastAsia="zh-CN"/>
        </w:rPr>
        <w:t>不低于1.</w:t>
      </w:r>
      <w:r>
        <w:rPr>
          <w:rFonts w:hint="eastAsia" w:ascii="仿宋" w:hAnsi="仿宋" w:eastAsia="仿宋" w:cs="仿宋"/>
          <w:snapToGrid w:val="0"/>
          <w:color w:val="auto"/>
          <w:kern w:val="0"/>
          <w:sz w:val="24"/>
          <w:szCs w:val="24"/>
          <w:highlight w:val="none"/>
          <w:lang w:val="en-US" w:eastAsia="zh-CN"/>
        </w:rPr>
        <w:t>58</w:t>
      </w:r>
      <w:r>
        <w:rPr>
          <w:rFonts w:hint="eastAsia" w:ascii="仿宋" w:hAnsi="仿宋" w:eastAsia="仿宋" w:cs="仿宋"/>
          <w:snapToGrid w:val="0"/>
          <w:color w:val="auto"/>
          <w:kern w:val="0"/>
          <w:sz w:val="24"/>
          <w:szCs w:val="24"/>
          <w:highlight w:val="none"/>
          <w:lang w:eastAsia="zh-CN"/>
        </w:rPr>
        <w:t>米；（</w:t>
      </w:r>
      <w:r>
        <w:rPr>
          <w:rFonts w:hint="eastAsia" w:ascii="仿宋" w:hAnsi="仿宋" w:eastAsia="仿宋" w:cs="仿宋"/>
          <w:snapToGrid w:val="0"/>
          <w:color w:val="auto"/>
          <w:kern w:val="0"/>
          <w:sz w:val="24"/>
          <w:szCs w:val="24"/>
          <w:highlight w:val="none"/>
        </w:rPr>
        <w:t>退伍军人或有</w:t>
      </w:r>
      <w:r>
        <w:rPr>
          <w:rFonts w:hint="eastAsia" w:ascii="仿宋" w:hAnsi="仿宋" w:eastAsia="仿宋" w:cs="仿宋"/>
          <w:snapToGrid w:val="0"/>
          <w:color w:val="auto"/>
          <w:kern w:val="0"/>
          <w:sz w:val="24"/>
          <w:szCs w:val="24"/>
          <w:highlight w:val="none"/>
          <w:lang w:val="en-US" w:eastAsia="zh-CN"/>
        </w:rPr>
        <w:t>本项目相关</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工作经验的可视情况适当放宽条件</w:t>
      </w:r>
      <w:r>
        <w:rPr>
          <w:rFonts w:hint="eastAsia" w:ascii="仿宋" w:hAnsi="仿宋" w:eastAsia="仿宋" w:cs="仿宋"/>
          <w:snapToGrid w:val="0"/>
          <w:color w:val="auto"/>
          <w:kern w:val="0"/>
          <w:sz w:val="24"/>
          <w:szCs w:val="24"/>
          <w:highlight w:val="none"/>
          <w:lang w:eastAsia="zh-CN"/>
        </w:rPr>
        <w:t>）</w:t>
      </w:r>
    </w:p>
    <w:p w14:paraId="4CEA1049">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lang w:eastAsia="zh-CN"/>
        </w:rPr>
        <w:t>）任何一眼矫正视力不低于 4.8 或矫正度数不超过 600度</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退伍军人或有</w:t>
      </w:r>
      <w:r>
        <w:rPr>
          <w:rFonts w:hint="eastAsia" w:ascii="仿宋" w:hAnsi="仿宋" w:eastAsia="仿宋" w:cs="仿宋"/>
          <w:snapToGrid w:val="0"/>
          <w:color w:val="auto"/>
          <w:kern w:val="0"/>
          <w:sz w:val="24"/>
          <w:szCs w:val="24"/>
          <w:highlight w:val="none"/>
          <w:lang w:val="en-US" w:eastAsia="zh-CN"/>
        </w:rPr>
        <w:t>本项目相关</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工作经验的可视情况适当放宽条件</w:t>
      </w:r>
      <w:r>
        <w:rPr>
          <w:rFonts w:hint="eastAsia" w:ascii="仿宋" w:hAnsi="仿宋" w:eastAsia="仿宋" w:cs="仿宋"/>
          <w:snapToGrid w:val="0"/>
          <w:color w:val="auto"/>
          <w:kern w:val="0"/>
          <w:sz w:val="24"/>
          <w:szCs w:val="24"/>
          <w:highlight w:val="none"/>
          <w:lang w:eastAsia="zh-CN"/>
        </w:rPr>
        <w:t>）</w:t>
      </w:r>
    </w:p>
    <w:p w14:paraId="41F47465">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eastAsia="zh-CN"/>
        </w:rPr>
        <w:t>）年龄一般为4</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周岁（含4</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周岁）以下</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退伍军人或有</w:t>
      </w:r>
      <w:r>
        <w:rPr>
          <w:rFonts w:hint="eastAsia" w:ascii="仿宋" w:hAnsi="仿宋" w:eastAsia="仿宋" w:cs="仿宋"/>
          <w:snapToGrid w:val="0"/>
          <w:color w:val="auto"/>
          <w:kern w:val="0"/>
          <w:sz w:val="24"/>
          <w:szCs w:val="24"/>
          <w:highlight w:val="none"/>
          <w:lang w:val="en-US" w:eastAsia="zh-CN"/>
        </w:rPr>
        <w:t>本项目相关</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工作经验的可视情况适当放宽条件</w:t>
      </w:r>
      <w:r>
        <w:rPr>
          <w:rFonts w:hint="eastAsia" w:ascii="仿宋" w:hAnsi="仿宋" w:eastAsia="仿宋" w:cs="仿宋"/>
          <w:snapToGrid w:val="0"/>
          <w:color w:val="auto"/>
          <w:kern w:val="0"/>
          <w:sz w:val="24"/>
          <w:szCs w:val="24"/>
          <w:highlight w:val="none"/>
          <w:lang w:eastAsia="zh-CN"/>
        </w:rPr>
        <w:t>）</w:t>
      </w:r>
    </w:p>
    <w:p w14:paraId="05B1C387">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）高中以上学历；（</w:t>
      </w:r>
      <w:r>
        <w:rPr>
          <w:rFonts w:hint="eastAsia" w:ascii="仿宋" w:hAnsi="仿宋" w:eastAsia="仿宋" w:cs="仿宋"/>
          <w:snapToGrid w:val="0"/>
          <w:color w:val="auto"/>
          <w:kern w:val="0"/>
          <w:sz w:val="24"/>
          <w:szCs w:val="24"/>
          <w:highlight w:val="none"/>
        </w:rPr>
        <w:t>退伍军人或有</w:t>
      </w:r>
      <w:r>
        <w:rPr>
          <w:rFonts w:hint="eastAsia" w:ascii="仿宋" w:hAnsi="仿宋" w:eastAsia="仿宋" w:cs="仿宋"/>
          <w:snapToGrid w:val="0"/>
          <w:color w:val="auto"/>
          <w:kern w:val="0"/>
          <w:sz w:val="24"/>
          <w:szCs w:val="24"/>
          <w:highlight w:val="none"/>
          <w:lang w:val="en-US" w:eastAsia="zh-CN"/>
        </w:rPr>
        <w:t>本项目相关</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工作经验的可视情况适当放宽条件</w:t>
      </w:r>
      <w:r>
        <w:rPr>
          <w:rFonts w:hint="eastAsia" w:ascii="仿宋" w:hAnsi="仿宋" w:eastAsia="仿宋" w:cs="仿宋"/>
          <w:snapToGrid w:val="0"/>
          <w:color w:val="auto"/>
          <w:kern w:val="0"/>
          <w:sz w:val="24"/>
          <w:szCs w:val="24"/>
          <w:highlight w:val="none"/>
          <w:lang w:eastAsia="zh-CN"/>
        </w:rPr>
        <w:t>）</w:t>
      </w:r>
    </w:p>
    <w:p w14:paraId="56F4472D">
      <w:pPr>
        <w:pStyle w:val="2"/>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没有传染病、精神病及不能控制自己行为能力的疾病(病史）等。</w:t>
      </w:r>
    </w:p>
    <w:p w14:paraId="6B5D5D4F">
      <w:pPr>
        <w:pStyle w:val="2"/>
        <w:adjustRightInd w:val="0"/>
        <w:snapToGrid w:val="0"/>
        <w:spacing w:after="0" w:line="360" w:lineRule="auto"/>
        <w:ind w:firstLine="480" w:firstLineChars="20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4、▲投标文件中提供承诺：本项目投入的特保服务人员，</w:t>
      </w:r>
      <w:r>
        <w:rPr>
          <w:rFonts w:hint="default" w:ascii="仿宋" w:hAnsi="仿宋" w:eastAsia="仿宋" w:cs="仿宋"/>
          <w:snapToGrid w:val="0"/>
          <w:color w:val="auto"/>
          <w:kern w:val="0"/>
          <w:sz w:val="24"/>
          <w:szCs w:val="24"/>
          <w:highlight w:val="none"/>
          <w:lang w:val="en-US" w:eastAsia="zh-CN"/>
        </w:rPr>
        <w:t>纳入采购人对服务单位的考核</w:t>
      </w:r>
      <w:r>
        <w:rPr>
          <w:rFonts w:hint="eastAsia" w:ascii="仿宋" w:hAnsi="仿宋" w:eastAsia="仿宋" w:cs="仿宋"/>
          <w:snapToGrid w:val="0"/>
          <w:color w:val="auto"/>
          <w:kern w:val="0"/>
          <w:sz w:val="24"/>
          <w:szCs w:val="24"/>
          <w:highlight w:val="none"/>
          <w:lang w:val="en-US" w:eastAsia="zh-CN"/>
        </w:rPr>
        <w:t>，并确保无以下情形之一，否则投标无效：如中标，查实有以下情形之一的，中标人承担虚假应标法律责任，并向采购人作相应赔偿。</w:t>
      </w:r>
    </w:p>
    <w:p w14:paraId="77F5DF10">
      <w:pPr>
        <w:pStyle w:val="2"/>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（1）受过刑事处罚或治安管理处罚；</w:t>
      </w:r>
    </w:p>
    <w:p w14:paraId="62A1BFA6">
      <w:pPr>
        <w:pStyle w:val="2"/>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（2）有较为严重的个人不良信用记录；</w:t>
      </w:r>
    </w:p>
    <w:p w14:paraId="5EF1E22B">
      <w:pPr>
        <w:pStyle w:val="2"/>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（3）因违纪违规被开除、辞退、解聘的人员；</w:t>
      </w:r>
    </w:p>
    <w:p w14:paraId="7F1961B1">
      <w:pPr>
        <w:pStyle w:val="2"/>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（4）本人或家庭成员、近亲属参加非法组织、邪教组织或从事危害国家安全活动的人员；</w:t>
      </w:r>
    </w:p>
    <w:p w14:paraId="28F131A3">
      <w:pPr>
        <w:pStyle w:val="2"/>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（5）有吸毒、犯罪记录；</w:t>
      </w:r>
    </w:p>
    <w:p w14:paraId="04B208AB">
      <w:pPr>
        <w:pStyle w:val="2"/>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（6）有其他兼职工作或其他不宜从事与本项目相关管理工作的人员。</w:t>
      </w:r>
    </w:p>
    <w:p w14:paraId="169597EB">
      <w:pPr>
        <w:pStyle w:val="2"/>
        <w:adjustRightInd w:val="0"/>
        <w:snapToGrid w:val="0"/>
        <w:spacing w:after="0" w:line="360" w:lineRule="auto"/>
        <w:ind w:firstLine="480" w:firstLineChars="20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5、特保人员相关费用均由中标人承担。</w:t>
      </w:r>
    </w:p>
    <w:p w14:paraId="705A00CF">
      <w:pPr>
        <w:pStyle w:val="2"/>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6、由于具体工作根据实际情况可能调整，投标人在上述要求基础上投入特保服务人员，并可根据实际情况进行调整，但最终服务效果、质量等应确保达到采购人要求。投标文件中提供该内容承诺函。</w:t>
      </w:r>
    </w:p>
    <w:p w14:paraId="3A1E2F2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bookmarkStart w:id="70" w:name="_Toc18439"/>
      <w:r>
        <w:rPr>
          <w:rFonts w:hint="eastAsia" w:ascii="仿宋" w:hAnsi="仿宋" w:eastAsia="仿宋" w:cs="仿宋"/>
          <w:b/>
          <w:bCs/>
          <w:snapToGrid w:val="0"/>
          <w:color w:val="auto"/>
          <w:kern w:val="0"/>
          <w:sz w:val="24"/>
          <w:szCs w:val="24"/>
          <w:highlight w:val="none"/>
          <w:lang w:val="en-US" w:eastAsia="zh-CN"/>
        </w:rPr>
        <w:t>（三）巡查车辆</w:t>
      </w:r>
      <w:bookmarkEnd w:id="70"/>
    </w:p>
    <w:p w14:paraId="16F53716">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sz w:val="24"/>
          <w:szCs w:val="24"/>
          <w:highlight w:val="none"/>
          <w:lang w:val="en-US" w:eastAsia="zh-CN"/>
        </w:rPr>
        <w:t>1、</w:t>
      </w:r>
      <w:r>
        <w:rPr>
          <w:rFonts w:hint="eastAsia" w:ascii="仿宋" w:hAnsi="仿宋" w:eastAsia="仿宋" w:cs="仿宋"/>
          <w:color w:val="auto"/>
          <w:sz w:val="24"/>
          <w:highlight w:val="none"/>
          <w:lang w:val="en-US" w:eastAsia="zh-CN"/>
        </w:rPr>
        <w:t>投标人根据自身经验、技术实力、对项目的理解等综合情况，为项目投入巡查车辆，完成招标人下达的工作任务、达成相应工作目标。</w:t>
      </w:r>
    </w:p>
    <w:p w14:paraId="162D06D3">
      <w:pPr>
        <w:pStyle w:val="2"/>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color w:val="auto"/>
          <w:sz w:val="24"/>
          <w:highlight w:val="none"/>
          <w:lang w:val="en-US" w:eastAsia="zh-CN"/>
        </w:rPr>
        <w:t>投标文件中提供车辆投入方案，方案应具有完整性、可落实性、项目匹配性。</w:t>
      </w:r>
    </w:p>
    <w:p w14:paraId="1F916159">
      <w:pPr>
        <w:pStyle w:val="2"/>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2、根据项目性质，应合理投入四轮五座电动汽车，</w:t>
      </w:r>
      <w:r>
        <w:rPr>
          <w:rFonts w:hint="eastAsia" w:ascii="仿宋" w:hAnsi="仿宋" w:eastAsia="仿宋" w:cs="仿宋"/>
          <w:snapToGrid w:val="0"/>
          <w:color w:val="auto"/>
          <w:kern w:val="0"/>
          <w:sz w:val="24"/>
          <w:szCs w:val="24"/>
          <w:highlight w:val="none"/>
          <w:lang w:val="en-US" w:eastAsia="zh-CN"/>
        </w:rPr>
        <w:t>电动车CLTC续航里程不少于300公里，</w:t>
      </w:r>
      <w:r>
        <w:rPr>
          <w:rFonts w:hint="eastAsia" w:ascii="仿宋" w:hAnsi="仿宋" w:eastAsia="仿宋" w:cs="仿宋"/>
          <w:color w:val="auto"/>
          <w:sz w:val="24"/>
          <w:highlight w:val="none"/>
          <w:lang w:val="en-US" w:eastAsia="zh-CN"/>
        </w:rPr>
        <w:t>应配备具备7天存储功能的行车记录仪</w:t>
      </w:r>
      <w:r>
        <w:rPr>
          <w:rFonts w:hint="default" w:ascii="仿宋" w:hAnsi="仿宋" w:eastAsia="仿宋" w:cs="仿宋"/>
          <w:color w:val="auto"/>
          <w:sz w:val="24"/>
          <w:highlight w:val="none"/>
          <w:lang w:val="en-US" w:eastAsia="zh-CN"/>
        </w:rPr>
        <w:t>和GPS定位装置</w:t>
      </w:r>
      <w:r>
        <w:rPr>
          <w:rFonts w:hint="eastAsia" w:ascii="仿宋" w:hAnsi="仿宋" w:eastAsia="仿宋" w:cs="仿宋"/>
          <w:color w:val="auto"/>
          <w:sz w:val="24"/>
          <w:highlight w:val="none"/>
          <w:lang w:val="en-US" w:eastAsia="zh-CN"/>
        </w:rPr>
        <w:t>。</w:t>
      </w:r>
    </w:p>
    <w:p w14:paraId="70A89B8F">
      <w:pPr>
        <w:pStyle w:val="2"/>
        <w:adjustRightInd w:val="0"/>
        <w:snapToGrid w:val="0"/>
        <w:spacing w:after="0" w:line="360" w:lineRule="auto"/>
        <w:ind w:firstLine="480" w:firstLineChars="20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lang w:val="en-US" w:eastAsia="zh-CN"/>
        </w:rPr>
        <w:t>3、车辆相关费用</w:t>
      </w:r>
      <w:r>
        <w:rPr>
          <w:rFonts w:hint="eastAsia" w:ascii="仿宋" w:hAnsi="仿宋" w:eastAsia="仿宋" w:cs="仿宋"/>
          <w:snapToGrid w:val="0"/>
          <w:color w:val="auto"/>
          <w:kern w:val="0"/>
          <w:sz w:val="24"/>
          <w:szCs w:val="24"/>
          <w:highlight w:val="none"/>
          <w:lang w:val="en-US" w:eastAsia="zh-CN"/>
        </w:rPr>
        <w:t>均由中标人承担。</w:t>
      </w:r>
    </w:p>
    <w:p w14:paraId="6896B01B">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4、由于具体工作根据实际情况可能调整，投标人在上述要求基础上投入巡查车辆，并可根据实际情况进行调整，但最终服务效果、质量等应确保达到采购人要求</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投标文件中提供该内容承诺函。</w:t>
      </w:r>
    </w:p>
    <w:p w14:paraId="7A050B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（四）后勤保障要求</w:t>
      </w:r>
    </w:p>
    <w:p w14:paraId="533F94C9">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1、个人服装及装备</w:t>
      </w:r>
    </w:p>
    <w:tbl>
      <w:tblPr>
        <w:tblStyle w:val="45"/>
        <w:tblW w:w="0" w:type="auto"/>
        <w:tblInd w:w="93" w:type="dxa"/>
        <w:tblLayout w:type="fixed"/>
        <w:tblCellMar>
          <w:top w:w="0" w:type="dxa"/>
          <w:left w:w="108" w:type="dxa"/>
          <w:bottom w:w="0" w:type="dxa"/>
          <w:right w:w="108" w:type="dxa"/>
        </w:tblCellMar>
      </w:tblPr>
      <w:tblGrid>
        <w:gridCol w:w="780"/>
        <w:gridCol w:w="5189"/>
        <w:gridCol w:w="2410"/>
      </w:tblGrid>
      <w:tr w14:paraId="59038A54">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0A9FAEC">
            <w:pPr>
              <w:widowControl/>
              <w:adjustRightInd w:val="0"/>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5189" w:type="dxa"/>
            <w:tcBorders>
              <w:top w:val="single" w:color="auto" w:sz="4" w:space="0"/>
              <w:left w:val="nil"/>
              <w:bottom w:val="single" w:color="auto" w:sz="4" w:space="0"/>
              <w:right w:val="single" w:color="auto" w:sz="4" w:space="0"/>
            </w:tcBorders>
            <w:noWrap w:val="0"/>
            <w:vAlign w:val="center"/>
          </w:tcPr>
          <w:p w14:paraId="43509E0C">
            <w:pPr>
              <w:widowControl/>
              <w:adjustRightInd w:val="0"/>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  名</w:t>
            </w:r>
          </w:p>
        </w:tc>
        <w:tc>
          <w:tcPr>
            <w:tcW w:w="2410" w:type="dxa"/>
            <w:tcBorders>
              <w:top w:val="single" w:color="auto" w:sz="4" w:space="0"/>
              <w:left w:val="nil"/>
              <w:bottom w:val="single" w:color="auto" w:sz="4" w:space="0"/>
              <w:right w:val="single" w:color="auto" w:sz="4" w:space="0"/>
            </w:tcBorders>
            <w:noWrap w:val="0"/>
            <w:vAlign w:val="center"/>
          </w:tcPr>
          <w:p w14:paraId="2ADE0393">
            <w:pPr>
              <w:widowControl/>
              <w:adjustRightInd w:val="0"/>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  注</w:t>
            </w:r>
          </w:p>
        </w:tc>
      </w:tr>
      <w:tr w14:paraId="45EB2224">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BB0F0FC">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5189" w:type="dxa"/>
            <w:tcBorders>
              <w:top w:val="single" w:color="auto" w:sz="4" w:space="0"/>
              <w:left w:val="nil"/>
              <w:bottom w:val="single" w:color="auto" w:sz="4" w:space="0"/>
              <w:right w:val="single" w:color="auto" w:sz="4" w:space="0"/>
            </w:tcBorders>
            <w:noWrap w:val="0"/>
            <w:vAlign w:val="center"/>
          </w:tcPr>
          <w:p w14:paraId="4F6009AA">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四件套（对讲机、强光手电、甩棍、防割手套）</w:t>
            </w:r>
          </w:p>
        </w:tc>
        <w:tc>
          <w:tcPr>
            <w:tcW w:w="2410" w:type="dxa"/>
            <w:tcBorders>
              <w:top w:val="single" w:color="auto" w:sz="4" w:space="0"/>
              <w:left w:val="nil"/>
              <w:bottom w:val="single" w:color="auto" w:sz="4" w:space="0"/>
              <w:right w:val="single" w:color="auto" w:sz="4" w:space="0"/>
            </w:tcBorders>
            <w:noWrap w:val="0"/>
            <w:vAlign w:val="center"/>
          </w:tcPr>
          <w:p w14:paraId="6BB789A5">
            <w:pPr>
              <w:widowControl/>
              <w:adjustRightInd w:val="0"/>
              <w:snapToGrid w:val="0"/>
              <w:jc w:val="center"/>
              <w:rPr>
                <w:rFonts w:hint="eastAsia" w:ascii="仿宋" w:hAnsi="仿宋" w:eastAsia="仿宋" w:cs="仿宋"/>
                <w:color w:val="auto"/>
                <w:kern w:val="0"/>
                <w:sz w:val="24"/>
                <w:szCs w:val="24"/>
                <w:highlight w:val="none"/>
              </w:rPr>
            </w:pPr>
          </w:p>
        </w:tc>
      </w:tr>
      <w:tr w14:paraId="1A55E3F6">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B769FE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5189" w:type="dxa"/>
            <w:tcBorders>
              <w:top w:val="single" w:color="auto" w:sz="4" w:space="0"/>
              <w:left w:val="nil"/>
              <w:bottom w:val="single" w:color="auto" w:sz="4" w:space="0"/>
              <w:right w:val="single" w:color="auto" w:sz="4" w:space="0"/>
            </w:tcBorders>
            <w:noWrap w:val="0"/>
            <w:vAlign w:val="center"/>
          </w:tcPr>
          <w:p w14:paraId="7E41A17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执勤服（冬季制服，春秋、夏季制服）</w:t>
            </w:r>
          </w:p>
        </w:tc>
        <w:tc>
          <w:tcPr>
            <w:tcW w:w="2410" w:type="dxa"/>
            <w:tcBorders>
              <w:top w:val="single" w:color="auto" w:sz="4" w:space="0"/>
              <w:left w:val="nil"/>
              <w:bottom w:val="single" w:color="auto" w:sz="4" w:space="0"/>
              <w:right w:val="single" w:color="auto" w:sz="4" w:space="0"/>
            </w:tcBorders>
            <w:noWrap w:val="0"/>
            <w:vAlign w:val="center"/>
          </w:tcPr>
          <w:p w14:paraId="1D55237A">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清单附下</w:t>
            </w:r>
          </w:p>
        </w:tc>
      </w:tr>
      <w:tr w14:paraId="1F21AF82">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08BBD9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5189" w:type="dxa"/>
            <w:tcBorders>
              <w:top w:val="single" w:color="auto" w:sz="4" w:space="0"/>
              <w:left w:val="nil"/>
              <w:bottom w:val="single" w:color="auto" w:sz="4" w:space="0"/>
              <w:right w:val="single" w:color="auto" w:sz="4" w:space="0"/>
            </w:tcBorders>
            <w:noWrap w:val="0"/>
            <w:vAlign w:val="center"/>
          </w:tcPr>
          <w:p w14:paraId="7CED18D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警用肩灯</w:t>
            </w:r>
          </w:p>
        </w:tc>
        <w:tc>
          <w:tcPr>
            <w:tcW w:w="2410" w:type="dxa"/>
            <w:tcBorders>
              <w:top w:val="single" w:color="auto" w:sz="4" w:space="0"/>
              <w:left w:val="nil"/>
              <w:bottom w:val="single" w:color="auto" w:sz="4" w:space="0"/>
              <w:right w:val="single" w:color="auto" w:sz="4" w:space="0"/>
            </w:tcBorders>
            <w:noWrap w:val="0"/>
            <w:vAlign w:val="center"/>
          </w:tcPr>
          <w:p w14:paraId="303703D1">
            <w:pPr>
              <w:widowControl/>
              <w:adjustRightInd w:val="0"/>
              <w:snapToGrid w:val="0"/>
              <w:jc w:val="center"/>
              <w:rPr>
                <w:rFonts w:hint="eastAsia" w:ascii="仿宋" w:hAnsi="仿宋" w:eastAsia="仿宋" w:cs="仿宋"/>
                <w:color w:val="auto"/>
                <w:kern w:val="0"/>
                <w:sz w:val="24"/>
                <w:szCs w:val="24"/>
                <w:highlight w:val="none"/>
              </w:rPr>
            </w:pPr>
          </w:p>
        </w:tc>
      </w:tr>
      <w:tr w14:paraId="142FC90F">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01E73D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5189" w:type="dxa"/>
            <w:tcBorders>
              <w:top w:val="single" w:color="auto" w:sz="4" w:space="0"/>
              <w:left w:val="nil"/>
              <w:bottom w:val="single" w:color="auto" w:sz="4" w:space="0"/>
              <w:right w:val="single" w:color="auto" w:sz="4" w:space="0"/>
            </w:tcBorders>
            <w:noWrap w:val="0"/>
            <w:vAlign w:val="center"/>
          </w:tcPr>
          <w:p w14:paraId="572D0AAE">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雨衣</w:t>
            </w:r>
          </w:p>
        </w:tc>
        <w:tc>
          <w:tcPr>
            <w:tcW w:w="2410" w:type="dxa"/>
            <w:tcBorders>
              <w:top w:val="single" w:color="auto" w:sz="4" w:space="0"/>
              <w:left w:val="nil"/>
              <w:bottom w:val="single" w:color="auto" w:sz="4" w:space="0"/>
              <w:right w:val="single" w:color="auto" w:sz="4" w:space="0"/>
            </w:tcBorders>
            <w:noWrap w:val="0"/>
            <w:vAlign w:val="center"/>
          </w:tcPr>
          <w:p w14:paraId="35EE90C8">
            <w:pPr>
              <w:widowControl/>
              <w:adjustRightInd w:val="0"/>
              <w:snapToGrid w:val="0"/>
              <w:jc w:val="center"/>
              <w:rPr>
                <w:rFonts w:hint="eastAsia" w:ascii="仿宋" w:hAnsi="仿宋" w:eastAsia="仿宋" w:cs="仿宋"/>
                <w:color w:val="auto"/>
                <w:kern w:val="0"/>
                <w:sz w:val="24"/>
                <w:szCs w:val="24"/>
                <w:highlight w:val="none"/>
              </w:rPr>
            </w:pPr>
          </w:p>
        </w:tc>
      </w:tr>
      <w:tr w14:paraId="233159BD">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2A462F1">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5189" w:type="dxa"/>
            <w:tcBorders>
              <w:top w:val="single" w:color="auto" w:sz="4" w:space="0"/>
              <w:left w:val="nil"/>
              <w:bottom w:val="single" w:color="auto" w:sz="4" w:space="0"/>
              <w:right w:val="single" w:color="auto" w:sz="4" w:space="0"/>
            </w:tcBorders>
            <w:noWrap w:val="0"/>
            <w:vAlign w:val="center"/>
          </w:tcPr>
          <w:p w14:paraId="3FD68AE7">
            <w:pPr>
              <w:widowControl/>
              <w:adjustRightInd w:val="0"/>
              <w:snapToGrid w:val="0"/>
              <w:jc w:val="center"/>
              <w:rPr>
                <w:rFonts w:hint="eastAsia" w:ascii="仿宋" w:hAnsi="仿宋" w:eastAsia="仿宋" w:cs="仿宋"/>
                <w:color w:val="auto"/>
                <w:kern w:val="0"/>
                <w:sz w:val="24"/>
                <w:szCs w:val="24"/>
                <w:highlight w:val="none"/>
              </w:rPr>
            </w:pPr>
          </w:p>
        </w:tc>
        <w:tc>
          <w:tcPr>
            <w:tcW w:w="2410" w:type="dxa"/>
            <w:tcBorders>
              <w:top w:val="single" w:color="auto" w:sz="4" w:space="0"/>
              <w:left w:val="nil"/>
              <w:bottom w:val="single" w:color="auto" w:sz="4" w:space="0"/>
              <w:right w:val="single" w:color="auto" w:sz="4" w:space="0"/>
            </w:tcBorders>
            <w:noWrap w:val="0"/>
            <w:vAlign w:val="center"/>
          </w:tcPr>
          <w:p w14:paraId="7E3670E1">
            <w:pPr>
              <w:widowControl/>
              <w:adjustRightInd w:val="0"/>
              <w:snapToGrid w:val="0"/>
              <w:jc w:val="center"/>
              <w:rPr>
                <w:rFonts w:hint="eastAsia" w:ascii="仿宋" w:hAnsi="仿宋" w:eastAsia="仿宋" w:cs="仿宋"/>
                <w:color w:val="auto"/>
                <w:kern w:val="0"/>
                <w:sz w:val="24"/>
                <w:szCs w:val="24"/>
                <w:highlight w:val="none"/>
              </w:rPr>
            </w:pPr>
          </w:p>
        </w:tc>
      </w:tr>
      <w:tr w14:paraId="7F18B5D0">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3BA737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5189" w:type="dxa"/>
            <w:tcBorders>
              <w:top w:val="single" w:color="auto" w:sz="4" w:space="0"/>
              <w:left w:val="nil"/>
              <w:bottom w:val="single" w:color="auto" w:sz="4" w:space="0"/>
              <w:right w:val="single" w:color="auto" w:sz="4" w:space="0"/>
            </w:tcBorders>
            <w:noWrap w:val="0"/>
            <w:vAlign w:val="center"/>
          </w:tcPr>
          <w:p w14:paraId="5B1D5F7D">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2410" w:type="dxa"/>
            <w:tcBorders>
              <w:top w:val="single" w:color="auto" w:sz="4" w:space="0"/>
              <w:left w:val="nil"/>
              <w:bottom w:val="single" w:color="auto" w:sz="4" w:space="0"/>
              <w:right w:val="single" w:color="auto" w:sz="4" w:space="0"/>
            </w:tcBorders>
            <w:noWrap w:val="0"/>
            <w:vAlign w:val="center"/>
          </w:tcPr>
          <w:p w14:paraId="1351F4C6">
            <w:pPr>
              <w:widowControl/>
              <w:adjustRightInd w:val="0"/>
              <w:snapToGrid w:val="0"/>
              <w:jc w:val="center"/>
              <w:rPr>
                <w:rFonts w:hint="eastAsia" w:ascii="仿宋" w:hAnsi="仿宋" w:eastAsia="仿宋" w:cs="仿宋"/>
                <w:color w:val="auto"/>
                <w:kern w:val="0"/>
                <w:sz w:val="24"/>
                <w:szCs w:val="24"/>
                <w:highlight w:val="none"/>
              </w:rPr>
            </w:pPr>
          </w:p>
        </w:tc>
      </w:tr>
    </w:tbl>
    <w:p w14:paraId="61D2EB4E">
      <w:pPr>
        <w:adjustRightInd w:val="0"/>
        <w:snapToGrid w:val="0"/>
        <w:spacing w:before="120" w:beforeLines="50"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执勤服配置</w:t>
      </w:r>
      <w:r>
        <w:rPr>
          <w:rFonts w:hint="eastAsia" w:ascii="仿宋" w:hAnsi="仿宋" w:eastAsia="仿宋" w:cs="仿宋"/>
          <w:snapToGrid w:val="0"/>
          <w:color w:val="auto"/>
          <w:kern w:val="0"/>
          <w:sz w:val="24"/>
          <w:szCs w:val="24"/>
          <w:highlight w:val="none"/>
          <w:lang w:eastAsia="zh-CN"/>
        </w:rPr>
        <w:t>清单</w:t>
      </w:r>
      <w:r>
        <w:rPr>
          <w:rFonts w:hint="eastAsia" w:ascii="仿宋" w:hAnsi="仿宋" w:eastAsia="仿宋" w:cs="仿宋"/>
          <w:snapToGrid w:val="0"/>
          <w:color w:val="auto"/>
          <w:kern w:val="0"/>
          <w:sz w:val="24"/>
          <w:szCs w:val="24"/>
          <w:highlight w:val="none"/>
        </w:rPr>
        <w:t xml:space="preserve">如下： </w:t>
      </w:r>
    </w:p>
    <w:tbl>
      <w:tblPr>
        <w:tblStyle w:val="45"/>
        <w:tblW w:w="0" w:type="auto"/>
        <w:tblInd w:w="97" w:type="dxa"/>
        <w:tblLayout w:type="fixed"/>
        <w:tblCellMar>
          <w:top w:w="0" w:type="dxa"/>
          <w:left w:w="108" w:type="dxa"/>
          <w:bottom w:w="0" w:type="dxa"/>
          <w:right w:w="108" w:type="dxa"/>
        </w:tblCellMar>
      </w:tblPr>
      <w:tblGrid>
        <w:gridCol w:w="1080"/>
        <w:gridCol w:w="4897"/>
        <w:gridCol w:w="2417"/>
      </w:tblGrid>
      <w:tr w14:paraId="1C93A7A8">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257F87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4897" w:type="dxa"/>
            <w:tcBorders>
              <w:top w:val="single" w:color="auto" w:sz="4" w:space="0"/>
              <w:left w:val="nil"/>
              <w:bottom w:val="single" w:color="auto" w:sz="4" w:space="0"/>
              <w:right w:val="single" w:color="auto" w:sz="4" w:space="0"/>
            </w:tcBorders>
            <w:noWrap/>
            <w:vAlign w:val="center"/>
          </w:tcPr>
          <w:p w14:paraId="775772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品名</w:t>
            </w:r>
          </w:p>
        </w:tc>
        <w:tc>
          <w:tcPr>
            <w:tcW w:w="2417" w:type="dxa"/>
            <w:tcBorders>
              <w:top w:val="single" w:color="auto" w:sz="4" w:space="0"/>
              <w:left w:val="nil"/>
              <w:bottom w:val="single" w:color="auto" w:sz="4" w:space="0"/>
              <w:right w:val="single" w:color="auto" w:sz="4" w:space="0"/>
            </w:tcBorders>
            <w:noWrap/>
            <w:vAlign w:val="center"/>
          </w:tcPr>
          <w:p w14:paraId="780AB88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r>
      <w:tr w14:paraId="11A5AB56">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4281E0C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897" w:type="dxa"/>
            <w:tcBorders>
              <w:top w:val="nil"/>
              <w:left w:val="nil"/>
              <w:bottom w:val="single" w:color="auto" w:sz="4" w:space="0"/>
              <w:right w:val="single" w:color="auto" w:sz="4" w:space="0"/>
            </w:tcBorders>
            <w:noWrap/>
            <w:vAlign w:val="center"/>
          </w:tcPr>
          <w:p w14:paraId="26994231">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大檐帽/卷边帽</w:t>
            </w:r>
          </w:p>
        </w:tc>
        <w:tc>
          <w:tcPr>
            <w:tcW w:w="2417" w:type="dxa"/>
            <w:tcBorders>
              <w:top w:val="nil"/>
              <w:left w:val="nil"/>
              <w:bottom w:val="single" w:color="auto" w:sz="4" w:space="0"/>
              <w:right w:val="single" w:color="auto" w:sz="4" w:space="0"/>
            </w:tcBorders>
            <w:noWrap/>
            <w:vAlign w:val="center"/>
          </w:tcPr>
          <w:p w14:paraId="515110C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w:t>
            </w:r>
          </w:p>
        </w:tc>
      </w:tr>
      <w:tr w14:paraId="0951F37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23542E3">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897" w:type="dxa"/>
            <w:tcBorders>
              <w:top w:val="nil"/>
              <w:left w:val="nil"/>
              <w:bottom w:val="single" w:color="auto" w:sz="4" w:space="0"/>
              <w:right w:val="single" w:color="auto" w:sz="4" w:space="0"/>
            </w:tcBorders>
            <w:noWrap/>
            <w:vAlign w:val="center"/>
          </w:tcPr>
          <w:p w14:paraId="5CC8E14D">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大檐凉帽/卷边凉帽</w:t>
            </w:r>
          </w:p>
        </w:tc>
        <w:tc>
          <w:tcPr>
            <w:tcW w:w="2417" w:type="dxa"/>
            <w:tcBorders>
              <w:top w:val="nil"/>
              <w:left w:val="nil"/>
              <w:bottom w:val="single" w:color="auto" w:sz="4" w:space="0"/>
              <w:right w:val="single" w:color="auto" w:sz="4" w:space="0"/>
            </w:tcBorders>
            <w:noWrap/>
            <w:vAlign w:val="center"/>
          </w:tcPr>
          <w:p w14:paraId="02DAE67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w:t>
            </w:r>
          </w:p>
        </w:tc>
      </w:tr>
      <w:tr w14:paraId="7B7396DD">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47E48B2E">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4897" w:type="dxa"/>
            <w:tcBorders>
              <w:top w:val="nil"/>
              <w:left w:val="nil"/>
              <w:bottom w:val="single" w:color="auto" w:sz="4" w:space="0"/>
              <w:right w:val="single" w:color="auto" w:sz="4" w:space="0"/>
            </w:tcBorders>
            <w:noWrap/>
            <w:vAlign w:val="center"/>
          </w:tcPr>
          <w:p w14:paraId="449A647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执勤帽</w:t>
            </w:r>
          </w:p>
        </w:tc>
        <w:tc>
          <w:tcPr>
            <w:tcW w:w="2417" w:type="dxa"/>
            <w:tcBorders>
              <w:top w:val="nil"/>
              <w:left w:val="nil"/>
              <w:bottom w:val="single" w:color="auto" w:sz="4" w:space="0"/>
              <w:right w:val="single" w:color="auto" w:sz="4" w:space="0"/>
            </w:tcBorders>
            <w:noWrap/>
            <w:vAlign w:val="center"/>
          </w:tcPr>
          <w:p w14:paraId="1ED61F7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w:t>
            </w:r>
          </w:p>
        </w:tc>
      </w:tr>
      <w:tr w14:paraId="0DB68641">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2AE44C12">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897" w:type="dxa"/>
            <w:tcBorders>
              <w:top w:val="nil"/>
              <w:left w:val="nil"/>
              <w:bottom w:val="single" w:color="auto" w:sz="4" w:space="0"/>
              <w:right w:val="single" w:color="auto" w:sz="4" w:space="0"/>
            </w:tcBorders>
            <w:noWrap/>
            <w:vAlign w:val="center"/>
          </w:tcPr>
          <w:p w14:paraId="602222A2">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春秋夹克执勤服</w:t>
            </w:r>
          </w:p>
        </w:tc>
        <w:tc>
          <w:tcPr>
            <w:tcW w:w="2417" w:type="dxa"/>
            <w:tcBorders>
              <w:top w:val="nil"/>
              <w:left w:val="nil"/>
              <w:bottom w:val="single" w:color="auto" w:sz="4" w:space="0"/>
              <w:right w:val="single" w:color="auto" w:sz="4" w:space="0"/>
            </w:tcBorders>
            <w:noWrap/>
            <w:vAlign w:val="center"/>
          </w:tcPr>
          <w:p w14:paraId="673AFC4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14:paraId="1E7939AC">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1B4E636C">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897" w:type="dxa"/>
            <w:tcBorders>
              <w:top w:val="nil"/>
              <w:left w:val="nil"/>
              <w:bottom w:val="single" w:color="auto" w:sz="4" w:space="0"/>
              <w:right w:val="single" w:color="auto" w:sz="4" w:space="0"/>
            </w:tcBorders>
            <w:noWrap/>
            <w:vAlign w:val="center"/>
          </w:tcPr>
          <w:p w14:paraId="440E1BE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冬夹克执勤服</w:t>
            </w:r>
          </w:p>
        </w:tc>
        <w:tc>
          <w:tcPr>
            <w:tcW w:w="2417" w:type="dxa"/>
            <w:tcBorders>
              <w:top w:val="nil"/>
              <w:left w:val="nil"/>
              <w:bottom w:val="single" w:color="auto" w:sz="4" w:space="0"/>
              <w:right w:val="single" w:color="auto" w:sz="4" w:space="0"/>
            </w:tcBorders>
            <w:noWrap/>
            <w:vAlign w:val="center"/>
          </w:tcPr>
          <w:p w14:paraId="0AB2F44C">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14:paraId="1DA4C5D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B419D6B">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897" w:type="dxa"/>
            <w:tcBorders>
              <w:top w:val="nil"/>
              <w:left w:val="nil"/>
              <w:bottom w:val="single" w:color="auto" w:sz="4" w:space="0"/>
              <w:right w:val="single" w:color="auto" w:sz="4" w:space="0"/>
            </w:tcBorders>
            <w:noWrap/>
            <w:vAlign w:val="center"/>
          </w:tcPr>
          <w:p w14:paraId="670F201B">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夏装短袖制式衬衫（短袖）</w:t>
            </w:r>
          </w:p>
        </w:tc>
        <w:tc>
          <w:tcPr>
            <w:tcW w:w="2417" w:type="dxa"/>
            <w:tcBorders>
              <w:top w:val="nil"/>
              <w:left w:val="nil"/>
              <w:bottom w:val="single" w:color="auto" w:sz="4" w:space="0"/>
              <w:right w:val="single" w:color="auto" w:sz="4" w:space="0"/>
            </w:tcBorders>
            <w:noWrap/>
            <w:vAlign w:val="center"/>
          </w:tcPr>
          <w:p w14:paraId="5E604566">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r>
      <w:tr w14:paraId="0C0D5849">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359F614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897" w:type="dxa"/>
            <w:tcBorders>
              <w:top w:val="nil"/>
              <w:left w:val="nil"/>
              <w:bottom w:val="single" w:color="auto" w:sz="4" w:space="0"/>
              <w:right w:val="single" w:color="auto" w:sz="4" w:space="0"/>
            </w:tcBorders>
            <w:noWrap/>
            <w:vAlign w:val="center"/>
          </w:tcPr>
          <w:p w14:paraId="6CBDBA1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夏装长袖制式衬衫（长袖）</w:t>
            </w:r>
          </w:p>
        </w:tc>
        <w:tc>
          <w:tcPr>
            <w:tcW w:w="2417" w:type="dxa"/>
            <w:tcBorders>
              <w:top w:val="nil"/>
              <w:left w:val="nil"/>
              <w:bottom w:val="single" w:color="auto" w:sz="4" w:space="0"/>
              <w:right w:val="single" w:color="auto" w:sz="4" w:space="0"/>
            </w:tcBorders>
            <w:noWrap/>
            <w:vAlign w:val="center"/>
          </w:tcPr>
          <w:p w14:paraId="6612401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r>
      <w:tr w14:paraId="1AAC90C4">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16ED1FA0">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897" w:type="dxa"/>
            <w:tcBorders>
              <w:top w:val="nil"/>
              <w:left w:val="nil"/>
              <w:bottom w:val="single" w:color="auto" w:sz="4" w:space="0"/>
              <w:right w:val="single" w:color="auto" w:sz="4" w:space="0"/>
            </w:tcBorders>
            <w:noWrap/>
            <w:vAlign w:val="center"/>
          </w:tcPr>
          <w:p w14:paraId="61E40423">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夏裤</w:t>
            </w:r>
          </w:p>
        </w:tc>
        <w:tc>
          <w:tcPr>
            <w:tcW w:w="2417" w:type="dxa"/>
            <w:tcBorders>
              <w:top w:val="nil"/>
              <w:left w:val="nil"/>
              <w:bottom w:val="single" w:color="auto" w:sz="4" w:space="0"/>
              <w:right w:val="single" w:color="auto" w:sz="4" w:space="0"/>
            </w:tcBorders>
            <w:noWrap/>
            <w:vAlign w:val="center"/>
          </w:tcPr>
          <w:p w14:paraId="239602C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w:t>
            </w:r>
          </w:p>
        </w:tc>
      </w:tr>
      <w:tr w14:paraId="67491FA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1F1EF4B">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897" w:type="dxa"/>
            <w:tcBorders>
              <w:top w:val="nil"/>
              <w:left w:val="nil"/>
              <w:bottom w:val="single" w:color="auto" w:sz="4" w:space="0"/>
              <w:right w:val="single" w:color="auto" w:sz="4" w:space="0"/>
            </w:tcBorders>
            <w:noWrap/>
            <w:vAlign w:val="center"/>
          </w:tcPr>
          <w:p w14:paraId="6A67ED43">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大帽徽</w:t>
            </w:r>
          </w:p>
        </w:tc>
        <w:tc>
          <w:tcPr>
            <w:tcW w:w="2417" w:type="dxa"/>
            <w:tcBorders>
              <w:top w:val="nil"/>
              <w:left w:val="nil"/>
              <w:bottom w:val="single" w:color="auto" w:sz="4" w:space="0"/>
              <w:right w:val="single" w:color="auto" w:sz="4" w:space="0"/>
            </w:tcBorders>
            <w:noWrap/>
            <w:vAlign w:val="center"/>
          </w:tcPr>
          <w:p w14:paraId="2B6D742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r>
      <w:tr w14:paraId="419EA3CF">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2E9FD3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4897" w:type="dxa"/>
            <w:tcBorders>
              <w:top w:val="nil"/>
              <w:left w:val="nil"/>
              <w:bottom w:val="single" w:color="auto" w:sz="4" w:space="0"/>
              <w:right w:val="single" w:color="auto" w:sz="4" w:space="0"/>
            </w:tcBorders>
            <w:noWrap/>
            <w:vAlign w:val="center"/>
          </w:tcPr>
          <w:p w14:paraId="24A23EB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软肩章</w:t>
            </w:r>
          </w:p>
        </w:tc>
        <w:tc>
          <w:tcPr>
            <w:tcW w:w="2417" w:type="dxa"/>
            <w:tcBorders>
              <w:top w:val="nil"/>
              <w:left w:val="nil"/>
              <w:bottom w:val="single" w:color="auto" w:sz="4" w:space="0"/>
              <w:right w:val="single" w:color="auto" w:sz="4" w:space="0"/>
            </w:tcBorders>
            <w:noWrap/>
            <w:vAlign w:val="center"/>
          </w:tcPr>
          <w:p w14:paraId="5120C70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r>
      <w:tr w14:paraId="03FCCBC0">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28E71B7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4897" w:type="dxa"/>
            <w:tcBorders>
              <w:top w:val="nil"/>
              <w:left w:val="nil"/>
              <w:bottom w:val="single" w:color="auto" w:sz="4" w:space="0"/>
              <w:right w:val="single" w:color="auto" w:sz="4" w:space="0"/>
            </w:tcBorders>
            <w:noWrap/>
            <w:vAlign w:val="center"/>
          </w:tcPr>
          <w:p w14:paraId="21F4D7BB">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套肩章</w:t>
            </w:r>
          </w:p>
        </w:tc>
        <w:tc>
          <w:tcPr>
            <w:tcW w:w="2417" w:type="dxa"/>
            <w:tcBorders>
              <w:top w:val="nil"/>
              <w:left w:val="nil"/>
              <w:bottom w:val="single" w:color="auto" w:sz="4" w:space="0"/>
              <w:right w:val="single" w:color="auto" w:sz="4" w:space="0"/>
            </w:tcBorders>
            <w:noWrap/>
            <w:vAlign w:val="center"/>
          </w:tcPr>
          <w:p w14:paraId="2810D51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r>
      <w:tr w14:paraId="0975BCEB">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6CA8ECD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4897" w:type="dxa"/>
            <w:tcBorders>
              <w:top w:val="nil"/>
              <w:left w:val="nil"/>
              <w:bottom w:val="single" w:color="auto" w:sz="4" w:space="0"/>
              <w:right w:val="single" w:color="auto" w:sz="4" w:space="0"/>
            </w:tcBorders>
            <w:noWrap/>
            <w:vAlign w:val="center"/>
          </w:tcPr>
          <w:p w14:paraId="1DE33D8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挂式臂章</w:t>
            </w:r>
          </w:p>
        </w:tc>
        <w:tc>
          <w:tcPr>
            <w:tcW w:w="2417" w:type="dxa"/>
            <w:tcBorders>
              <w:top w:val="nil"/>
              <w:left w:val="nil"/>
              <w:bottom w:val="single" w:color="auto" w:sz="4" w:space="0"/>
              <w:right w:val="single" w:color="auto" w:sz="4" w:space="0"/>
            </w:tcBorders>
            <w:noWrap/>
            <w:vAlign w:val="center"/>
          </w:tcPr>
          <w:p w14:paraId="50B9459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r>
      <w:tr w14:paraId="020AD214">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2645ECFC">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4897" w:type="dxa"/>
            <w:tcBorders>
              <w:top w:val="nil"/>
              <w:left w:val="nil"/>
              <w:bottom w:val="single" w:color="auto" w:sz="4" w:space="0"/>
              <w:right w:val="single" w:color="auto" w:sz="4" w:space="0"/>
            </w:tcBorders>
            <w:noWrap/>
            <w:vAlign w:val="center"/>
          </w:tcPr>
          <w:p w14:paraId="7C18324A">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软胸牌</w:t>
            </w:r>
          </w:p>
        </w:tc>
        <w:tc>
          <w:tcPr>
            <w:tcW w:w="2417" w:type="dxa"/>
            <w:tcBorders>
              <w:top w:val="nil"/>
              <w:left w:val="nil"/>
              <w:bottom w:val="single" w:color="auto" w:sz="4" w:space="0"/>
              <w:right w:val="single" w:color="auto" w:sz="4" w:space="0"/>
            </w:tcBorders>
            <w:noWrap/>
            <w:vAlign w:val="center"/>
          </w:tcPr>
          <w:p w14:paraId="36DD705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r>
      <w:tr w14:paraId="5A62FD1B">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8130EE0">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4897" w:type="dxa"/>
            <w:tcBorders>
              <w:top w:val="nil"/>
              <w:left w:val="nil"/>
              <w:bottom w:val="single" w:color="auto" w:sz="4" w:space="0"/>
              <w:right w:val="single" w:color="auto" w:sz="4" w:space="0"/>
            </w:tcBorders>
            <w:noWrap/>
            <w:vAlign w:val="center"/>
          </w:tcPr>
          <w:p w14:paraId="2A21992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软胸号</w:t>
            </w:r>
          </w:p>
        </w:tc>
        <w:tc>
          <w:tcPr>
            <w:tcW w:w="2417" w:type="dxa"/>
            <w:tcBorders>
              <w:top w:val="nil"/>
              <w:left w:val="nil"/>
              <w:bottom w:val="single" w:color="auto" w:sz="4" w:space="0"/>
              <w:right w:val="single" w:color="auto" w:sz="4" w:space="0"/>
            </w:tcBorders>
            <w:noWrap/>
            <w:vAlign w:val="center"/>
          </w:tcPr>
          <w:p w14:paraId="27F80619">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r>
      <w:tr w14:paraId="4E5D1E0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7010297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4897" w:type="dxa"/>
            <w:tcBorders>
              <w:top w:val="nil"/>
              <w:left w:val="nil"/>
              <w:bottom w:val="single" w:color="auto" w:sz="4" w:space="0"/>
              <w:right w:val="single" w:color="auto" w:sz="4" w:space="0"/>
            </w:tcBorders>
            <w:noWrap/>
            <w:vAlign w:val="center"/>
          </w:tcPr>
          <w:p w14:paraId="29C0181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内腰带</w:t>
            </w:r>
          </w:p>
        </w:tc>
        <w:tc>
          <w:tcPr>
            <w:tcW w:w="2417" w:type="dxa"/>
            <w:tcBorders>
              <w:top w:val="nil"/>
              <w:left w:val="nil"/>
              <w:bottom w:val="single" w:color="auto" w:sz="4" w:space="0"/>
              <w:right w:val="single" w:color="auto" w:sz="4" w:space="0"/>
            </w:tcBorders>
            <w:noWrap/>
            <w:vAlign w:val="center"/>
          </w:tcPr>
          <w:p w14:paraId="0A735E4A">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w:t>
            </w:r>
          </w:p>
        </w:tc>
      </w:tr>
      <w:tr w14:paraId="28E61364">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015E688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4897" w:type="dxa"/>
            <w:tcBorders>
              <w:top w:val="nil"/>
              <w:left w:val="nil"/>
              <w:bottom w:val="single" w:color="auto" w:sz="4" w:space="0"/>
              <w:right w:val="single" w:color="auto" w:sz="4" w:space="0"/>
            </w:tcBorders>
            <w:noWrap/>
            <w:vAlign w:val="center"/>
          </w:tcPr>
          <w:p w14:paraId="1AB14AA1">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反光背心</w:t>
            </w:r>
          </w:p>
        </w:tc>
        <w:tc>
          <w:tcPr>
            <w:tcW w:w="2417" w:type="dxa"/>
            <w:tcBorders>
              <w:top w:val="nil"/>
              <w:left w:val="nil"/>
              <w:bottom w:val="single" w:color="auto" w:sz="4" w:space="0"/>
              <w:right w:val="single" w:color="auto" w:sz="4" w:space="0"/>
            </w:tcBorders>
            <w:noWrap/>
            <w:vAlign w:val="center"/>
          </w:tcPr>
          <w:p w14:paraId="664FD77D">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r>
    </w:tbl>
    <w:p w14:paraId="48C52229">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p>
    <w:p w14:paraId="04D7112B">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2、招标人可提供办公场地及办公电脑，但其他办公用品（指对讲机、强光手电、甩棍、防割手套等自行根据需要配置，由中标人自身使用的物品）由投标人自行解决。</w:t>
      </w:r>
    </w:p>
    <w:p w14:paraId="00E90C90">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3、说明：</w:t>
      </w:r>
    </w:p>
    <w:p w14:paraId="515BEF66">
      <w:pPr>
        <w:adjustRightInd w:val="0"/>
        <w:snapToGrid w:val="0"/>
        <w:spacing w:line="360" w:lineRule="auto"/>
        <w:ind w:firstLine="480" w:firstLineChars="200"/>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（1）损坏或不宜使用的个人服装及装备，中标人应有充足的备件。</w:t>
      </w:r>
    </w:p>
    <w:p w14:paraId="2FFA4449">
      <w:pPr>
        <w:adjustRightInd w:val="0"/>
        <w:snapToGrid w:val="0"/>
        <w:spacing w:line="360" w:lineRule="auto"/>
        <w:ind w:firstLine="480" w:firstLineChars="200"/>
        <w:jc w:val="left"/>
        <w:rPr>
          <w:rFonts w:hint="eastAsia"/>
          <w:color w:val="auto"/>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夏天降温消暑用品、冬天御寒用品等配备妥当。</w:t>
      </w:r>
    </w:p>
    <w:bookmarkEnd w:id="69"/>
    <w:p w14:paraId="561C079D">
      <w:pPr>
        <w:pStyle w:val="5"/>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default" w:ascii="仿宋" w:hAnsi="仿宋" w:eastAsia="仿宋" w:cs="仿宋"/>
          <w:color w:val="auto"/>
          <w:sz w:val="24"/>
          <w:szCs w:val="24"/>
          <w:highlight w:val="none"/>
          <w:lang w:val="en-US" w:eastAsia="zh-CN"/>
        </w:rPr>
      </w:pPr>
      <w:bookmarkStart w:id="71" w:name="_Toc24056"/>
      <w:bookmarkStart w:id="72" w:name="_Toc24123"/>
      <w:bookmarkStart w:id="73" w:name="_Toc24940"/>
      <w:bookmarkStart w:id="74" w:name="_Toc19274"/>
      <w:bookmarkStart w:id="75" w:name="_Toc4113"/>
      <w:r>
        <w:rPr>
          <w:rFonts w:hint="eastAsia" w:ascii="仿宋" w:hAnsi="仿宋" w:eastAsia="仿宋" w:cs="仿宋"/>
          <w:color w:val="auto"/>
          <w:sz w:val="24"/>
          <w:szCs w:val="24"/>
          <w:highlight w:val="none"/>
          <w:lang w:val="en-US" w:eastAsia="zh-CN"/>
        </w:rPr>
        <w:t>四、服务质量及标准</w:t>
      </w:r>
    </w:p>
    <w:p w14:paraId="3A4B41F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（一）管理制度</w:t>
      </w:r>
    </w:p>
    <w:p w14:paraId="739505D7">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投标人根据本项目要求制定项目日常管理制度。管理制度应贴合本项目实际，具有针对性。</w:t>
      </w:r>
    </w:p>
    <w:p w14:paraId="76374D7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（二）培训制度</w:t>
      </w:r>
    </w:p>
    <w:p w14:paraId="391735E0">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highlight w:val="none"/>
          <w:lang w:val="en-US" w:eastAsia="zh-CN"/>
        </w:rPr>
        <w:t>为确保项目正常开展，应具备培训制度，</w:t>
      </w:r>
      <w:r>
        <w:rPr>
          <w:rFonts w:hint="eastAsia" w:ascii="仿宋" w:hAnsi="仿宋" w:eastAsia="仿宋" w:cs="仿宋"/>
          <w:color w:val="auto"/>
          <w:sz w:val="24"/>
          <w:szCs w:val="24"/>
          <w:highlight w:val="none"/>
          <w:lang w:val="en-US" w:eastAsia="zh-CN"/>
        </w:rPr>
        <w:t>包括政治思想、专业技能、理论知识等诸方面内容。</w:t>
      </w:r>
      <w:r>
        <w:rPr>
          <w:rFonts w:hint="default" w:ascii="仿宋" w:hAnsi="仿宋" w:eastAsia="仿宋" w:cs="仿宋"/>
          <w:color w:val="auto"/>
          <w:sz w:val="24"/>
          <w:highlight w:val="none"/>
          <w:lang w:val="en-US" w:eastAsia="zh-CN"/>
        </w:rPr>
        <w:t>培训应有方案，包括岗前培训、跟班实训、日常训练响应方案，有培训讲师情况（讲师需是退伍军人或持有保安员高级、技师职业资格证等）、培训场所、培训教材。</w:t>
      </w:r>
    </w:p>
    <w:p w14:paraId="384732E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（三）日常考核</w:t>
      </w:r>
    </w:p>
    <w:p w14:paraId="200B1EFE">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1、按服务时间要求提供服务。如遇特殊实际情况，服务时间需调整的（包括延长、加班、紧急情形等等），在确保</w:t>
      </w:r>
      <w:r>
        <w:rPr>
          <w:rFonts w:hint="eastAsia" w:ascii="仿宋" w:hAnsi="仿宋" w:eastAsia="仿宋" w:cs="仿宋"/>
          <w:snapToGrid w:val="0"/>
          <w:color w:val="auto"/>
          <w:kern w:val="0"/>
          <w:sz w:val="24"/>
          <w:szCs w:val="24"/>
          <w:highlight w:val="none"/>
          <w:lang w:val="en-US" w:eastAsia="zh-CN"/>
        </w:rPr>
        <w:t>服务效果、质量等达到采购人要求前提下，中标人应</w:t>
      </w:r>
      <w:r>
        <w:rPr>
          <w:rFonts w:hint="default" w:ascii="仿宋" w:hAnsi="仿宋" w:eastAsia="仿宋" w:cs="仿宋"/>
          <w:color w:val="auto"/>
          <w:sz w:val="24"/>
          <w:highlight w:val="none"/>
          <w:lang w:eastAsia="zh-CN"/>
        </w:rPr>
        <w:t>按照</w:t>
      </w:r>
      <w:r>
        <w:rPr>
          <w:rFonts w:hint="eastAsia" w:ascii="仿宋" w:hAnsi="仿宋" w:eastAsia="仿宋" w:cs="仿宋"/>
          <w:color w:val="auto"/>
          <w:sz w:val="24"/>
          <w:highlight w:val="none"/>
          <w:lang w:val="en-US" w:eastAsia="zh-CN"/>
        </w:rPr>
        <w:t>采购</w:t>
      </w:r>
      <w:r>
        <w:rPr>
          <w:rFonts w:hint="default" w:ascii="仿宋" w:hAnsi="仿宋" w:eastAsia="仿宋" w:cs="仿宋"/>
          <w:color w:val="auto"/>
          <w:sz w:val="24"/>
          <w:highlight w:val="none"/>
          <w:lang w:eastAsia="zh-CN"/>
        </w:rPr>
        <w:t>人的</w:t>
      </w:r>
      <w:r>
        <w:rPr>
          <w:rFonts w:hint="eastAsia" w:ascii="仿宋" w:hAnsi="仿宋" w:eastAsia="仿宋" w:cs="仿宋"/>
          <w:color w:val="auto"/>
          <w:sz w:val="24"/>
          <w:highlight w:val="none"/>
          <w:lang w:val="en-US" w:eastAsia="zh-CN"/>
        </w:rPr>
        <w:t>服务</w:t>
      </w:r>
      <w:r>
        <w:rPr>
          <w:rFonts w:hint="default" w:ascii="仿宋" w:hAnsi="仿宋" w:eastAsia="仿宋" w:cs="仿宋"/>
          <w:color w:val="auto"/>
          <w:sz w:val="24"/>
          <w:highlight w:val="none"/>
          <w:lang w:eastAsia="zh-CN"/>
        </w:rPr>
        <w:t>要求执行</w:t>
      </w:r>
      <w:r>
        <w:rPr>
          <w:rFonts w:hint="eastAsia" w:ascii="仿宋" w:hAnsi="仿宋" w:eastAsia="仿宋" w:cs="仿宋"/>
          <w:color w:val="auto"/>
          <w:sz w:val="24"/>
          <w:highlight w:val="none"/>
          <w:lang w:val="en-US" w:eastAsia="zh-CN"/>
        </w:rPr>
        <w:t>。</w:t>
      </w:r>
    </w:p>
    <w:p w14:paraId="5AB5C314">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2、不办私事，严禁吃拿卡要和徇私舞弊，不得向辖区巡查对象索取财物或提出违法、违规要求。</w:t>
      </w:r>
    </w:p>
    <w:p w14:paraId="5C22FE28">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3、按规定着装，携带装备。</w:t>
      </w:r>
    </w:p>
    <w:p w14:paraId="754AB5E7">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4、文明执勤，实事就是，不包庇不纵容。</w:t>
      </w:r>
    </w:p>
    <w:p w14:paraId="032EB719">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5、严格遵守白杨街道要求的行为规范和工作职责。</w:t>
      </w:r>
    </w:p>
    <w:p w14:paraId="2A4DA7ED">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color w:val="auto"/>
          <w:sz w:val="24"/>
          <w:highlight w:val="none"/>
          <w:lang w:val="en-US" w:eastAsia="zh-CN"/>
        </w:rPr>
        <w:t>6、中标人做好自身人员、装备等安全保障，不因自身原因导致其无法正常开展工作。投标人须自行考虑服务成本，后期不能以任何理由要求补偿。</w:t>
      </w:r>
    </w:p>
    <w:p w14:paraId="4C2601F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（四）服务交接</w:t>
      </w:r>
    </w:p>
    <w:p w14:paraId="3EA75860">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本项目交接时间以采购人通知为准。投标人应为本项目制定项目平稳交接过渡方案，确保不出现纠纷、投诉、或引起服务无法保障的情形。</w:t>
      </w:r>
    </w:p>
    <w:p w14:paraId="30BC33E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（五）项目开展的注意事项</w:t>
      </w:r>
    </w:p>
    <w:p w14:paraId="444ADFCC">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服务期间，如因中标人原因发生人身事故</w:t>
      </w:r>
      <w:r>
        <w:rPr>
          <w:rFonts w:hint="eastAsia" w:ascii="仿宋" w:hAnsi="仿宋" w:eastAsia="仿宋" w:cs="仿宋"/>
          <w:color w:val="auto"/>
          <w:sz w:val="24"/>
          <w:highlight w:val="none"/>
          <w:lang w:val="en-US" w:eastAsia="zh-CN"/>
        </w:rPr>
        <w:t>或经济纠纷</w:t>
      </w:r>
      <w:r>
        <w:rPr>
          <w:rFonts w:hint="eastAsia" w:ascii="仿宋" w:hAnsi="仿宋" w:eastAsia="仿宋" w:cs="仿宋"/>
          <w:color w:val="auto"/>
          <w:sz w:val="24"/>
          <w:highlight w:val="none"/>
        </w:rPr>
        <w:t>，由中标人承担全部责任，所产生费用由中标人全部承担；因中标人自身管理不善或使用不当造成的损失由中标人负责赔偿。</w:t>
      </w:r>
    </w:p>
    <w:p w14:paraId="231215BA">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做好元旦、春节、清明节、劳动节、端午节、中秋节、国庆节等节假日及重大活动的配合和保障工作。</w:t>
      </w:r>
    </w:p>
    <w:p w14:paraId="12A498BF">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配合做好防汛抗台、疫情防控等突发事件应急处理工作，确保突发事件及时处置得当。</w:t>
      </w:r>
    </w:p>
    <w:p w14:paraId="2D27B537">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2" w:firstLineChars="200"/>
        <w:jc w:val="both"/>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在服务期内采购人遇到突发事件时，中标人应</w:t>
      </w:r>
      <w:r>
        <w:rPr>
          <w:rFonts w:hint="eastAsia" w:ascii="仿宋" w:hAnsi="仿宋" w:eastAsia="仿宋" w:cs="仿宋"/>
          <w:b/>
          <w:bCs/>
          <w:color w:val="auto"/>
          <w:sz w:val="24"/>
          <w:highlight w:val="none"/>
          <w:lang w:val="en-US" w:eastAsia="zh-CN"/>
        </w:rPr>
        <w:t>服从大局</w:t>
      </w:r>
      <w:r>
        <w:rPr>
          <w:rFonts w:hint="eastAsia" w:ascii="仿宋" w:hAnsi="仿宋" w:eastAsia="仿宋" w:cs="仿宋"/>
          <w:b/>
          <w:bCs/>
          <w:color w:val="auto"/>
          <w:sz w:val="24"/>
          <w:highlight w:val="none"/>
        </w:rPr>
        <w:t>，服从采购人安排；一般情形下，应确保不少于2人次能半小时内赶赴现场保障到位。</w:t>
      </w:r>
    </w:p>
    <w:p w14:paraId="227F7C1C">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5、因自身服务原因，</w:t>
      </w:r>
      <w:r>
        <w:rPr>
          <w:rFonts w:hint="eastAsia" w:ascii="仿宋" w:hAnsi="仿宋" w:eastAsia="仿宋" w:cs="仿宋"/>
          <w:color w:val="auto"/>
          <w:sz w:val="24"/>
          <w:highlight w:val="none"/>
        </w:rPr>
        <w:t>接到责任区域</w:t>
      </w:r>
      <w:r>
        <w:rPr>
          <w:rFonts w:hint="eastAsia" w:ascii="仿宋" w:hAnsi="仿宋" w:eastAsia="仿宋" w:cs="仿宋"/>
          <w:color w:val="auto"/>
          <w:sz w:val="24"/>
          <w:highlight w:val="none"/>
          <w:lang w:eastAsia="zh-CN"/>
        </w:rPr>
        <w:t>投诉电话</w:t>
      </w:r>
      <w:r>
        <w:rPr>
          <w:rFonts w:hint="eastAsia" w:ascii="仿宋" w:hAnsi="仿宋" w:eastAsia="仿宋" w:cs="仿宋"/>
          <w:color w:val="auto"/>
          <w:sz w:val="24"/>
          <w:highlight w:val="none"/>
        </w:rPr>
        <w:t>和新闻舆论批评，中标人应在24小时内处理完毕和及时进行信息反馈。</w:t>
      </w:r>
    </w:p>
    <w:p w14:paraId="481FD761">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投标人所有的工作除应按投标人的内部流程实施外还应接受采购人或采购人组织的检查组的检查。</w:t>
      </w:r>
      <w:r>
        <w:rPr>
          <w:rFonts w:hint="eastAsia" w:ascii="仿宋" w:hAnsi="仿宋" w:eastAsia="仿宋" w:cs="仿宋"/>
          <w:color w:val="auto"/>
          <w:sz w:val="24"/>
          <w:highlight w:val="none"/>
        </w:rPr>
        <w:t xml:space="preserve"> </w:t>
      </w:r>
    </w:p>
    <w:p w14:paraId="55D2DBB8">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如采购人检查发现中标人提供的服务不符合标准要求，中标人应立即进行整改，直到符合要求为止。</w:t>
      </w:r>
      <w:r>
        <w:rPr>
          <w:rFonts w:hint="eastAsia" w:ascii="仿宋" w:hAnsi="仿宋" w:eastAsia="仿宋" w:cs="仿宋"/>
          <w:color w:val="auto"/>
          <w:sz w:val="24"/>
          <w:highlight w:val="none"/>
          <w:lang w:val="en-US" w:eastAsia="zh-CN"/>
        </w:rPr>
        <w:t>对</w:t>
      </w:r>
      <w:r>
        <w:rPr>
          <w:rFonts w:hint="eastAsia" w:ascii="仿宋" w:hAnsi="仿宋" w:eastAsia="仿宋" w:cs="仿宋"/>
          <w:color w:val="auto"/>
          <w:sz w:val="24"/>
          <w:highlight w:val="none"/>
        </w:rPr>
        <w:t>达不到采购人要求及投标人投标时各项服务承诺</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，采购人有权扣款或终止合同</w:t>
      </w:r>
      <w:r>
        <w:rPr>
          <w:rFonts w:hint="eastAsia" w:ascii="仿宋" w:hAnsi="仿宋" w:eastAsia="仿宋" w:cs="仿宋"/>
          <w:color w:val="auto"/>
          <w:sz w:val="24"/>
          <w:highlight w:val="none"/>
          <w:lang w:eastAsia="zh-CN"/>
        </w:rPr>
        <w:t>。</w:t>
      </w:r>
    </w:p>
    <w:p w14:paraId="74C84E09">
      <w:pPr>
        <w:pStyle w:val="19"/>
        <w:rPr>
          <w:rFonts w:hint="eastAsia" w:ascii="仿宋" w:hAnsi="仿宋" w:eastAsia="仿宋" w:cs="仿宋"/>
          <w:bCs/>
          <w:color w:val="auto"/>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bCs/>
          <w:color w:val="auto"/>
          <w:highlight w:val="none"/>
          <w:lang w:val="en-US" w:eastAsia="zh-CN"/>
        </w:rPr>
        <w:t>如中标，应为所有特保服务人员缴纳社保及购买</w:t>
      </w:r>
      <w:r>
        <w:rPr>
          <w:rFonts w:hint="eastAsia" w:ascii="仿宋" w:hAnsi="仿宋" w:eastAsia="仿宋" w:cs="仿宋"/>
          <w:bCs/>
          <w:color w:val="auto"/>
          <w:highlight w:val="none"/>
        </w:rPr>
        <w:t>人员意外险</w:t>
      </w:r>
      <w:r>
        <w:rPr>
          <w:rFonts w:hint="eastAsia" w:ascii="仿宋" w:hAnsi="仿宋" w:eastAsia="仿宋" w:cs="仿宋"/>
          <w:bCs/>
          <w:color w:val="auto"/>
          <w:highlight w:val="none"/>
          <w:lang w:eastAsia="zh-CN"/>
        </w:rPr>
        <w:t>。</w:t>
      </w:r>
    </w:p>
    <w:p w14:paraId="788801F2">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9、服务未达要求的处置：</w:t>
      </w:r>
    </w:p>
    <w:p w14:paraId="0C0210BA">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（1）中标人按采购人要求做好各种工作报表、记录，以备检查及验收。如果未按要求做好工作报表与记录，被检查发现一次，则扣罚500元。累计发现三次同类情况，扣罚2000元。</w:t>
      </w:r>
    </w:p>
    <w:p w14:paraId="7BB54481">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（2）如未按照工作要求或未配置夜间整治组、信访处置组的落实工作任务，视情扣罚100-2000元。</w:t>
      </w:r>
    </w:p>
    <w:p w14:paraId="3447B1A2">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（3）中标人必须对下属人员严格管理，如发现服务人员有赌博、滋事、扰乱治安、偷盗物资等情况，发现一次则扣罚500元。累计发现三次同类情况，扣罚2000元。</w:t>
      </w:r>
    </w:p>
    <w:p w14:paraId="30912B1B">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（4）在服务期间，根据采购人实际需求、中标人投标响应情况进行配置人员及装备。若发现配置的人员有空缺现象的，根据空缺人数按300元/人/次扣减服务费；若发现未按要求配置装备的，扣减相应装备费。</w:t>
      </w:r>
    </w:p>
    <w:p w14:paraId="69853AB7">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（5）项目实施过程中，采购人有权对中标人的服务质量进行考核。考核频率为每月度一次，如达不到要求的服务质量水平的，采购人将发出书面整改通知要求中标人予以整改,未及时整改扣当月考核分。</w:t>
      </w:r>
    </w:p>
    <w:p w14:paraId="7C69FA1F">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除不可抗力外，如果中标人没有按照合同约定的期限、地点和方式履行，或者未按要求整改，那么采购人可要求中标人支付违约金，违约金按每迟延履行一日的合同价格的 0.05 %计算，最高限额为合同总价的20%；迟延履行的违约金计算数额达到前述最高限额之日起，采购人有权在要求中标人支付违约金的同时，书面通知其解除合同。</w:t>
      </w:r>
    </w:p>
    <w:p w14:paraId="68A735D4">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（6）若有其他违反工作纪律造成恶劣影响和后果的，依据实际情况减扣服务费。具体考核细则由采购人制定。</w:t>
      </w:r>
    </w:p>
    <w:p w14:paraId="657B97C6">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（7）未尽事宜按合同条款。</w:t>
      </w:r>
    </w:p>
    <w:p w14:paraId="380ACDDD">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中标人务必做好以下关切要求：（1）坚决杜绝服务人员从事与本职工作相关的兼职工作。（2）做好相关合同条款的约束与管理，确保一线工作人员的待遇能够得到基本保障。（3）规范项目中辅助执法车辆的日常管理，相关管理要求应严格参照公车管理办法执行，坚决防止出现公车私用等现象。</w:t>
      </w:r>
    </w:p>
    <w:p w14:paraId="24A75661">
      <w:pPr>
        <w:pStyle w:val="5"/>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val="en-US" w:eastAsia="zh-CN"/>
        </w:rPr>
      </w:pPr>
      <w:bookmarkStart w:id="76" w:name="_Toc17154"/>
      <w:bookmarkStart w:id="77" w:name="_Toc13515"/>
      <w:bookmarkStart w:id="78" w:name="_Toc16266"/>
      <w:bookmarkStart w:id="79" w:name="_Toc11953"/>
      <w:r>
        <w:rPr>
          <w:rFonts w:hint="eastAsia" w:ascii="仿宋" w:hAnsi="仿宋" w:eastAsia="仿宋" w:cs="仿宋"/>
          <w:color w:val="auto"/>
          <w:sz w:val="24"/>
          <w:szCs w:val="24"/>
          <w:highlight w:val="none"/>
          <w:lang w:val="en-US" w:eastAsia="zh-CN"/>
        </w:rPr>
        <w:t>五、验收</w:t>
      </w:r>
      <w:bookmarkEnd w:id="76"/>
      <w:bookmarkEnd w:id="77"/>
      <w:bookmarkEnd w:id="78"/>
      <w:bookmarkEnd w:id="79"/>
    </w:p>
    <w:p w14:paraId="66931B72">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1.验收主体：杭州市钱塘区人民政府白杨街道办事处。</w:t>
      </w:r>
    </w:p>
    <w:p w14:paraId="01BCE789">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2.采购人在中标人提供服务的过程中，有权不定期对服务内容和质量进行检查考核。中标人应当配合进行。</w:t>
      </w:r>
    </w:p>
    <w:p w14:paraId="555E55CF">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3.最终验收时间：服务内容执行完毕、服务期截止后。</w:t>
      </w:r>
    </w:p>
    <w:p w14:paraId="547DE950">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4.验收程序：中标人向采购人提出申请验收，采购人按验收方案组织履约验收。中标人应将项目执行过程及时记录、收集、整理，向采购人递交验收申请资料。</w:t>
      </w:r>
    </w:p>
    <w:p w14:paraId="3CBE4532">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5.验收内容：中标人实际完成的情况是否符合采购文件要求和中标人在投标响应文件中的商务、技术承诺。</w:t>
      </w:r>
    </w:p>
    <w:p w14:paraId="07763C37">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6.验收标准：中标人已经按采购文件要求和中标人在投标响应文件中的商务、技术承诺完成项目执行。</w:t>
      </w:r>
    </w:p>
    <w:p w14:paraId="345FEDE8">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7.验收时中标人应在现场，验收完毕后作出验收结果报告；验收产生的费用，由采购人承担。</w:t>
      </w:r>
    </w:p>
    <w:p w14:paraId="11051E17">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4DF1AE9B">
      <w:pPr>
        <w:pStyle w:val="5"/>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六、商务要求</w:t>
      </w:r>
      <w:bookmarkEnd w:id="71"/>
      <w:bookmarkEnd w:id="72"/>
      <w:bookmarkEnd w:id="73"/>
      <w:bookmarkEnd w:id="74"/>
      <w:bookmarkEnd w:id="75"/>
    </w:p>
    <w:p w14:paraId="7841469F">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（一）投标报价</w:t>
      </w:r>
    </w:p>
    <w:p w14:paraId="6E07810C">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1、本项目采用总价包干方式。</w:t>
      </w:r>
    </w:p>
    <w:p w14:paraId="1CCEC50D">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投标人应考虑企业自身实力、经验及项目实施过程中的各种因素，根据采购要求，详细说明所能提供的各项具体服务内容，自主确定报价，并按服务的内容分别独立报价并提供报价组成与成本分析</w:t>
      </w:r>
      <w:r>
        <w:rPr>
          <w:rFonts w:hint="eastAsia" w:ascii="仿宋" w:hAnsi="仿宋" w:eastAsia="仿宋" w:cs="仿宋"/>
          <w:color w:val="auto"/>
          <w:sz w:val="24"/>
          <w:highlight w:val="none"/>
          <w:lang w:val="en-US" w:eastAsia="zh-CN"/>
        </w:rPr>
        <w:t>。</w:t>
      </w:r>
    </w:p>
    <w:p w14:paraId="1129939A">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2、投标人填报的价格应综合考虑完成本项目各项服务可能发生的全部费用及投标人的利润和应交纳的税金等（包括人员工资、《劳动合同法》规定的各种社会保险费、人员工作服（特殊防护服除外）、装备、人员食宿与交通、工具、办公费、车辆使用费用等。投标人对合同内容的费用、质量、安全、文明服务等实行全面承包。</w:t>
      </w:r>
    </w:p>
    <w:p w14:paraId="0A99F4A2">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完成本项目服务所涉及的一切费用由供应商承担。费用清单需详细列明，不详细的部分采购人有权按最好效果、最高标准执行。</w:t>
      </w:r>
    </w:p>
    <w:p w14:paraId="6B990CCD">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3、中标单位服务人员</w:t>
      </w:r>
      <w:r>
        <w:rPr>
          <w:rFonts w:hint="eastAsia" w:ascii="仿宋" w:hAnsi="仿宋" w:eastAsia="仿宋" w:cs="仿宋"/>
          <w:color w:val="auto"/>
          <w:sz w:val="24"/>
          <w:highlight w:val="none"/>
          <w:lang w:val="en-US" w:eastAsia="zh-CN"/>
        </w:rPr>
        <w:t>的报酬必须满足劳动法、地方劳动部门的相关规定。</w:t>
      </w:r>
    </w:p>
    <w:p w14:paraId="53A4F04E">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4、设施设备费用、用车费用、办公费用、其他管理费用、利润、税金等均应包含在总价中。</w:t>
      </w:r>
    </w:p>
    <w:p w14:paraId="3FEE4A13">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5、报价格式如下：</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6"/>
        <w:gridCol w:w="2372"/>
        <w:gridCol w:w="2027"/>
        <w:gridCol w:w="1"/>
        <w:gridCol w:w="3497"/>
      </w:tblGrid>
      <w:tr w14:paraId="4662C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D1102C7">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049704C1">
            <w:pPr>
              <w:jc w:val="center"/>
              <w:rPr>
                <w:rFonts w:hint="eastAsia" w:ascii="仿宋" w:hAnsi="仿宋" w:eastAsia="仿宋" w:cs="仿宋"/>
                <w:b/>
                <w:color w:val="auto"/>
                <w:highlight w:val="none"/>
              </w:rPr>
            </w:pPr>
            <w:r>
              <w:rPr>
                <w:rFonts w:hint="eastAsia" w:ascii="仿宋" w:hAnsi="仿宋" w:eastAsia="仿宋" w:cs="仿宋"/>
                <w:b/>
                <w:color w:val="auto"/>
                <w:highlight w:val="none"/>
              </w:rPr>
              <w:t>科  目</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4903D63E">
            <w:pPr>
              <w:jc w:val="center"/>
              <w:rPr>
                <w:rFonts w:hint="eastAsia" w:ascii="仿宋" w:hAnsi="仿宋" w:eastAsia="仿宋" w:cs="仿宋"/>
                <w:b/>
                <w:color w:val="auto"/>
                <w:highlight w:val="none"/>
              </w:rPr>
            </w:pPr>
            <w:r>
              <w:rPr>
                <w:rFonts w:hint="eastAsia" w:ascii="仿宋" w:hAnsi="仿宋" w:eastAsia="仿宋" w:cs="仿宋"/>
                <w:b/>
                <w:color w:val="auto"/>
                <w:highlight w:val="none"/>
              </w:rPr>
              <w:t>（元）</w:t>
            </w:r>
          </w:p>
        </w:tc>
        <w:tc>
          <w:tcPr>
            <w:tcW w:w="3497" w:type="dxa"/>
            <w:tcBorders>
              <w:top w:val="single" w:color="auto" w:sz="4" w:space="0"/>
              <w:left w:val="single" w:color="auto" w:sz="4" w:space="0"/>
              <w:bottom w:val="single" w:color="auto" w:sz="4" w:space="0"/>
              <w:right w:val="single" w:color="auto" w:sz="4" w:space="0"/>
            </w:tcBorders>
            <w:noWrap w:val="0"/>
            <w:vAlign w:val="center"/>
          </w:tcPr>
          <w:p w14:paraId="3B30508D">
            <w:pPr>
              <w:jc w:val="center"/>
              <w:rPr>
                <w:rFonts w:hint="eastAsia" w:ascii="仿宋" w:hAnsi="仿宋" w:eastAsia="仿宋" w:cs="仿宋"/>
                <w:b/>
                <w:color w:val="auto"/>
                <w:highlight w:val="none"/>
              </w:rPr>
            </w:pPr>
            <w:r>
              <w:rPr>
                <w:rFonts w:hint="eastAsia" w:ascii="仿宋" w:hAnsi="仿宋" w:eastAsia="仿宋" w:cs="仿宋"/>
                <w:b/>
                <w:color w:val="auto"/>
                <w:highlight w:val="none"/>
              </w:rPr>
              <w:t>说  明</w:t>
            </w:r>
          </w:p>
        </w:tc>
      </w:tr>
      <w:tr w14:paraId="28FF5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45D7DCB6">
            <w:pP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管理费用</w:t>
            </w:r>
          </w:p>
        </w:tc>
      </w:tr>
      <w:tr w14:paraId="2ED83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B6317B4">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635D303">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14BC9A69">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7771659D">
            <w:pPr>
              <w:pStyle w:val="225"/>
              <w:jc w:val="center"/>
              <w:rPr>
                <w:rFonts w:hint="eastAsia" w:ascii="仿宋" w:hAnsi="仿宋" w:eastAsia="仿宋" w:cs="仿宋"/>
                <w:color w:val="auto"/>
                <w:sz w:val="24"/>
                <w:szCs w:val="24"/>
                <w:highlight w:val="none"/>
              </w:rPr>
            </w:pPr>
          </w:p>
        </w:tc>
      </w:tr>
      <w:tr w14:paraId="42FC9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0A734905">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6363B76">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58C8B8D9">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13CAC46">
            <w:pPr>
              <w:jc w:val="center"/>
              <w:rPr>
                <w:rFonts w:hint="eastAsia" w:ascii="仿宋" w:hAnsi="仿宋" w:eastAsia="仿宋" w:cs="仿宋"/>
                <w:color w:val="auto"/>
                <w:highlight w:val="none"/>
              </w:rPr>
            </w:pPr>
          </w:p>
        </w:tc>
      </w:tr>
      <w:tr w14:paraId="68F2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90DEAAC">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1.3</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A59D879">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908AFEA">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6ED2AD45">
            <w:pPr>
              <w:jc w:val="center"/>
              <w:rPr>
                <w:rFonts w:hint="eastAsia" w:ascii="仿宋" w:hAnsi="仿宋" w:eastAsia="仿宋" w:cs="仿宋"/>
                <w:color w:val="auto"/>
                <w:highlight w:val="none"/>
              </w:rPr>
            </w:pPr>
          </w:p>
        </w:tc>
      </w:tr>
      <w:tr w14:paraId="50C19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D975071">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72451CC">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8A19823">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59573F57">
            <w:pPr>
              <w:jc w:val="center"/>
              <w:rPr>
                <w:rFonts w:hint="eastAsia" w:ascii="仿宋" w:hAnsi="仿宋" w:eastAsia="仿宋" w:cs="仿宋"/>
                <w:color w:val="auto"/>
                <w:highlight w:val="none"/>
              </w:rPr>
            </w:pPr>
          </w:p>
        </w:tc>
      </w:tr>
      <w:tr w14:paraId="5CF66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1EB75FDF">
            <w:pPr>
              <w:jc w:val="both"/>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2、特保人员投入部分的服务费用</w:t>
            </w:r>
          </w:p>
        </w:tc>
      </w:tr>
      <w:tr w14:paraId="6E082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A98661F">
            <w:pPr>
              <w:jc w:val="center"/>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2.1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45C24CF">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AD58390">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6F119158">
            <w:pPr>
              <w:jc w:val="center"/>
              <w:rPr>
                <w:rFonts w:hint="eastAsia" w:ascii="仿宋" w:hAnsi="仿宋" w:eastAsia="仿宋" w:cs="仿宋"/>
                <w:color w:val="auto"/>
                <w:highlight w:val="none"/>
              </w:rPr>
            </w:pPr>
          </w:p>
        </w:tc>
      </w:tr>
      <w:tr w14:paraId="062E0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52A1BCC">
            <w:pPr>
              <w:jc w:val="center"/>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2.2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FBB23D7">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445B1CD3">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7FF6F3FC">
            <w:pPr>
              <w:jc w:val="center"/>
              <w:rPr>
                <w:rFonts w:hint="eastAsia" w:ascii="仿宋" w:hAnsi="仿宋" w:eastAsia="仿宋" w:cs="仿宋"/>
                <w:color w:val="auto"/>
                <w:highlight w:val="none"/>
              </w:rPr>
            </w:pPr>
          </w:p>
        </w:tc>
      </w:tr>
      <w:tr w14:paraId="39107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0D97D3FD">
            <w:pPr>
              <w:jc w:val="center"/>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2.3</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2DF0201">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4AD5463">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17C72DA">
            <w:pPr>
              <w:jc w:val="center"/>
              <w:rPr>
                <w:rFonts w:hint="eastAsia" w:ascii="仿宋" w:hAnsi="仿宋" w:eastAsia="仿宋" w:cs="仿宋"/>
                <w:color w:val="auto"/>
                <w:highlight w:val="none"/>
              </w:rPr>
            </w:pPr>
          </w:p>
        </w:tc>
      </w:tr>
      <w:tr w14:paraId="29A5E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000B91F">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85AF380">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768D900B">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3E1C2AD0">
            <w:pPr>
              <w:jc w:val="center"/>
              <w:rPr>
                <w:rFonts w:hint="eastAsia" w:ascii="仿宋" w:hAnsi="仿宋" w:eastAsia="仿宋" w:cs="仿宋"/>
                <w:color w:val="auto"/>
                <w:highlight w:val="none"/>
              </w:rPr>
            </w:pPr>
          </w:p>
        </w:tc>
      </w:tr>
      <w:tr w14:paraId="16688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57EAC51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车辆投入部分的服务费用</w:t>
            </w:r>
          </w:p>
        </w:tc>
      </w:tr>
      <w:tr w14:paraId="3B62B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2EF097F7">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D602904">
            <w:pPr>
              <w:jc w:val="center"/>
              <w:rPr>
                <w:rFonts w:hint="default"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6F8DA95">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2F23DEC8">
            <w:pPr>
              <w:jc w:val="center"/>
              <w:rPr>
                <w:rFonts w:hint="eastAsia" w:ascii="仿宋" w:hAnsi="仿宋" w:eastAsia="仿宋" w:cs="仿宋"/>
                <w:color w:val="auto"/>
                <w:highlight w:val="none"/>
              </w:rPr>
            </w:pPr>
          </w:p>
        </w:tc>
      </w:tr>
      <w:tr w14:paraId="45486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9F594A8">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04D56511">
            <w:pPr>
              <w:jc w:val="center"/>
              <w:rPr>
                <w:rFonts w:hint="eastAsia"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2B005AEF">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227C1806">
            <w:pPr>
              <w:jc w:val="center"/>
              <w:rPr>
                <w:rFonts w:hint="default" w:ascii="仿宋" w:hAnsi="仿宋" w:eastAsia="仿宋" w:cs="仿宋"/>
                <w:color w:val="auto"/>
                <w:highlight w:val="none"/>
                <w:lang w:val="en-US" w:eastAsia="zh-CN"/>
              </w:rPr>
            </w:pPr>
          </w:p>
        </w:tc>
      </w:tr>
      <w:tr w14:paraId="44C73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6BD53B3">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FA0EA37">
            <w:pPr>
              <w:jc w:val="center"/>
              <w:rPr>
                <w:rFonts w:hint="eastAsia"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769A1D62">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57F833E7">
            <w:pPr>
              <w:jc w:val="center"/>
              <w:rPr>
                <w:rFonts w:hint="eastAsia" w:ascii="仿宋" w:hAnsi="仿宋" w:eastAsia="仿宋" w:cs="仿宋"/>
                <w:color w:val="auto"/>
                <w:highlight w:val="none"/>
              </w:rPr>
            </w:pPr>
          </w:p>
        </w:tc>
      </w:tr>
      <w:tr w14:paraId="4421A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6C3EBD72">
            <w:pPr>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4、装备</w:t>
            </w:r>
            <w:r>
              <w:rPr>
                <w:rFonts w:hint="eastAsia" w:ascii="仿宋" w:hAnsi="仿宋" w:eastAsia="仿宋" w:cs="仿宋"/>
                <w:color w:val="auto"/>
                <w:highlight w:val="none"/>
              </w:rPr>
              <w:t>费用及其它</w:t>
            </w:r>
            <w:r>
              <w:rPr>
                <w:rFonts w:hint="eastAsia" w:ascii="仿宋" w:hAnsi="仿宋" w:eastAsia="仿宋" w:cs="仿宋"/>
                <w:color w:val="auto"/>
                <w:highlight w:val="none"/>
                <w:lang w:val="en-US" w:eastAsia="zh-CN"/>
              </w:rPr>
              <w:t>投入部分的服务费用</w:t>
            </w:r>
          </w:p>
        </w:tc>
      </w:tr>
      <w:tr w14:paraId="323D9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C9B2C3B">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4.1</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7B0F779A">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540265D8">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59ACB99E">
            <w:pPr>
              <w:jc w:val="both"/>
              <w:rPr>
                <w:rFonts w:hint="eastAsia" w:ascii="仿宋" w:hAnsi="仿宋" w:eastAsia="仿宋" w:cs="仿宋"/>
                <w:color w:val="auto"/>
                <w:highlight w:val="none"/>
                <w:lang w:val="en-US" w:eastAsia="zh-CN"/>
              </w:rPr>
            </w:pPr>
          </w:p>
        </w:tc>
      </w:tr>
      <w:tr w14:paraId="76A54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C7EA173">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4.2</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4AA3E0EE">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08253C65">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18921B3C">
            <w:pPr>
              <w:jc w:val="both"/>
              <w:rPr>
                <w:rFonts w:hint="eastAsia" w:ascii="仿宋" w:hAnsi="仿宋" w:eastAsia="仿宋" w:cs="仿宋"/>
                <w:color w:val="auto"/>
                <w:highlight w:val="none"/>
                <w:lang w:val="en-US" w:eastAsia="zh-CN"/>
              </w:rPr>
            </w:pPr>
          </w:p>
        </w:tc>
      </w:tr>
      <w:tr w14:paraId="2F11D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369E3EB">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65E24FC2">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09C81409">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55CF85BB">
            <w:pPr>
              <w:jc w:val="both"/>
              <w:rPr>
                <w:rFonts w:hint="eastAsia" w:ascii="仿宋" w:hAnsi="仿宋" w:eastAsia="仿宋" w:cs="仿宋"/>
                <w:color w:val="auto"/>
                <w:highlight w:val="none"/>
                <w:lang w:val="en-US" w:eastAsia="zh-CN"/>
              </w:rPr>
            </w:pPr>
          </w:p>
        </w:tc>
      </w:tr>
      <w:tr w14:paraId="73A6B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3"/>
            <w:tcBorders>
              <w:top w:val="single" w:color="auto" w:sz="4" w:space="0"/>
              <w:left w:val="single" w:color="auto" w:sz="4" w:space="0"/>
              <w:bottom w:val="single" w:color="auto" w:sz="4" w:space="0"/>
              <w:right w:val="single" w:color="auto" w:sz="4" w:space="0"/>
            </w:tcBorders>
            <w:noWrap w:val="0"/>
            <w:vAlign w:val="center"/>
          </w:tcPr>
          <w:p w14:paraId="3C6DF1C1">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5、项目其他费用</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0F0CE49">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8A819CD">
            <w:pPr>
              <w:jc w:val="center"/>
              <w:rPr>
                <w:rFonts w:hint="eastAsia" w:ascii="仿宋" w:hAnsi="仿宋" w:eastAsia="仿宋" w:cs="仿宋"/>
                <w:color w:val="auto"/>
                <w:highlight w:val="none"/>
              </w:rPr>
            </w:pPr>
          </w:p>
        </w:tc>
      </w:tr>
      <w:tr w14:paraId="1557D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2E55E6FF">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A67E8BD">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7C1897F6">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5C14C81F">
            <w:pPr>
              <w:jc w:val="center"/>
              <w:rPr>
                <w:rFonts w:hint="eastAsia" w:ascii="仿宋" w:hAnsi="仿宋" w:eastAsia="仿宋" w:cs="仿宋"/>
                <w:color w:val="auto"/>
                <w:highlight w:val="none"/>
              </w:rPr>
            </w:pPr>
          </w:p>
        </w:tc>
      </w:tr>
      <w:tr w14:paraId="19964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CD66C85">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876A35E">
            <w:pPr>
              <w:jc w:val="center"/>
              <w:rPr>
                <w:rFonts w:hint="eastAsia"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2378E946">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839B1C0">
            <w:pPr>
              <w:jc w:val="center"/>
              <w:rPr>
                <w:rFonts w:hint="eastAsia" w:ascii="仿宋" w:hAnsi="仿宋" w:eastAsia="仿宋" w:cs="仿宋"/>
                <w:color w:val="auto"/>
                <w:highlight w:val="none"/>
              </w:rPr>
            </w:pPr>
          </w:p>
        </w:tc>
      </w:tr>
      <w:tr w14:paraId="1F6AB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BC53851">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EDF8ECB">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05436054">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129F1AE">
            <w:pPr>
              <w:jc w:val="center"/>
              <w:rPr>
                <w:rFonts w:hint="eastAsia" w:ascii="仿宋" w:hAnsi="仿宋" w:eastAsia="仿宋" w:cs="仿宋"/>
                <w:color w:val="auto"/>
                <w:highlight w:val="none"/>
              </w:rPr>
            </w:pPr>
          </w:p>
        </w:tc>
      </w:tr>
      <w:tr w14:paraId="41BB9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259" w:type="dxa"/>
            <w:gridSpan w:val="3"/>
            <w:tcBorders>
              <w:top w:val="single" w:color="auto" w:sz="4" w:space="0"/>
              <w:left w:val="single" w:color="auto" w:sz="4" w:space="0"/>
              <w:bottom w:val="single" w:color="auto" w:sz="4" w:space="0"/>
              <w:right w:val="single" w:color="auto" w:sz="4" w:space="0"/>
            </w:tcBorders>
            <w:noWrap w:val="0"/>
            <w:vAlign w:val="center"/>
          </w:tcPr>
          <w:p w14:paraId="66BC0EEE">
            <w:pPr>
              <w:jc w:val="center"/>
              <w:rPr>
                <w:rFonts w:hint="eastAsia" w:ascii="仿宋" w:hAnsi="仿宋" w:eastAsia="仿宋" w:cs="仿宋"/>
                <w:b/>
                <w:color w:val="auto"/>
                <w:highlight w:val="none"/>
              </w:rPr>
            </w:pPr>
            <w:r>
              <w:rPr>
                <w:rFonts w:hint="eastAsia" w:ascii="仿宋" w:hAnsi="仿宋" w:eastAsia="仿宋" w:cs="仿宋"/>
                <w:b/>
                <w:color w:val="auto"/>
                <w:highlight w:val="none"/>
              </w:rPr>
              <w:t>合计：</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2BE70D09">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D6980C4">
            <w:pPr>
              <w:jc w:val="center"/>
              <w:rPr>
                <w:rFonts w:hint="eastAsia" w:ascii="仿宋" w:hAnsi="仿宋" w:eastAsia="仿宋" w:cs="仿宋"/>
                <w:color w:val="auto"/>
                <w:highlight w:val="none"/>
              </w:rPr>
            </w:pPr>
            <w:r>
              <w:rPr>
                <w:rFonts w:hint="eastAsia" w:ascii="仿宋" w:hAnsi="仿宋" w:eastAsia="仿宋" w:cs="仿宋"/>
                <w:color w:val="auto"/>
                <w:highlight w:val="none"/>
              </w:rPr>
              <w:t>以上所有子项的总和</w:t>
            </w:r>
          </w:p>
        </w:tc>
      </w:tr>
    </w:tbl>
    <w:p w14:paraId="0D6CC91E">
      <w:pPr>
        <w:pStyle w:val="3"/>
        <w:keepNext w:val="0"/>
        <w:keepLines w:val="0"/>
        <w:pageBreakBefore w:val="0"/>
        <w:widowControl w:val="0"/>
        <w:kinsoku/>
        <w:wordWrap/>
        <w:overflowPunct/>
        <w:topLinePunct w:val="0"/>
        <w:autoSpaceDE/>
        <w:autoSpaceDN/>
        <w:bidi w:val="0"/>
        <w:spacing w:line="36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说明：评审时，以总价为评审价格。</w:t>
      </w:r>
    </w:p>
    <w:p w14:paraId="01F690B8">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（二）履约保证金</w:t>
      </w:r>
    </w:p>
    <w:p w14:paraId="0B37D605">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无。如有违约，从应付合同款中扣除。</w:t>
      </w:r>
    </w:p>
    <w:p w14:paraId="0B3A2215">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（三）付款方式</w:t>
      </w:r>
    </w:p>
    <w:p w14:paraId="457F7D6B">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bookmarkStart w:id="80" w:name="_Toc132888838"/>
      <w:bookmarkStart w:id="81" w:name="_Toc19932"/>
      <w:bookmarkStart w:id="82" w:name="_Toc223249716"/>
      <w:bookmarkStart w:id="83" w:name="_Toc16131"/>
      <w:bookmarkStart w:id="84" w:name="_Toc418865233"/>
      <w:r>
        <w:rPr>
          <w:rFonts w:hint="eastAsia" w:ascii="仿宋" w:hAnsi="仿宋" w:eastAsia="仿宋" w:cs="仿宋"/>
          <w:color w:val="auto"/>
          <w:sz w:val="24"/>
          <w:highlight w:val="none"/>
          <w:lang w:val="en-US" w:eastAsia="zh-CN"/>
        </w:rPr>
        <w:t>1、预付款</w:t>
      </w:r>
    </w:p>
    <w:p w14:paraId="35E02B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（1）合同生效后具备实施条件5个工作日内，采购人向中标人支付合同总价的40%作为预付款；（四舍五入进位到千元）</w:t>
      </w:r>
    </w:p>
    <w:p w14:paraId="0F2135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（2）支付了预付款的，采购人有权要求中标人提供预付款金额等额的且不可撤销的预付款保函。预付款金额可抵扣合同款；</w:t>
      </w:r>
    </w:p>
    <w:p w14:paraId="50D9B0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（3）在签订合同时，中标人明确表示无需预付款或者主动要求降低预付款比例的，可不适用预付款相关规定。</w:t>
      </w:r>
    </w:p>
    <w:p w14:paraId="1D26566A">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2、合同款支付方式</w:t>
      </w:r>
    </w:p>
    <w:p w14:paraId="6CBB7D87">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（1）支付时间：按月支付</w:t>
      </w:r>
      <w:r>
        <w:rPr>
          <w:rFonts w:hint="eastAsia" w:ascii="仿宋" w:hAnsi="仿宋" w:eastAsia="仿宋" w:cs="仿宋"/>
          <w:color w:val="auto"/>
          <w:sz w:val="24"/>
          <w:highlight w:val="none"/>
          <w:lang w:eastAsia="zh-CN"/>
        </w:rPr>
        <w:t>。</w:t>
      </w:r>
    </w:p>
    <w:p w14:paraId="3A0B5103">
      <w:pPr>
        <w:adjustRightInd w:val="0"/>
        <w:snapToGrid w:val="0"/>
        <w:spacing w:line="360" w:lineRule="auto"/>
        <w:ind w:firstLine="480" w:firstLineChars="200"/>
        <w:rPr>
          <w:rFonts w:hint="eastAsia"/>
          <w:color w:val="auto"/>
          <w:highlight w:val="none"/>
          <w:lang w:val="en-US" w:eastAsia="zh-CN"/>
        </w:rPr>
      </w:pPr>
      <w:r>
        <w:rPr>
          <w:rFonts w:hint="eastAsia" w:ascii="仿宋" w:hAnsi="仿宋" w:eastAsia="仿宋" w:cs="仿宋"/>
          <w:color w:val="auto"/>
          <w:sz w:val="24"/>
          <w:highlight w:val="none"/>
          <w:lang w:val="en-US" w:eastAsia="zh-CN"/>
        </w:rPr>
        <w:t>（2）支付方式：项目过程中，</w:t>
      </w:r>
      <w:r>
        <w:rPr>
          <w:rFonts w:hint="eastAsia" w:ascii="仿宋" w:hAnsi="仿宋" w:eastAsia="仿宋" w:cs="仿宋"/>
          <w:color w:val="auto"/>
          <w:sz w:val="24"/>
          <w:highlight w:val="none"/>
        </w:rPr>
        <w:t>采购人每月20日前支付中标人前一个月</w:t>
      </w:r>
      <w:r>
        <w:rPr>
          <w:rFonts w:hint="eastAsia" w:ascii="仿宋" w:hAnsi="仿宋" w:eastAsia="仿宋" w:cs="仿宋"/>
          <w:color w:val="auto"/>
          <w:sz w:val="24"/>
          <w:highlight w:val="none"/>
          <w:lang w:val="en-US" w:eastAsia="zh-CN"/>
        </w:rPr>
        <w:t>特保服务</w:t>
      </w:r>
      <w:r>
        <w:rPr>
          <w:rFonts w:hint="eastAsia" w:ascii="仿宋" w:hAnsi="仿宋" w:eastAsia="仿宋" w:cs="仿宋"/>
          <w:color w:val="auto"/>
          <w:sz w:val="24"/>
          <w:highlight w:val="none"/>
        </w:rPr>
        <w:t>费用，中标人须于每月10日前给采购人正规、等额、合法、有效的发票和需求单位明确过的</w:t>
      </w:r>
      <w:r>
        <w:rPr>
          <w:rFonts w:hint="eastAsia" w:ascii="仿宋" w:hAnsi="仿宋" w:eastAsia="仿宋" w:cs="仿宋"/>
          <w:color w:val="auto"/>
          <w:sz w:val="24"/>
          <w:highlight w:val="none"/>
          <w:lang w:val="en-US" w:eastAsia="zh-CN"/>
        </w:rPr>
        <w:t>履约台账</w:t>
      </w:r>
      <w:r>
        <w:rPr>
          <w:rFonts w:hint="eastAsia" w:ascii="仿宋" w:hAnsi="仿宋" w:eastAsia="仿宋" w:cs="仿宋"/>
          <w:color w:val="auto"/>
          <w:sz w:val="24"/>
          <w:highlight w:val="none"/>
        </w:rPr>
        <w:t>。</w:t>
      </w:r>
    </w:p>
    <w:bookmarkEnd w:id="80"/>
    <w:bookmarkEnd w:id="81"/>
    <w:bookmarkEnd w:id="82"/>
    <w:bookmarkEnd w:id="83"/>
    <w:bookmarkEnd w:id="84"/>
    <w:p w14:paraId="6A2F3E53">
      <w:pPr>
        <w:pStyle w:val="5"/>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val="en-US" w:eastAsia="zh-CN"/>
        </w:rPr>
      </w:pPr>
      <w:bookmarkStart w:id="85" w:name="_Toc4243"/>
      <w:bookmarkStart w:id="86" w:name="_Toc446"/>
      <w:bookmarkStart w:id="87" w:name="_Toc11571"/>
      <w:bookmarkStart w:id="88" w:name="_Toc26835"/>
      <w:bookmarkStart w:id="89" w:name="_Toc31606"/>
      <w:r>
        <w:rPr>
          <w:rFonts w:hint="eastAsia" w:ascii="仿宋" w:hAnsi="仿宋" w:eastAsia="仿宋" w:cs="仿宋"/>
          <w:color w:val="auto"/>
          <w:sz w:val="24"/>
          <w:szCs w:val="24"/>
          <w:highlight w:val="none"/>
          <w:lang w:val="en-US" w:eastAsia="zh-CN"/>
        </w:rPr>
        <w:t>七、其他投标要求</w:t>
      </w:r>
      <w:bookmarkEnd w:id="85"/>
      <w:bookmarkEnd w:id="86"/>
      <w:bookmarkEnd w:id="87"/>
      <w:bookmarkEnd w:id="88"/>
      <w:bookmarkEnd w:id="89"/>
    </w:p>
    <w:p w14:paraId="02613DE8">
      <w:pPr>
        <w:pStyle w:val="2"/>
        <w:adjustRightInd w:val="0"/>
        <w:snapToGrid w:val="0"/>
        <w:spacing w:after="0" w:line="360" w:lineRule="auto"/>
        <w:ind w:firstLine="482" w:firstLineChars="200"/>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（一）投标人要求</w:t>
      </w:r>
    </w:p>
    <w:p w14:paraId="651E2AC3">
      <w:pPr>
        <w:pStyle w:val="2"/>
        <w:adjustRightInd w:val="0"/>
        <w:snapToGrid w:val="0"/>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1、为确保项目的顺利实施，投标人应有类似项目业绩经验。</w:t>
      </w:r>
      <w:r>
        <w:rPr>
          <w:rFonts w:hint="eastAsia" w:ascii="仿宋" w:hAnsi="仿宋" w:eastAsia="仿宋" w:cs="仿宋"/>
          <w:bCs/>
          <w:color w:val="auto"/>
          <w:sz w:val="24"/>
          <w:highlight w:val="none"/>
          <w:lang w:val="en-US" w:eastAsia="zh-CN"/>
        </w:rPr>
        <w:t>本项目中，类似项目系指临保服务、或者特保服务、或者</w:t>
      </w:r>
      <w:r>
        <w:rPr>
          <w:rFonts w:hint="eastAsia" w:ascii="仿宋" w:hAnsi="仿宋" w:eastAsia="仿宋" w:cs="仿宋"/>
          <w:color w:val="auto"/>
          <w:sz w:val="24"/>
          <w:szCs w:val="24"/>
          <w:highlight w:val="none"/>
          <w:lang w:val="en-US" w:eastAsia="zh-CN"/>
        </w:rPr>
        <w:t>序化</w:t>
      </w:r>
      <w:r>
        <w:rPr>
          <w:rFonts w:hint="eastAsia" w:ascii="仿宋" w:hAnsi="仿宋" w:eastAsia="仿宋" w:cs="仿宋"/>
          <w:color w:val="auto"/>
          <w:sz w:val="24"/>
          <w:szCs w:val="24"/>
          <w:highlight w:val="none"/>
        </w:rPr>
        <w:t>服务或</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服务</w:t>
      </w:r>
      <w:r>
        <w:rPr>
          <w:rFonts w:hint="eastAsia" w:ascii="仿宋" w:hAnsi="仿宋" w:eastAsia="仿宋" w:cs="仿宋"/>
          <w:bCs/>
          <w:color w:val="auto"/>
          <w:sz w:val="24"/>
          <w:highlight w:val="none"/>
          <w:lang w:val="en-US" w:eastAsia="zh-CN"/>
        </w:rPr>
        <w:t>业绩，</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物业管理</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保安项目</w:t>
      </w:r>
      <w:r>
        <w:rPr>
          <w:rFonts w:hint="eastAsia" w:ascii="仿宋" w:hAnsi="仿宋" w:eastAsia="仿宋" w:cs="仿宋"/>
          <w:color w:val="auto"/>
          <w:sz w:val="24"/>
          <w:highlight w:val="none"/>
          <w:lang w:eastAsia="zh-CN"/>
        </w:rPr>
        <w:t>。</w:t>
      </w:r>
    </w:p>
    <w:p w14:paraId="6FDA84FE">
      <w:pPr>
        <w:pStyle w:val="2"/>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2、投标人应能提供快速的服务响应，具有较强的项目管理、技术服务和组织实施能力。</w:t>
      </w:r>
    </w:p>
    <w:p w14:paraId="43423A2D">
      <w:pPr>
        <w:pStyle w:val="2"/>
        <w:adjustRightInd w:val="0"/>
        <w:snapToGrid w:val="0"/>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3、具备有效的</w:t>
      </w:r>
      <w:r>
        <w:rPr>
          <w:rFonts w:hint="eastAsia" w:ascii="仿宋" w:hAnsi="仿宋" w:eastAsia="仿宋" w:cs="仿宋"/>
          <w:bCs/>
          <w:color w:val="auto"/>
          <w:sz w:val="24"/>
          <w:highlight w:val="none"/>
        </w:rPr>
        <w:t>质量管理认证体系</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环境管理认证体系</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职业健康资格认证体系</w:t>
      </w:r>
      <w:r>
        <w:rPr>
          <w:rFonts w:hint="eastAsia" w:ascii="仿宋" w:hAnsi="仿宋" w:eastAsia="仿宋" w:cs="仿宋"/>
          <w:bCs/>
          <w:color w:val="auto"/>
          <w:sz w:val="24"/>
          <w:highlight w:val="none"/>
          <w:lang w:val="en-US" w:eastAsia="zh-CN"/>
        </w:rPr>
        <w:t>证书，证书可在全国认证认可信息公共服务平台查询。</w:t>
      </w:r>
    </w:p>
    <w:p w14:paraId="04ECC077">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）投标时对方案的要求</w:t>
      </w:r>
    </w:p>
    <w:p w14:paraId="5197EAE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Cs/>
          <w:color w:val="auto"/>
          <w:sz w:val="24"/>
          <w:highlight w:val="none"/>
          <w:lang w:val="en-US" w:eastAsia="zh-CN"/>
        </w:rPr>
        <w:t>投标人可通过</w:t>
      </w:r>
      <w:r>
        <w:rPr>
          <w:rFonts w:hint="eastAsia" w:ascii="仿宋" w:hAnsi="仿宋" w:eastAsia="仿宋" w:cs="仿宋"/>
          <w:color w:val="auto"/>
          <w:kern w:val="0"/>
          <w:sz w:val="24"/>
          <w:highlight w:val="none"/>
          <w:lang w:val="en-US" w:eastAsia="zh-CN"/>
        </w:rPr>
        <w:t>自行现场踏勘、资料搜集等各种手段，对服务区域的现状进行了解分析，掌握基本情况，确保方案的针对性、合理性、科学性。同时结合自身经验，对项目开展进行</w:t>
      </w:r>
      <w:r>
        <w:rPr>
          <w:rFonts w:hint="eastAsia" w:ascii="仿宋" w:hAnsi="仿宋" w:eastAsia="仿宋" w:cs="仿宋"/>
          <w:color w:val="auto"/>
          <w:kern w:val="0"/>
          <w:sz w:val="24"/>
          <w:highlight w:val="none"/>
        </w:rPr>
        <w:t>重难点分析</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为采购人提供参考。</w:t>
      </w:r>
    </w:p>
    <w:p w14:paraId="7E1156C8">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val="en-US" w:eastAsia="zh-CN"/>
        </w:rPr>
        <w:t>2、投标文件内容在涵盖对本项目招标内容及需求中列明全部内容的响应之外，还应</w:t>
      </w:r>
      <w:r>
        <w:rPr>
          <w:rFonts w:hint="eastAsia" w:ascii="仿宋" w:hAnsi="仿宋" w:eastAsia="仿宋" w:cs="仿宋"/>
          <w:color w:val="auto"/>
          <w:sz w:val="24"/>
          <w:highlight w:val="none"/>
          <w:lang w:val="en-US" w:eastAsia="zh-CN"/>
        </w:rPr>
        <w:t>包括但不限于以下内容：</w:t>
      </w:r>
    </w:p>
    <w:p w14:paraId="7565AB13">
      <w:pPr>
        <w:adjustRightInd w:val="0"/>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（1）提供人员投入方案；</w:t>
      </w:r>
    </w:p>
    <w:p w14:paraId="11547B7A">
      <w:pPr>
        <w:adjustRightInd w:val="0"/>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（2）提供车辆投入方案；</w:t>
      </w:r>
    </w:p>
    <w:p w14:paraId="2813EECE">
      <w:pPr>
        <w:adjustRightInd w:val="0"/>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（3）提供后勤保障；</w:t>
      </w:r>
    </w:p>
    <w:p w14:paraId="51E53134">
      <w:pPr>
        <w:adjustRightInd w:val="0"/>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（4）投标人需针对本项目的实际情况与需求，根据工作内容及其目标制定各项工作响应方案；</w:t>
      </w:r>
    </w:p>
    <w:p w14:paraId="09471290">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（5）针对本项目的实际情况与需求，投标人需制定完善的制度方案。包括</w:t>
      </w:r>
      <w:r>
        <w:rPr>
          <w:rFonts w:hint="eastAsia" w:ascii="仿宋" w:hAnsi="仿宋" w:eastAsia="仿宋" w:cs="仿宋"/>
          <w:bCs/>
          <w:color w:val="auto"/>
          <w:sz w:val="24"/>
          <w:szCs w:val="24"/>
          <w:highlight w:val="none"/>
          <w:lang w:val="en-US" w:eastAsia="zh-CN"/>
        </w:rPr>
        <w:t>①服务质量保障制度;②档案管理制度;③及时反馈与处理机制制度；④承诺管理指标达到管理标准</w:t>
      </w:r>
      <w:r>
        <w:rPr>
          <w:rFonts w:hint="eastAsia" w:ascii="仿宋" w:hAnsi="仿宋" w:eastAsia="仿宋" w:cs="仿宋"/>
          <w:color w:val="auto"/>
          <w:sz w:val="24"/>
          <w:highlight w:val="none"/>
          <w:lang w:val="en-US" w:eastAsia="zh-CN"/>
        </w:rPr>
        <w:t>。且相关制度需能体现标准化服务，并满足国家和行业相关标准要求。</w:t>
      </w:r>
    </w:p>
    <w:p w14:paraId="2D3EE601">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（6）根据采购人的要求，提供交接过渡方案、培训方案等。</w:t>
      </w:r>
    </w:p>
    <w:p w14:paraId="3D7A0D49">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（7）投标人应针对突发性事件、或者应急事件，有相应的预案，如自然灾害、事故灾难、公共卫生事件、社会安全事件、重大节日和活动的配合方案等，应急人员配备及应急响应时间等情况的应对方案。</w:t>
      </w:r>
    </w:p>
    <w:p w14:paraId="6294BA3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（8）投标人需结合对本项目采购需求的理解，针对本项目重点、难点进行分析并提出相应解决措施。</w:t>
      </w:r>
    </w:p>
    <w:p w14:paraId="6F927EC9">
      <w:pPr>
        <w:pStyle w:val="5"/>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val="en-US" w:eastAsia="zh-CN"/>
        </w:rPr>
      </w:pPr>
      <w:bookmarkStart w:id="90" w:name="_Toc5760"/>
      <w:bookmarkStart w:id="91" w:name="_Toc5721"/>
      <w:bookmarkStart w:id="92" w:name="_Toc19859"/>
      <w:r>
        <w:rPr>
          <w:rFonts w:hint="eastAsia" w:ascii="仿宋" w:hAnsi="仿宋" w:eastAsia="仿宋" w:cs="仿宋"/>
          <w:color w:val="auto"/>
          <w:sz w:val="24"/>
          <w:szCs w:val="24"/>
          <w:highlight w:val="none"/>
          <w:lang w:val="en-US" w:eastAsia="zh-CN"/>
        </w:rPr>
        <w:t>八、其他</w:t>
      </w:r>
      <w:bookmarkEnd w:id="90"/>
      <w:bookmarkEnd w:id="91"/>
      <w:bookmarkEnd w:id="92"/>
    </w:p>
    <w:p w14:paraId="280FAB7B">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14:paraId="0800D024">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（1）投标人不得将本合同范围的服务转包由其他单位承担；也不得未经采购人同意擅自部分内容分包给其他单位承担；如有违反以上情形，采购人有权解除合同，并追究中标人的违约责任。 </w:t>
      </w:r>
    </w:p>
    <w:p w14:paraId="087D8E61">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14:paraId="67D387AE">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14:paraId="4370ED5D">
      <w:pPr>
        <w:adjustRightInd w:val="0"/>
        <w:snapToGrid w:val="0"/>
        <w:spacing w:line="360" w:lineRule="auto"/>
        <w:ind w:firstLine="480" w:firstLineChars="200"/>
        <w:rPr>
          <w:rFonts w:ascii="仿宋" w:hAnsi="仿宋" w:eastAsia="仿宋" w:cs="仿宋"/>
          <w:bCs/>
          <w:color w:val="auto"/>
          <w:highlight w:val="none"/>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p>
    <w:p w14:paraId="69C73F5F">
      <w:pPr>
        <w:pStyle w:val="19"/>
        <w:rPr>
          <w:color w:val="auto"/>
          <w:highlight w:val="none"/>
        </w:rPr>
      </w:pPr>
    </w:p>
    <w:p w14:paraId="64224D4F">
      <w:pPr>
        <w:rPr>
          <w:color w:val="auto"/>
          <w:highlight w:val="none"/>
        </w:rPr>
      </w:pPr>
      <w:r>
        <w:rPr>
          <w:color w:val="auto"/>
          <w:highlight w:val="none"/>
        </w:rPr>
        <w:br w:type="page"/>
      </w:r>
    </w:p>
    <w:bookmarkEnd w:id="55"/>
    <w:bookmarkEnd w:id="56"/>
    <w:bookmarkEnd w:id="57"/>
    <w:bookmarkEnd w:id="58"/>
    <w:p w14:paraId="6BA7E0EE">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93" w:name="_Toc14349"/>
      <w:bookmarkStart w:id="94" w:name="_Toc25398"/>
      <w:r>
        <w:rPr>
          <w:rFonts w:hint="eastAsia" w:ascii="仿宋" w:hAnsi="仿宋" w:eastAsia="仿宋" w:cs="仿宋"/>
          <w:b/>
          <w:color w:val="auto"/>
          <w:sz w:val="30"/>
          <w:szCs w:val="30"/>
          <w:highlight w:val="none"/>
        </w:rPr>
        <w:t>第四部分  评标办法</w:t>
      </w:r>
      <w:bookmarkEnd w:id="93"/>
      <w:bookmarkEnd w:id="94"/>
    </w:p>
    <w:p w14:paraId="2A896092">
      <w:pPr>
        <w:pStyle w:val="5"/>
        <w:snapToGrid w:val="0"/>
        <w:spacing w:before="120" w:beforeLines="50" w:after="120" w:afterLines="50" w:line="360" w:lineRule="auto"/>
        <w:rPr>
          <w:rFonts w:hint="eastAsia" w:ascii="仿宋" w:hAnsi="仿宋" w:eastAsia="仿宋" w:cs="仿宋"/>
          <w:color w:val="auto"/>
          <w:sz w:val="24"/>
          <w:szCs w:val="24"/>
          <w:highlight w:val="none"/>
        </w:rPr>
      </w:pPr>
      <w:bookmarkStart w:id="95" w:name="_Toc16598"/>
      <w:bookmarkStart w:id="96" w:name="_Toc11969"/>
      <w:r>
        <w:rPr>
          <w:rFonts w:hint="eastAsia" w:ascii="仿宋" w:hAnsi="仿宋" w:eastAsia="仿宋" w:cs="仿宋"/>
          <w:color w:val="auto"/>
          <w:sz w:val="24"/>
          <w:szCs w:val="24"/>
          <w:highlight w:val="none"/>
        </w:rPr>
        <w:t>评标办法前附表</w:t>
      </w:r>
      <w:bookmarkEnd w:id="95"/>
      <w:bookmarkEnd w:id="96"/>
    </w:p>
    <w:p w14:paraId="231E5526">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p>
    <w:tbl>
      <w:tblPr>
        <w:tblStyle w:val="45"/>
        <w:tblpPr w:leftFromText="180" w:rightFromText="180" w:vertAnchor="text" w:horzAnchor="page" w:tblpX="1512" w:tblpY="46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974"/>
        <w:gridCol w:w="680"/>
        <w:gridCol w:w="878"/>
        <w:gridCol w:w="1295"/>
      </w:tblGrid>
      <w:tr w14:paraId="6573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noWrap w:val="0"/>
            <w:vAlign w:val="center"/>
          </w:tcPr>
          <w:p w14:paraId="71CDFA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74" w:type="dxa"/>
            <w:noWrap w:val="0"/>
            <w:vAlign w:val="center"/>
          </w:tcPr>
          <w:p w14:paraId="5D9727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680" w:type="dxa"/>
            <w:noWrap w:val="0"/>
            <w:vAlign w:val="center"/>
          </w:tcPr>
          <w:p w14:paraId="63EDF8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878" w:type="dxa"/>
            <w:noWrap w:val="0"/>
            <w:vAlign w:val="center"/>
          </w:tcPr>
          <w:p w14:paraId="00E742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_GB2312"/>
                <w:bCs/>
                <w:color w:val="auto"/>
                <w:sz w:val="24"/>
                <w:highlight w:val="none"/>
              </w:rPr>
              <w:t>主观分/客观分属性</w:t>
            </w:r>
          </w:p>
        </w:tc>
        <w:tc>
          <w:tcPr>
            <w:tcW w:w="1295" w:type="dxa"/>
            <w:noWrap w:val="0"/>
            <w:vAlign w:val="center"/>
          </w:tcPr>
          <w:p w14:paraId="6B64B6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w:t>
            </w:r>
          </w:p>
        </w:tc>
      </w:tr>
      <w:tr w14:paraId="2F23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noWrap w:val="0"/>
            <w:vAlign w:val="center"/>
          </w:tcPr>
          <w:p w14:paraId="466AF9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74" w:type="dxa"/>
            <w:noWrap w:val="0"/>
            <w:vAlign w:val="center"/>
          </w:tcPr>
          <w:p w14:paraId="01542D7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投标人资信响应情况</w:t>
            </w:r>
          </w:p>
        </w:tc>
        <w:tc>
          <w:tcPr>
            <w:tcW w:w="680" w:type="dxa"/>
            <w:noWrap w:val="0"/>
            <w:vAlign w:val="center"/>
          </w:tcPr>
          <w:p w14:paraId="158B42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2FB0DB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1AC2A3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rPr>
            </w:pPr>
          </w:p>
        </w:tc>
      </w:tr>
      <w:tr w14:paraId="6B09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noWrap w:val="0"/>
            <w:vAlign w:val="center"/>
          </w:tcPr>
          <w:p w14:paraId="76E096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974" w:type="dxa"/>
            <w:noWrap w:val="0"/>
            <w:vAlign w:val="center"/>
          </w:tcPr>
          <w:p w14:paraId="285DE8B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rPr>
              <w:t>质量管理认证体系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环境管理认证体系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职业健康资格认证体系</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，有一项得1分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分，没有则不得分。</w:t>
            </w:r>
          </w:p>
          <w:p w14:paraId="1DD904A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highlight w:val="none"/>
              </w:rPr>
              <w:t>①提供证书复印件或扫描件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证书认证范围与本项目相关（安全服务、或保安、或类似性质）</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lang w:val="en-US" w:eastAsia="zh-CN"/>
              </w:rPr>
              <w:t>证书有效性由评标委员会评审当天在国家认证认可信息公共服务平台可查询，状态为有效。</w:t>
            </w:r>
          </w:p>
        </w:tc>
        <w:tc>
          <w:tcPr>
            <w:tcW w:w="680" w:type="dxa"/>
            <w:noWrap w:val="0"/>
            <w:vAlign w:val="center"/>
          </w:tcPr>
          <w:p w14:paraId="7C1228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19D37A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75DFC4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rPr>
            </w:pPr>
          </w:p>
        </w:tc>
      </w:tr>
      <w:tr w14:paraId="00DC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6F8014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5974" w:type="dxa"/>
            <w:noWrap w:val="0"/>
            <w:vAlign w:val="center"/>
          </w:tcPr>
          <w:p w14:paraId="21B752DD">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月1日以来承接过的类似项目。每提供1个，得0.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分，最高得1分，未提供的不得分</w:t>
            </w:r>
            <w:r>
              <w:rPr>
                <w:rFonts w:hint="eastAsia" w:ascii="仿宋" w:hAnsi="仿宋" w:eastAsia="仿宋" w:cs="仿宋"/>
                <w:color w:val="auto"/>
                <w:sz w:val="24"/>
                <w:szCs w:val="24"/>
                <w:highlight w:val="none"/>
                <w:lang w:eastAsia="zh-CN"/>
              </w:rPr>
              <w:t>。</w:t>
            </w:r>
          </w:p>
          <w:p w14:paraId="29721CC7">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val="en-US" w:eastAsia="zh-CN"/>
              </w:rPr>
              <w:t>说明：</w:t>
            </w:r>
            <w:r>
              <w:rPr>
                <w:rFonts w:hint="eastAsia" w:ascii="宋体" w:hAnsi="宋体" w:eastAsia="宋体" w:cs="宋体"/>
                <w:color w:val="auto"/>
                <w:sz w:val="24"/>
                <w:szCs w:val="24"/>
                <w:highlight w:val="none"/>
                <w:lang w:val="en-US" w:eastAsia="zh-CN"/>
              </w:rPr>
              <w:t>①</w:t>
            </w:r>
            <w:r>
              <w:rPr>
                <w:rFonts w:hint="eastAsia" w:ascii="仿宋" w:hAnsi="仿宋" w:eastAsia="仿宋" w:cs="仿宋"/>
                <w:bCs/>
                <w:color w:val="auto"/>
                <w:sz w:val="24"/>
                <w:highlight w:val="none"/>
                <w:lang w:val="en-US" w:eastAsia="zh-CN"/>
              </w:rPr>
              <w:t>类似项目系指临保服务、或者特保服务、或者</w:t>
            </w:r>
            <w:r>
              <w:rPr>
                <w:rFonts w:hint="eastAsia" w:ascii="仿宋" w:hAnsi="仿宋" w:eastAsia="仿宋" w:cs="仿宋"/>
                <w:color w:val="auto"/>
                <w:sz w:val="24"/>
                <w:szCs w:val="24"/>
                <w:highlight w:val="none"/>
                <w:lang w:val="en-US" w:eastAsia="zh-CN"/>
              </w:rPr>
              <w:t>序化</w:t>
            </w:r>
            <w:r>
              <w:rPr>
                <w:rFonts w:hint="eastAsia" w:ascii="仿宋" w:hAnsi="仿宋" w:eastAsia="仿宋" w:cs="仿宋"/>
                <w:color w:val="auto"/>
                <w:sz w:val="24"/>
                <w:szCs w:val="24"/>
                <w:highlight w:val="none"/>
              </w:rPr>
              <w:t>服务或</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服务</w:t>
            </w:r>
            <w:r>
              <w:rPr>
                <w:rFonts w:hint="eastAsia" w:ascii="仿宋" w:hAnsi="仿宋" w:eastAsia="仿宋" w:cs="仿宋"/>
                <w:bCs/>
                <w:color w:val="auto"/>
                <w:sz w:val="24"/>
                <w:highlight w:val="none"/>
                <w:lang w:val="en-US" w:eastAsia="zh-CN"/>
              </w:rPr>
              <w:t>业绩，</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物业管理</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保安项目</w:t>
            </w:r>
            <w:r>
              <w:rPr>
                <w:rFonts w:hint="eastAsia" w:ascii="仿宋" w:hAnsi="仿宋" w:eastAsia="仿宋" w:cs="仿宋"/>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仿宋" w:hAnsi="仿宋" w:eastAsia="仿宋" w:cs="仿宋"/>
                <w:color w:val="auto"/>
                <w:sz w:val="24"/>
                <w:highlight w:val="none"/>
                <w:lang w:val="en-US" w:eastAsia="zh-CN"/>
              </w:rPr>
              <w:t>提供合同的复印件或扫描件，时间以合同签署时间为准。</w:t>
            </w:r>
          </w:p>
        </w:tc>
        <w:tc>
          <w:tcPr>
            <w:tcW w:w="680" w:type="dxa"/>
            <w:noWrap w:val="0"/>
            <w:vAlign w:val="center"/>
          </w:tcPr>
          <w:p w14:paraId="2E56EA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8" w:type="dxa"/>
            <w:noWrap w:val="0"/>
            <w:vAlign w:val="center"/>
          </w:tcPr>
          <w:p w14:paraId="402DA8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62FBA8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9A2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3C9B3F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5974" w:type="dxa"/>
            <w:noWrap w:val="0"/>
            <w:vAlign w:val="center"/>
          </w:tcPr>
          <w:p w14:paraId="45A87ACE">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针对项目基本内容及区域现状，提供整体分析</w:t>
            </w:r>
          </w:p>
        </w:tc>
        <w:tc>
          <w:tcPr>
            <w:tcW w:w="680" w:type="dxa"/>
            <w:noWrap w:val="0"/>
            <w:vAlign w:val="center"/>
          </w:tcPr>
          <w:p w14:paraId="6AD2DB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0C58DC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6BFC4F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582A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D2B0A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5974" w:type="dxa"/>
            <w:noWrap w:val="0"/>
            <w:vAlign w:val="center"/>
          </w:tcPr>
          <w:p w14:paraId="01FDA94D">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rPr>
              <w:t>评价</w:t>
            </w:r>
            <w:r>
              <w:rPr>
                <w:rFonts w:hint="eastAsia" w:ascii="仿宋" w:hAnsi="仿宋" w:eastAsia="仿宋" w:cs="仿宋"/>
                <w:color w:val="auto"/>
                <w:kern w:val="0"/>
                <w:sz w:val="24"/>
                <w:highlight w:val="none"/>
                <w:lang w:val="en-US" w:eastAsia="zh-CN"/>
              </w:rPr>
              <w:t>服务区域</w:t>
            </w:r>
            <w:r>
              <w:rPr>
                <w:rFonts w:hint="eastAsia" w:ascii="仿宋" w:hAnsi="仿宋" w:eastAsia="仿宋" w:cs="仿宋"/>
                <w:color w:val="auto"/>
                <w:sz w:val="24"/>
                <w:highlight w:val="none"/>
                <w:lang w:val="en-US" w:eastAsia="zh-CN"/>
              </w:rPr>
              <w:t>现状，特保服务</w:t>
            </w:r>
            <w:r>
              <w:rPr>
                <w:rFonts w:hint="eastAsia" w:ascii="仿宋" w:hAnsi="仿宋" w:eastAsia="仿宋" w:cs="仿宋"/>
                <w:color w:val="auto"/>
                <w:kern w:val="0"/>
                <w:sz w:val="24"/>
                <w:highlight w:val="none"/>
              </w:rPr>
              <w:t>重难点分析情况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分析合理，应对可行</w:t>
            </w:r>
            <w:r>
              <w:rPr>
                <w:rFonts w:hint="eastAsia" w:ascii="仿宋" w:hAnsi="仿宋" w:eastAsia="仿宋" w:cs="仿宋"/>
                <w:color w:val="auto"/>
                <w:kern w:val="0"/>
                <w:sz w:val="24"/>
                <w:highlight w:val="none"/>
                <w:lang w:eastAsia="zh-CN"/>
              </w:rPr>
              <w:t>且与项目匹配度好的得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分析较合理，应对较可行</w:t>
            </w:r>
            <w:r>
              <w:rPr>
                <w:rFonts w:hint="eastAsia" w:ascii="仿宋" w:hAnsi="仿宋" w:eastAsia="仿宋" w:cs="仿宋"/>
                <w:color w:val="auto"/>
                <w:kern w:val="0"/>
                <w:sz w:val="24"/>
                <w:highlight w:val="none"/>
                <w:lang w:eastAsia="zh-CN"/>
              </w:rPr>
              <w:t>与项目匹配度较好的得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分析合理性一般，应对可行性一般</w:t>
            </w:r>
            <w:r>
              <w:rPr>
                <w:rFonts w:hint="eastAsia" w:ascii="仿宋" w:hAnsi="仿宋" w:eastAsia="仿宋" w:cs="仿宋"/>
                <w:color w:val="auto"/>
                <w:kern w:val="0"/>
                <w:sz w:val="24"/>
                <w:highlight w:val="none"/>
                <w:lang w:eastAsia="zh-CN"/>
              </w:rPr>
              <w:t>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有方案但针对性不足得1.5分；有较大欠缺得1分；其余不得分。</w:t>
            </w:r>
          </w:p>
        </w:tc>
        <w:tc>
          <w:tcPr>
            <w:tcW w:w="680" w:type="dxa"/>
            <w:noWrap w:val="0"/>
            <w:vAlign w:val="center"/>
          </w:tcPr>
          <w:p w14:paraId="7CACF9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0A8D53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5631CF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1BF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398137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5974" w:type="dxa"/>
            <w:noWrap w:val="0"/>
            <w:vAlign w:val="center"/>
          </w:tcPr>
          <w:p w14:paraId="64076E18">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rPr>
              <w:t>针对现状</w:t>
            </w:r>
            <w:r>
              <w:rPr>
                <w:rFonts w:hint="eastAsia" w:ascii="仿宋" w:hAnsi="仿宋" w:eastAsia="仿宋" w:cs="仿宋"/>
                <w:color w:val="auto"/>
                <w:kern w:val="0"/>
                <w:sz w:val="24"/>
                <w:highlight w:val="none"/>
                <w:lang w:val="en-US" w:eastAsia="zh-CN"/>
              </w:rPr>
              <w:t>提出</w:t>
            </w:r>
            <w:r>
              <w:rPr>
                <w:rFonts w:hint="eastAsia" w:ascii="仿宋" w:hAnsi="仿宋" w:eastAsia="仿宋" w:cs="仿宋"/>
                <w:color w:val="auto"/>
                <w:sz w:val="24"/>
                <w:highlight w:val="none"/>
                <w:lang w:val="en-US" w:eastAsia="zh-CN"/>
              </w:rPr>
              <w:t>整治</w:t>
            </w:r>
            <w:r>
              <w:rPr>
                <w:rFonts w:hint="eastAsia" w:ascii="仿宋" w:hAnsi="仿宋" w:eastAsia="仿宋" w:cs="仿宋"/>
                <w:color w:val="auto"/>
                <w:kern w:val="0"/>
                <w:sz w:val="24"/>
                <w:highlight w:val="none"/>
              </w:rPr>
              <w:t>重难点，有相应措施及合理化建议</w:t>
            </w:r>
            <w:r>
              <w:rPr>
                <w:rFonts w:hint="eastAsia" w:ascii="仿宋" w:hAnsi="仿宋" w:eastAsia="仿宋" w:cs="仿宋"/>
                <w:color w:val="auto"/>
                <w:kern w:val="0"/>
                <w:sz w:val="24"/>
                <w:highlight w:val="none"/>
                <w:lang w:val="en-US" w:eastAsia="zh-CN"/>
              </w:rPr>
              <w:t>方案。</w:t>
            </w:r>
            <w:r>
              <w:rPr>
                <w:rFonts w:hint="eastAsia" w:ascii="仿宋" w:hAnsi="仿宋" w:eastAsia="仿宋" w:cs="仿宋"/>
                <w:color w:val="auto"/>
                <w:kern w:val="0"/>
                <w:sz w:val="24"/>
                <w:highlight w:val="none"/>
                <w:lang w:eastAsia="zh-CN"/>
              </w:rPr>
              <w:t>方案内容完整且与项目匹配度好的得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分；方案内容基本完整且与项目匹配度较好的得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lang w:eastAsia="zh-CN"/>
              </w:rPr>
              <w:t>分；方案内容存在欠缺或与项目匹配度一般的得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有方案但针对性不足得1.5分；有较大欠缺得1分；其余不得分</w:t>
            </w:r>
            <w:r>
              <w:rPr>
                <w:rFonts w:hint="eastAsia" w:ascii="仿宋" w:hAnsi="仿宋" w:eastAsia="仿宋" w:cs="仿宋"/>
                <w:color w:val="auto"/>
                <w:kern w:val="0"/>
                <w:sz w:val="24"/>
                <w:highlight w:val="none"/>
                <w:lang w:eastAsia="zh-CN"/>
              </w:rPr>
              <w:t>。</w:t>
            </w:r>
          </w:p>
        </w:tc>
        <w:tc>
          <w:tcPr>
            <w:tcW w:w="680" w:type="dxa"/>
            <w:noWrap w:val="0"/>
            <w:vAlign w:val="center"/>
          </w:tcPr>
          <w:p w14:paraId="0B5F8B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18D51D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3407FC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B0B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149EBA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5974" w:type="dxa"/>
            <w:noWrap w:val="0"/>
            <w:vAlign w:val="center"/>
          </w:tcPr>
          <w:p w14:paraId="40716CED">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项目管理团队响应情况（项目管理团队该部分人员应提供投标人为其缴纳的、距投标截止时间3个月任意时间的社保证明。否则人员不予认可）</w:t>
            </w:r>
          </w:p>
        </w:tc>
        <w:tc>
          <w:tcPr>
            <w:tcW w:w="680" w:type="dxa"/>
            <w:noWrap w:val="0"/>
            <w:vAlign w:val="center"/>
          </w:tcPr>
          <w:p w14:paraId="407115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7CBE31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102340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3054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6C1BF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w:t>
            </w:r>
          </w:p>
        </w:tc>
        <w:tc>
          <w:tcPr>
            <w:tcW w:w="5974" w:type="dxa"/>
            <w:noWrap w:val="0"/>
            <w:vAlign w:val="center"/>
          </w:tcPr>
          <w:p w14:paraId="730AAED3">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投标人拟派项目负责人：</w:t>
            </w:r>
          </w:p>
          <w:p w14:paraId="0F14567D">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szCs w:val="24"/>
                <w:highlight w:val="none"/>
              </w:rPr>
              <w:t>①</w:t>
            </w:r>
            <w:r>
              <w:rPr>
                <w:rFonts w:hint="eastAsia" w:ascii="仿宋" w:hAnsi="仿宋" w:eastAsia="仿宋" w:cs="仿宋"/>
                <w:color w:val="auto"/>
                <w:sz w:val="24"/>
                <w:szCs w:val="24"/>
                <w:highlight w:val="none"/>
              </w:rPr>
              <w:t>从事公安或安保行业</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年以上得1分</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lang w:eastAsia="zh-CN"/>
              </w:rPr>
              <w:t>②</w:t>
            </w:r>
            <w:r>
              <w:rPr>
                <w:rFonts w:hint="eastAsia" w:ascii="仿宋" w:hAnsi="仿宋" w:eastAsia="仿宋" w:cs="仿宋"/>
                <w:color w:val="auto"/>
                <w:sz w:val="24"/>
                <w:highlight w:val="none"/>
                <w:lang w:val="en-US" w:eastAsia="zh-CN"/>
              </w:rPr>
              <w:t>具有保安师证书（即二级或一级保安员）</w:t>
            </w:r>
            <w:r>
              <w:rPr>
                <w:rFonts w:hint="eastAsia" w:ascii="仿宋" w:hAnsi="仿宋" w:eastAsia="仿宋" w:cs="仿宋"/>
                <w:color w:val="auto"/>
                <w:sz w:val="24"/>
                <w:szCs w:val="24"/>
                <w:highlight w:val="none"/>
              </w:rPr>
              <w:t>证书的得1分</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lang w:eastAsia="zh-CN"/>
              </w:rPr>
              <w:t>③</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退伍军人得1分；</w:t>
            </w:r>
            <w:r>
              <w:rPr>
                <w:rFonts w:hint="eastAsia" w:ascii="宋体" w:hAnsi="宋体" w:eastAsia="宋体" w:cs="宋体"/>
                <w:color w:val="auto"/>
                <w:sz w:val="24"/>
                <w:szCs w:val="24"/>
                <w:highlight w:val="none"/>
              </w:rPr>
              <w:t>④</w:t>
            </w:r>
            <w:r>
              <w:rPr>
                <w:rFonts w:hint="eastAsia" w:ascii="仿宋" w:hAnsi="仿宋" w:eastAsia="仿宋" w:cs="仿宋"/>
                <w:color w:val="auto"/>
                <w:sz w:val="24"/>
                <w:szCs w:val="24"/>
                <w:highlight w:val="none"/>
              </w:rPr>
              <w:t>具有大专及以上文化水平</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1分</w:t>
            </w:r>
            <w:r>
              <w:rPr>
                <w:rFonts w:hint="eastAsia" w:ascii="仿宋" w:hAnsi="仿宋" w:eastAsia="仿宋" w:cs="仿宋"/>
                <w:color w:val="auto"/>
                <w:sz w:val="24"/>
                <w:szCs w:val="24"/>
                <w:highlight w:val="none"/>
                <w:lang w:eastAsia="zh-CN"/>
              </w:rPr>
              <w:t>。</w:t>
            </w:r>
          </w:p>
          <w:p w14:paraId="61903D9B">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r>
              <w:rPr>
                <w:rFonts w:hint="eastAsia" w:ascii="宋体" w:hAnsi="宋体" w:eastAsia="宋体" w:cs="宋体"/>
                <w:color w:val="auto"/>
                <w:sz w:val="24"/>
                <w:szCs w:val="24"/>
                <w:highlight w:val="none"/>
                <w:lang w:eastAsia="zh-CN"/>
              </w:rPr>
              <w:t>①</w:t>
            </w:r>
            <w:r>
              <w:rPr>
                <w:rFonts w:hint="eastAsia" w:ascii="仿宋" w:hAnsi="仿宋" w:eastAsia="仿宋" w:cs="仿宋"/>
                <w:color w:val="auto"/>
                <w:sz w:val="24"/>
                <w:szCs w:val="24"/>
                <w:highlight w:val="none"/>
                <w:lang w:val="en-US" w:eastAsia="zh-CN"/>
              </w:rPr>
              <w:t>提供简历或工作证明，需确保真实性</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lang w:eastAsia="zh-CN"/>
              </w:rPr>
              <w:t>②</w:t>
            </w:r>
            <w:r>
              <w:rPr>
                <w:rFonts w:hint="eastAsia" w:ascii="仿宋" w:hAnsi="仿宋" w:eastAsia="仿宋" w:cs="仿宋"/>
                <w:color w:val="auto"/>
                <w:sz w:val="24"/>
                <w:szCs w:val="24"/>
                <w:highlight w:val="none"/>
                <w:lang w:val="en-US" w:eastAsia="zh-CN"/>
              </w:rPr>
              <w:t>-</w:t>
            </w:r>
            <w:r>
              <w:rPr>
                <w:rFonts w:hint="eastAsia" w:ascii="宋体" w:hAnsi="宋体" w:eastAsia="宋体" w:cs="宋体"/>
                <w:color w:val="auto"/>
                <w:sz w:val="24"/>
                <w:szCs w:val="24"/>
                <w:highlight w:val="none"/>
              </w:rPr>
              <w:t>④</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证书或者证件的复印件或扫描件。</w:t>
            </w:r>
          </w:p>
        </w:tc>
        <w:tc>
          <w:tcPr>
            <w:tcW w:w="680" w:type="dxa"/>
            <w:noWrap w:val="0"/>
            <w:vAlign w:val="center"/>
          </w:tcPr>
          <w:p w14:paraId="1476C6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3F0D57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49559B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208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448BC9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w:t>
            </w:r>
          </w:p>
        </w:tc>
        <w:tc>
          <w:tcPr>
            <w:tcW w:w="5974" w:type="dxa"/>
            <w:noWrap w:val="0"/>
            <w:vAlign w:val="center"/>
          </w:tcPr>
          <w:p w14:paraId="7258DF25">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队长：</w:t>
            </w:r>
          </w:p>
          <w:p w14:paraId="75143775">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①为退伍军人得1分；</w:t>
            </w:r>
            <w:r>
              <w:rPr>
                <w:rFonts w:hint="eastAsia" w:ascii="宋体" w:hAnsi="宋体" w:eastAsia="宋体" w:cs="宋体"/>
                <w:color w:val="auto"/>
                <w:sz w:val="24"/>
                <w:szCs w:val="24"/>
                <w:highlight w:val="none"/>
              </w:rPr>
              <w:t>②</w:t>
            </w:r>
            <w:r>
              <w:rPr>
                <w:rFonts w:hint="eastAsia" w:ascii="仿宋" w:hAnsi="仿宋" w:eastAsia="仿宋" w:cs="仿宋"/>
                <w:color w:val="auto"/>
                <w:sz w:val="24"/>
                <w:szCs w:val="24"/>
                <w:highlight w:val="none"/>
              </w:rPr>
              <w:t>具有大专及以上文化水平的1分；</w:t>
            </w:r>
            <w:r>
              <w:rPr>
                <w:rFonts w:hint="eastAsia" w:ascii="宋体" w:hAnsi="宋体" w:eastAsia="宋体" w:cs="宋体"/>
                <w:color w:val="auto"/>
                <w:sz w:val="24"/>
                <w:szCs w:val="24"/>
                <w:highlight w:val="none"/>
              </w:rPr>
              <w:t>③</w:t>
            </w:r>
            <w:r>
              <w:rPr>
                <w:rFonts w:hint="eastAsia" w:ascii="仿宋" w:hAnsi="仿宋" w:eastAsia="仿宋" w:cs="仿宋"/>
                <w:color w:val="auto"/>
                <w:sz w:val="24"/>
                <w:highlight w:val="none"/>
                <w:lang w:val="en-US" w:eastAsia="zh-CN"/>
              </w:rPr>
              <w:t>具有保安师证书（即二级或一级保安员）</w:t>
            </w:r>
            <w:r>
              <w:rPr>
                <w:rFonts w:hint="eastAsia" w:ascii="仿宋" w:hAnsi="仿宋" w:eastAsia="仿宋" w:cs="仿宋"/>
                <w:color w:val="auto"/>
                <w:sz w:val="24"/>
                <w:szCs w:val="24"/>
                <w:highlight w:val="none"/>
              </w:rPr>
              <w:t>证书的得1分</w:t>
            </w:r>
            <w:r>
              <w:rPr>
                <w:rFonts w:hint="eastAsia" w:ascii="仿宋" w:hAnsi="仿宋" w:eastAsia="仿宋" w:cs="仿宋"/>
                <w:color w:val="auto"/>
                <w:sz w:val="24"/>
                <w:szCs w:val="24"/>
                <w:highlight w:val="none"/>
                <w:lang w:eastAsia="zh-CN"/>
              </w:rPr>
              <w:t>。</w:t>
            </w:r>
          </w:p>
          <w:p w14:paraId="55C4CC3B">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证书或者证件的复印件或扫描件。</w:t>
            </w:r>
          </w:p>
        </w:tc>
        <w:tc>
          <w:tcPr>
            <w:tcW w:w="680" w:type="dxa"/>
            <w:noWrap w:val="0"/>
            <w:vAlign w:val="center"/>
          </w:tcPr>
          <w:p w14:paraId="7FAF8A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6113DD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0A6083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585D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12666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3.3</w:t>
            </w:r>
          </w:p>
        </w:tc>
        <w:tc>
          <w:tcPr>
            <w:tcW w:w="5974" w:type="dxa"/>
            <w:noWrap w:val="0"/>
            <w:vAlign w:val="center"/>
          </w:tcPr>
          <w:p w14:paraId="571BF728">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项目管理团队中</w:t>
            </w:r>
            <w:r>
              <w:rPr>
                <w:rFonts w:hint="eastAsia"/>
                <w:color w:val="auto"/>
                <w:highlight w:val="none"/>
                <w:lang w:eastAsia="zh-CN"/>
              </w:rPr>
              <w:t>（</w:t>
            </w:r>
            <w:r>
              <w:rPr>
                <w:rFonts w:hint="eastAsia" w:ascii="仿宋" w:hAnsi="仿宋" w:eastAsia="仿宋" w:cs="仿宋"/>
                <w:color w:val="auto"/>
                <w:sz w:val="24"/>
                <w:highlight w:val="none"/>
                <w:lang w:val="en-US" w:eastAsia="zh-CN"/>
              </w:rPr>
              <w:t>项目负责人及项目队长除外；同一人具备多种证书的，满足条件即可）：</w:t>
            </w:r>
          </w:p>
          <w:p w14:paraId="4EA22531">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①其余管理团队成员至少有3人，且均为大专及以上学历，满足此要求的得1分，不满足不得分；</w:t>
            </w:r>
          </w:p>
          <w:p w14:paraId="3430DD54">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②其余管理团队成员中持有保安员或保安师证书的，1人得1分，最高3分；</w:t>
            </w:r>
          </w:p>
          <w:p w14:paraId="431275B1">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③其余管理团队成员中持有安全评价师职业资格证书（证书需为省市地区人社部门颁发）的得1分。</w:t>
            </w:r>
          </w:p>
          <w:p w14:paraId="46404831">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证书或者证件的复印件或扫描件。</w:t>
            </w:r>
          </w:p>
        </w:tc>
        <w:tc>
          <w:tcPr>
            <w:tcW w:w="680" w:type="dxa"/>
            <w:noWrap w:val="0"/>
            <w:vAlign w:val="center"/>
          </w:tcPr>
          <w:p w14:paraId="233716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14:paraId="7A0069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7221F2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0FE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6CE1E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5974" w:type="dxa"/>
            <w:noWrap w:val="0"/>
            <w:vAlign w:val="center"/>
          </w:tcPr>
          <w:p w14:paraId="12A5E8EF">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特保服务人员响应情况</w:t>
            </w:r>
          </w:p>
        </w:tc>
        <w:tc>
          <w:tcPr>
            <w:tcW w:w="680" w:type="dxa"/>
            <w:noWrap w:val="0"/>
            <w:vAlign w:val="center"/>
          </w:tcPr>
          <w:p w14:paraId="4ED5D6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6CB91A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4EE734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BB6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349FF0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w:t>
            </w:r>
          </w:p>
        </w:tc>
        <w:tc>
          <w:tcPr>
            <w:tcW w:w="5974" w:type="dxa"/>
            <w:noWrap w:val="0"/>
            <w:vAlign w:val="center"/>
          </w:tcPr>
          <w:p w14:paraId="5A6FD419">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特保服务人员投入方案。</w:t>
            </w:r>
            <w:r>
              <w:rPr>
                <w:rFonts w:hint="eastAsia" w:ascii="仿宋" w:hAnsi="仿宋" w:eastAsia="仿宋" w:cs="仿宋"/>
                <w:color w:val="auto"/>
                <w:sz w:val="24"/>
                <w:highlight w:val="none"/>
                <w:lang w:val="en-US" w:eastAsia="zh-CN"/>
              </w:rPr>
              <w:t>投标人根据自身经验、技术实力、对项目的理解等综合情况，为项目投入特保服务人员，完成招标人下达的工作任务、达成相应工作目标。方案完整性、可落实性、项目匹配性好得3分；完整性、可落实性、项目匹配性较好得2.5分；完整性、可落实性、项目匹配性一般得2分；有方案但针对性不佳得1.5分；有较大欠缺影响工作目标得1分；其余不得分。</w:t>
            </w:r>
          </w:p>
        </w:tc>
        <w:tc>
          <w:tcPr>
            <w:tcW w:w="680" w:type="dxa"/>
            <w:noWrap w:val="0"/>
            <w:vAlign w:val="center"/>
          </w:tcPr>
          <w:p w14:paraId="0FB2D8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38E8F9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0E639A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C54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3CE897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4.2</w:t>
            </w:r>
          </w:p>
        </w:tc>
        <w:tc>
          <w:tcPr>
            <w:tcW w:w="5974" w:type="dxa"/>
            <w:noWrap w:val="0"/>
            <w:vAlign w:val="center"/>
          </w:tcPr>
          <w:p w14:paraId="18143E1F">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投标人以承诺函形式，针对采购需求“特保服务人员”“</w:t>
            </w:r>
            <w:r>
              <w:rPr>
                <w:rFonts w:hint="eastAsia" w:ascii="仿宋" w:hAnsi="仿宋" w:eastAsia="仿宋" w:cs="仿宋"/>
                <w:snapToGrid w:val="0"/>
                <w:color w:val="auto"/>
                <w:kern w:val="0"/>
                <w:sz w:val="24"/>
                <w:szCs w:val="24"/>
                <w:highlight w:val="none"/>
                <w:lang w:val="en-US" w:eastAsia="zh-CN"/>
              </w:rPr>
              <w:t>3、人员基本</w:t>
            </w:r>
            <w:r>
              <w:rPr>
                <w:rFonts w:hint="eastAsia" w:ascii="仿宋" w:hAnsi="仿宋" w:eastAsia="仿宋" w:cs="仿宋"/>
                <w:snapToGrid w:val="0"/>
                <w:color w:val="auto"/>
                <w:kern w:val="0"/>
                <w:sz w:val="24"/>
                <w:szCs w:val="24"/>
                <w:highlight w:val="none"/>
                <w:lang w:eastAsia="zh-CN"/>
              </w:rPr>
              <w:t>要求</w:t>
            </w:r>
            <w:r>
              <w:rPr>
                <w:rFonts w:hint="eastAsia" w:ascii="仿宋" w:hAnsi="仿宋" w:eastAsia="仿宋" w:cs="仿宋"/>
                <w:color w:val="auto"/>
                <w:sz w:val="24"/>
                <w:szCs w:val="24"/>
                <w:highlight w:val="none"/>
                <w:lang w:val="en-US" w:eastAsia="zh-CN"/>
              </w:rPr>
              <w:t>”每项进行承诺。全部满足得5分，其余不得分。</w:t>
            </w:r>
          </w:p>
        </w:tc>
        <w:tc>
          <w:tcPr>
            <w:tcW w:w="680" w:type="dxa"/>
            <w:noWrap w:val="0"/>
            <w:vAlign w:val="center"/>
          </w:tcPr>
          <w:p w14:paraId="241980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14:paraId="498858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41E48F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EED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19DF08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4.3</w:t>
            </w:r>
          </w:p>
        </w:tc>
        <w:tc>
          <w:tcPr>
            <w:tcW w:w="5974" w:type="dxa"/>
            <w:noWrap w:val="0"/>
            <w:vAlign w:val="center"/>
          </w:tcPr>
          <w:p w14:paraId="5873384C">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由于具体工作根据实际情况可能调整，投标人在上述要求基础上投入特保服务人员，并可根据实际情况进行调整，但最终服务效果、质量等应确保达到采购人要求</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投标文件中提供该内容承诺函。有承诺得5分，其余不得分。</w:t>
            </w:r>
          </w:p>
        </w:tc>
        <w:tc>
          <w:tcPr>
            <w:tcW w:w="680" w:type="dxa"/>
            <w:noWrap w:val="0"/>
            <w:vAlign w:val="center"/>
          </w:tcPr>
          <w:p w14:paraId="1EC24C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14:paraId="3CD76F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2D71C1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4408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0A94B2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5974" w:type="dxa"/>
            <w:noWrap w:val="0"/>
            <w:vAlign w:val="center"/>
          </w:tcPr>
          <w:p w14:paraId="6A8BDEB1">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车辆响应情况</w:t>
            </w:r>
          </w:p>
        </w:tc>
        <w:tc>
          <w:tcPr>
            <w:tcW w:w="680" w:type="dxa"/>
            <w:noWrap w:val="0"/>
            <w:vAlign w:val="center"/>
          </w:tcPr>
          <w:p w14:paraId="72F669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2E31D2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357123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7E0D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79E97A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5.1</w:t>
            </w:r>
          </w:p>
        </w:tc>
        <w:tc>
          <w:tcPr>
            <w:tcW w:w="5974" w:type="dxa"/>
            <w:noWrap w:val="0"/>
            <w:vAlign w:val="center"/>
          </w:tcPr>
          <w:p w14:paraId="1A552F7C">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投标人根据自身经验、技术实力、对项目的理解等综合情况，为项目投入巡查车辆，完成招标人下达的工作任务、达成相应工作目标。方案完整性、可落实性、项目匹配性好得3分；完整性、可落实性、项目匹配性较好得2.5分；完整性、可落实性、项目匹配性一般得2分；有方案但针对性不佳得1.5分；有较大欠缺影响工作目标得1分；其余不得分。</w:t>
            </w:r>
          </w:p>
        </w:tc>
        <w:tc>
          <w:tcPr>
            <w:tcW w:w="680" w:type="dxa"/>
            <w:noWrap w:val="0"/>
            <w:vAlign w:val="center"/>
          </w:tcPr>
          <w:p w14:paraId="2A5BAA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1F3A54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30F3C2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593F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67E3BF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5.2</w:t>
            </w:r>
          </w:p>
        </w:tc>
        <w:tc>
          <w:tcPr>
            <w:tcW w:w="5974" w:type="dxa"/>
            <w:noWrap w:val="0"/>
            <w:vAlign w:val="center"/>
          </w:tcPr>
          <w:p w14:paraId="79EF4FA5">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由于具体工作根据实际情况可能调整，投标人在上述要求基础上投入巡查车辆，并可根据实际情况进行调整，但最终服务效果、质量等应确保达到采购人要求</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投标文件中提供该内容承诺函。有承诺得5分，其余不得分。</w:t>
            </w:r>
          </w:p>
        </w:tc>
        <w:tc>
          <w:tcPr>
            <w:tcW w:w="680" w:type="dxa"/>
            <w:noWrap w:val="0"/>
            <w:vAlign w:val="center"/>
          </w:tcPr>
          <w:p w14:paraId="3FEC87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14:paraId="5D1EDF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1B7D18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47D9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53" w:type="dxa"/>
            <w:noWrap w:val="0"/>
            <w:vAlign w:val="center"/>
          </w:tcPr>
          <w:p w14:paraId="4F8249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5974" w:type="dxa"/>
            <w:noWrap w:val="0"/>
            <w:vAlign w:val="center"/>
          </w:tcPr>
          <w:p w14:paraId="255DC65C">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后勤保障要求响应情况。根据采购需求“后勤保障要求”，</w:t>
            </w:r>
            <w:r>
              <w:rPr>
                <w:rFonts w:hint="eastAsia" w:ascii="仿宋" w:hAnsi="仿宋" w:eastAsia="仿宋" w:cs="仿宋"/>
                <w:snapToGrid w:val="0"/>
                <w:color w:val="auto"/>
                <w:kern w:val="0"/>
                <w:sz w:val="24"/>
                <w:szCs w:val="24"/>
                <w:highlight w:val="none"/>
                <w:lang w:val="en-US" w:eastAsia="zh-CN"/>
              </w:rPr>
              <w:t>投标文件中提供该内容承诺函。有承诺得3分，其余不得分。</w:t>
            </w:r>
          </w:p>
        </w:tc>
        <w:tc>
          <w:tcPr>
            <w:tcW w:w="680" w:type="dxa"/>
            <w:noWrap w:val="0"/>
            <w:vAlign w:val="center"/>
          </w:tcPr>
          <w:p w14:paraId="0FB85A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4C2565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00CA4F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6D8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68CBB8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5974" w:type="dxa"/>
            <w:noWrap w:val="0"/>
            <w:vAlign w:val="center"/>
          </w:tcPr>
          <w:p w14:paraId="2BDAE28E">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工作内容及目标响应情况</w:t>
            </w:r>
          </w:p>
        </w:tc>
        <w:tc>
          <w:tcPr>
            <w:tcW w:w="680" w:type="dxa"/>
            <w:noWrap w:val="0"/>
            <w:vAlign w:val="center"/>
          </w:tcPr>
          <w:p w14:paraId="11BC49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377CF3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066CC8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3CA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064386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7.1</w:t>
            </w:r>
          </w:p>
        </w:tc>
        <w:tc>
          <w:tcPr>
            <w:tcW w:w="5974" w:type="dxa"/>
            <w:noWrap w:val="0"/>
            <w:vAlign w:val="center"/>
          </w:tcPr>
          <w:p w14:paraId="743EBACA">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日常工作要求响应情况</w:t>
            </w:r>
          </w:p>
        </w:tc>
        <w:tc>
          <w:tcPr>
            <w:tcW w:w="680" w:type="dxa"/>
            <w:noWrap w:val="0"/>
            <w:vAlign w:val="center"/>
          </w:tcPr>
          <w:p w14:paraId="3A20BB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74AE81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2F84CE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3FFC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59EFE4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p>
        </w:tc>
        <w:tc>
          <w:tcPr>
            <w:tcW w:w="5974" w:type="dxa"/>
            <w:noWrap w:val="0"/>
            <w:vAlign w:val="center"/>
          </w:tcPr>
          <w:p w14:paraId="12365DD9">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（1）针对生态环境类服务内容的响应方案。根据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3分；方案可行性，项目匹配度较好的得2.5分；方案一般，项目匹配度一般的得2分；有方案但可行性不足得1.5分；有较大欠缺得1分；其余不得分。</w:t>
            </w:r>
          </w:p>
        </w:tc>
        <w:tc>
          <w:tcPr>
            <w:tcW w:w="680" w:type="dxa"/>
            <w:noWrap w:val="0"/>
            <w:vAlign w:val="center"/>
          </w:tcPr>
          <w:p w14:paraId="5BF08F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36FAA7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1662A5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3F14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31D708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p>
        </w:tc>
        <w:tc>
          <w:tcPr>
            <w:tcW w:w="5974" w:type="dxa"/>
            <w:noWrap w:val="0"/>
            <w:vAlign w:val="center"/>
          </w:tcPr>
          <w:p w14:paraId="53CCC04F">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（2）针对交通管理类服务内容的响应方案。根据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3分；方案可行性，项目匹配度较好的得2.5分；方案一般，项目匹配度一般的得2分；有方案但可行性不足得1.5分；有较大欠缺得1分；其余不得分。</w:t>
            </w:r>
          </w:p>
        </w:tc>
        <w:tc>
          <w:tcPr>
            <w:tcW w:w="680" w:type="dxa"/>
            <w:noWrap w:val="0"/>
            <w:vAlign w:val="center"/>
          </w:tcPr>
          <w:p w14:paraId="23C762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0CF648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02754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DEE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6729B4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p>
        </w:tc>
        <w:tc>
          <w:tcPr>
            <w:tcW w:w="5974" w:type="dxa"/>
            <w:noWrap w:val="0"/>
            <w:vAlign w:val="center"/>
          </w:tcPr>
          <w:p w14:paraId="0B3B5030">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（3）针对</w:t>
            </w:r>
            <w:r>
              <w:rPr>
                <w:rFonts w:hint="default" w:ascii="仿宋" w:hAnsi="仿宋" w:eastAsia="仿宋" w:cs="仿宋"/>
                <w:color w:val="auto"/>
                <w:sz w:val="24"/>
                <w:highlight w:val="none"/>
                <w:lang w:val="en-US" w:eastAsia="zh-CN"/>
              </w:rPr>
              <w:t>城市序化管理</w:t>
            </w:r>
            <w:r>
              <w:rPr>
                <w:rFonts w:hint="eastAsia" w:ascii="仿宋" w:hAnsi="仿宋" w:eastAsia="仿宋" w:cs="仿宋"/>
                <w:color w:val="auto"/>
                <w:sz w:val="24"/>
                <w:highlight w:val="none"/>
                <w:lang w:val="en-US" w:eastAsia="zh-CN"/>
              </w:rPr>
              <w:t>类服务内容的响应方案。根据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3分；方案可行性，项目匹配度较好的得2.5分；方案一般，项目匹配度一般的得2分；有方案但可行性不足得1.5分；有较大欠缺得1分；其余不得分。</w:t>
            </w:r>
          </w:p>
        </w:tc>
        <w:tc>
          <w:tcPr>
            <w:tcW w:w="680" w:type="dxa"/>
            <w:noWrap w:val="0"/>
            <w:vAlign w:val="center"/>
          </w:tcPr>
          <w:p w14:paraId="000191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4860A7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3F2F0D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C47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0C956F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p>
        </w:tc>
        <w:tc>
          <w:tcPr>
            <w:tcW w:w="5974" w:type="dxa"/>
            <w:noWrap w:val="0"/>
            <w:vAlign w:val="center"/>
          </w:tcPr>
          <w:p w14:paraId="2C4BBE49">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（4）针对平安类服务内容的响应方案。根据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3分；方案可行性，项目匹配度较好的得2.5分；方案一般，项目匹配度一般的得2分；有方案但可行性不足得1.5分；有较大欠缺得1分；其余不得分。</w:t>
            </w:r>
          </w:p>
        </w:tc>
        <w:tc>
          <w:tcPr>
            <w:tcW w:w="680" w:type="dxa"/>
            <w:noWrap w:val="0"/>
            <w:vAlign w:val="center"/>
          </w:tcPr>
          <w:p w14:paraId="772E54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67BE1E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1DC414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3785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1BD09A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7.2</w:t>
            </w:r>
          </w:p>
        </w:tc>
        <w:tc>
          <w:tcPr>
            <w:tcW w:w="5974" w:type="dxa"/>
            <w:noWrap w:val="0"/>
            <w:vAlign w:val="center"/>
          </w:tcPr>
          <w:p w14:paraId="028CE882">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其他工作要求响应情况</w:t>
            </w:r>
          </w:p>
        </w:tc>
        <w:tc>
          <w:tcPr>
            <w:tcW w:w="680" w:type="dxa"/>
            <w:noWrap w:val="0"/>
            <w:vAlign w:val="center"/>
          </w:tcPr>
          <w:p w14:paraId="63E1E8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26FE6F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4D4A18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4075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1E6B94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p>
        </w:tc>
        <w:tc>
          <w:tcPr>
            <w:tcW w:w="5974" w:type="dxa"/>
            <w:noWrap w:val="0"/>
            <w:vAlign w:val="center"/>
          </w:tcPr>
          <w:p w14:paraId="51A2F7D9">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（1）参与各类专项整治，配合做好平安建设工作的安保服务方案。根据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方案的可行性、与项目的匹配性进行评分。方案可行，项目匹配度好的得2分；方案可行性，项目匹配度较好的得1.5分；方案一般，项目匹配度一般的得1分；有方案但可行性不足得0.5分；其余不得分。</w:t>
            </w:r>
          </w:p>
        </w:tc>
        <w:tc>
          <w:tcPr>
            <w:tcW w:w="680" w:type="dxa"/>
            <w:noWrap w:val="0"/>
            <w:vAlign w:val="center"/>
          </w:tcPr>
          <w:p w14:paraId="72718C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2F1BFE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0F41FD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7E7B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58C5BF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p>
        </w:tc>
        <w:tc>
          <w:tcPr>
            <w:tcW w:w="5974" w:type="dxa"/>
            <w:noWrap w:val="0"/>
            <w:vAlign w:val="center"/>
          </w:tcPr>
          <w:p w14:paraId="07C0343A">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（2）重点道路进行巡查工作的安保方案。根据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方案的可行性、与项目的匹配性进行评分。方案可行，项目匹配度好的得2分；方案可行性，项目匹配度较好的得1.5分；方案一般，项目匹配度一般的得1分；有方案但可行性不足得0.5分；其余不得分。</w:t>
            </w:r>
          </w:p>
        </w:tc>
        <w:tc>
          <w:tcPr>
            <w:tcW w:w="680" w:type="dxa"/>
            <w:noWrap w:val="0"/>
            <w:vAlign w:val="center"/>
          </w:tcPr>
          <w:p w14:paraId="718652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661C60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5FA0B4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7C5D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751E32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p>
        </w:tc>
        <w:tc>
          <w:tcPr>
            <w:tcW w:w="5974" w:type="dxa"/>
            <w:noWrap w:val="0"/>
            <w:vAlign w:val="center"/>
          </w:tcPr>
          <w:p w14:paraId="352B26EF">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特定时期的重点人员管控及巡查工作</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lang w:val="en-US" w:eastAsia="zh-CN"/>
              </w:rPr>
              <w:t>安保服务方案。根据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方案的可行性、与项目的匹配性进行评分。方案可行，项目匹配度好的得2分；方案可行性，项目匹配度较好的得1.5分；方案一般，项目匹配度一般的得1分；有方案但可行性不足得0.5分；其余不得分。</w:t>
            </w:r>
          </w:p>
        </w:tc>
        <w:tc>
          <w:tcPr>
            <w:tcW w:w="680" w:type="dxa"/>
            <w:noWrap w:val="0"/>
            <w:vAlign w:val="center"/>
          </w:tcPr>
          <w:p w14:paraId="4B9F67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6875E4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14FD11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5A60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39C1DF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p>
        </w:tc>
        <w:tc>
          <w:tcPr>
            <w:tcW w:w="5974" w:type="dxa"/>
            <w:noWrap w:val="0"/>
            <w:vAlign w:val="center"/>
          </w:tcPr>
          <w:p w14:paraId="125D44DE">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（4）特定时期做好辖区危化企业等周边环境巡查</w:t>
            </w:r>
            <w:r>
              <w:rPr>
                <w:rFonts w:hint="eastAsia" w:ascii="仿宋" w:hAnsi="仿宋" w:eastAsia="仿宋" w:cs="仿宋"/>
                <w:color w:val="auto"/>
                <w:sz w:val="24"/>
                <w:highlight w:val="none"/>
              </w:rPr>
              <w:t>工作</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lang w:val="en-US" w:eastAsia="zh-CN"/>
              </w:rPr>
              <w:t>安保服务方案。根据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方案的可行性、与项目的匹配性进行评分。方案可行，项目匹配度好的得2分；方案可行性，项目匹配度较好的得1.5分；方案一般，项目匹配度一般的得1分；有方案但可行性不足得0.5分；其余不得分。</w:t>
            </w:r>
          </w:p>
        </w:tc>
        <w:tc>
          <w:tcPr>
            <w:tcW w:w="680" w:type="dxa"/>
            <w:noWrap w:val="0"/>
            <w:vAlign w:val="center"/>
          </w:tcPr>
          <w:p w14:paraId="7BBA89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5B8069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0166C8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E3D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59C486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p>
        </w:tc>
        <w:tc>
          <w:tcPr>
            <w:tcW w:w="5974" w:type="dxa"/>
            <w:noWrap w:val="0"/>
            <w:vAlign w:val="center"/>
          </w:tcPr>
          <w:p w14:paraId="4CFABA03">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（5）承诺完成街道或上级交办的其他工作任务。满足得1分，不满足不得分。</w:t>
            </w:r>
          </w:p>
        </w:tc>
        <w:tc>
          <w:tcPr>
            <w:tcW w:w="680" w:type="dxa"/>
            <w:noWrap w:val="0"/>
            <w:vAlign w:val="center"/>
          </w:tcPr>
          <w:p w14:paraId="444F93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8" w:type="dxa"/>
            <w:noWrap w:val="0"/>
            <w:vAlign w:val="center"/>
          </w:tcPr>
          <w:p w14:paraId="2A37AE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3798EA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8B4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067E36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7.3</w:t>
            </w:r>
          </w:p>
        </w:tc>
        <w:tc>
          <w:tcPr>
            <w:tcW w:w="5974" w:type="dxa"/>
            <w:noWrap w:val="0"/>
            <w:vAlign w:val="center"/>
          </w:tcPr>
          <w:p w14:paraId="02C66A18">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满足服务闭环流程及管理要求的响应方案，根据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方案的可行性、与项目的匹配性进行评分。方案可行，项目匹配度好的得4分；方案可行性，项目匹配度较好的得3分；方案一般，项目匹配度一般的得2分；有方案但可行性不足得1分；其余不得分。</w:t>
            </w:r>
          </w:p>
        </w:tc>
        <w:tc>
          <w:tcPr>
            <w:tcW w:w="680" w:type="dxa"/>
            <w:noWrap w:val="0"/>
            <w:vAlign w:val="center"/>
          </w:tcPr>
          <w:p w14:paraId="1D3ADA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0C2C5B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25EC41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736D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42A7AB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5974" w:type="dxa"/>
            <w:noWrap w:val="0"/>
            <w:vAlign w:val="center"/>
          </w:tcPr>
          <w:p w14:paraId="0CD5433F">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管理制度</w:t>
            </w:r>
          </w:p>
        </w:tc>
        <w:tc>
          <w:tcPr>
            <w:tcW w:w="680" w:type="dxa"/>
            <w:noWrap w:val="0"/>
            <w:vAlign w:val="center"/>
          </w:tcPr>
          <w:p w14:paraId="19C2DE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4BB2B4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6D5555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5A00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78D3F1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8.1</w:t>
            </w:r>
          </w:p>
        </w:tc>
        <w:tc>
          <w:tcPr>
            <w:tcW w:w="5974" w:type="dxa"/>
            <w:noWrap w:val="0"/>
            <w:vAlign w:val="center"/>
          </w:tcPr>
          <w:p w14:paraId="3F6506A8">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服务质量保障制度等，</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14:paraId="3ACE29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3A065A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44F313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27E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717A83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8.2</w:t>
            </w:r>
          </w:p>
        </w:tc>
        <w:tc>
          <w:tcPr>
            <w:tcW w:w="5974" w:type="dxa"/>
            <w:noWrap w:val="0"/>
            <w:vAlign w:val="center"/>
          </w:tcPr>
          <w:p w14:paraId="2391136F">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档案管理制度，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14:paraId="2DCCB0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626EBA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43E2F6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5F9B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0B7243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8.3</w:t>
            </w:r>
          </w:p>
        </w:tc>
        <w:tc>
          <w:tcPr>
            <w:tcW w:w="5974" w:type="dxa"/>
            <w:noWrap w:val="0"/>
            <w:vAlign w:val="center"/>
          </w:tcPr>
          <w:p w14:paraId="306F43C5">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及时反馈与处理机制制度，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14:paraId="45A78F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60A1FC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05F2F2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67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0FAECF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8.4</w:t>
            </w:r>
          </w:p>
        </w:tc>
        <w:tc>
          <w:tcPr>
            <w:tcW w:w="5974" w:type="dxa"/>
            <w:noWrap w:val="0"/>
            <w:vAlign w:val="center"/>
          </w:tcPr>
          <w:p w14:paraId="4EFDF814">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管理指标达到管理标准的实现方案。</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方案的可行性、与项目的匹配性进行评分。方案可行，项目匹配度好的得2分；方案一般，项目匹配度一般的得1分；方案不完整、与项目不匹配的不得分。</w:t>
            </w:r>
          </w:p>
        </w:tc>
        <w:tc>
          <w:tcPr>
            <w:tcW w:w="680" w:type="dxa"/>
            <w:noWrap w:val="0"/>
            <w:vAlign w:val="center"/>
          </w:tcPr>
          <w:p w14:paraId="14B799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2ADE53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6E174E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EDB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5B9632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5974" w:type="dxa"/>
            <w:noWrap w:val="0"/>
            <w:vAlign w:val="center"/>
          </w:tcPr>
          <w:p w14:paraId="77062A14">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项目平稳交接过渡方案，根据方案的</w:t>
            </w:r>
            <w:r>
              <w:rPr>
                <w:rFonts w:hint="eastAsia" w:ascii="仿宋" w:hAnsi="仿宋" w:eastAsia="仿宋" w:cs="仿宋"/>
                <w:color w:val="auto"/>
                <w:sz w:val="24"/>
                <w:szCs w:val="24"/>
                <w:highlight w:val="none"/>
                <w:lang w:val="en-US" w:eastAsia="zh-CN"/>
              </w:rPr>
              <w:t>可行性、与项目的匹配性进行评分。方案可行性、匹配性强的得3分；方案可行性、匹配性较好的得2分；方案可行性、匹配性存在不足得1分；其余不得分。</w:t>
            </w:r>
          </w:p>
        </w:tc>
        <w:tc>
          <w:tcPr>
            <w:tcW w:w="680" w:type="dxa"/>
            <w:noWrap w:val="0"/>
            <w:vAlign w:val="center"/>
          </w:tcPr>
          <w:p w14:paraId="3AC1F0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694513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1B2EDA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766B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553CBF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5974" w:type="dxa"/>
            <w:noWrap w:val="0"/>
            <w:vAlign w:val="center"/>
          </w:tcPr>
          <w:p w14:paraId="18990F18">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提供人员培训方案，包括岗前培训、跟班实训、日常训练响应方案，培训讲师情况（讲师需是退伍军人或持有保安员高级技师职业资格证等）、培训场所情况（提供证明文件，如自有或场地租赁合同、平面图等复印件）、培训教材。</w:t>
            </w:r>
            <w:r>
              <w:rPr>
                <w:rFonts w:hint="eastAsia" w:ascii="仿宋" w:hAnsi="仿宋" w:eastAsia="仿宋" w:cs="仿宋"/>
                <w:bCs/>
                <w:color w:val="auto"/>
                <w:sz w:val="24"/>
                <w:szCs w:val="24"/>
                <w:highlight w:val="none"/>
                <w:lang w:val="en-US" w:eastAsia="zh-CN"/>
              </w:rPr>
              <w:t>根据方案的</w:t>
            </w:r>
            <w:r>
              <w:rPr>
                <w:rFonts w:hint="eastAsia" w:ascii="仿宋" w:hAnsi="仿宋" w:eastAsia="仿宋" w:cs="仿宋"/>
                <w:color w:val="auto"/>
                <w:sz w:val="24"/>
                <w:szCs w:val="24"/>
                <w:highlight w:val="none"/>
                <w:lang w:val="en-US" w:eastAsia="zh-CN"/>
              </w:rPr>
              <w:t>可行性、与项目的匹配性进行评分。方案可行性、匹配性强的得3分；方案可行性、匹配性较好的得2分；方案可行性、匹配性存在不足得1分；其余不得分。</w:t>
            </w:r>
          </w:p>
        </w:tc>
        <w:tc>
          <w:tcPr>
            <w:tcW w:w="680" w:type="dxa"/>
            <w:noWrap w:val="0"/>
            <w:vAlign w:val="center"/>
          </w:tcPr>
          <w:p w14:paraId="1D58E3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5024EA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65D86F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900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4DB827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5974" w:type="dxa"/>
            <w:noWrap w:val="0"/>
            <w:vAlign w:val="center"/>
          </w:tcPr>
          <w:p w14:paraId="67F3DBBE">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应急预案，根据各投标人针对突发性事件，如自然灾害、事故灾难、公共卫生事件以及社会安全事件等，应急人员配备及应急响应时间等情况的应对方案的</w:t>
            </w:r>
            <w:r>
              <w:rPr>
                <w:rFonts w:hint="eastAsia" w:ascii="仿宋" w:hAnsi="仿宋" w:eastAsia="仿宋" w:cs="仿宋"/>
                <w:color w:val="auto"/>
                <w:sz w:val="24"/>
                <w:szCs w:val="24"/>
                <w:highlight w:val="none"/>
                <w:lang w:val="en-US" w:eastAsia="zh-CN"/>
              </w:rPr>
              <w:t>全面性、针对性以及符合采购需求情况等进行打分。方案全面，针对性强的得3分；方案基本可行，针对性较强的得2分；方案一般，基本满足采购需求的得1分；方案不完整、与项目不匹配的不得分。</w:t>
            </w:r>
          </w:p>
        </w:tc>
        <w:tc>
          <w:tcPr>
            <w:tcW w:w="680" w:type="dxa"/>
            <w:noWrap w:val="0"/>
            <w:vAlign w:val="center"/>
          </w:tcPr>
          <w:p w14:paraId="186C8C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6C1992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32DD10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E0C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51E664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5974" w:type="dxa"/>
            <w:noWrap w:val="0"/>
            <w:vAlign w:val="center"/>
          </w:tcPr>
          <w:p w14:paraId="289CD708">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针对项目特点及需求，本项目重点、难点进行分析并提出相应解决措施。</w:t>
            </w:r>
            <w:r>
              <w:rPr>
                <w:rFonts w:hint="eastAsia" w:ascii="仿宋" w:hAnsi="仿宋" w:eastAsia="仿宋" w:cs="仿宋"/>
                <w:color w:val="auto"/>
                <w:sz w:val="24"/>
                <w:szCs w:val="24"/>
                <w:highlight w:val="none"/>
                <w:lang w:val="en-US" w:eastAsia="zh-CN"/>
              </w:rPr>
              <w:t>方案合理，符合采购需求，针对性强的得2分；方案基本可行、符合采购需求，针对性较强的得1.5分；方案一般，基本符合采购需求，针对性一般的得1分；方案不完整、不符合采购需求，没有针对性的不得分。</w:t>
            </w:r>
          </w:p>
        </w:tc>
        <w:tc>
          <w:tcPr>
            <w:tcW w:w="680" w:type="dxa"/>
            <w:noWrap w:val="0"/>
            <w:vAlign w:val="center"/>
          </w:tcPr>
          <w:p w14:paraId="362B3E3F">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37967B02">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5414F9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bl>
    <w:p w14:paraId="1FF25737">
      <w:pPr>
        <w:snapToGrid w:val="0"/>
        <w:spacing w:line="360" w:lineRule="auto"/>
        <w:rPr>
          <w:rFonts w:ascii="仿宋" w:hAnsi="仿宋" w:eastAsia="仿宋" w:cs="仿宋"/>
          <w:color w:val="auto"/>
          <w:sz w:val="24"/>
          <w:highlight w:val="none"/>
        </w:rPr>
      </w:pPr>
    </w:p>
    <w:p w14:paraId="1D8BC41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报价部分（权重为</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p>
    <w:p w14:paraId="2C00143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14:paraId="0352D97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38F290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因落实政府采购政策需要进行价格调整的，以调整后的价格计算评标基准价和投标报价。（因专门面向中小企业，价格调整在本次项目不适用）</w:t>
      </w:r>
    </w:p>
    <w:p w14:paraId="56C342A4">
      <w:pPr>
        <w:pStyle w:val="19"/>
        <w:rPr>
          <w:rFonts w:ascii="仿宋" w:hAnsi="仿宋" w:eastAsia="仿宋" w:cs="仿宋"/>
          <w:color w:val="auto"/>
          <w:highlight w:val="none"/>
        </w:rPr>
      </w:pPr>
    </w:p>
    <w:p w14:paraId="71BD1F93">
      <w:pPr>
        <w:pStyle w:val="2"/>
        <w:rPr>
          <w:rFonts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2CD8515F">
      <w:pPr>
        <w:rPr>
          <w:rFonts w:ascii="仿宋" w:hAnsi="仿宋" w:eastAsia="仿宋" w:cs="仿宋"/>
          <w:b/>
          <w:color w:val="auto"/>
          <w:sz w:val="32"/>
          <w:highlight w:val="none"/>
        </w:rPr>
      </w:pPr>
    </w:p>
    <w:p w14:paraId="207EB0C4">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bookmarkStart w:id="97" w:name="_Toc9192"/>
      <w:r>
        <w:rPr>
          <w:rFonts w:hint="eastAsia" w:ascii="仿宋" w:hAnsi="仿宋" w:eastAsia="仿宋" w:cs="仿宋"/>
          <w:color w:val="auto"/>
          <w:sz w:val="24"/>
          <w:szCs w:val="24"/>
          <w:highlight w:val="none"/>
        </w:rPr>
        <w:br w:type="page"/>
      </w:r>
      <w:bookmarkEnd w:id="97"/>
      <w:bookmarkStart w:id="98" w:name="_Toc28508"/>
      <w:bookmarkStart w:id="99" w:name="_Toc14163"/>
      <w:bookmarkStart w:id="100" w:name="_Toc19686"/>
      <w:r>
        <w:rPr>
          <w:rFonts w:hint="eastAsia" w:ascii="仿宋_GB2312" w:hAnsi="仿宋" w:eastAsia="仿宋_GB2312" w:cs="仿宋_GB2312"/>
          <w:b/>
          <w:color w:val="auto"/>
          <w:sz w:val="28"/>
          <w:szCs w:val="28"/>
          <w:highlight w:val="none"/>
        </w:rPr>
        <w:t>评标方法</w:t>
      </w:r>
      <w:bookmarkEnd w:id="98"/>
      <w:bookmarkEnd w:id="99"/>
      <w:bookmarkEnd w:id="100"/>
    </w:p>
    <w:p w14:paraId="79F47B87">
      <w:pPr>
        <w:numPr>
          <w:ilvl w:val="0"/>
          <w:numId w:val="5"/>
        </w:numPr>
        <w:tabs>
          <w:tab w:val="left" w:pos="210"/>
        </w:tabs>
        <w:spacing w:line="360" w:lineRule="auto"/>
        <w:rPr>
          <w:rFonts w:ascii="仿宋" w:hAnsi="仿宋" w:eastAsia="仿宋" w:cs="Arial"/>
          <w:kern w:val="0"/>
          <w:sz w:val="24"/>
          <w:highlight w:val="none"/>
        </w:rPr>
      </w:pPr>
      <w:r>
        <w:rPr>
          <w:rFonts w:hint="eastAsia" w:ascii="仿宋" w:hAnsi="仿宋" w:eastAsia="仿宋" w:cs="Arial"/>
          <w:b/>
          <w:kern w:val="0"/>
          <w:sz w:val="24"/>
          <w:highlight w:val="none"/>
        </w:rPr>
        <w:t>本项目采用综合评分法。</w:t>
      </w:r>
      <w:r>
        <w:rPr>
          <w:rFonts w:hint="eastAsia" w:ascii="仿宋" w:hAnsi="仿宋" w:eastAsia="仿宋" w:cs="Arial"/>
          <w:kern w:val="0"/>
          <w:sz w:val="24"/>
          <w:highlight w:val="none"/>
        </w:rPr>
        <w:t>综合评分法，是指投标文件满足招标文件全部实质性要求，且按照评审因素的量化指标评审得分最高的投标人为中标候选人的评标方法。</w:t>
      </w:r>
    </w:p>
    <w:p w14:paraId="446EDF6E">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_GB2312"/>
          <w:b/>
          <w:sz w:val="28"/>
          <w:szCs w:val="28"/>
          <w:highlight w:val="none"/>
        </w:rPr>
      </w:pPr>
      <w:bookmarkStart w:id="101" w:name="_Toc19233"/>
      <w:bookmarkStart w:id="102" w:name="_Toc5897"/>
      <w:bookmarkStart w:id="103" w:name="_Toc9518"/>
      <w:bookmarkStart w:id="104" w:name="_Toc9220"/>
      <w:bookmarkStart w:id="105" w:name="_Toc25354"/>
      <w:r>
        <w:rPr>
          <w:rFonts w:hint="eastAsia" w:ascii="仿宋" w:hAnsi="仿宋" w:eastAsia="仿宋" w:cs="仿宋_GB2312"/>
          <w:b/>
          <w:sz w:val="28"/>
          <w:szCs w:val="28"/>
          <w:highlight w:val="none"/>
        </w:rPr>
        <w:t>评标标准</w:t>
      </w:r>
      <w:bookmarkEnd w:id="101"/>
      <w:bookmarkEnd w:id="102"/>
      <w:bookmarkEnd w:id="103"/>
      <w:bookmarkEnd w:id="104"/>
      <w:bookmarkEnd w:id="105"/>
    </w:p>
    <w:p w14:paraId="603F0C68">
      <w:pPr>
        <w:numPr>
          <w:ilvl w:val="0"/>
          <w:numId w:val="5"/>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b/>
          <w:bCs/>
          <w:kern w:val="0"/>
          <w:sz w:val="24"/>
          <w:highlight w:val="none"/>
        </w:rPr>
        <w:t>评标标准：</w:t>
      </w:r>
      <w:r>
        <w:rPr>
          <w:rFonts w:hint="eastAsia" w:ascii="仿宋" w:hAnsi="仿宋" w:eastAsia="仿宋" w:cs="Arial"/>
          <w:kern w:val="0"/>
          <w:sz w:val="24"/>
          <w:highlight w:val="none"/>
        </w:rPr>
        <w:t>见评标办法前附表。</w:t>
      </w:r>
    </w:p>
    <w:p w14:paraId="6F2F00D3">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_GB2312"/>
          <w:b/>
          <w:sz w:val="28"/>
          <w:szCs w:val="28"/>
          <w:highlight w:val="none"/>
        </w:rPr>
      </w:pPr>
      <w:bookmarkStart w:id="106" w:name="_Toc10741"/>
      <w:bookmarkStart w:id="107" w:name="_Toc26738"/>
      <w:bookmarkStart w:id="108" w:name="_Toc4050"/>
      <w:bookmarkStart w:id="109" w:name="_Toc1897"/>
      <w:bookmarkStart w:id="110" w:name="_Toc17122"/>
      <w:r>
        <w:rPr>
          <w:rFonts w:hint="eastAsia" w:ascii="仿宋" w:hAnsi="仿宋" w:eastAsia="仿宋" w:cs="仿宋_GB2312"/>
          <w:b/>
          <w:sz w:val="28"/>
          <w:szCs w:val="28"/>
          <w:highlight w:val="none"/>
        </w:rPr>
        <w:t>评标程序</w:t>
      </w:r>
      <w:bookmarkEnd w:id="106"/>
      <w:bookmarkEnd w:id="107"/>
      <w:bookmarkEnd w:id="108"/>
      <w:bookmarkEnd w:id="109"/>
      <w:bookmarkEnd w:id="110"/>
    </w:p>
    <w:p w14:paraId="701F94EF">
      <w:pPr>
        <w:numPr>
          <w:ilvl w:val="1"/>
          <w:numId w:val="6"/>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b/>
          <w:bCs/>
          <w:kern w:val="0"/>
          <w:sz w:val="24"/>
          <w:highlight w:val="none"/>
        </w:rPr>
        <w:t>符合性审查。</w:t>
      </w:r>
      <w:r>
        <w:rPr>
          <w:rFonts w:hint="eastAsia" w:ascii="仿宋" w:hAnsi="仿宋" w:eastAsia="仿宋" w:cs="Arial"/>
          <w:kern w:val="0"/>
          <w:sz w:val="24"/>
          <w:highlight w:val="none"/>
        </w:rPr>
        <w:t>评标委员会应当对符合资格的投标人的投标文件进行符合性审查，以确定其是否满足招标文件的实质性要求。不满足招标文件的实质性要求的，投标无效。</w:t>
      </w:r>
    </w:p>
    <w:p w14:paraId="277C9344">
      <w:pPr>
        <w:numPr>
          <w:ilvl w:val="1"/>
          <w:numId w:val="6"/>
        </w:numPr>
        <w:tabs>
          <w:tab w:val="left" w:pos="210"/>
        </w:tabs>
        <w:spacing w:line="360" w:lineRule="auto"/>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比较与评价。</w:t>
      </w:r>
      <w:r>
        <w:rPr>
          <w:rFonts w:hint="eastAsia" w:ascii="仿宋" w:hAnsi="仿宋" w:eastAsia="仿宋" w:cs="Arial"/>
          <w:kern w:val="0"/>
          <w:sz w:val="24"/>
          <w:highlight w:val="none"/>
        </w:rPr>
        <w:t>评标委员会应当按照招标文件中规定的评标方法和标准，对符合性审查合格的投标文件进行商务和技术评估，综合比较与评价。</w:t>
      </w:r>
    </w:p>
    <w:p w14:paraId="33FCF233">
      <w:pPr>
        <w:numPr>
          <w:ilvl w:val="1"/>
          <w:numId w:val="6"/>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b/>
          <w:bCs/>
          <w:kern w:val="0"/>
          <w:sz w:val="24"/>
          <w:highlight w:val="none"/>
        </w:rPr>
        <w:t>汇总商务技术得分。</w:t>
      </w:r>
      <w:r>
        <w:rPr>
          <w:rFonts w:hint="eastAsia" w:ascii="仿宋" w:hAnsi="仿宋" w:eastAsia="仿宋" w:cs="Arial"/>
          <w:kern w:val="0"/>
          <w:sz w:val="24"/>
          <w:highlight w:val="none"/>
        </w:rPr>
        <w:t>评标委员会各成员应当独立对每个投标人的商务和技术文件进行评价，并汇总商务技术得分情况。</w:t>
      </w:r>
    </w:p>
    <w:p w14:paraId="0FC225DD">
      <w:pPr>
        <w:tabs>
          <w:tab w:val="left" w:pos="210"/>
        </w:tabs>
        <w:spacing w:line="360" w:lineRule="auto"/>
        <w:ind w:firstLine="480" w:firstLineChars="200"/>
        <w:rPr>
          <w:rFonts w:hint="eastAsia" w:ascii="仿宋" w:hAnsi="仿宋" w:eastAsia="仿宋" w:cs="Arial"/>
          <w:b/>
          <w:bCs/>
          <w:kern w:val="0"/>
          <w:sz w:val="24"/>
          <w:highlight w:val="none"/>
        </w:rPr>
      </w:pPr>
      <w:r>
        <w:rPr>
          <w:rFonts w:hint="eastAsia" w:ascii="仿宋" w:hAnsi="仿宋" w:eastAsia="仿宋" w:cs="Arial"/>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205F0969">
      <w:pPr>
        <w:numPr>
          <w:ilvl w:val="1"/>
          <w:numId w:val="6"/>
        </w:numPr>
        <w:tabs>
          <w:tab w:val="left" w:pos="210"/>
        </w:tabs>
        <w:spacing w:line="360" w:lineRule="auto"/>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报价评审。</w:t>
      </w:r>
    </w:p>
    <w:p w14:paraId="15F504E9">
      <w:pPr>
        <w:numPr>
          <w:ilvl w:val="2"/>
          <w:numId w:val="6"/>
        </w:numPr>
        <w:tabs>
          <w:tab w:val="left" w:pos="210"/>
        </w:tabs>
        <w:spacing w:line="360" w:lineRule="auto"/>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投标文件报价出现前后不一致的，按照下列规定修正：</w:t>
      </w:r>
    </w:p>
    <w:p w14:paraId="554D8F00">
      <w:pPr>
        <w:numPr>
          <w:ilvl w:val="3"/>
          <w:numId w:val="6"/>
        </w:numPr>
        <w:tabs>
          <w:tab w:val="left" w:pos="210"/>
          <w:tab w:val="left" w:pos="1050"/>
        </w:tabs>
        <w:spacing w:line="360" w:lineRule="auto"/>
        <w:ind w:left="1050" w:hanging="1050"/>
        <w:rPr>
          <w:rFonts w:hint="eastAsia" w:ascii="仿宋" w:hAnsi="仿宋" w:eastAsia="仿宋" w:cs="Arial"/>
          <w:kern w:val="0"/>
          <w:sz w:val="24"/>
          <w:highlight w:val="none"/>
        </w:rPr>
      </w:pPr>
      <w:r>
        <w:rPr>
          <w:rFonts w:hint="eastAsia" w:ascii="仿宋" w:hAnsi="仿宋" w:eastAsia="仿宋" w:cs="Arial"/>
          <w:kern w:val="0"/>
          <w:sz w:val="24"/>
          <w:highlight w:val="none"/>
        </w:rPr>
        <w:t>投标文件中开标一览表(报价表)内容与投标文件中相应内容不一致的，以开标一览表(报价表)为准;</w:t>
      </w:r>
    </w:p>
    <w:p w14:paraId="47E61F8C">
      <w:pPr>
        <w:numPr>
          <w:ilvl w:val="3"/>
          <w:numId w:val="6"/>
        </w:numPr>
        <w:tabs>
          <w:tab w:val="left" w:pos="210"/>
          <w:tab w:val="left" w:pos="1050"/>
        </w:tabs>
        <w:spacing w:line="360" w:lineRule="auto"/>
        <w:ind w:left="1050" w:hanging="1050"/>
        <w:rPr>
          <w:rFonts w:hint="eastAsia" w:ascii="仿宋" w:hAnsi="仿宋" w:eastAsia="仿宋" w:cs="Arial"/>
          <w:kern w:val="0"/>
          <w:sz w:val="24"/>
          <w:highlight w:val="none"/>
        </w:rPr>
      </w:pPr>
      <w:r>
        <w:rPr>
          <w:rFonts w:hint="eastAsia" w:ascii="仿宋" w:hAnsi="仿宋" w:eastAsia="仿宋" w:cs="Arial"/>
          <w:kern w:val="0"/>
          <w:sz w:val="24"/>
          <w:highlight w:val="none"/>
        </w:rPr>
        <w:t>大写金额和小写金额不一致的，以大写金额为准;</w:t>
      </w:r>
    </w:p>
    <w:p w14:paraId="2CAAB2F4">
      <w:pPr>
        <w:numPr>
          <w:ilvl w:val="3"/>
          <w:numId w:val="6"/>
        </w:numPr>
        <w:tabs>
          <w:tab w:val="left" w:pos="210"/>
          <w:tab w:val="left" w:pos="1050"/>
        </w:tabs>
        <w:spacing w:line="360" w:lineRule="auto"/>
        <w:ind w:left="1050" w:hanging="1050"/>
        <w:rPr>
          <w:rFonts w:hint="eastAsia" w:ascii="仿宋" w:hAnsi="仿宋" w:eastAsia="仿宋" w:cs="Arial"/>
          <w:kern w:val="0"/>
          <w:sz w:val="24"/>
          <w:highlight w:val="none"/>
        </w:rPr>
      </w:pPr>
      <w:r>
        <w:rPr>
          <w:rFonts w:hint="eastAsia" w:ascii="仿宋" w:hAnsi="仿宋" w:eastAsia="仿宋" w:cs="Arial"/>
          <w:kern w:val="0"/>
          <w:sz w:val="24"/>
          <w:highlight w:val="none"/>
        </w:rPr>
        <w:t>单价金额小数点或者百分比有明显错位的，以开标一览表的总价为准，并修改单价;</w:t>
      </w:r>
    </w:p>
    <w:p w14:paraId="0425C4D7">
      <w:pPr>
        <w:numPr>
          <w:ilvl w:val="3"/>
          <w:numId w:val="6"/>
        </w:numPr>
        <w:tabs>
          <w:tab w:val="left" w:pos="210"/>
          <w:tab w:val="left" w:pos="1050"/>
        </w:tabs>
        <w:spacing w:line="360" w:lineRule="auto"/>
        <w:ind w:left="1050" w:hanging="1050"/>
        <w:rPr>
          <w:rFonts w:hint="eastAsia" w:ascii="仿宋" w:hAnsi="仿宋" w:eastAsia="仿宋" w:cs="Arial"/>
          <w:kern w:val="0"/>
          <w:sz w:val="24"/>
          <w:highlight w:val="none"/>
        </w:rPr>
      </w:pPr>
      <w:r>
        <w:rPr>
          <w:rFonts w:hint="eastAsia" w:ascii="仿宋" w:hAnsi="仿宋" w:eastAsia="仿宋" w:cs="Arial"/>
          <w:kern w:val="0"/>
          <w:sz w:val="24"/>
          <w:highlight w:val="none"/>
        </w:rPr>
        <w:t>总价金额与按单价汇总金额不一致的，以单价金额计算结果为准。</w:t>
      </w:r>
    </w:p>
    <w:p w14:paraId="32B2A760">
      <w:pPr>
        <w:numPr>
          <w:ilvl w:val="3"/>
          <w:numId w:val="6"/>
        </w:numPr>
        <w:tabs>
          <w:tab w:val="left" w:pos="210"/>
          <w:tab w:val="left" w:pos="1050"/>
        </w:tabs>
        <w:spacing w:line="360" w:lineRule="auto"/>
        <w:ind w:left="1050" w:hanging="1050"/>
        <w:rPr>
          <w:rFonts w:hint="eastAsia" w:ascii="仿宋" w:hAnsi="仿宋" w:eastAsia="仿宋" w:cs="Arial"/>
          <w:kern w:val="0"/>
          <w:sz w:val="24"/>
          <w:highlight w:val="none"/>
        </w:rPr>
      </w:pPr>
      <w:r>
        <w:rPr>
          <w:rFonts w:hint="eastAsia" w:ascii="仿宋" w:hAnsi="仿宋" w:eastAsia="仿宋" w:cs="Arial"/>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4E13AC74">
      <w:pPr>
        <w:numPr>
          <w:ilvl w:val="2"/>
          <w:numId w:val="6"/>
        </w:numPr>
        <w:tabs>
          <w:tab w:val="left" w:pos="210"/>
        </w:tabs>
        <w:spacing w:line="360" w:lineRule="auto"/>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投标文件出现不是唯一的、有选择性投标报价的，投标无效。</w:t>
      </w:r>
    </w:p>
    <w:p w14:paraId="368A012B">
      <w:pPr>
        <w:numPr>
          <w:ilvl w:val="2"/>
          <w:numId w:val="6"/>
        </w:numPr>
        <w:tabs>
          <w:tab w:val="left" w:pos="210"/>
        </w:tabs>
        <w:spacing w:line="360" w:lineRule="auto"/>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投标报价超过招标文件中规定的预算金额或者最高限价的，投标无效。</w:t>
      </w:r>
    </w:p>
    <w:p w14:paraId="59A47555">
      <w:pPr>
        <w:numPr>
          <w:ilvl w:val="2"/>
          <w:numId w:val="6"/>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44B123">
      <w:pPr>
        <w:numPr>
          <w:ilvl w:val="2"/>
          <w:numId w:val="6"/>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Arial"/>
          <w:b/>
          <w:bCs/>
          <w:kern w:val="0"/>
          <w:sz w:val="24"/>
          <w:highlight w:val="none"/>
        </w:rPr>
        <w:t>10%</w:t>
      </w:r>
      <w:r>
        <w:rPr>
          <w:rFonts w:hint="eastAsia" w:ascii="仿宋" w:hAnsi="仿宋" w:eastAsia="仿宋" w:cs="Arial"/>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Arial"/>
          <w:b/>
          <w:bCs/>
          <w:kern w:val="0"/>
          <w:sz w:val="24"/>
          <w:highlight w:val="none"/>
        </w:rPr>
        <w:t>4%</w:t>
      </w:r>
      <w:r>
        <w:rPr>
          <w:rFonts w:hint="eastAsia" w:ascii="仿宋" w:hAnsi="仿宋" w:eastAsia="仿宋" w:cs="Arial"/>
          <w:kern w:val="0"/>
          <w:sz w:val="24"/>
          <w:highlight w:val="none"/>
        </w:rPr>
        <w:t>的扣除，用扣除后的价格参加评审。组成联合体或者接受分包的小微企业与联合体内其他企业、分包企业之间存在直接控股、管理关系的，不享受价格扣除优惠政策。</w:t>
      </w:r>
    </w:p>
    <w:p w14:paraId="41847C1A">
      <w:pPr>
        <w:numPr>
          <w:ilvl w:val="1"/>
          <w:numId w:val="6"/>
        </w:numPr>
        <w:tabs>
          <w:tab w:val="left" w:pos="210"/>
        </w:tabs>
        <w:spacing w:line="360" w:lineRule="auto"/>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排序与推荐。</w:t>
      </w:r>
    </w:p>
    <w:p w14:paraId="5B9B2CC7">
      <w:pPr>
        <w:adjustRightInd w:val="0"/>
        <w:snapToGrid w:val="0"/>
        <w:spacing w:line="360" w:lineRule="auto"/>
        <w:ind w:firstLine="480" w:firstLineChars="20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D6C8BCF">
      <w:pPr>
        <w:adjustRightInd w:val="0"/>
        <w:snapToGrid w:val="0"/>
        <w:spacing w:line="360" w:lineRule="auto"/>
        <w:ind w:firstLine="482" w:firstLineChars="200"/>
        <w:rPr>
          <w:rFonts w:hint="eastAsia" w:ascii="仿宋" w:hAnsi="仿宋" w:eastAsia="仿宋" w:cs="仿宋"/>
          <w:snapToGrid w:val="0"/>
          <w:kern w:val="28"/>
          <w:sz w:val="24"/>
          <w:highlight w:val="none"/>
          <w:lang w:val="en-US" w:eastAsia="zh-CN"/>
        </w:rPr>
      </w:pPr>
      <w:r>
        <w:rPr>
          <w:rFonts w:hint="eastAsia" w:ascii="仿宋_GB2312" w:hAnsi="仿宋" w:eastAsia="仿宋_GB2312" w:cs="Arial"/>
          <w:b/>
          <w:bCs/>
          <w:color w:val="auto"/>
          <w:kern w:val="0"/>
          <w:sz w:val="24"/>
          <w:highlight w:val="none"/>
          <w:lang w:val="en-US" w:eastAsia="zh-CN"/>
        </w:rPr>
        <w:t>注：</w:t>
      </w:r>
      <w:r>
        <w:rPr>
          <w:rFonts w:hint="eastAsia" w:ascii="仿宋_GB2312" w:hAnsi="仿宋" w:eastAsia="仿宋_GB2312" w:cs="Arial"/>
          <w:b/>
          <w:bCs/>
          <w:color w:val="auto"/>
          <w:kern w:val="0"/>
          <w:sz w:val="24"/>
          <w:highlight w:val="none"/>
          <w:lang w:eastAsia="zh-CN"/>
        </w:rPr>
        <w:t>采购文件中未特别说明的，评标委员会推荐的中标候选人数量为</w:t>
      </w:r>
      <w:r>
        <w:rPr>
          <w:rFonts w:hint="eastAsia" w:ascii="仿宋_GB2312" w:hAnsi="仿宋" w:eastAsia="仿宋_GB2312" w:cs="Arial"/>
          <w:b/>
          <w:bCs/>
          <w:color w:val="auto"/>
          <w:kern w:val="0"/>
          <w:sz w:val="24"/>
          <w:highlight w:val="none"/>
          <w:lang w:val="en-US" w:eastAsia="zh-CN"/>
        </w:rPr>
        <w:t>1名。</w:t>
      </w:r>
    </w:p>
    <w:p w14:paraId="7F59D6EF">
      <w:pPr>
        <w:numPr>
          <w:ilvl w:val="1"/>
          <w:numId w:val="6"/>
        </w:numPr>
        <w:tabs>
          <w:tab w:val="left" w:pos="210"/>
        </w:tabs>
        <w:spacing w:line="360" w:lineRule="auto"/>
        <w:rPr>
          <w:rFonts w:hint="eastAsia" w:ascii="仿宋" w:hAnsi="仿宋" w:eastAsia="仿宋" w:cs="Arial"/>
          <w:b/>
          <w:bCs/>
          <w:kern w:val="0"/>
          <w:sz w:val="24"/>
          <w:highlight w:val="none"/>
        </w:rPr>
      </w:pPr>
      <w:r>
        <w:rPr>
          <w:rFonts w:hint="eastAsia" w:ascii="仿宋" w:hAnsi="仿宋" w:eastAsia="仿宋" w:cs="Arial"/>
          <w:b/>
          <w:bCs/>
          <w:kern w:val="0"/>
          <w:sz w:val="24"/>
          <w:highlight w:val="none"/>
        </w:rPr>
        <w:t>评分时保留小数点后1位小数</w:t>
      </w:r>
      <w:r>
        <w:rPr>
          <w:rFonts w:hint="eastAsia" w:ascii="仿宋" w:hAnsi="仿宋" w:eastAsia="仿宋" w:cs="Arial"/>
          <w:b/>
          <w:bCs/>
          <w:kern w:val="0"/>
          <w:sz w:val="24"/>
          <w:highlight w:val="none"/>
          <w:lang w:eastAsia="zh-CN"/>
        </w:rPr>
        <w:t>（</w:t>
      </w:r>
      <w:r>
        <w:rPr>
          <w:rFonts w:hint="eastAsia" w:ascii="仿宋" w:hAnsi="仿宋" w:eastAsia="仿宋" w:cs="Arial"/>
          <w:b/>
          <w:bCs/>
          <w:kern w:val="0"/>
          <w:sz w:val="24"/>
          <w:highlight w:val="none"/>
          <w:lang w:val="en-US" w:eastAsia="zh-CN"/>
        </w:rPr>
        <w:t>客观分有2位小数的可保留2位</w:t>
      </w:r>
      <w:r>
        <w:rPr>
          <w:rFonts w:hint="eastAsia" w:ascii="仿宋" w:hAnsi="仿宋" w:eastAsia="仿宋" w:cs="Arial"/>
          <w:b/>
          <w:bCs/>
          <w:kern w:val="0"/>
          <w:sz w:val="24"/>
          <w:highlight w:val="none"/>
          <w:lang w:eastAsia="zh-CN"/>
        </w:rPr>
        <w:t>）</w:t>
      </w:r>
      <w:r>
        <w:rPr>
          <w:rFonts w:hint="eastAsia" w:ascii="仿宋" w:hAnsi="仿宋" w:eastAsia="仿宋" w:cs="Arial"/>
          <w:b/>
          <w:bCs/>
          <w:kern w:val="0"/>
          <w:sz w:val="24"/>
          <w:highlight w:val="none"/>
        </w:rPr>
        <w:t>，计算评分值时保留小数点后2位小数。</w:t>
      </w:r>
    </w:p>
    <w:p w14:paraId="2AFFAECF">
      <w:pPr>
        <w:numPr>
          <w:ilvl w:val="1"/>
          <w:numId w:val="6"/>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b/>
          <w:bCs/>
          <w:kern w:val="0"/>
          <w:sz w:val="24"/>
          <w:highlight w:val="none"/>
        </w:rPr>
        <w:t>编写评标报告。</w:t>
      </w:r>
      <w:r>
        <w:rPr>
          <w:rFonts w:hint="eastAsia" w:ascii="仿宋" w:hAnsi="仿宋" w:eastAsia="仿宋" w:cs="Arial"/>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F012F7">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_GB2312"/>
          <w:b/>
          <w:sz w:val="28"/>
          <w:szCs w:val="28"/>
          <w:highlight w:val="none"/>
        </w:rPr>
      </w:pPr>
      <w:bookmarkStart w:id="111" w:name="_Toc6871"/>
      <w:bookmarkStart w:id="112" w:name="_Toc5821"/>
      <w:bookmarkStart w:id="113" w:name="_Toc16391"/>
      <w:bookmarkStart w:id="114" w:name="_Toc14486"/>
      <w:bookmarkStart w:id="115" w:name="_Toc25049"/>
      <w:r>
        <w:rPr>
          <w:rFonts w:hint="eastAsia" w:ascii="仿宋" w:hAnsi="仿宋" w:eastAsia="仿宋" w:cs="仿宋_GB2312"/>
          <w:b/>
          <w:sz w:val="28"/>
          <w:szCs w:val="28"/>
          <w:highlight w:val="none"/>
        </w:rPr>
        <w:t>评标中的其他事项</w:t>
      </w:r>
      <w:bookmarkEnd w:id="111"/>
      <w:bookmarkEnd w:id="112"/>
      <w:bookmarkEnd w:id="113"/>
      <w:bookmarkEnd w:id="114"/>
      <w:bookmarkEnd w:id="115"/>
    </w:p>
    <w:p w14:paraId="795692CE">
      <w:pPr>
        <w:numPr>
          <w:ilvl w:val="1"/>
          <w:numId w:val="7"/>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b/>
          <w:bCs/>
          <w:kern w:val="0"/>
          <w:sz w:val="24"/>
          <w:highlight w:val="none"/>
        </w:rPr>
        <w:t>投标人澄清、说明或者补正。</w:t>
      </w:r>
      <w:r>
        <w:rPr>
          <w:rFonts w:hint="eastAsia" w:ascii="仿宋" w:hAnsi="仿宋" w:eastAsia="仿宋" w:cs="Arial"/>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98717B">
      <w:pPr>
        <w:numPr>
          <w:ilvl w:val="1"/>
          <w:numId w:val="7"/>
        </w:numPr>
        <w:tabs>
          <w:tab w:val="left" w:pos="210"/>
        </w:tabs>
        <w:spacing w:line="360" w:lineRule="auto"/>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投标无效。有下列情况之一的，投标无效：</w:t>
      </w:r>
    </w:p>
    <w:p w14:paraId="0FF7D3F1">
      <w:pPr>
        <w:numPr>
          <w:ilvl w:val="2"/>
          <w:numId w:val="7"/>
        </w:numPr>
        <w:tabs>
          <w:tab w:val="left" w:pos="210"/>
          <w:tab w:val="left" w:pos="84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投标人不具备招标文件中规定的资格要求的（投标人未提供有效的资格文件的，视为投标人不具备招标文件中规定的资格要求）；</w:t>
      </w:r>
    </w:p>
    <w:p w14:paraId="50EA4B2F">
      <w:pPr>
        <w:numPr>
          <w:ilvl w:val="2"/>
          <w:numId w:val="7"/>
        </w:numPr>
        <w:tabs>
          <w:tab w:val="left" w:pos="210"/>
          <w:tab w:val="left" w:pos="84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投标文件未按照招标文件要求签署、盖章的；</w:t>
      </w:r>
    </w:p>
    <w:p w14:paraId="03EAB19A">
      <w:pPr>
        <w:numPr>
          <w:ilvl w:val="2"/>
          <w:numId w:val="7"/>
        </w:numPr>
        <w:tabs>
          <w:tab w:val="left" w:pos="210"/>
          <w:tab w:val="left" w:pos="84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Arial"/>
          <w:b/>
          <w:bCs/>
          <w:kern w:val="0"/>
          <w:sz w:val="24"/>
          <w:highlight w:val="none"/>
          <w:lang w:eastAsia="zh-CN"/>
        </w:rPr>
        <w:t>（</w:t>
      </w:r>
      <w:r>
        <w:rPr>
          <w:rFonts w:hint="eastAsia" w:ascii="仿宋" w:hAnsi="仿宋" w:eastAsia="仿宋" w:cs="Arial"/>
          <w:b/>
          <w:bCs/>
          <w:kern w:val="0"/>
          <w:sz w:val="24"/>
          <w:highlight w:val="none"/>
          <w:lang w:val="en-US" w:eastAsia="zh-CN"/>
        </w:rPr>
        <w:t>本项目不适用</w:t>
      </w:r>
      <w:r>
        <w:rPr>
          <w:rFonts w:hint="eastAsia" w:ascii="仿宋" w:hAnsi="仿宋" w:eastAsia="仿宋" w:cs="Arial"/>
          <w:b/>
          <w:bCs/>
          <w:kern w:val="0"/>
          <w:sz w:val="24"/>
          <w:highlight w:val="none"/>
          <w:lang w:eastAsia="zh-CN"/>
        </w:rPr>
        <w:t>）</w:t>
      </w:r>
    </w:p>
    <w:p w14:paraId="751472AA">
      <w:pPr>
        <w:numPr>
          <w:ilvl w:val="2"/>
          <w:numId w:val="7"/>
        </w:numPr>
        <w:tabs>
          <w:tab w:val="left" w:pos="210"/>
          <w:tab w:val="left" w:pos="84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投标文件含有采购人不能接受的附加条件的；</w:t>
      </w:r>
    </w:p>
    <w:p w14:paraId="5BD7640A">
      <w:pPr>
        <w:numPr>
          <w:ilvl w:val="2"/>
          <w:numId w:val="7"/>
        </w:numPr>
        <w:tabs>
          <w:tab w:val="left" w:pos="210"/>
          <w:tab w:val="left" w:pos="84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投标文件中承诺的投标有效期少于招标文件中载明的投标有效期的；</w:t>
      </w:r>
    </w:p>
    <w:p w14:paraId="1537FA07">
      <w:pPr>
        <w:numPr>
          <w:ilvl w:val="2"/>
          <w:numId w:val="7"/>
        </w:numPr>
        <w:tabs>
          <w:tab w:val="left" w:pos="210"/>
          <w:tab w:val="left" w:pos="84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投标文件出现不是唯一的、有选择性投标报价的;</w:t>
      </w:r>
    </w:p>
    <w:p w14:paraId="45D618C5">
      <w:pPr>
        <w:numPr>
          <w:ilvl w:val="2"/>
          <w:numId w:val="7"/>
        </w:numPr>
        <w:tabs>
          <w:tab w:val="left" w:pos="210"/>
          <w:tab w:val="left" w:pos="84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投标报价超过招标文件中规定的预算金额或者最高限价的;</w:t>
      </w:r>
    </w:p>
    <w:p w14:paraId="5462733D">
      <w:pPr>
        <w:numPr>
          <w:ilvl w:val="2"/>
          <w:numId w:val="7"/>
        </w:numPr>
        <w:tabs>
          <w:tab w:val="left" w:pos="210"/>
          <w:tab w:val="left" w:pos="84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3E556602">
      <w:pPr>
        <w:numPr>
          <w:ilvl w:val="2"/>
          <w:numId w:val="7"/>
        </w:numPr>
        <w:tabs>
          <w:tab w:val="left" w:pos="210"/>
          <w:tab w:val="left" w:pos="84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投标人对根据修正原则修正后的报价不确认的；</w:t>
      </w:r>
    </w:p>
    <w:p w14:paraId="2A0C047C">
      <w:pPr>
        <w:numPr>
          <w:ilvl w:val="2"/>
          <w:numId w:val="7"/>
        </w:numPr>
        <w:tabs>
          <w:tab w:val="left" w:pos="210"/>
          <w:tab w:val="left" w:pos="840"/>
          <w:tab w:val="left" w:pos="1050"/>
          <w:tab w:val="left" w:pos="1260"/>
        </w:tabs>
        <w:spacing w:line="360" w:lineRule="auto"/>
        <w:ind w:left="829" w:hanging="82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投标人提供虚假材料投标的；</w:t>
      </w:r>
    </w:p>
    <w:p w14:paraId="340EB8B0">
      <w:pPr>
        <w:numPr>
          <w:ilvl w:val="2"/>
          <w:numId w:val="7"/>
        </w:numPr>
        <w:tabs>
          <w:tab w:val="left" w:pos="210"/>
          <w:tab w:val="left" w:pos="840"/>
          <w:tab w:val="left" w:pos="1050"/>
          <w:tab w:val="left" w:pos="1260"/>
        </w:tabs>
        <w:spacing w:line="360" w:lineRule="auto"/>
        <w:ind w:left="1049" w:hanging="104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投标人有恶意串通、妨碍其他投标人的竞争行为、损害采购人或者其他投标人的合法权益情形的；</w:t>
      </w:r>
    </w:p>
    <w:p w14:paraId="08DFAA26">
      <w:pPr>
        <w:numPr>
          <w:ilvl w:val="2"/>
          <w:numId w:val="7"/>
        </w:numPr>
        <w:tabs>
          <w:tab w:val="left" w:pos="210"/>
          <w:tab w:val="left" w:pos="840"/>
          <w:tab w:val="left" w:pos="1050"/>
          <w:tab w:val="left" w:pos="1260"/>
        </w:tabs>
        <w:spacing w:line="360" w:lineRule="auto"/>
        <w:ind w:left="1049" w:hanging="104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投标人仅提交备份投标文件，没有在电子交易平台传输递交投标文件的，投标无效；</w:t>
      </w:r>
    </w:p>
    <w:p w14:paraId="3FC791E9">
      <w:pPr>
        <w:numPr>
          <w:ilvl w:val="2"/>
          <w:numId w:val="7"/>
        </w:numPr>
        <w:tabs>
          <w:tab w:val="left" w:pos="210"/>
          <w:tab w:val="left" w:pos="840"/>
          <w:tab w:val="left" w:pos="1050"/>
          <w:tab w:val="left" w:pos="1260"/>
        </w:tabs>
        <w:spacing w:line="360" w:lineRule="auto"/>
        <w:ind w:left="1049" w:hanging="104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投标文件不满足招标文件的其它实质性要求的；</w:t>
      </w:r>
    </w:p>
    <w:p w14:paraId="566371A6">
      <w:pPr>
        <w:numPr>
          <w:ilvl w:val="2"/>
          <w:numId w:val="7"/>
        </w:numPr>
        <w:tabs>
          <w:tab w:val="left" w:pos="210"/>
          <w:tab w:val="left" w:pos="840"/>
          <w:tab w:val="left" w:pos="1050"/>
          <w:tab w:val="left" w:pos="1260"/>
        </w:tabs>
        <w:spacing w:line="360" w:lineRule="auto"/>
        <w:ind w:left="1049" w:hanging="1049"/>
        <w:rPr>
          <w:rFonts w:hint="eastAsia" w:ascii="仿宋" w:hAnsi="仿宋" w:eastAsia="仿宋" w:cs="Arial"/>
          <w:b/>
          <w:bCs/>
          <w:kern w:val="0"/>
          <w:sz w:val="24"/>
          <w:highlight w:val="none"/>
        </w:rPr>
      </w:pPr>
      <w:r>
        <w:rPr>
          <w:rFonts w:hint="eastAsia" w:ascii="仿宋" w:hAnsi="仿宋" w:eastAsia="仿宋" w:cs="Arial"/>
          <w:b/>
          <w:bCs/>
          <w:kern w:val="0"/>
          <w:sz w:val="24"/>
          <w:highlight w:val="none"/>
        </w:rPr>
        <w:t>法律、法规、规章（适用本市的）及省级以上规范性文件（适用本市的）规定的其他无效情形。</w:t>
      </w:r>
    </w:p>
    <w:p w14:paraId="094820CF">
      <w:pPr>
        <w:numPr>
          <w:ilvl w:val="0"/>
          <w:numId w:val="7"/>
        </w:numPr>
        <w:tabs>
          <w:tab w:val="left" w:pos="210"/>
          <w:tab w:val="clear" w:pos="399"/>
        </w:tabs>
        <w:spacing w:line="360" w:lineRule="auto"/>
        <w:rPr>
          <w:rFonts w:hint="eastAsia" w:ascii="仿宋" w:hAnsi="仿宋" w:eastAsia="仿宋" w:cs="Arial"/>
          <w:kern w:val="0"/>
          <w:sz w:val="24"/>
          <w:highlight w:val="none"/>
        </w:rPr>
      </w:pPr>
      <w:r>
        <w:rPr>
          <w:rFonts w:hint="eastAsia" w:ascii="仿宋" w:hAnsi="仿宋" w:eastAsia="仿宋" w:cs="Arial"/>
          <w:b/>
          <w:bCs/>
          <w:kern w:val="0"/>
          <w:sz w:val="24"/>
          <w:highlight w:val="none"/>
        </w:rPr>
        <w:t>废标。</w:t>
      </w:r>
      <w:r>
        <w:rPr>
          <w:rFonts w:hint="eastAsia" w:ascii="仿宋" w:hAnsi="仿宋" w:eastAsia="仿宋" w:cs="Arial"/>
          <w:kern w:val="0"/>
          <w:sz w:val="24"/>
          <w:highlight w:val="none"/>
        </w:rPr>
        <w:t>根据《中华人民共和国政府采购法》第三十六条之规定，在采购中，出现下列情形之一的，应予废标：</w:t>
      </w:r>
    </w:p>
    <w:p w14:paraId="68C44578">
      <w:pPr>
        <w:numPr>
          <w:ilvl w:val="1"/>
          <w:numId w:val="7"/>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符合专业条件的供应商或者对招标文件作实质响应的供应商不足3家的；</w:t>
      </w:r>
    </w:p>
    <w:p w14:paraId="05445A60">
      <w:pPr>
        <w:numPr>
          <w:ilvl w:val="1"/>
          <w:numId w:val="7"/>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出现影响采购公正的违法、违规行为的；</w:t>
      </w:r>
    </w:p>
    <w:p w14:paraId="7FF61344">
      <w:pPr>
        <w:numPr>
          <w:ilvl w:val="1"/>
          <w:numId w:val="7"/>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投标人的报价均超过了采购预算，采购人不能支付的；</w:t>
      </w:r>
    </w:p>
    <w:p w14:paraId="4A0C0C37">
      <w:pPr>
        <w:numPr>
          <w:ilvl w:val="1"/>
          <w:numId w:val="7"/>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因重大变故，采购任务取消的。</w:t>
      </w:r>
    </w:p>
    <w:p w14:paraId="4888D6EB">
      <w:pPr>
        <w:pStyle w:val="19"/>
        <w:snapToGrid w:val="0"/>
        <w:rPr>
          <w:rFonts w:ascii="仿宋" w:hAnsi="仿宋" w:eastAsia="仿宋" w:cs="仿宋_GB2312"/>
          <w:highlight w:val="none"/>
        </w:rPr>
      </w:pPr>
      <w:r>
        <w:rPr>
          <w:rFonts w:hint="eastAsia" w:ascii="仿宋" w:hAnsi="仿宋" w:eastAsia="仿宋" w:cs="仿宋_GB2312"/>
          <w:highlight w:val="none"/>
        </w:rPr>
        <w:t>废标后，采购代理机构应当将废标理由通知所有投标人。</w:t>
      </w:r>
    </w:p>
    <w:p w14:paraId="39B16129">
      <w:pPr>
        <w:numPr>
          <w:ilvl w:val="0"/>
          <w:numId w:val="7"/>
        </w:numPr>
        <w:tabs>
          <w:tab w:val="left" w:pos="210"/>
          <w:tab w:val="clear" w:pos="399"/>
        </w:tabs>
        <w:spacing w:line="360" w:lineRule="auto"/>
        <w:rPr>
          <w:rFonts w:hint="eastAsia" w:ascii="仿宋" w:hAnsi="仿宋" w:eastAsia="仿宋" w:cs="Arial"/>
          <w:kern w:val="0"/>
          <w:sz w:val="24"/>
          <w:highlight w:val="none"/>
        </w:rPr>
      </w:pPr>
      <w:r>
        <w:rPr>
          <w:rFonts w:hint="eastAsia" w:ascii="仿宋" w:hAnsi="仿宋" w:eastAsia="仿宋" w:cs="Arial"/>
          <w:b/>
          <w:bCs/>
          <w:kern w:val="0"/>
          <w:sz w:val="24"/>
          <w:highlight w:val="none"/>
        </w:rPr>
        <w:t>修改招标文件，重新组织采购活动。</w:t>
      </w:r>
      <w:r>
        <w:rPr>
          <w:rFonts w:hint="eastAsia" w:ascii="仿宋" w:hAnsi="仿宋" w:eastAsia="仿宋" w:cs="Arial"/>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1D9240">
      <w:pPr>
        <w:numPr>
          <w:ilvl w:val="0"/>
          <w:numId w:val="7"/>
        </w:numPr>
        <w:tabs>
          <w:tab w:val="left" w:pos="210"/>
          <w:tab w:val="clear" w:pos="399"/>
        </w:tabs>
        <w:spacing w:line="360" w:lineRule="auto"/>
        <w:rPr>
          <w:rFonts w:hint="eastAsia" w:ascii="仿宋" w:hAnsi="仿宋" w:eastAsia="仿宋" w:cs="Arial"/>
          <w:kern w:val="0"/>
          <w:sz w:val="24"/>
          <w:highlight w:val="none"/>
        </w:rPr>
      </w:pPr>
      <w:r>
        <w:rPr>
          <w:rFonts w:hint="eastAsia" w:ascii="仿宋" w:hAnsi="仿宋" w:eastAsia="仿宋" w:cs="Arial"/>
          <w:b/>
          <w:bCs/>
          <w:kern w:val="0"/>
          <w:sz w:val="24"/>
          <w:highlight w:val="none"/>
        </w:rPr>
        <w:t>重新开展采购。</w:t>
      </w:r>
      <w:r>
        <w:rPr>
          <w:rFonts w:hint="eastAsia" w:ascii="仿宋" w:hAnsi="仿宋" w:eastAsia="仿宋" w:cs="Arial"/>
          <w:kern w:val="0"/>
          <w:sz w:val="24"/>
          <w:highlight w:val="none"/>
        </w:rPr>
        <w:t>有政府采购法第七十一条、第七十二条规定的违法行为之一，影响或者可能影响中标、成交结果的，依照下列规定处理：</w:t>
      </w:r>
    </w:p>
    <w:p w14:paraId="1C03732D">
      <w:pPr>
        <w:numPr>
          <w:ilvl w:val="1"/>
          <w:numId w:val="8"/>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未确定中标或者中标人的，终止本次政府采购活动，重新开展政府采购活动。</w:t>
      </w:r>
    </w:p>
    <w:p w14:paraId="08BE9663">
      <w:pPr>
        <w:numPr>
          <w:ilvl w:val="1"/>
          <w:numId w:val="8"/>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19A59A86">
      <w:pPr>
        <w:numPr>
          <w:ilvl w:val="1"/>
          <w:numId w:val="8"/>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政府采购合同已签订但尚未履行的，撤销合同，从合格的中标或者成交候选人中另行确定中标或者中标人；没有合格的中标或者成交候选人的，重新开展政府采购活动。</w:t>
      </w:r>
    </w:p>
    <w:p w14:paraId="66D9928E">
      <w:pPr>
        <w:numPr>
          <w:ilvl w:val="1"/>
          <w:numId w:val="8"/>
        </w:numPr>
        <w:tabs>
          <w:tab w:val="left" w:pos="210"/>
        </w:tabs>
        <w:spacing w:line="360" w:lineRule="auto"/>
        <w:rPr>
          <w:rFonts w:hint="eastAsia" w:ascii="仿宋" w:hAnsi="仿宋" w:eastAsia="仿宋" w:cs="Arial"/>
          <w:kern w:val="0"/>
          <w:sz w:val="24"/>
          <w:highlight w:val="none"/>
        </w:rPr>
      </w:pPr>
      <w:r>
        <w:rPr>
          <w:rFonts w:hint="eastAsia" w:ascii="仿宋" w:hAnsi="仿宋" w:eastAsia="仿宋" w:cs="Arial"/>
          <w:kern w:val="0"/>
          <w:sz w:val="24"/>
          <w:highlight w:val="none"/>
        </w:rPr>
        <w:t>政府采购合同已经履行，给采购人、供应商造成损失的，由责任人承担赔偿责任。</w:t>
      </w:r>
    </w:p>
    <w:p w14:paraId="558E8067">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 w:hAnsi="仿宋" w:eastAsia="仿宋" w:cs="Arial"/>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r>
        <w:rPr>
          <w:rFonts w:hint="eastAsia" w:ascii="仿宋_GB2312" w:hAnsi="仿宋" w:eastAsia="仿宋_GB2312" w:cs="Arial"/>
          <w:b w:val="0"/>
          <w:bCs w:val="0"/>
          <w:color w:val="auto"/>
          <w:kern w:val="0"/>
          <w:sz w:val="24"/>
          <w:highlight w:val="none"/>
        </w:rPr>
        <w:t>。</w:t>
      </w:r>
    </w:p>
    <w:p w14:paraId="69F102BB">
      <w:pPr>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br w:type="page"/>
      </w:r>
    </w:p>
    <w:bookmarkEnd w:id="59"/>
    <w:p w14:paraId="688C4CEA">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bookmarkStart w:id="116" w:name="_Toc2880"/>
      <w:bookmarkStart w:id="117" w:name="_Toc19650"/>
      <w:bookmarkStart w:id="118" w:name="_Toc242012824"/>
      <w:r>
        <w:rPr>
          <w:rFonts w:hint="eastAsia" w:ascii="仿宋" w:hAnsi="仿宋" w:eastAsia="仿宋" w:cs="仿宋"/>
          <w:b/>
          <w:color w:val="auto"/>
          <w:sz w:val="30"/>
          <w:szCs w:val="30"/>
          <w:highlight w:val="none"/>
        </w:rPr>
        <w:t>第五部分  合同条款</w:t>
      </w:r>
      <w:bookmarkEnd w:id="116"/>
      <w:bookmarkEnd w:id="117"/>
      <w:bookmarkEnd w:id="118"/>
    </w:p>
    <w:p w14:paraId="457A3649">
      <w:pPr>
        <w:adjustRightInd w:val="0"/>
        <w:snapToGrid w:val="0"/>
        <w:spacing w:line="360" w:lineRule="auto"/>
        <w:ind w:firstLine="420" w:firstLineChars="200"/>
        <w:rPr>
          <w:rFonts w:ascii="仿宋" w:hAnsi="仿宋" w:eastAsia="仿宋" w:cs="仿宋"/>
          <w:snapToGrid w:val="0"/>
          <w:color w:val="auto"/>
          <w:kern w:val="0"/>
          <w:szCs w:val="21"/>
          <w:highlight w:val="none"/>
        </w:rPr>
      </w:pPr>
      <w:bookmarkStart w:id="119" w:name="_Toc249760790"/>
      <w:bookmarkStart w:id="120" w:name="_Hlk534720381"/>
      <w:bookmarkStart w:id="121" w:name="_Toc251566661"/>
      <w:r>
        <w:rPr>
          <w:rFonts w:hint="eastAsia" w:ascii="仿宋" w:hAnsi="仿宋" w:eastAsia="仿宋" w:cs="仿宋"/>
          <w:snapToGrid w:val="0"/>
          <w:color w:val="auto"/>
          <w:kern w:val="0"/>
          <w:szCs w:val="21"/>
          <w:highlight w:val="none"/>
        </w:rPr>
        <w:t>合同将由</w:t>
      </w:r>
      <w:r>
        <w:rPr>
          <w:rFonts w:hint="eastAsia" w:ascii="仿宋" w:hAnsi="仿宋" w:eastAsia="仿宋" w:cs="仿宋"/>
          <w:snapToGrid w:val="0"/>
          <w:color w:val="auto"/>
          <w:kern w:val="0"/>
          <w:szCs w:val="21"/>
          <w:highlight w:val="none"/>
          <w:lang w:eastAsia="zh-CN"/>
        </w:rPr>
        <w:t>杭州市钱塘区人民政府白杨街道办事处</w:t>
      </w:r>
      <w:r>
        <w:rPr>
          <w:rFonts w:hint="eastAsia" w:ascii="仿宋" w:hAnsi="仿宋" w:eastAsia="仿宋" w:cs="仿宋"/>
          <w:snapToGrid w:val="0"/>
          <w:color w:val="auto"/>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714C292C">
      <w:pPr>
        <w:snapToGrid w:val="0"/>
        <w:spacing w:before="120" w:beforeLines="50" w:after="120" w:afterLines="50"/>
        <w:jc w:val="center"/>
        <w:rPr>
          <w:rFonts w:ascii="仿宋" w:hAnsi="仿宋" w:eastAsia="仿宋" w:cs="仿宋"/>
          <w:color w:val="auto"/>
          <w:spacing w:val="-6"/>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119"/>
    <w:bookmarkEnd w:id="120"/>
    <w:bookmarkEnd w:id="121"/>
    <w:p w14:paraId="5CA3ED44">
      <w:pPr>
        <w:adjustRightInd w:val="0"/>
        <w:snapToGrid w:val="0"/>
        <w:spacing w:line="360" w:lineRule="auto"/>
        <w:ind w:firstLine="482" w:firstLineChars="200"/>
        <w:rPr>
          <w:rFonts w:hint="default" w:ascii="仿宋" w:hAnsi="仿宋" w:eastAsia="仿宋" w:cs="仿宋"/>
          <w:b/>
          <w:bCs/>
          <w:color w:val="auto"/>
          <w:sz w:val="24"/>
          <w:highlight w:val="none"/>
          <w:lang w:val="en-US" w:eastAsia="zh-CN"/>
        </w:rPr>
      </w:pPr>
      <w:bookmarkStart w:id="122" w:name="_Toc367274988"/>
      <w:bookmarkStart w:id="123" w:name="_Toc249760791"/>
      <w:bookmarkStart w:id="124" w:name="_Toc415814139"/>
      <w:bookmarkStart w:id="125" w:name="_Toc295465366"/>
      <w:bookmarkStart w:id="126" w:name="_Toc251566662"/>
      <w:r>
        <w:rPr>
          <w:rFonts w:hint="eastAsia" w:ascii="仿宋" w:hAnsi="仿宋" w:eastAsia="仿宋" w:cs="仿宋"/>
          <w:b/>
          <w:bCs/>
          <w:color w:val="auto"/>
          <w:sz w:val="24"/>
          <w:highlight w:val="none"/>
          <w:lang w:val="en-US" w:eastAsia="zh-CN"/>
        </w:rPr>
        <w:t>合同参考格式</w:t>
      </w:r>
    </w:p>
    <w:p w14:paraId="20E57765">
      <w:pPr>
        <w:snapToGrid w:val="0"/>
        <w:spacing w:before="120" w:beforeLines="50" w:after="120" w:afterLines="50"/>
        <w:jc w:val="center"/>
        <w:rPr>
          <w:rFonts w:hint="eastAsia" w:ascii="仿宋" w:hAnsi="仿宋" w:eastAsia="仿宋" w:cs="仿宋"/>
          <w:b/>
          <w:color w:val="auto"/>
          <w:sz w:val="32"/>
          <w:szCs w:val="32"/>
          <w:highlight w:val="none"/>
          <w:lang w:val="zh-CN"/>
        </w:rPr>
      </w:pPr>
    </w:p>
    <w:p w14:paraId="3CE20290">
      <w:pPr>
        <w:snapToGrid w:val="0"/>
        <w:spacing w:before="120" w:beforeLines="50" w:after="120" w:afterLines="50"/>
        <w:jc w:val="cente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白杨街道“小脑+手脚”，“四平台处置”服务采购项目合同（</w:t>
      </w:r>
      <w:r>
        <w:rPr>
          <w:rFonts w:hint="default" w:ascii="仿宋" w:hAnsi="仿宋" w:eastAsia="仿宋" w:cs="仿宋"/>
          <w:b/>
          <w:color w:val="auto"/>
          <w:sz w:val="32"/>
          <w:szCs w:val="32"/>
          <w:highlight w:val="none"/>
          <w:lang w:val="en-US"/>
        </w:rPr>
        <w:t>2024-2025</w:t>
      </w:r>
      <w:r>
        <w:rPr>
          <w:rFonts w:hint="eastAsia" w:ascii="仿宋" w:hAnsi="仿宋" w:eastAsia="仿宋" w:cs="仿宋"/>
          <w:b/>
          <w:color w:val="auto"/>
          <w:sz w:val="32"/>
          <w:szCs w:val="32"/>
          <w:highlight w:val="none"/>
          <w:lang w:val="en-US" w:eastAsia="zh-CN"/>
        </w:rPr>
        <w:t>年</w:t>
      </w:r>
      <w:r>
        <w:rPr>
          <w:rFonts w:hint="eastAsia" w:ascii="仿宋" w:hAnsi="仿宋" w:eastAsia="仿宋" w:cs="仿宋"/>
          <w:b/>
          <w:color w:val="auto"/>
          <w:sz w:val="32"/>
          <w:szCs w:val="32"/>
          <w:highlight w:val="none"/>
          <w:lang w:val="zh-CN"/>
        </w:rPr>
        <w:t>）</w:t>
      </w:r>
    </w:p>
    <w:p w14:paraId="2CEE8AA8">
      <w:pPr>
        <w:adjustRightInd w:val="0"/>
        <w:snapToGrid w:val="0"/>
        <w:spacing w:line="360" w:lineRule="auto"/>
        <w:ind w:firstLine="422" w:firstLineChars="200"/>
        <w:rPr>
          <w:rFonts w:ascii="仿宋" w:hAnsi="仿宋" w:eastAsia="仿宋" w:cs="仿宋"/>
          <w:b/>
          <w:color w:val="auto"/>
          <w:szCs w:val="21"/>
          <w:highlight w:val="none"/>
        </w:rPr>
      </w:pPr>
    </w:p>
    <w:p w14:paraId="338EE3FA">
      <w:pPr>
        <w:adjustRightInd w:val="0"/>
        <w:snapToGrid w:val="0"/>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lang w:eastAsia="zh-CN"/>
        </w:rPr>
        <w:t>杭州市钱塘区人民政府白杨街道办事处</w:t>
      </w:r>
    </w:p>
    <w:p w14:paraId="58EAE22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48BBDF5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14:paraId="24E55E2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0F12B69">
      <w:pPr>
        <w:tabs>
          <w:tab w:val="left" w:pos="6237"/>
          <w:tab w:val="left" w:pos="6521"/>
        </w:tabs>
        <w:adjustRightInd w:val="0"/>
        <w:snapToGrid w:val="0"/>
        <w:spacing w:line="360" w:lineRule="auto"/>
        <w:ind w:firstLine="480" w:firstLineChars="200"/>
        <w:rPr>
          <w:rFonts w:ascii="仿宋" w:hAnsi="仿宋" w:eastAsia="仿宋" w:cs="仿宋"/>
          <w:color w:val="auto"/>
          <w:sz w:val="24"/>
          <w:highlight w:val="none"/>
        </w:rPr>
      </w:pPr>
    </w:p>
    <w:p w14:paraId="11D9C06D">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乙方：</w:t>
      </w:r>
    </w:p>
    <w:p w14:paraId="5DDFF23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3AD7472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27B16FF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14:paraId="60E0B9C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14:paraId="5214525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14:paraId="2EEAB96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ABD55A4">
      <w:pPr>
        <w:adjustRightInd w:val="0"/>
        <w:snapToGrid w:val="0"/>
        <w:spacing w:line="360" w:lineRule="auto"/>
        <w:ind w:firstLine="480" w:firstLineChars="200"/>
        <w:rPr>
          <w:rFonts w:ascii="仿宋" w:hAnsi="仿宋" w:eastAsia="仿宋" w:cs="仿宋"/>
          <w:color w:val="auto"/>
          <w:sz w:val="24"/>
          <w:highlight w:val="none"/>
        </w:rPr>
      </w:pPr>
    </w:p>
    <w:p w14:paraId="65C30DDB">
      <w:pPr>
        <w:pStyle w:val="139"/>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依据《中华人民共和国政府采购法》、《</w:t>
      </w:r>
      <w:r>
        <w:rPr>
          <w:rFonts w:hint="eastAsia" w:ascii="仿宋" w:hAnsi="仿宋" w:eastAsia="仿宋" w:cs="仿宋"/>
          <w:color w:val="auto"/>
          <w:szCs w:val="24"/>
          <w:highlight w:val="none"/>
          <w:lang w:val="zh-CN"/>
        </w:rPr>
        <w:t>中华人民共和国民法典</w:t>
      </w:r>
      <w:r>
        <w:rPr>
          <w:rFonts w:hint="eastAsia" w:ascii="仿宋" w:hAnsi="仿宋" w:eastAsia="仿宋" w:cs="仿宋"/>
          <w:color w:val="auto"/>
          <w:szCs w:val="24"/>
          <w:highlight w:val="none"/>
        </w:rPr>
        <w:t>》等相关法律法规，以及</w:t>
      </w:r>
      <w:r>
        <w:rPr>
          <w:rFonts w:hint="eastAsia" w:ascii="仿宋" w:hAnsi="仿宋" w:eastAsia="仿宋" w:cs="仿宋"/>
          <w:color w:val="auto"/>
          <w:highlight w:val="none"/>
          <w:u w:val="single"/>
          <w:lang w:eastAsia="zh-CN"/>
        </w:rPr>
        <w:t>白杨街道“小脑+手脚”，“四平台处置”服务采购项目（2024-2025年）</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QTCG-GK-2024-176</w:t>
      </w:r>
      <w:r>
        <w:rPr>
          <w:rFonts w:hint="eastAsia" w:ascii="仿宋" w:hAnsi="仿宋" w:eastAsia="仿宋" w:cs="仿宋"/>
          <w:color w:val="auto"/>
          <w:szCs w:val="24"/>
          <w:highlight w:val="none"/>
        </w:rPr>
        <w:t>）的中标结果，</w:t>
      </w:r>
      <w:r>
        <w:rPr>
          <w:rFonts w:hint="eastAsia" w:ascii="仿宋" w:hAnsi="仿宋" w:eastAsia="仿宋" w:cs="仿宋"/>
          <w:color w:val="auto"/>
          <w:szCs w:val="24"/>
          <w:highlight w:val="none"/>
          <w:lang w:val="en-US" w:eastAsia="zh-CN"/>
        </w:rPr>
        <w:t>乙方为该项目</w:t>
      </w:r>
      <w:r>
        <w:rPr>
          <w:rFonts w:hint="eastAsia" w:ascii="仿宋" w:hAnsi="仿宋" w:eastAsia="仿宋" w:cs="仿宋"/>
          <w:color w:val="auto"/>
          <w:szCs w:val="24"/>
          <w:highlight w:val="none"/>
          <w:u w:val="none"/>
          <w:lang w:val="en-US" w:eastAsia="zh-CN"/>
        </w:rPr>
        <w:t>承接单位。甲乙双方</w:t>
      </w:r>
      <w:r>
        <w:rPr>
          <w:rFonts w:hint="eastAsia" w:ascii="仿宋" w:hAnsi="仿宋" w:eastAsia="仿宋" w:cs="仿宋"/>
          <w:color w:val="auto"/>
          <w:szCs w:val="24"/>
          <w:highlight w:val="none"/>
        </w:rPr>
        <w:t>在平等自愿的基础上，同意按照下面的条款和条件，签署政府采购合同。</w:t>
      </w:r>
    </w:p>
    <w:p w14:paraId="2B0DC25C">
      <w:pPr>
        <w:pStyle w:val="139"/>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p>
    <w:p w14:paraId="79CFE47B">
      <w:pPr>
        <w:adjustRightInd w:val="0"/>
        <w:snapToGrid w:val="0"/>
        <w:spacing w:line="360" w:lineRule="auto"/>
        <w:ind w:firstLine="477" w:firstLineChars="1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14:paraId="17D9F37C">
      <w:pPr>
        <w:adjustRightInd w:val="0"/>
        <w:snapToGrid w:val="0"/>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为加快推进街道“四平台”建设，进一步提升基层治理，服务群众的能力和水平，营造矛盾纠纷联调、治安问题联治、社会问题联抓、平安建设联创、为民实事联办的良好局面。拟"将小脑＋手脚"、"四平台处置"部分事项以公开招标方式进行服务采购，</w:t>
      </w:r>
    </w:p>
    <w:p w14:paraId="0818C05A">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1.2乙方主要工作内容</w:t>
      </w:r>
      <w:r>
        <w:rPr>
          <w:rFonts w:hint="eastAsia" w:ascii="仿宋" w:hAnsi="仿宋" w:eastAsia="仿宋" w:cs="仿宋"/>
          <w:color w:val="auto"/>
          <w:sz w:val="24"/>
          <w:highlight w:val="none"/>
          <w:lang w:val="en-US" w:eastAsia="zh-CN"/>
        </w:rPr>
        <w:t>包括但不限于</w:t>
      </w:r>
    </w:p>
    <w:p w14:paraId="1572FA8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1.2.1日常工作要求</w:t>
      </w:r>
    </w:p>
    <w:p w14:paraId="0B73B24E">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协助开展问题巡查、处置基层治理为主的服务内容。包括：</w:t>
      </w:r>
    </w:p>
    <w:p w14:paraId="1C678525">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（1）生态环境类：</w:t>
      </w:r>
      <w:r>
        <w:rPr>
          <w:rFonts w:hint="default" w:ascii="仿宋" w:hAnsi="仿宋" w:eastAsia="仿宋" w:cs="仿宋"/>
          <w:color w:val="auto"/>
          <w:sz w:val="24"/>
          <w:highlight w:val="none"/>
          <w:lang w:val="en-US" w:eastAsia="zh-CN"/>
        </w:rPr>
        <w:t>生态环境监管督查及处置；渣土及垃圾偷倒监管巡查及处置；拆违控违工作；瓶装燃气管控；</w:t>
      </w:r>
    </w:p>
    <w:p w14:paraId="61D1D695">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（2）交通管理类：</w:t>
      </w:r>
      <w:r>
        <w:rPr>
          <w:rFonts w:hint="default" w:ascii="仿宋" w:hAnsi="仿宋" w:eastAsia="仿宋" w:cs="仿宋"/>
          <w:color w:val="auto"/>
          <w:sz w:val="24"/>
          <w:highlight w:val="none"/>
          <w:lang w:val="en-US" w:eastAsia="zh-CN"/>
        </w:rPr>
        <w:t>劝导管理服务区域内机动车停放入“位”，非机动车停放有序</w:t>
      </w:r>
      <w:r>
        <w:rPr>
          <w:rFonts w:hint="default" w:ascii="仿宋" w:hAnsi="仿宋" w:eastAsia="仿宋" w:cs="仿宋"/>
          <w:color w:val="auto"/>
          <w:sz w:val="24"/>
          <w:highlight w:val="none"/>
          <w:lang w:eastAsia="zh-CN"/>
        </w:rPr>
        <w:t>，对机动车违停进行辅助执法贴单</w:t>
      </w:r>
      <w:r>
        <w:rPr>
          <w:rFonts w:hint="eastAsia" w:ascii="仿宋" w:hAnsi="仿宋" w:eastAsia="仿宋" w:cs="仿宋"/>
          <w:color w:val="auto"/>
          <w:sz w:val="24"/>
          <w:highlight w:val="none"/>
          <w:lang w:val="en-US" w:eastAsia="zh-CN"/>
        </w:rPr>
        <w:t>；</w:t>
      </w:r>
    </w:p>
    <w:p w14:paraId="24DA2E37">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城市序化管理</w:t>
      </w:r>
      <w:r>
        <w:rPr>
          <w:rFonts w:hint="eastAsia" w:ascii="仿宋" w:hAnsi="仿宋" w:eastAsia="仿宋" w:cs="仿宋"/>
          <w:color w:val="auto"/>
          <w:sz w:val="24"/>
          <w:highlight w:val="none"/>
          <w:lang w:val="en-US" w:eastAsia="zh-CN"/>
        </w:rPr>
        <w:t>类</w:t>
      </w:r>
      <w:r>
        <w:rPr>
          <w:rFonts w:hint="default" w:ascii="仿宋" w:hAnsi="仿宋" w:eastAsia="仿宋" w:cs="仿宋"/>
          <w:color w:val="auto"/>
          <w:sz w:val="24"/>
          <w:highlight w:val="none"/>
          <w:lang w:val="en-US" w:eastAsia="zh-CN"/>
        </w:rPr>
        <w:t>；制止无证流动摊贩内外设摊、沿街门店占道作业、出店经营；制止清理乱张贴，乱悬挂、乱堆放、乱搭建等行为；对乱晾晒及其他有碍市容观瞻的行为进行劝阻；对门店乱倒生活污水及乱堆装潢建筑垃圾加强管理；有序安排场内摊位，引导摊主规范经营，配合环卫部门定期清理疏导点内产生的垃圾；</w:t>
      </w:r>
    </w:p>
    <w:p w14:paraId="47D7B70B">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（4）平安类：根据企业自查和社区督导情况，每月不定期开展平安相关工作，督促相关企业开展安全生产问题自查自纠。</w:t>
      </w:r>
    </w:p>
    <w:p w14:paraId="4F7C1F4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1.2.2其他工作要求</w:t>
      </w:r>
    </w:p>
    <w:p w14:paraId="44E9D0DB">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协助开展整治、巡查相关工作。</w:t>
      </w:r>
    </w:p>
    <w:p w14:paraId="38344FC9">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（1）参与各类专项整治，配合做好平安建设工作；</w:t>
      </w:r>
    </w:p>
    <w:p w14:paraId="7EBE13CB">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（2）重点道路进行巡查工作；</w:t>
      </w:r>
    </w:p>
    <w:p w14:paraId="70C518A7">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（3）做好特定时期的重点人员管控及巡查工作；</w:t>
      </w:r>
    </w:p>
    <w:p w14:paraId="7020C970">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（4）在特定时期做好辖区危化企业等周边环境巡查；</w:t>
      </w:r>
    </w:p>
    <w:p w14:paraId="5E198CA1">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（5）完成街道或上级交办的其他工作任务。</w:t>
      </w:r>
    </w:p>
    <w:p w14:paraId="36CEA4E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1.2.3服务闭环</w:t>
      </w:r>
    </w:p>
    <w:p w14:paraId="057EF61C">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以下为</w:t>
      </w:r>
      <w:r>
        <w:rPr>
          <w:rFonts w:hint="eastAsia" w:ascii="仿宋" w:hAnsi="仿宋" w:eastAsia="仿宋" w:cs="仿宋"/>
          <w:color w:val="auto"/>
          <w:sz w:val="24"/>
          <w:highlight w:val="none"/>
          <w:lang w:val="en-US" w:eastAsia="zh-CN"/>
        </w:rPr>
        <w:t>服务闭环流程及管理相关要求，投标人在投标文件中应提供满足服务闭环流程及管理要求的响应方案。</w:t>
      </w:r>
    </w:p>
    <w:p w14:paraId="71CF5C05">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街道综合信息指挥室承担"小脑"职能,构建横向联动、纵向贯通的综合指挥体系,具体负责统筹协调、指挥调度、视频巡查、信息研判、事件流转、监督考核等工作。整合公安、综合行政执法、网格、综治、矛盾纠纷调解等力量,落实24小时运行的值班值守制度,建立工作指令"派单、签收、监督、反馈”闭环管理机制,统筹中心各项工作。</w:t>
      </w:r>
    </w:p>
    <w:p w14:paraId="39AE0907">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小脑”指挥室指挥员负责签收全部事件，安排人员力量前往现场处置，若属于警务类事件，需公安机关协同处置的，通知派出所同时赴现场处置，若需其他执法力量协助处置，由指挥员统一协调调度，做到“1分钟接收事件、3分钟联动响应、10分钟到达现场处置”。</w:t>
      </w:r>
    </w:p>
    <w:p w14:paraId="6A83B4F1">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指挥员需根据现场处置情况进行分类反馈：矛盾纠纷类已调解的按照办结反馈，未办结的说明原因，需要延长时间的，进行系统延期操作；需要上级单位协同处置的，通过系统及时上报；其他事件已妥善解决的，及时操作办结反馈。</w:t>
      </w:r>
    </w:p>
    <w:p w14:paraId="2D232FB0">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现场无法闭环处置，需街道相关职能科办、部门流转处置的事件，由夜班班组指挥员统一汇总，于次日交班时报至综合信息指挥室，由指挥室流转至相关职能科办或部门闭环处置，确保全部事件无缝衔接，严格闭环。</w:t>
      </w:r>
    </w:p>
    <w:p w14:paraId="2D5F3243">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highlight w:val="none"/>
          <w:lang w:val="en-US" w:eastAsia="zh-CN"/>
        </w:rPr>
      </w:pPr>
      <w:r>
        <w:rPr>
          <w:rFonts w:hint="eastAsia" w:ascii="仿宋" w:hAnsi="仿宋" w:eastAsia="仿宋" w:cs="仿宋"/>
          <w:color w:val="auto"/>
          <w:sz w:val="24"/>
          <w:szCs w:val="24"/>
          <w:highlight w:val="none"/>
          <w:lang w:val="en-US" w:eastAsia="zh-CN"/>
        </w:rPr>
        <w:t>详细内容见该项目采购文件第三部分，乙方投标文件。</w:t>
      </w:r>
    </w:p>
    <w:p w14:paraId="165095E0">
      <w:pPr>
        <w:adjustRightInd w:val="0"/>
        <w:snapToGrid w:val="0"/>
        <w:spacing w:line="360" w:lineRule="auto"/>
        <w:ind w:firstLine="477" w:firstLineChars="198"/>
        <w:rPr>
          <w:rFonts w:hint="default"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rPr>
        <w:t>二、服务人员</w:t>
      </w:r>
      <w:r>
        <w:rPr>
          <w:rFonts w:hint="eastAsia" w:ascii="仿宋" w:hAnsi="仿宋" w:eastAsia="仿宋" w:cs="仿宋"/>
          <w:b/>
          <w:color w:val="auto"/>
          <w:sz w:val="24"/>
          <w:szCs w:val="24"/>
          <w:highlight w:val="none"/>
          <w:lang w:val="en-US" w:eastAsia="zh-CN"/>
        </w:rPr>
        <w:t>、后勤保障相关要求</w:t>
      </w:r>
    </w:p>
    <w:p w14:paraId="15F1D57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2.1乙方按甲方投入特保人服务员，清单作为合同附件。</w:t>
      </w:r>
    </w:p>
    <w:p w14:paraId="47B00D1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乙方承诺：</w:t>
      </w:r>
      <w:r>
        <w:rPr>
          <w:rFonts w:hint="eastAsia" w:ascii="仿宋" w:hAnsi="仿宋" w:eastAsia="仿宋" w:cs="仿宋"/>
          <w:snapToGrid w:val="0"/>
          <w:color w:val="auto"/>
          <w:kern w:val="0"/>
          <w:sz w:val="24"/>
          <w:szCs w:val="24"/>
          <w:highlight w:val="none"/>
          <w:lang w:val="en-US" w:eastAsia="zh-CN"/>
        </w:rPr>
        <w:t>由于具体工作根据实际情况可能调整，乙方在上述要求基础上投入特保服务人员，并可根据实际情况进行调整，但最终服务效果、质量等应确保达到甲方要求</w:t>
      </w:r>
      <w:r>
        <w:rPr>
          <w:rFonts w:hint="eastAsia" w:ascii="仿宋" w:hAnsi="仿宋" w:eastAsia="仿宋" w:cs="仿宋"/>
          <w:color w:val="auto"/>
          <w:sz w:val="24"/>
          <w:szCs w:val="24"/>
          <w:highlight w:val="none"/>
          <w:lang w:val="en-US" w:eastAsia="zh-CN"/>
        </w:rPr>
        <w:t>。</w:t>
      </w:r>
    </w:p>
    <w:p w14:paraId="0B3A89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项目团队管理人员由乙方派出。</w:t>
      </w:r>
    </w:p>
    <w:p w14:paraId="1E388B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2.2乙方根据甲方要求提供车辆，清单作为合同附件。</w:t>
      </w:r>
    </w:p>
    <w:p w14:paraId="42701C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highlight w:val="none"/>
          <w:lang w:val="en-US" w:eastAsia="zh-CN"/>
        </w:rPr>
      </w:pPr>
      <w:r>
        <w:rPr>
          <w:rFonts w:hint="eastAsia" w:ascii="仿宋" w:hAnsi="仿宋" w:eastAsia="仿宋" w:cs="仿宋"/>
          <w:color w:val="auto"/>
          <w:sz w:val="24"/>
          <w:szCs w:val="24"/>
          <w:highlight w:val="none"/>
          <w:lang w:val="en-US" w:eastAsia="zh-CN"/>
        </w:rPr>
        <w:t>乙方承诺：</w:t>
      </w:r>
      <w:r>
        <w:rPr>
          <w:rFonts w:hint="eastAsia" w:ascii="仿宋" w:hAnsi="仿宋" w:eastAsia="仿宋" w:cs="仿宋"/>
          <w:snapToGrid w:val="0"/>
          <w:color w:val="auto"/>
          <w:kern w:val="0"/>
          <w:sz w:val="24"/>
          <w:szCs w:val="24"/>
          <w:highlight w:val="none"/>
          <w:lang w:val="en-US" w:eastAsia="zh-CN"/>
        </w:rPr>
        <w:t>由于具体工作根据实际情况可能调整，乙方在上述要求基础上投入巡查车辆，并可根据实际情况进行调整，但最终服务效果、质量等应确保达到甲方要求</w:t>
      </w:r>
      <w:r>
        <w:rPr>
          <w:rFonts w:hint="eastAsia" w:ascii="仿宋" w:hAnsi="仿宋" w:eastAsia="仿宋" w:cs="仿宋"/>
          <w:color w:val="auto"/>
          <w:sz w:val="24"/>
          <w:szCs w:val="24"/>
          <w:highlight w:val="none"/>
          <w:lang w:val="en-US" w:eastAsia="zh-CN"/>
        </w:rPr>
        <w:t>。</w:t>
      </w:r>
    </w:p>
    <w:p w14:paraId="0DC4BE1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2.3乙方根据甲方要求，提供个人服装及装备及其他相关后勤保障。</w:t>
      </w:r>
    </w:p>
    <w:p w14:paraId="105B6C6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highlight w:val="none"/>
          <w:lang w:val="en-US" w:eastAsia="zh-CN"/>
        </w:rPr>
      </w:pPr>
      <w:r>
        <w:rPr>
          <w:rFonts w:hint="eastAsia" w:ascii="仿宋" w:hAnsi="仿宋" w:eastAsia="仿宋" w:cs="仿宋"/>
          <w:color w:val="auto"/>
          <w:sz w:val="24"/>
          <w:szCs w:val="24"/>
          <w:highlight w:val="none"/>
          <w:lang w:val="en-US" w:eastAsia="zh-CN"/>
        </w:rPr>
        <w:t>2.4乙方必须在合同签订前提供所有特保服务人员的有效公安部门颁发的《保安资格证》原件供甲方审核，并须经过主管部门备案合格。如果乙方不能提供所有特保人员的有效《保安资格证》原件，或特保人员不能通过主管部门备案，则甲方有权废除乙方履约资格。</w:t>
      </w:r>
    </w:p>
    <w:p w14:paraId="7C251CF5">
      <w:pPr>
        <w:adjustRightInd w:val="0"/>
        <w:snapToGrid w:val="0"/>
        <w:spacing w:line="360" w:lineRule="auto"/>
        <w:ind w:firstLine="357" w:firstLineChars="14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三、合同金额</w:t>
      </w:r>
    </w:p>
    <w:p w14:paraId="18D274FA">
      <w:pPr>
        <w:tabs>
          <w:tab w:val="left" w:pos="540"/>
        </w:tabs>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3.1合同价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年总价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合同月总价为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w:t>
      </w:r>
    </w:p>
    <w:p w14:paraId="58886237">
      <w:pPr>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3.2合同费用已</w:t>
      </w:r>
      <w:r>
        <w:rPr>
          <w:rFonts w:hint="eastAsia" w:ascii="仿宋" w:hAnsi="仿宋" w:eastAsia="仿宋" w:cs="仿宋"/>
          <w:bCs/>
          <w:color w:val="auto"/>
          <w:sz w:val="24"/>
          <w:szCs w:val="24"/>
          <w:highlight w:val="none"/>
        </w:rPr>
        <w:t>包括为完成本项目服务可能发生的全部费用及投标人的利润和应交纳的税金等。</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对合同内容的费用、质量、安全、文明服务等实行全面承包。</w:t>
      </w:r>
    </w:p>
    <w:p w14:paraId="7754AC3F">
      <w:pPr>
        <w:snapToGrid w:val="0"/>
        <w:spacing w:line="360" w:lineRule="auto"/>
        <w:ind w:firstLine="495" w:firstLineChars="199"/>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四、履约保证金</w:t>
      </w:r>
    </w:p>
    <w:p w14:paraId="6C7CF5ED">
      <w:pPr>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无。如有违约情形，相关违约款从应付合同款中扣除。</w:t>
      </w:r>
    </w:p>
    <w:p w14:paraId="3FFE46D2">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五、转包</w:t>
      </w:r>
    </w:p>
    <w:p w14:paraId="6DD17669">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5.1本合同范围的服务项目，应由乙方直接服务，不得转让他人</w:t>
      </w:r>
      <w:r>
        <w:rPr>
          <w:rFonts w:hint="eastAsia" w:ascii="仿宋" w:hAnsi="仿宋" w:eastAsia="仿宋" w:cs="仿宋"/>
          <w:color w:val="auto"/>
          <w:sz w:val="24"/>
          <w:szCs w:val="24"/>
          <w:highlight w:val="none"/>
          <w:lang w:eastAsia="zh-CN"/>
        </w:rPr>
        <w:t>。</w:t>
      </w:r>
    </w:p>
    <w:p w14:paraId="66F816D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5.2如有转让</w:t>
      </w:r>
      <w:r>
        <w:rPr>
          <w:rFonts w:hint="eastAsia" w:ascii="仿宋" w:hAnsi="仿宋" w:eastAsia="仿宋" w:cs="仿宋"/>
          <w:color w:val="auto"/>
          <w:sz w:val="24"/>
          <w:szCs w:val="24"/>
          <w:highlight w:val="none"/>
          <w:lang w:val="en-US" w:eastAsia="zh-CN"/>
        </w:rPr>
        <w:t>项目标的</w:t>
      </w:r>
      <w:r>
        <w:rPr>
          <w:rFonts w:hint="eastAsia" w:ascii="仿宋" w:hAnsi="仿宋" w:eastAsia="仿宋" w:cs="仿宋"/>
          <w:color w:val="auto"/>
          <w:sz w:val="24"/>
          <w:szCs w:val="24"/>
          <w:highlight w:val="none"/>
        </w:rPr>
        <w:t>行为，甲方有权终止合同。</w:t>
      </w:r>
    </w:p>
    <w:p w14:paraId="01119EDE">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六、合同履行时间、履行地点</w:t>
      </w:r>
    </w:p>
    <w:p w14:paraId="1C89521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6.1履行时间：</w:t>
      </w:r>
      <w:r>
        <w:rPr>
          <w:rFonts w:hint="eastAsia" w:ascii="仿宋" w:hAnsi="仿宋" w:eastAsia="仿宋" w:cs="仿宋"/>
          <w:color w:val="auto"/>
          <w:sz w:val="24"/>
          <w:szCs w:val="24"/>
          <w:highlight w:val="none"/>
          <w:lang w:val="en-US" w:eastAsia="zh-CN"/>
        </w:rPr>
        <w:t>整体服务期为1年，</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日止。</w:t>
      </w:r>
    </w:p>
    <w:p w14:paraId="5058C3B8">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6.2履行地点：</w:t>
      </w:r>
      <w:r>
        <w:rPr>
          <w:rFonts w:hint="eastAsia" w:ascii="仿宋" w:hAnsi="仿宋" w:eastAsia="仿宋" w:cs="仿宋"/>
          <w:color w:val="auto"/>
          <w:sz w:val="24"/>
          <w:szCs w:val="24"/>
          <w:highlight w:val="none"/>
          <w:lang w:val="en-US" w:eastAsia="zh-CN"/>
        </w:rPr>
        <w:t>按甲方要求。</w:t>
      </w:r>
    </w:p>
    <w:p w14:paraId="4EF9F05B">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6.3本项目交接时间以采购人通知为准。乙方应为本项目制定项目平稳交接过渡方案，确保不出现纠纷、投诉、或引起服务无法保障的情形。</w:t>
      </w:r>
    </w:p>
    <w:p w14:paraId="5AEF7FF6">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 xml:space="preserve">七、款项支付 </w:t>
      </w:r>
    </w:p>
    <w:p w14:paraId="26A85778">
      <w:pPr>
        <w:pStyle w:val="2"/>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lang w:val="en-US" w:eastAsia="zh-CN"/>
        </w:rPr>
        <w:t>预付款</w:t>
      </w:r>
    </w:p>
    <w:p w14:paraId="04F9D0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（1）合同生效后具备实施条件5个工作日内，甲方向乙方支付合同总价的40%作为预付款；（四舍五入进位到千元）</w:t>
      </w:r>
    </w:p>
    <w:p w14:paraId="7B792F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（2）支付了预付款的，甲方有权要求乙方提供预付款金额等额的且不可撤销的预付款保函。预付款金额可抵扣合同款；</w:t>
      </w:r>
    </w:p>
    <w:p w14:paraId="09FCBB77">
      <w:pPr>
        <w:pStyle w:val="2"/>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（3）在签订合同时，乙方明确表示无需预付款或者主动要求降低预付款比例的，可不适用预付款相关规定。</w:t>
      </w:r>
    </w:p>
    <w:p w14:paraId="0EC854AE">
      <w:pPr>
        <w:pStyle w:val="2"/>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7.2合同款付款方式</w:t>
      </w:r>
    </w:p>
    <w:p w14:paraId="4866344C">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（1）支付时间：按月支付</w:t>
      </w:r>
      <w:r>
        <w:rPr>
          <w:rFonts w:hint="eastAsia" w:ascii="仿宋" w:hAnsi="仿宋" w:eastAsia="仿宋" w:cs="仿宋"/>
          <w:color w:val="auto"/>
          <w:sz w:val="24"/>
          <w:highlight w:val="none"/>
          <w:lang w:eastAsia="zh-CN"/>
        </w:rPr>
        <w:t>。</w:t>
      </w:r>
    </w:p>
    <w:p w14:paraId="60814AB5">
      <w:pPr>
        <w:adjustRightInd w:val="0"/>
        <w:snapToGrid w:val="0"/>
        <w:spacing w:line="360" w:lineRule="auto"/>
        <w:ind w:firstLine="480" w:firstLineChars="200"/>
        <w:rPr>
          <w:rFonts w:hint="eastAsia"/>
          <w:color w:val="auto"/>
          <w:highlight w:val="none"/>
          <w:lang w:val="en-US" w:eastAsia="zh-CN"/>
        </w:rPr>
      </w:pPr>
      <w:r>
        <w:rPr>
          <w:rFonts w:hint="eastAsia" w:ascii="仿宋" w:hAnsi="仿宋" w:eastAsia="仿宋" w:cs="仿宋"/>
          <w:color w:val="auto"/>
          <w:sz w:val="24"/>
          <w:highlight w:val="none"/>
          <w:lang w:val="en-US" w:eastAsia="zh-CN"/>
        </w:rPr>
        <w:t>（2）支付方式：项目过程中，甲方</w:t>
      </w:r>
      <w:r>
        <w:rPr>
          <w:rFonts w:hint="eastAsia" w:ascii="仿宋" w:hAnsi="仿宋" w:eastAsia="仿宋" w:cs="仿宋"/>
          <w:color w:val="auto"/>
          <w:sz w:val="24"/>
          <w:highlight w:val="none"/>
        </w:rPr>
        <w:t>每月20日前支付</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前一个月</w:t>
      </w:r>
      <w:r>
        <w:rPr>
          <w:rFonts w:hint="eastAsia" w:ascii="仿宋" w:hAnsi="仿宋" w:eastAsia="仿宋" w:cs="仿宋"/>
          <w:color w:val="auto"/>
          <w:sz w:val="24"/>
          <w:highlight w:val="none"/>
          <w:lang w:val="en-US" w:eastAsia="zh-CN"/>
        </w:rPr>
        <w:t>特保服务</w:t>
      </w:r>
      <w:r>
        <w:rPr>
          <w:rFonts w:hint="eastAsia" w:ascii="仿宋" w:hAnsi="仿宋" w:eastAsia="仿宋" w:cs="仿宋"/>
          <w:color w:val="auto"/>
          <w:sz w:val="24"/>
          <w:highlight w:val="none"/>
        </w:rPr>
        <w:t>费用，</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须于每月10日前给</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正规、等额、合法、有效的发票和需求单位明确过的考勤表。</w:t>
      </w:r>
    </w:p>
    <w:p w14:paraId="14145A4F">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7.3费用结算原则</w:t>
      </w:r>
    </w:p>
    <w:p w14:paraId="40D9D05F">
      <w:pPr>
        <w:pStyle w:val="2"/>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（1）实际结算金额=应付金额-罚款金额。根据资金支付情况及财政支付制度，最终付款方式以双方确认，合同明确为准。</w:t>
      </w:r>
    </w:p>
    <w:p w14:paraId="72223E22">
      <w:pPr>
        <w:pStyle w:val="2"/>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（2）涉及的费用均视作已包含在报价中，乙方已考虑妥当，甲方不再支付其余费用。</w:t>
      </w:r>
    </w:p>
    <w:p w14:paraId="1332F65F">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八、双方权利义务</w:t>
      </w:r>
    </w:p>
    <w:p w14:paraId="505075C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8.1甲方权利义务</w:t>
      </w:r>
    </w:p>
    <w:p w14:paraId="0F1E149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8.1.1甲方依约享有所规定服务项目、范围的权利。</w:t>
      </w:r>
    </w:p>
    <w:p w14:paraId="54DA5BC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8.1.2甲方可对乙方派驻人员进行针对性培训，并对其进行管理考核，对不符合要求的人员有要求调换的权力。</w:t>
      </w:r>
    </w:p>
    <w:p w14:paraId="7568C01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8.1.3甲方须按本合同约定向乙方支付服务费用，以外，甲方无需承担其他费用。</w:t>
      </w:r>
    </w:p>
    <w:p w14:paraId="6EECC21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8.1.4甲方对乙方提供的服务，随时有检查、督查权，发现问题可随时向乙方提出整改意见，乙方在不违反合同条款的基础下无条件执行。</w:t>
      </w:r>
    </w:p>
    <w:p w14:paraId="39F3DB9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8.1.5甲方有权派驻现场管理员对乙方的工作做指导及指挥，乙方人员无条件服从。</w:t>
      </w:r>
    </w:p>
    <w:p w14:paraId="2190DCA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8.1.6甲方及时同被服务方沟通，确保乙方的服务如约完成，乙方未得到甲方认可不得同被服务方另行商定服务事宜。</w:t>
      </w:r>
    </w:p>
    <w:p w14:paraId="29E7FCA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8.1.7甲方有权对乙方派往人员进行政治审核。 </w:t>
      </w:r>
    </w:p>
    <w:p w14:paraId="599E2BB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8.1.8甲方有权依据综合考评表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或甲方制定的考核办法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进行相应的服务费用奖罚。</w:t>
      </w:r>
    </w:p>
    <w:p w14:paraId="079C269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8.2乙方权利义务</w:t>
      </w:r>
    </w:p>
    <w:p w14:paraId="71DD86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8.2.1乙方应严格按照本合同中所规定之范围、内容完成相关服务。</w:t>
      </w:r>
    </w:p>
    <w:p w14:paraId="185A8D6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8.2.2乙方根据有关法律、法规及本合同之约定，制定具体</w:t>
      </w:r>
      <w:r>
        <w:rPr>
          <w:rFonts w:hint="eastAsia" w:ascii="仿宋" w:hAnsi="仿宋" w:eastAsia="仿宋" w:cs="仿宋"/>
          <w:color w:val="auto"/>
          <w:sz w:val="24"/>
          <w:szCs w:val="24"/>
          <w:highlight w:val="none"/>
          <w:lang w:val="en-US" w:eastAsia="zh-CN"/>
        </w:rPr>
        <w:t>特保服务</w:t>
      </w:r>
      <w:r>
        <w:rPr>
          <w:rFonts w:hint="eastAsia" w:ascii="仿宋" w:hAnsi="仿宋" w:eastAsia="仿宋" w:cs="仿宋"/>
          <w:color w:val="auto"/>
          <w:sz w:val="24"/>
          <w:szCs w:val="24"/>
          <w:highlight w:val="none"/>
        </w:rPr>
        <w:t>方案。</w:t>
      </w:r>
    </w:p>
    <w:p w14:paraId="14B4849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8.2.3乙方对所签收的甲方物品负保管责任，如因乙方的原因造成损失的，由乙方进行赔偿。</w:t>
      </w:r>
    </w:p>
    <w:p w14:paraId="6DE2E99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8.2.4乙方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人员如请假，乙方应调配其他人员顶替，人员更换应及时告知甲方，并得到甲方认可。</w:t>
      </w:r>
    </w:p>
    <w:p w14:paraId="5A8D4EF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8.2.5乙方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人员与第三方发生纠纷的由乙方负责处理。</w:t>
      </w:r>
    </w:p>
    <w:p w14:paraId="4CD4E1B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8.2.6乙方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人员在工作地点必须服从甲方管理及工作安排。</w:t>
      </w:r>
    </w:p>
    <w:p w14:paraId="1991D5E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8.2.7乙方对其</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人员负全权管理责任，并承担</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人员所产生的一切经济、劳资、安全责任。</w:t>
      </w:r>
    </w:p>
    <w:p w14:paraId="4F751A2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8.2.8乙方全责承担乙方人员的人身安全（如工伤、事故、伤害、死亡等相关一切事宜）、侵权、索赔等责任，乙方必须保障员工有合理的休息时间，避免疲劳作业。</w:t>
      </w:r>
    </w:p>
    <w:p w14:paraId="7FCB12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8.2.9乙方应在其员工进场前办理好相关保险。</w:t>
      </w:r>
    </w:p>
    <w:p w14:paraId="283A48B7">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九、质量保证及后续服务</w:t>
      </w:r>
    </w:p>
    <w:p w14:paraId="3E88B6E2">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9.1</w:t>
      </w:r>
      <w:r>
        <w:rPr>
          <w:rFonts w:hint="eastAsia" w:ascii="仿宋" w:hAnsi="仿宋" w:eastAsia="仿宋" w:cs="仿宋"/>
          <w:color w:val="auto"/>
          <w:sz w:val="24"/>
          <w:szCs w:val="24"/>
          <w:highlight w:val="none"/>
        </w:rPr>
        <w:t>乙方</w:t>
      </w:r>
      <w:r>
        <w:rPr>
          <w:rFonts w:hint="eastAsia" w:ascii="仿宋" w:hAnsi="仿宋" w:eastAsia="仿宋" w:cs="仿宋"/>
          <w:color w:val="auto"/>
          <w:spacing w:val="4"/>
          <w:kern w:val="0"/>
          <w:sz w:val="24"/>
          <w:szCs w:val="24"/>
          <w:highlight w:val="none"/>
        </w:rPr>
        <w:t>应按采购文件规定的</w:t>
      </w:r>
      <w:r>
        <w:rPr>
          <w:rFonts w:hint="eastAsia" w:ascii="仿宋" w:hAnsi="仿宋" w:eastAsia="仿宋" w:cs="仿宋"/>
          <w:color w:val="auto"/>
          <w:spacing w:val="4"/>
          <w:kern w:val="0"/>
          <w:sz w:val="24"/>
          <w:szCs w:val="24"/>
          <w:highlight w:val="none"/>
          <w:u w:val="single"/>
        </w:rPr>
        <w:t>服务内容及标准</w:t>
      </w:r>
      <w:r>
        <w:rPr>
          <w:rFonts w:hint="eastAsia" w:ascii="仿宋" w:hAnsi="仿宋" w:eastAsia="仿宋" w:cs="仿宋"/>
          <w:color w:val="auto"/>
          <w:spacing w:val="4"/>
          <w:kern w:val="0"/>
          <w:sz w:val="24"/>
          <w:szCs w:val="24"/>
          <w:highlight w:val="none"/>
        </w:rPr>
        <w:t>向甲方提供服务。</w:t>
      </w:r>
    </w:p>
    <w:p w14:paraId="5DAF1E7E">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9.2如</w:t>
      </w:r>
      <w:r>
        <w:rPr>
          <w:rFonts w:hint="eastAsia" w:ascii="仿宋" w:hAnsi="仿宋" w:eastAsia="仿宋" w:cs="仿宋"/>
          <w:color w:val="auto"/>
          <w:sz w:val="24"/>
          <w:szCs w:val="24"/>
          <w:highlight w:val="none"/>
        </w:rPr>
        <w:t>甲方</w:t>
      </w:r>
      <w:r>
        <w:rPr>
          <w:rFonts w:hint="eastAsia" w:ascii="仿宋" w:hAnsi="仿宋" w:eastAsia="仿宋" w:cs="仿宋"/>
          <w:color w:val="auto"/>
          <w:spacing w:val="4"/>
          <w:kern w:val="0"/>
          <w:sz w:val="24"/>
          <w:szCs w:val="24"/>
          <w:highlight w:val="none"/>
        </w:rPr>
        <w:t>检查发现乙方提供的</w:t>
      </w:r>
      <w:r>
        <w:rPr>
          <w:rFonts w:hint="eastAsia" w:ascii="仿宋" w:hAnsi="仿宋" w:eastAsia="仿宋" w:cs="仿宋"/>
          <w:color w:val="auto"/>
          <w:spacing w:val="4"/>
          <w:kern w:val="0"/>
          <w:sz w:val="24"/>
          <w:szCs w:val="24"/>
          <w:highlight w:val="none"/>
          <w:lang w:val="en-US" w:eastAsia="zh-CN"/>
        </w:rPr>
        <w:t>特保服务</w:t>
      </w:r>
      <w:r>
        <w:rPr>
          <w:rFonts w:hint="eastAsia" w:ascii="仿宋" w:hAnsi="仿宋" w:eastAsia="仿宋" w:cs="仿宋"/>
          <w:color w:val="auto"/>
          <w:spacing w:val="4"/>
          <w:kern w:val="0"/>
          <w:sz w:val="24"/>
          <w:szCs w:val="24"/>
          <w:highlight w:val="none"/>
        </w:rPr>
        <w:t>不符合标准要求，乙方应立即进行整改，直到符合要求为止。甲方可根据考核标准从</w:t>
      </w:r>
      <w:r>
        <w:rPr>
          <w:rFonts w:hint="eastAsia" w:ascii="仿宋" w:hAnsi="仿宋" w:eastAsia="仿宋" w:cs="仿宋"/>
          <w:color w:val="auto"/>
          <w:spacing w:val="4"/>
          <w:kern w:val="0"/>
          <w:sz w:val="24"/>
          <w:szCs w:val="24"/>
          <w:highlight w:val="none"/>
          <w:lang w:val="en-US" w:eastAsia="zh-CN"/>
        </w:rPr>
        <w:t>应付合同款</w:t>
      </w:r>
      <w:r>
        <w:rPr>
          <w:rFonts w:hint="eastAsia" w:ascii="仿宋" w:hAnsi="仿宋" w:eastAsia="仿宋" w:cs="仿宋"/>
          <w:color w:val="auto"/>
          <w:spacing w:val="4"/>
          <w:kern w:val="0"/>
          <w:sz w:val="24"/>
          <w:szCs w:val="24"/>
          <w:highlight w:val="none"/>
        </w:rPr>
        <w:t>中扣除乙方因检查不合格而应该扣罚的款项。</w:t>
      </w:r>
    </w:p>
    <w:p w14:paraId="10779F78">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由于乙方</w:t>
      </w:r>
      <w:r>
        <w:rPr>
          <w:rFonts w:hint="eastAsia" w:ascii="仿宋" w:hAnsi="仿宋" w:eastAsia="仿宋" w:cs="仿宋"/>
          <w:color w:val="auto"/>
          <w:spacing w:val="4"/>
          <w:kern w:val="0"/>
          <w:sz w:val="24"/>
          <w:szCs w:val="24"/>
          <w:highlight w:val="none"/>
          <w:lang w:eastAsia="zh-CN"/>
        </w:rPr>
        <w:t>特保服务人员</w:t>
      </w:r>
      <w:r>
        <w:rPr>
          <w:rFonts w:hint="eastAsia" w:ascii="仿宋" w:hAnsi="仿宋" w:eastAsia="仿宋" w:cs="仿宋"/>
          <w:color w:val="auto"/>
          <w:spacing w:val="4"/>
          <w:kern w:val="0"/>
          <w:sz w:val="24"/>
          <w:szCs w:val="24"/>
          <w:highlight w:val="none"/>
        </w:rPr>
        <w:t>原因在工作中给甲方的设施、材料造成损失，乙方应负责赔偿。</w:t>
      </w:r>
    </w:p>
    <w:p w14:paraId="67B4318B">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w:t>
      </w:r>
      <w:r>
        <w:rPr>
          <w:rFonts w:hint="eastAsia" w:ascii="仿宋" w:hAnsi="仿宋" w:eastAsia="仿宋" w:cs="仿宋"/>
          <w:color w:val="auto"/>
          <w:spacing w:val="4"/>
          <w:kern w:val="0"/>
          <w:sz w:val="24"/>
          <w:szCs w:val="24"/>
          <w:highlight w:val="none"/>
          <w:lang w:val="en-US" w:eastAsia="zh-CN"/>
        </w:rPr>
        <w:t>4</w:t>
      </w:r>
      <w:r>
        <w:rPr>
          <w:rFonts w:hint="eastAsia" w:ascii="仿宋" w:hAnsi="仿宋" w:eastAsia="仿宋" w:cs="仿宋"/>
          <w:color w:val="auto"/>
          <w:spacing w:val="4"/>
          <w:kern w:val="0"/>
          <w:sz w:val="24"/>
          <w:szCs w:val="24"/>
          <w:highlight w:val="none"/>
        </w:rPr>
        <w:t xml:space="preserve">如在服务过程中发生问题，乙方在接到甲方通知后在 </w:t>
      </w:r>
      <w:r>
        <w:rPr>
          <w:rFonts w:hint="eastAsia" w:ascii="仿宋" w:hAnsi="仿宋" w:eastAsia="仿宋" w:cs="仿宋"/>
          <w:color w:val="auto"/>
          <w:spacing w:val="4"/>
          <w:kern w:val="0"/>
          <w:sz w:val="24"/>
          <w:szCs w:val="24"/>
          <w:highlight w:val="none"/>
          <w:u w:val="single"/>
          <w:lang w:val="en-US" w:eastAsia="zh-CN"/>
        </w:rPr>
        <w:t xml:space="preserve"> 2 </w:t>
      </w:r>
      <w:r>
        <w:rPr>
          <w:rFonts w:hint="eastAsia" w:ascii="仿宋" w:hAnsi="仿宋" w:eastAsia="仿宋" w:cs="仿宋"/>
          <w:color w:val="auto"/>
          <w:spacing w:val="4"/>
          <w:kern w:val="0"/>
          <w:sz w:val="24"/>
          <w:szCs w:val="24"/>
          <w:highlight w:val="none"/>
        </w:rPr>
        <w:t>小时内到达甲方现场。</w:t>
      </w:r>
    </w:p>
    <w:p w14:paraId="7166C90F">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w:t>
      </w:r>
      <w:r>
        <w:rPr>
          <w:rFonts w:hint="eastAsia" w:ascii="仿宋" w:hAnsi="仿宋" w:eastAsia="仿宋" w:cs="仿宋"/>
          <w:color w:val="auto"/>
          <w:spacing w:val="4"/>
          <w:kern w:val="0"/>
          <w:sz w:val="24"/>
          <w:szCs w:val="24"/>
          <w:highlight w:val="none"/>
          <w:lang w:val="en-US" w:eastAsia="zh-CN"/>
        </w:rPr>
        <w:t>5</w:t>
      </w:r>
      <w:r>
        <w:rPr>
          <w:rFonts w:hint="eastAsia" w:ascii="仿宋" w:hAnsi="仿宋" w:eastAsia="仿宋" w:cs="仿宋"/>
          <w:color w:val="auto"/>
          <w:spacing w:val="4"/>
          <w:kern w:val="0"/>
          <w:sz w:val="24"/>
          <w:szCs w:val="24"/>
          <w:highlight w:val="none"/>
        </w:rPr>
        <w:t>在服务质量保证期内，乙方应对出现的质量及安全问题负责处理解决并承担一切费用。</w:t>
      </w:r>
    </w:p>
    <w:p w14:paraId="60B9EF8B">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验收</w:t>
      </w:r>
    </w:p>
    <w:p w14:paraId="33262415">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10.1主体：甲方。</w:t>
      </w:r>
    </w:p>
    <w:p w14:paraId="6AA9D5D5">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w:t>
      </w:r>
      <w:r>
        <w:rPr>
          <w:rFonts w:hint="eastAsia" w:ascii="仿宋" w:hAnsi="仿宋" w:eastAsia="仿宋" w:cs="仿宋"/>
          <w:snapToGrid w:val="0"/>
          <w:color w:val="auto"/>
          <w:kern w:val="0"/>
          <w:sz w:val="24"/>
          <w:highlight w:val="none"/>
          <w:lang w:eastAsia="zh-CN"/>
        </w:rPr>
        <w:t>2</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在</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提供服务的过程中，有权不定期对服务内容和质量进行检查考核。</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应当配合进行。</w:t>
      </w:r>
    </w:p>
    <w:p w14:paraId="04C3E591">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10.3</w:t>
      </w:r>
      <w:r>
        <w:rPr>
          <w:rFonts w:hint="eastAsia" w:ascii="仿宋" w:hAnsi="仿宋" w:eastAsia="仿宋" w:cs="仿宋"/>
          <w:snapToGrid w:val="0"/>
          <w:color w:val="auto"/>
          <w:kern w:val="0"/>
          <w:sz w:val="24"/>
          <w:highlight w:val="none"/>
          <w:lang w:eastAsia="zh-CN"/>
        </w:rPr>
        <w:t>最终验收时间：服务内容执行完毕、服务期截止后。</w:t>
      </w:r>
    </w:p>
    <w:p w14:paraId="658953C7">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10.4</w:t>
      </w:r>
      <w:r>
        <w:rPr>
          <w:rFonts w:hint="eastAsia" w:ascii="仿宋" w:hAnsi="仿宋" w:eastAsia="仿宋" w:cs="仿宋"/>
          <w:snapToGrid w:val="0"/>
          <w:color w:val="auto"/>
          <w:kern w:val="0"/>
          <w:sz w:val="24"/>
          <w:highlight w:val="none"/>
          <w:lang w:eastAsia="zh-CN"/>
        </w:rPr>
        <w:t>验收程序：</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向</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提出申请验收，</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按验收方案组织履约验收。</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应将项目执行过程及时记录、收集、整理，向</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递交验收申请资料。</w:t>
      </w:r>
    </w:p>
    <w:p w14:paraId="15E31497">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10.5</w:t>
      </w:r>
      <w:r>
        <w:rPr>
          <w:rFonts w:hint="eastAsia" w:ascii="仿宋" w:hAnsi="仿宋" w:eastAsia="仿宋" w:cs="仿宋"/>
          <w:snapToGrid w:val="0"/>
          <w:color w:val="auto"/>
          <w:kern w:val="0"/>
          <w:sz w:val="24"/>
          <w:highlight w:val="none"/>
          <w:lang w:eastAsia="zh-CN"/>
        </w:rPr>
        <w:t>验收内容：</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实际完成的情况是否符合</w:t>
      </w:r>
      <w:r>
        <w:rPr>
          <w:rFonts w:hint="eastAsia" w:ascii="仿宋" w:hAnsi="仿宋" w:eastAsia="仿宋" w:cs="仿宋"/>
          <w:snapToGrid w:val="0"/>
          <w:color w:val="auto"/>
          <w:kern w:val="0"/>
          <w:sz w:val="24"/>
          <w:highlight w:val="none"/>
          <w:lang w:val="en-US" w:eastAsia="zh-CN"/>
        </w:rPr>
        <w:t>招标</w:t>
      </w:r>
      <w:r>
        <w:rPr>
          <w:rFonts w:hint="eastAsia" w:ascii="仿宋" w:hAnsi="仿宋" w:eastAsia="仿宋" w:cs="仿宋"/>
          <w:snapToGrid w:val="0"/>
          <w:color w:val="auto"/>
          <w:kern w:val="0"/>
          <w:sz w:val="24"/>
          <w:highlight w:val="none"/>
          <w:lang w:eastAsia="zh-CN"/>
        </w:rPr>
        <w:t>文件要求和</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在投标响应文件中的商务、技术承诺。</w:t>
      </w:r>
    </w:p>
    <w:p w14:paraId="1E1AAD39">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10.6</w:t>
      </w:r>
      <w:r>
        <w:rPr>
          <w:rFonts w:hint="eastAsia" w:ascii="仿宋" w:hAnsi="仿宋" w:eastAsia="仿宋" w:cs="仿宋"/>
          <w:snapToGrid w:val="0"/>
          <w:color w:val="auto"/>
          <w:kern w:val="0"/>
          <w:sz w:val="24"/>
          <w:highlight w:val="none"/>
          <w:lang w:eastAsia="zh-CN"/>
        </w:rPr>
        <w:t>验收标准：</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已经按</w:t>
      </w:r>
      <w:r>
        <w:rPr>
          <w:rFonts w:hint="eastAsia" w:ascii="仿宋" w:hAnsi="仿宋" w:eastAsia="仿宋" w:cs="仿宋"/>
          <w:snapToGrid w:val="0"/>
          <w:color w:val="auto"/>
          <w:kern w:val="0"/>
          <w:sz w:val="24"/>
          <w:highlight w:val="none"/>
          <w:lang w:val="en-US" w:eastAsia="zh-CN"/>
        </w:rPr>
        <w:t>招标</w:t>
      </w:r>
      <w:r>
        <w:rPr>
          <w:rFonts w:hint="eastAsia" w:ascii="仿宋" w:hAnsi="仿宋" w:eastAsia="仿宋" w:cs="仿宋"/>
          <w:snapToGrid w:val="0"/>
          <w:color w:val="auto"/>
          <w:kern w:val="0"/>
          <w:sz w:val="24"/>
          <w:highlight w:val="none"/>
          <w:lang w:eastAsia="zh-CN"/>
        </w:rPr>
        <w:t>文件要求和</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在投标响应文件中的商务、技术承诺完成项目执行。</w:t>
      </w:r>
    </w:p>
    <w:p w14:paraId="5B099D2D">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10.7</w:t>
      </w:r>
      <w:r>
        <w:rPr>
          <w:rFonts w:hint="eastAsia" w:ascii="仿宋" w:hAnsi="仿宋" w:eastAsia="仿宋" w:cs="仿宋"/>
          <w:snapToGrid w:val="0"/>
          <w:color w:val="auto"/>
          <w:kern w:val="0"/>
          <w:sz w:val="24"/>
          <w:highlight w:val="none"/>
          <w:lang w:eastAsia="zh-CN"/>
        </w:rPr>
        <w:t>验收时</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应在现场，验收完毕后作出验收结果报告；验收产生的费用，由</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承担。</w:t>
      </w:r>
    </w:p>
    <w:p w14:paraId="14080E15">
      <w:pPr>
        <w:adjustRightInd w:val="0"/>
        <w:snapToGrid w:val="0"/>
        <w:spacing w:line="360" w:lineRule="auto"/>
        <w:ind w:firstLine="48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snapToGrid w:val="0"/>
          <w:color w:val="auto"/>
          <w:kern w:val="0"/>
          <w:sz w:val="24"/>
          <w:highlight w:val="none"/>
          <w:lang w:val="en-US" w:eastAsia="zh-CN"/>
        </w:rPr>
        <w:t>10.8</w:t>
      </w:r>
      <w:r>
        <w:rPr>
          <w:rFonts w:hint="eastAsia" w:ascii="仿宋" w:hAnsi="仿宋" w:eastAsia="仿宋" w:cs="仿宋"/>
          <w:snapToGrid w:val="0"/>
          <w:color w:val="auto"/>
          <w:kern w:val="0"/>
          <w:sz w:val="24"/>
          <w:highlight w:val="none"/>
          <w:lang w:eastAsia="zh-CN"/>
        </w:rPr>
        <w:t>经验收后，</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服务成果不合格的（或未通过评审的），</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有权要求</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进行整改，相关费用由</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承担；如整改后仍不合格的，</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有权解除合同，并可以拒绝支付未支付的款项，</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已经收取的款项应退还给</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w:t>
      </w:r>
    </w:p>
    <w:p w14:paraId="73577F35">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违约责任</w:t>
      </w:r>
    </w:p>
    <w:p w14:paraId="02FBFD51">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65B7047">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highlight w:val="none"/>
        </w:rPr>
        <w:t>服务期间，如因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原因发生人身事故，由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承担全部责任，所产生费用由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全部承担；因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自身管理不善或使用不当造成的损失由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负责赔偿。</w:t>
      </w:r>
    </w:p>
    <w:p w14:paraId="7BD9C4D1">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11.3乙方按要求做好各种工作报表、记录，以备检查及验收。如果未按要求做好工作报表与记录，被检查发现一次，则扣罚500元。累计发现三次同类情况，扣罚2000元。</w:t>
      </w:r>
    </w:p>
    <w:p w14:paraId="02908BE4">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11.4如未按照工作要求或未配置夜间整治组、信访处置组的落实工作任务，视情扣罚100-2000元。</w:t>
      </w:r>
    </w:p>
    <w:p w14:paraId="7FC3774E">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11.5乙方对下属人员严格管理，如发现服务人员有赌博、滋事、扰乱治安、偷盗物资等情况，发现一次则扣罚500元。累计发现三次同类情况，扣罚2000元。</w:t>
      </w:r>
    </w:p>
    <w:p w14:paraId="11808332">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11.6在服务期间，根据甲方实际需求、乙方投标响应情况进行配置人员及装备。若发现配置的人员有空缺现象的，根据空缺人数按300元/人/次扣减服务费；若发现未按要求配置装备的，扣减相应装备费。</w:t>
      </w:r>
    </w:p>
    <w:p w14:paraId="4FB331DB">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11.7项目实施过程中，甲方将对乙方的服务质量进行考核。考核频率为每月度一次，如达不到要求的服务质量水平的，甲方将发出书面整改通知要求乙方予以整改,未及时整改扣当月考核分。</w:t>
      </w:r>
    </w:p>
    <w:p w14:paraId="2CA53221">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除不可抗力外，如果乙方没有按照合同约定的期限、地点和方式履行，或者未按要求整改，那么甲方可要求乙方支付违约金，违约金按每迟延履行一日的合同价格的 0.05 %计算，最高限额为合同总价的20%；迟延履行的违约金计算数额达到前述最高限额之日起，甲方有权在要求乙方支付违约金的同时，书面通知其解除合同。</w:t>
      </w:r>
    </w:p>
    <w:p w14:paraId="71187866">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11.8若有其他违反工作纪律造成恶劣影响和后果的，依据实际情况减扣服务费。具体考核细则由甲方制定。</w:t>
      </w:r>
    </w:p>
    <w:p w14:paraId="658528B6">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不可抗力事件处理</w:t>
      </w:r>
    </w:p>
    <w:p w14:paraId="3C3D209C">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12</w:t>
      </w:r>
      <w:r>
        <w:rPr>
          <w:rFonts w:hint="eastAsia" w:ascii="仿宋" w:hAnsi="仿宋" w:eastAsia="仿宋" w:cs="仿宋"/>
          <w:color w:val="auto"/>
          <w:spacing w:val="4"/>
          <w:kern w:val="0"/>
          <w:sz w:val="24"/>
          <w:szCs w:val="24"/>
          <w:highlight w:val="none"/>
        </w:rPr>
        <w:t>.1在合同有效期内，任何一方因不可抗力事件导致不能履行合同，则合同履行期可延长，其延长期与不可抗力影响期相同。</w:t>
      </w:r>
    </w:p>
    <w:p w14:paraId="08A24C3E">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12</w:t>
      </w:r>
      <w:r>
        <w:rPr>
          <w:rFonts w:hint="eastAsia" w:ascii="仿宋" w:hAnsi="仿宋" w:eastAsia="仿宋" w:cs="仿宋"/>
          <w:color w:val="auto"/>
          <w:spacing w:val="4"/>
          <w:kern w:val="0"/>
          <w:sz w:val="24"/>
          <w:szCs w:val="24"/>
          <w:highlight w:val="none"/>
        </w:rPr>
        <w:t>.2不可抗力事件发生后，应立即通知对方，并寄送有关权威机构出具的证明。</w:t>
      </w:r>
    </w:p>
    <w:p w14:paraId="3CD1923F">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12</w:t>
      </w:r>
      <w:r>
        <w:rPr>
          <w:rFonts w:hint="eastAsia" w:ascii="仿宋" w:hAnsi="仿宋" w:eastAsia="仿宋" w:cs="仿宋"/>
          <w:color w:val="auto"/>
          <w:spacing w:val="4"/>
          <w:kern w:val="0"/>
          <w:sz w:val="24"/>
          <w:szCs w:val="24"/>
          <w:highlight w:val="none"/>
        </w:rPr>
        <w:t>.3不可抗力事件延续120天以上，双方应通过友好协商，确定是否继续履行合同。</w:t>
      </w:r>
    </w:p>
    <w:p w14:paraId="59315D11">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诉讼</w:t>
      </w:r>
    </w:p>
    <w:p w14:paraId="5470F98E">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1</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.1凡有关本合同或执行本合同中发生的争端，双方应通过友好协商，妥善解决，如通过协商仍不能解决时，</w:t>
      </w:r>
      <w:r>
        <w:rPr>
          <w:rFonts w:hint="eastAsia" w:ascii="仿宋" w:hAnsi="仿宋" w:eastAsia="仿宋" w:cs="仿宋"/>
          <w:color w:val="auto"/>
          <w:sz w:val="24"/>
          <w:szCs w:val="24"/>
          <w:highlight w:val="none"/>
        </w:rPr>
        <w:t>可向甲方所在地法院起诉。</w:t>
      </w:r>
    </w:p>
    <w:p w14:paraId="11F1FC47">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1</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.2</w:t>
      </w:r>
      <w:r>
        <w:rPr>
          <w:rFonts w:hint="eastAsia" w:ascii="仿宋" w:hAnsi="仿宋" w:eastAsia="仿宋" w:cs="仿宋"/>
          <w:color w:val="auto"/>
          <w:spacing w:val="4"/>
          <w:kern w:val="0"/>
          <w:sz w:val="24"/>
          <w:szCs w:val="24"/>
          <w:highlight w:val="none"/>
          <w:lang w:val="en-US" w:eastAsia="zh-CN"/>
        </w:rPr>
        <w:t>诉讼费用</w:t>
      </w:r>
      <w:r>
        <w:rPr>
          <w:rFonts w:hint="eastAsia" w:ascii="仿宋" w:hAnsi="仿宋" w:eastAsia="仿宋" w:cs="仿宋"/>
          <w:color w:val="auto"/>
          <w:spacing w:val="4"/>
          <w:kern w:val="0"/>
          <w:sz w:val="24"/>
          <w:szCs w:val="24"/>
          <w:highlight w:val="none"/>
        </w:rPr>
        <w:t>除另有裁决外，由败诉方承担。败诉方还应承担胜诉方为仲裁而支付的所有维权费用，包括但不限于律师费、差旅费、交通费、调查费、公证费、鉴定费等。</w:t>
      </w:r>
    </w:p>
    <w:p w14:paraId="6F2F1426">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合同生效及其它</w:t>
      </w:r>
    </w:p>
    <w:p w14:paraId="09A6B0AF">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.1合同经双方法定代表人或授权代表签字并加盖单位公章后生效。</w:t>
      </w:r>
    </w:p>
    <w:p w14:paraId="5E0B65E0">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.2合同执行中涉及采购资金和采购内容修改或补充的，须经财政部门审批，并</w:t>
      </w:r>
      <w:r>
        <w:rPr>
          <w:rFonts w:hint="eastAsia" w:ascii="仿宋" w:hAnsi="仿宋" w:eastAsia="仿宋" w:cs="仿宋"/>
          <w:color w:val="auto"/>
          <w:spacing w:val="4"/>
          <w:kern w:val="0"/>
          <w:sz w:val="24"/>
          <w:szCs w:val="24"/>
          <w:highlight w:val="none"/>
          <w:lang w:val="en-US" w:eastAsia="zh-CN"/>
        </w:rPr>
        <w:t>签订</w:t>
      </w:r>
      <w:r>
        <w:rPr>
          <w:rFonts w:hint="eastAsia" w:ascii="仿宋" w:hAnsi="仿宋" w:eastAsia="仿宋" w:cs="仿宋"/>
          <w:color w:val="auto"/>
          <w:spacing w:val="4"/>
          <w:kern w:val="0"/>
          <w:sz w:val="24"/>
          <w:szCs w:val="24"/>
          <w:highlight w:val="none"/>
        </w:rPr>
        <w:t>书面补充协议报政府采购监督管理部门备案，方可作为主合同不可分割的一部分。</w:t>
      </w:r>
    </w:p>
    <w:p w14:paraId="55EE23DC">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.3采购文件、投标文件及评标过程中形成的文字资料、询标纪要均作为本合同的组成部分，具有同等效力。本合同未尽事宜，遵照《</w:t>
      </w:r>
      <w:r>
        <w:rPr>
          <w:rFonts w:hint="eastAsia" w:ascii="仿宋" w:hAnsi="仿宋" w:eastAsia="仿宋" w:cs="仿宋"/>
          <w:color w:val="auto"/>
          <w:spacing w:val="4"/>
          <w:kern w:val="0"/>
          <w:sz w:val="24"/>
          <w:szCs w:val="24"/>
          <w:highlight w:val="none"/>
          <w:lang w:val="en-US" w:eastAsia="zh-CN"/>
        </w:rPr>
        <w:t>中华人民共和国民法典</w:t>
      </w:r>
      <w:r>
        <w:rPr>
          <w:rFonts w:hint="eastAsia" w:ascii="仿宋" w:hAnsi="仿宋" w:eastAsia="仿宋" w:cs="仿宋"/>
          <w:color w:val="auto"/>
          <w:spacing w:val="4"/>
          <w:kern w:val="0"/>
          <w:sz w:val="24"/>
          <w:szCs w:val="24"/>
          <w:highlight w:val="none"/>
        </w:rPr>
        <w:t>》有关条文执行。</w:t>
      </w:r>
    </w:p>
    <w:p w14:paraId="55ADBFDC">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.4本合同一式</w:t>
      </w:r>
      <w:r>
        <w:rPr>
          <w:rFonts w:hint="eastAsia" w:ascii="仿宋" w:hAnsi="仿宋" w:eastAsia="仿宋" w:cs="仿宋"/>
          <w:color w:val="auto"/>
          <w:spacing w:val="4"/>
          <w:kern w:val="0"/>
          <w:sz w:val="24"/>
          <w:szCs w:val="24"/>
          <w:highlight w:val="none"/>
          <w:u w:val="single"/>
          <w:lang w:val="en-US" w:eastAsia="zh-CN"/>
        </w:rPr>
        <w:t xml:space="preserve">    </w:t>
      </w:r>
      <w:r>
        <w:rPr>
          <w:rFonts w:hint="eastAsia" w:ascii="仿宋" w:hAnsi="仿宋" w:eastAsia="仿宋" w:cs="仿宋"/>
          <w:color w:val="auto"/>
          <w:spacing w:val="4"/>
          <w:kern w:val="0"/>
          <w:sz w:val="24"/>
          <w:szCs w:val="24"/>
          <w:highlight w:val="none"/>
        </w:rPr>
        <w:t>份，甲乙双方各执</w:t>
      </w:r>
      <w:r>
        <w:rPr>
          <w:rFonts w:hint="eastAsia" w:ascii="仿宋" w:hAnsi="仿宋" w:eastAsia="仿宋" w:cs="仿宋"/>
          <w:color w:val="auto"/>
          <w:spacing w:val="4"/>
          <w:kern w:val="0"/>
          <w:sz w:val="24"/>
          <w:szCs w:val="24"/>
          <w:highlight w:val="none"/>
          <w:u w:val="single"/>
          <w:lang w:val="en-US" w:eastAsia="zh-CN"/>
        </w:rPr>
        <w:t xml:space="preserve">   </w:t>
      </w:r>
      <w:r>
        <w:rPr>
          <w:rFonts w:hint="eastAsia" w:ascii="仿宋" w:hAnsi="仿宋" w:eastAsia="仿宋" w:cs="仿宋"/>
          <w:color w:val="auto"/>
          <w:spacing w:val="4"/>
          <w:kern w:val="0"/>
          <w:sz w:val="24"/>
          <w:szCs w:val="24"/>
          <w:highlight w:val="none"/>
        </w:rPr>
        <w:t>份。</w:t>
      </w:r>
    </w:p>
    <w:p w14:paraId="243F310C">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.5适用法律</w:t>
      </w:r>
      <w:r>
        <w:rPr>
          <w:rFonts w:hint="eastAsia" w:ascii="仿宋" w:hAnsi="仿宋" w:eastAsia="仿宋" w:cs="仿宋"/>
          <w:color w:val="auto"/>
          <w:sz w:val="24"/>
          <w:szCs w:val="24"/>
          <w:highlight w:val="none"/>
        </w:rPr>
        <w:t>：本合同应按照中华人民共和国的法律进行解释。</w:t>
      </w:r>
    </w:p>
    <w:p w14:paraId="21ECAC08">
      <w:pPr>
        <w:adjustRightInd w:val="0"/>
        <w:snapToGrid w:val="0"/>
        <w:spacing w:line="360" w:lineRule="auto"/>
        <w:ind w:firstLine="480" w:firstLineChars="200"/>
        <w:jc w:val="left"/>
        <w:rPr>
          <w:rFonts w:ascii="仿宋" w:hAnsi="仿宋" w:eastAsia="仿宋" w:cs="仿宋"/>
          <w:color w:val="auto"/>
          <w:sz w:val="24"/>
          <w:highlight w:val="none"/>
        </w:rPr>
      </w:pPr>
    </w:p>
    <w:p w14:paraId="1274143F">
      <w:pPr>
        <w:adjustRightInd w:val="0"/>
        <w:snapToGrid w:val="0"/>
        <w:spacing w:line="360" w:lineRule="auto"/>
        <w:ind w:firstLine="480" w:firstLineChars="200"/>
        <w:jc w:val="left"/>
        <w:rPr>
          <w:rFonts w:ascii="仿宋" w:hAnsi="仿宋" w:eastAsia="仿宋" w:cs="仿宋"/>
          <w:color w:val="auto"/>
          <w:sz w:val="24"/>
          <w:highlight w:val="none"/>
        </w:rPr>
      </w:pPr>
    </w:p>
    <w:p w14:paraId="6E1A2021">
      <w:pPr>
        <w:adjustRightInd w:val="0"/>
        <w:snapToGrid w:val="0"/>
        <w:spacing w:line="360" w:lineRule="auto"/>
        <w:ind w:firstLine="0" w:firstLineChars="0"/>
        <w:rPr>
          <w:rFonts w:hint="eastAsia" w:ascii="仿宋" w:hAnsi="仿宋" w:eastAsia="仿宋" w:cs="仿宋"/>
          <w:bCs/>
          <w:color w:val="auto"/>
          <w:sz w:val="24"/>
          <w:highlight w:val="none"/>
        </w:rPr>
      </w:pPr>
      <w:r>
        <w:rPr>
          <w:rFonts w:hint="eastAsia" w:ascii="仿宋" w:hAnsi="仿宋" w:eastAsia="仿宋" w:cs="仿宋"/>
          <w:b/>
          <w:i/>
          <w:color w:val="auto"/>
          <w:sz w:val="24"/>
          <w:highlight w:val="none"/>
        </w:rPr>
        <w:t>（本页无正文，为本合同签署页）注：如另起签署页的，需保留该内容。</w:t>
      </w:r>
      <w:r>
        <w:rPr>
          <w:rFonts w:hint="eastAsia" w:ascii="仿宋" w:hAnsi="仿宋" w:eastAsia="仿宋" w:cs="仿宋"/>
          <w:bCs/>
          <w:color w:val="auto"/>
          <w:sz w:val="24"/>
          <w:highlight w:val="none"/>
        </w:rPr>
        <w:t xml:space="preserve"> </w:t>
      </w:r>
    </w:p>
    <w:p w14:paraId="34EA4662">
      <w:pPr>
        <w:adjustRightInd w:val="0"/>
        <w:snapToGrid w:val="0"/>
        <w:spacing w:line="360" w:lineRule="auto"/>
        <w:ind w:firstLine="482" w:firstLineChars="200"/>
        <w:rPr>
          <w:rFonts w:ascii="仿宋" w:hAnsi="仿宋" w:eastAsia="仿宋" w:cs="仿宋"/>
          <w:b/>
          <w:i/>
          <w:color w:val="auto"/>
          <w:sz w:val="24"/>
          <w:highlight w:val="none"/>
        </w:rPr>
      </w:pPr>
    </w:p>
    <w:tbl>
      <w:tblPr>
        <w:tblStyle w:val="45"/>
        <w:tblW w:w="8895" w:type="dxa"/>
        <w:tblCellSpacing w:w="0" w:type="dxa"/>
        <w:tblInd w:w="0" w:type="dxa"/>
        <w:tblLayout w:type="fixed"/>
        <w:tblCellMar>
          <w:top w:w="0" w:type="dxa"/>
          <w:left w:w="0" w:type="dxa"/>
          <w:bottom w:w="0" w:type="dxa"/>
          <w:right w:w="0" w:type="dxa"/>
        </w:tblCellMar>
      </w:tblPr>
      <w:tblGrid>
        <w:gridCol w:w="5160"/>
        <w:gridCol w:w="3735"/>
      </w:tblGrid>
      <w:tr w14:paraId="4248EF26">
        <w:tblPrEx>
          <w:tblCellMar>
            <w:top w:w="0" w:type="dxa"/>
            <w:left w:w="0" w:type="dxa"/>
            <w:bottom w:w="0" w:type="dxa"/>
            <w:right w:w="0" w:type="dxa"/>
          </w:tblCellMar>
        </w:tblPrEx>
        <w:trPr>
          <w:trHeight w:val="600" w:hRule="atLeast"/>
          <w:tblCellSpacing w:w="0" w:type="dxa"/>
        </w:trPr>
        <w:tc>
          <w:tcPr>
            <w:tcW w:w="5160" w:type="dxa"/>
            <w:vAlign w:val="center"/>
          </w:tcPr>
          <w:p w14:paraId="07B76AFE">
            <w:pPr>
              <w:adjustRightInd w:val="0"/>
              <w:snapToGrid w:val="0"/>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kern w:val="0"/>
                <w:sz w:val="24"/>
                <w:highlight w:val="none"/>
              </w:rPr>
              <w:t xml:space="preserve">甲方（采购单位）（盖章）： </w:t>
            </w:r>
          </w:p>
        </w:tc>
        <w:tc>
          <w:tcPr>
            <w:tcW w:w="3735" w:type="dxa"/>
            <w:vAlign w:val="center"/>
          </w:tcPr>
          <w:p w14:paraId="02EAB13E">
            <w:pPr>
              <w:adjustRightInd w:val="0"/>
              <w:snapToGrid w:val="0"/>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乙方（供应商）（盖章）： </w:t>
            </w:r>
          </w:p>
        </w:tc>
      </w:tr>
      <w:tr w14:paraId="0A6F8B56">
        <w:tblPrEx>
          <w:tblCellMar>
            <w:top w:w="0" w:type="dxa"/>
            <w:left w:w="0" w:type="dxa"/>
            <w:bottom w:w="0" w:type="dxa"/>
            <w:right w:w="0" w:type="dxa"/>
          </w:tblCellMar>
        </w:tblPrEx>
        <w:trPr>
          <w:trHeight w:val="705" w:hRule="atLeast"/>
          <w:tblCellSpacing w:w="0" w:type="dxa"/>
        </w:trPr>
        <w:tc>
          <w:tcPr>
            <w:tcW w:w="5160" w:type="dxa"/>
            <w:vAlign w:val="center"/>
          </w:tcPr>
          <w:p w14:paraId="1C4947BF">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14:paraId="5E93DF7D">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c>
          <w:tcPr>
            <w:tcW w:w="3735" w:type="dxa"/>
            <w:vAlign w:val="center"/>
          </w:tcPr>
          <w:p w14:paraId="1DC67197">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14:paraId="63FB41A7">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r>
      <w:tr w14:paraId="36967B2F">
        <w:tblPrEx>
          <w:tblCellMar>
            <w:top w:w="0" w:type="dxa"/>
            <w:left w:w="0" w:type="dxa"/>
            <w:bottom w:w="0" w:type="dxa"/>
            <w:right w:w="0" w:type="dxa"/>
          </w:tblCellMar>
        </w:tblPrEx>
        <w:trPr>
          <w:trHeight w:val="600" w:hRule="atLeast"/>
          <w:tblCellSpacing w:w="0" w:type="dxa"/>
        </w:trPr>
        <w:tc>
          <w:tcPr>
            <w:tcW w:w="5160" w:type="dxa"/>
            <w:vAlign w:val="center"/>
          </w:tcPr>
          <w:p w14:paraId="50835A14">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c>
          <w:tcPr>
            <w:tcW w:w="3735" w:type="dxa"/>
            <w:vAlign w:val="center"/>
          </w:tcPr>
          <w:p w14:paraId="4F448643">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r>
      <w:tr w14:paraId="157CA470">
        <w:tblPrEx>
          <w:tblCellMar>
            <w:top w:w="0" w:type="dxa"/>
            <w:left w:w="0" w:type="dxa"/>
            <w:bottom w:w="0" w:type="dxa"/>
            <w:right w:w="0" w:type="dxa"/>
          </w:tblCellMar>
        </w:tblPrEx>
        <w:trPr>
          <w:trHeight w:val="600" w:hRule="atLeast"/>
          <w:tblCellSpacing w:w="0" w:type="dxa"/>
        </w:trPr>
        <w:tc>
          <w:tcPr>
            <w:tcW w:w="5160" w:type="dxa"/>
            <w:vAlign w:val="center"/>
          </w:tcPr>
          <w:p w14:paraId="05D5175C">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c>
          <w:tcPr>
            <w:tcW w:w="3735" w:type="dxa"/>
            <w:vAlign w:val="center"/>
          </w:tcPr>
          <w:p w14:paraId="4E5DC6F5">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r>
      <w:tr w14:paraId="03D54A9B">
        <w:tblPrEx>
          <w:tblCellMar>
            <w:top w:w="0" w:type="dxa"/>
            <w:left w:w="0" w:type="dxa"/>
            <w:bottom w:w="0" w:type="dxa"/>
            <w:right w:w="0" w:type="dxa"/>
          </w:tblCellMar>
        </w:tblPrEx>
        <w:trPr>
          <w:trHeight w:val="600" w:hRule="atLeast"/>
          <w:tblCellSpacing w:w="0" w:type="dxa"/>
        </w:trPr>
        <w:tc>
          <w:tcPr>
            <w:tcW w:w="5160" w:type="dxa"/>
            <w:vAlign w:val="center"/>
          </w:tcPr>
          <w:p w14:paraId="2CB39E43">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邮编：</w:t>
            </w:r>
          </w:p>
        </w:tc>
        <w:tc>
          <w:tcPr>
            <w:tcW w:w="3735" w:type="dxa"/>
            <w:vAlign w:val="center"/>
          </w:tcPr>
          <w:p w14:paraId="272A36AF">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tc>
      </w:tr>
      <w:tr w14:paraId="4339B566">
        <w:tblPrEx>
          <w:tblCellMar>
            <w:top w:w="0" w:type="dxa"/>
            <w:left w:w="0" w:type="dxa"/>
            <w:bottom w:w="0" w:type="dxa"/>
            <w:right w:w="0" w:type="dxa"/>
          </w:tblCellMar>
        </w:tblPrEx>
        <w:trPr>
          <w:trHeight w:val="600" w:hRule="atLeast"/>
          <w:tblCellSpacing w:w="0" w:type="dxa"/>
        </w:trPr>
        <w:tc>
          <w:tcPr>
            <w:tcW w:w="5160" w:type="dxa"/>
            <w:vAlign w:val="center"/>
          </w:tcPr>
          <w:p w14:paraId="2EED6468">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3735" w:type="dxa"/>
            <w:vAlign w:val="center"/>
          </w:tcPr>
          <w:p w14:paraId="544CE61D">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tc>
      </w:tr>
      <w:tr w14:paraId="4197B44B">
        <w:tblPrEx>
          <w:tblCellMar>
            <w:top w:w="0" w:type="dxa"/>
            <w:left w:w="0" w:type="dxa"/>
            <w:bottom w:w="0" w:type="dxa"/>
            <w:right w:w="0" w:type="dxa"/>
          </w:tblCellMar>
        </w:tblPrEx>
        <w:trPr>
          <w:trHeight w:val="600" w:hRule="atLeast"/>
          <w:tblCellSpacing w:w="0" w:type="dxa"/>
        </w:trPr>
        <w:tc>
          <w:tcPr>
            <w:tcW w:w="5160" w:type="dxa"/>
            <w:vAlign w:val="center"/>
          </w:tcPr>
          <w:p w14:paraId="3A6BD4DA">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c>
          <w:tcPr>
            <w:tcW w:w="3735" w:type="dxa"/>
            <w:vAlign w:val="center"/>
          </w:tcPr>
          <w:p w14:paraId="31027323">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r>
      <w:tr w14:paraId="439652CB">
        <w:tblPrEx>
          <w:tblCellMar>
            <w:top w:w="0" w:type="dxa"/>
            <w:left w:w="0" w:type="dxa"/>
            <w:bottom w:w="0" w:type="dxa"/>
            <w:right w:w="0" w:type="dxa"/>
          </w:tblCellMar>
        </w:tblPrEx>
        <w:trPr>
          <w:trHeight w:val="600" w:hRule="atLeast"/>
          <w:tblCellSpacing w:w="0" w:type="dxa"/>
        </w:trPr>
        <w:tc>
          <w:tcPr>
            <w:tcW w:w="5160" w:type="dxa"/>
            <w:vAlign w:val="center"/>
          </w:tcPr>
          <w:p w14:paraId="2458947C">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c>
          <w:tcPr>
            <w:tcW w:w="3735" w:type="dxa"/>
            <w:vAlign w:val="center"/>
          </w:tcPr>
          <w:p w14:paraId="1556C4C5">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r>
      <w:tr w14:paraId="47AEB12A">
        <w:tblPrEx>
          <w:tblCellMar>
            <w:top w:w="0" w:type="dxa"/>
            <w:left w:w="0" w:type="dxa"/>
            <w:bottom w:w="0" w:type="dxa"/>
            <w:right w:w="0" w:type="dxa"/>
          </w:tblCellMar>
        </w:tblPrEx>
        <w:trPr>
          <w:trHeight w:val="600" w:hRule="atLeast"/>
          <w:tblCellSpacing w:w="0" w:type="dxa"/>
        </w:trPr>
        <w:tc>
          <w:tcPr>
            <w:tcW w:w="5160" w:type="dxa"/>
            <w:vAlign w:val="center"/>
          </w:tcPr>
          <w:p w14:paraId="20E285A3">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账号</w:t>
            </w:r>
            <w:r>
              <w:rPr>
                <w:rFonts w:hint="eastAsia" w:ascii="仿宋" w:hAnsi="仿宋" w:eastAsia="仿宋" w:cs="仿宋"/>
                <w:color w:val="auto"/>
                <w:kern w:val="0"/>
                <w:sz w:val="24"/>
                <w:highlight w:val="none"/>
              </w:rPr>
              <w:t xml:space="preserve"> ： </w:t>
            </w:r>
          </w:p>
        </w:tc>
        <w:tc>
          <w:tcPr>
            <w:tcW w:w="3735" w:type="dxa"/>
            <w:vAlign w:val="center"/>
          </w:tcPr>
          <w:p w14:paraId="0BE24F7A">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账号</w:t>
            </w:r>
            <w:r>
              <w:rPr>
                <w:rFonts w:hint="eastAsia" w:ascii="仿宋" w:hAnsi="仿宋" w:eastAsia="仿宋" w:cs="仿宋"/>
                <w:color w:val="auto"/>
                <w:kern w:val="0"/>
                <w:sz w:val="24"/>
                <w:highlight w:val="none"/>
              </w:rPr>
              <w:t xml:space="preserve"> ： </w:t>
            </w:r>
          </w:p>
        </w:tc>
      </w:tr>
    </w:tbl>
    <w:p w14:paraId="67172442">
      <w:pPr>
        <w:adjustRightInd w:val="0"/>
        <w:snapToGrid w:val="0"/>
        <w:spacing w:line="360" w:lineRule="auto"/>
        <w:rPr>
          <w:rFonts w:ascii="仿宋" w:hAnsi="仿宋" w:eastAsia="仿宋" w:cs="仿宋"/>
          <w:color w:val="auto"/>
          <w:kern w:val="0"/>
          <w:sz w:val="24"/>
          <w:highlight w:val="none"/>
        </w:rPr>
      </w:pPr>
    </w:p>
    <w:p w14:paraId="6BA4BFF4">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p>
    <w:p w14:paraId="2835FB76">
      <w:pPr>
        <w:adjustRightInd w:val="0"/>
        <w:snapToGrid w:val="0"/>
        <w:spacing w:line="360" w:lineRule="auto"/>
        <w:rPr>
          <w:rFonts w:hint="eastAsia" w:ascii="仿宋" w:hAnsi="仿宋" w:eastAsia="仿宋" w:cs="仿宋"/>
          <w:color w:val="auto"/>
          <w:kern w:val="0"/>
          <w:sz w:val="24"/>
          <w:highlight w:val="none"/>
        </w:rPr>
      </w:pPr>
    </w:p>
    <w:p w14:paraId="3A70EC15">
      <w:pPr>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br w:type="page"/>
      </w:r>
    </w:p>
    <w:bookmarkEnd w:id="122"/>
    <w:bookmarkEnd w:id="123"/>
    <w:bookmarkEnd w:id="124"/>
    <w:bookmarkEnd w:id="125"/>
    <w:bookmarkEnd w:id="126"/>
    <w:p w14:paraId="05A1BDB7">
      <w:pPr>
        <w:adjustRightInd w:val="0"/>
        <w:snapToGrid w:val="0"/>
        <w:spacing w:before="120" w:beforeLines="50" w:after="120" w:afterLines="50" w:line="360" w:lineRule="auto"/>
        <w:jc w:val="center"/>
        <w:outlineLvl w:val="0"/>
        <w:rPr>
          <w:rFonts w:ascii="仿宋" w:hAnsi="仿宋" w:eastAsia="仿宋" w:cs="仿宋"/>
          <w:b/>
          <w:bCs/>
          <w:color w:val="auto"/>
          <w:sz w:val="32"/>
          <w:szCs w:val="32"/>
          <w:highlight w:val="none"/>
        </w:rPr>
      </w:pPr>
      <w:bookmarkStart w:id="127" w:name="_Toc234764855"/>
      <w:bookmarkStart w:id="128" w:name="_Toc249760797"/>
      <w:bookmarkStart w:id="129" w:name="_Toc251566668"/>
      <w:bookmarkStart w:id="130" w:name="_Toc21370"/>
      <w:bookmarkStart w:id="131" w:name="_Toc1306"/>
      <w:r>
        <w:rPr>
          <w:rFonts w:hint="eastAsia" w:ascii="仿宋" w:hAnsi="仿宋" w:eastAsia="仿宋" w:cs="仿宋"/>
          <w:b/>
          <w:color w:val="auto"/>
          <w:sz w:val="30"/>
          <w:szCs w:val="30"/>
          <w:highlight w:val="none"/>
        </w:rPr>
        <w:t>第六部分  投标文件格式</w:t>
      </w:r>
      <w:bookmarkEnd w:id="127"/>
      <w:bookmarkEnd w:id="128"/>
      <w:bookmarkEnd w:id="129"/>
      <w:bookmarkEnd w:id="130"/>
      <w:bookmarkEnd w:id="131"/>
    </w:p>
    <w:p w14:paraId="6F30731F">
      <w:pPr>
        <w:autoSpaceDE w:val="0"/>
        <w:autoSpaceDN w:val="0"/>
        <w:adjustRightInd w:val="0"/>
        <w:spacing w:line="360" w:lineRule="auto"/>
        <w:ind w:firstLine="480"/>
        <w:rPr>
          <w:rFonts w:ascii="仿宋" w:hAnsi="仿宋" w:eastAsia="仿宋" w:cs="仿宋"/>
          <w:color w:val="auto"/>
          <w:sz w:val="24"/>
          <w:highlight w:val="none"/>
        </w:rPr>
      </w:pPr>
    </w:p>
    <w:p w14:paraId="529FFE6C">
      <w:pPr>
        <w:spacing w:line="360" w:lineRule="auto"/>
        <w:jc w:val="center"/>
        <w:outlineLvl w:val="1"/>
        <w:rPr>
          <w:rFonts w:ascii="仿宋" w:hAnsi="仿宋" w:eastAsia="仿宋" w:cs="仿宋"/>
          <w:b/>
          <w:color w:val="auto"/>
          <w:kern w:val="0"/>
          <w:sz w:val="36"/>
          <w:szCs w:val="36"/>
          <w:highlight w:val="none"/>
        </w:rPr>
      </w:pPr>
      <w:bookmarkStart w:id="132" w:name="_Toc23772"/>
      <w:bookmarkStart w:id="133" w:name="_Toc18065"/>
      <w:bookmarkStart w:id="134" w:name="_Toc25507"/>
      <w:bookmarkStart w:id="135" w:name="_Toc23013"/>
      <w:r>
        <w:rPr>
          <w:rFonts w:hint="eastAsia" w:ascii="仿宋" w:hAnsi="仿宋" w:eastAsia="仿宋" w:cs="仿宋"/>
          <w:b/>
          <w:color w:val="auto"/>
          <w:kern w:val="0"/>
          <w:sz w:val="36"/>
          <w:szCs w:val="36"/>
          <w:highlight w:val="none"/>
        </w:rPr>
        <w:t>资格文件部分</w:t>
      </w:r>
      <w:bookmarkEnd w:id="132"/>
      <w:bookmarkEnd w:id="133"/>
      <w:bookmarkEnd w:id="134"/>
      <w:bookmarkEnd w:id="135"/>
    </w:p>
    <w:p w14:paraId="17D45FAC">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9946281">
      <w:pPr>
        <w:spacing w:line="360" w:lineRule="auto"/>
        <w:jc w:val="center"/>
        <w:rPr>
          <w:rFonts w:ascii="仿宋" w:hAnsi="仿宋" w:eastAsia="仿宋" w:cs="仿宋"/>
          <w:b/>
          <w:color w:val="auto"/>
          <w:kern w:val="0"/>
          <w:sz w:val="36"/>
          <w:szCs w:val="36"/>
          <w:highlight w:val="none"/>
        </w:rPr>
      </w:pPr>
    </w:p>
    <w:p w14:paraId="254AFAD4">
      <w:pPr>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1</w:t>
      </w: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rPr>
        <w:t>符合参加政府采购活动应当具备的一般条件的承诺函……………（页码）</w:t>
      </w:r>
    </w:p>
    <w:p w14:paraId="27B1CA88">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2）</w:t>
      </w:r>
      <w:r>
        <w:rPr>
          <w:rFonts w:hint="eastAsia" w:ascii="仿宋_GB2312" w:hAnsi="仿宋" w:eastAsia="仿宋_GB2312" w:cs="仿宋_GB2312"/>
          <w:sz w:val="24"/>
          <w:highlight w:val="none"/>
        </w:rPr>
        <w:t>联合协议………………………………………………………………（页码）</w:t>
      </w:r>
    </w:p>
    <w:p w14:paraId="1D778FD2">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3</w:t>
      </w:r>
      <w:r>
        <w:rPr>
          <w:rFonts w:ascii="仿宋_GB2312" w:hAnsi="仿宋" w:eastAsia="仿宋_GB2312" w:cs="仿宋_GB2312"/>
          <w:sz w:val="24"/>
          <w:highlight w:val="none"/>
        </w:rPr>
        <w:t>）落实政府采购政策需满足的资格要求……</w:t>
      </w:r>
      <w:r>
        <w:rPr>
          <w:rFonts w:hint="eastAsia" w:ascii="仿宋_GB2312" w:hAnsi="仿宋" w:eastAsia="仿宋_GB2312" w:cs="仿宋_GB2312"/>
          <w:sz w:val="24"/>
          <w:highlight w:val="none"/>
        </w:rPr>
        <w:t>…………………………（页码）</w:t>
      </w:r>
    </w:p>
    <w:p w14:paraId="43DA2735">
      <w:pPr>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）本项目的特定资格要求……</w:t>
      </w:r>
      <w:r>
        <w:rPr>
          <w:rFonts w:hint="eastAsia" w:ascii="仿宋_GB2312" w:hAnsi="仿宋" w:eastAsia="仿宋_GB2312" w:cs="仿宋_GB2312"/>
          <w:sz w:val="24"/>
          <w:highlight w:val="none"/>
        </w:rPr>
        <w:t>…………………………………………（页码）</w:t>
      </w:r>
    </w:p>
    <w:p w14:paraId="2006D0B7">
      <w:pPr>
        <w:snapToGrid w:val="0"/>
        <w:spacing w:line="360" w:lineRule="auto"/>
        <w:ind w:firstLine="480" w:firstLineChars="200"/>
        <w:rPr>
          <w:rFonts w:ascii="仿宋" w:hAnsi="仿宋" w:eastAsia="仿宋" w:cs="仿宋"/>
          <w:color w:val="auto"/>
          <w:sz w:val="24"/>
          <w:highlight w:val="none"/>
        </w:rPr>
      </w:pPr>
    </w:p>
    <w:p w14:paraId="486C5848">
      <w:pPr>
        <w:spacing w:line="360" w:lineRule="auto"/>
        <w:ind w:firstLine="480" w:firstLineChars="200"/>
        <w:rPr>
          <w:rFonts w:ascii="仿宋" w:hAnsi="仿宋" w:eastAsia="仿宋" w:cs="仿宋"/>
          <w:color w:val="auto"/>
          <w:sz w:val="24"/>
          <w:highlight w:val="none"/>
        </w:rPr>
      </w:pPr>
    </w:p>
    <w:p w14:paraId="12EF6335">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074ED263">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14:paraId="0A0DECE6">
      <w:pPr>
        <w:snapToGrid w:val="0"/>
        <w:spacing w:line="360" w:lineRule="auto"/>
        <w:ind w:firstLine="420"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】政府采购活动，郑重承诺：</w:t>
      </w:r>
    </w:p>
    <w:p w14:paraId="0DF01678">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0A0C70B6">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1151EB4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3EAC1503">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6B2BA40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63D4A423">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0115A64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07C85B83">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w:t>
      </w:r>
      <w:r>
        <w:rPr>
          <w:rFonts w:hint="eastAsia" w:ascii="仿宋_GB2312" w:hAnsi="仿宋" w:eastAsia="仿宋_GB2312"/>
          <w:color w:val="auto"/>
          <w:sz w:val="24"/>
          <w:highlight w:val="none"/>
          <w:lang w:eastAsia="zh-CN"/>
        </w:rPr>
        <w:t>）</w:t>
      </w:r>
      <w:r>
        <w:rPr>
          <w:rFonts w:ascii="仿宋_GB2312" w:hAnsi="仿宋" w:eastAsia="仿宋_GB2312"/>
          <w:color w:val="auto"/>
          <w:sz w:val="24"/>
          <w:highlight w:val="none"/>
        </w:rPr>
        <w:t>、中国政府采购网（www.ccgp.gov.cn）列入失信被执行人、重大税收违法案件当事人名单、政府采购严重违法失信行为记录名单。</w:t>
      </w:r>
    </w:p>
    <w:p w14:paraId="69B0A2F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618B00C2">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0E2EF73C">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216848B8">
      <w:pPr>
        <w:pStyle w:val="19"/>
        <w:rPr>
          <w:rFonts w:ascii="仿宋_GB2312" w:hAnsi="仿宋" w:eastAsia="仿宋_GB2312" w:cs="仿宋_GB2312"/>
          <w:color w:val="auto"/>
          <w:sz w:val="24"/>
          <w:highlight w:val="none"/>
        </w:rPr>
      </w:pPr>
    </w:p>
    <w:p w14:paraId="492B2FE8">
      <w:pPr>
        <w:rPr>
          <w:color w:val="auto"/>
          <w:highlight w:val="none"/>
        </w:rPr>
      </w:pPr>
    </w:p>
    <w:p w14:paraId="5A28D4C0">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72CF5BDA">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14:paraId="79B245B7">
      <w:pPr>
        <w:snapToGrid w:val="0"/>
        <w:spacing w:line="360" w:lineRule="auto"/>
        <w:ind w:right="480"/>
        <w:jc w:val="center"/>
        <w:rPr>
          <w:rFonts w:ascii="仿宋_GB2312" w:hAnsi="仿宋" w:eastAsia="仿宋_GB2312" w:cs="仿宋_GB2312"/>
          <w:b/>
          <w:color w:val="auto"/>
          <w:kern w:val="0"/>
          <w:sz w:val="32"/>
          <w:szCs w:val="32"/>
          <w:highlight w:val="none"/>
        </w:rPr>
      </w:pPr>
    </w:p>
    <w:p w14:paraId="0A02E87A">
      <w:pPr>
        <w:snapToGrid w:val="0"/>
        <w:spacing w:line="360" w:lineRule="auto"/>
        <w:ind w:right="480"/>
        <w:jc w:val="center"/>
        <w:rPr>
          <w:rFonts w:ascii="仿宋_GB2312" w:hAnsi="仿宋" w:eastAsia="仿宋_GB2312" w:cs="仿宋_GB2312"/>
          <w:b/>
          <w:color w:val="auto"/>
          <w:kern w:val="0"/>
          <w:sz w:val="32"/>
          <w:szCs w:val="32"/>
          <w:highlight w:val="none"/>
        </w:rPr>
      </w:pPr>
    </w:p>
    <w:p w14:paraId="05A36660">
      <w:pPr>
        <w:rPr>
          <w:color w:val="auto"/>
          <w:highlight w:val="none"/>
        </w:rPr>
      </w:pPr>
    </w:p>
    <w:p w14:paraId="5313FF01">
      <w:pPr>
        <w:snapToGrid w:val="0"/>
        <w:spacing w:line="360" w:lineRule="auto"/>
        <w:ind w:right="480"/>
        <w:jc w:val="center"/>
        <w:rPr>
          <w:rFonts w:ascii="仿宋_GB2312" w:hAnsi="仿宋" w:eastAsia="仿宋_GB2312" w:cs="仿宋_GB2312"/>
          <w:b/>
          <w:color w:val="auto"/>
          <w:kern w:val="0"/>
          <w:sz w:val="32"/>
          <w:szCs w:val="32"/>
          <w:highlight w:val="none"/>
        </w:rPr>
      </w:pPr>
    </w:p>
    <w:p w14:paraId="306CD2D2">
      <w:pPr>
        <w:snapToGrid w:val="0"/>
        <w:spacing w:line="360" w:lineRule="auto"/>
        <w:ind w:right="480"/>
        <w:jc w:val="center"/>
        <w:rPr>
          <w:rFonts w:ascii="仿宋_GB2312" w:hAnsi="仿宋" w:eastAsia="仿宋_GB2312" w:cs="仿宋_GB2312"/>
          <w:b/>
          <w:color w:val="auto"/>
          <w:kern w:val="0"/>
          <w:sz w:val="32"/>
          <w:szCs w:val="32"/>
          <w:highlight w:val="none"/>
        </w:rPr>
      </w:pPr>
    </w:p>
    <w:p w14:paraId="71818236">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05F5CB33">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二、联合协议（如果有）</w:t>
      </w:r>
    </w:p>
    <w:p w14:paraId="5163CBBC">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[以联合体形式投标的，提供联合协议（附件5）；本项目不接受联合体投标或者投标人不以联合体形式投标的，则不需要提供）]</w:t>
      </w:r>
    </w:p>
    <w:p w14:paraId="29664B5C">
      <w:pPr>
        <w:snapToGrid w:val="0"/>
        <w:spacing w:line="360" w:lineRule="auto"/>
        <w:ind w:right="480"/>
        <w:jc w:val="center"/>
        <w:rPr>
          <w:rFonts w:hint="eastAsia" w:ascii="仿宋_GB2312" w:hAnsi="仿宋" w:eastAsia="仿宋_GB2312" w:cs="仿宋_GB2312"/>
          <w:b/>
          <w:color w:val="auto"/>
          <w:kern w:val="0"/>
          <w:sz w:val="32"/>
          <w:szCs w:val="32"/>
          <w:highlight w:val="none"/>
        </w:rPr>
      </w:pPr>
    </w:p>
    <w:p w14:paraId="01C12274">
      <w:pPr>
        <w:snapToGrid w:val="0"/>
        <w:spacing w:line="360" w:lineRule="auto"/>
        <w:ind w:right="480"/>
        <w:jc w:val="center"/>
        <w:rPr>
          <w:rFonts w:hint="eastAsia" w:ascii="仿宋_GB2312" w:hAnsi="仿宋" w:eastAsia="仿宋_GB2312" w:cs="仿宋_GB2312"/>
          <w:b/>
          <w:color w:val="auto"/>
          <w:kern w:val="0"/>
          <w:sz w:val="32"/>
          <w:szCs w:val="32"/>
          <w:highlight w:val="none"/>
        </w:rPr>
      </w:pPr>
    </w:p>
    <w:p w14:paraId="3264D1EC">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三</w:t>
      </w:r>
      <w:r>
        <w:rPr>
          <w:rFonts w:hint="eastAsia" w:ascii="仿宋_GB2312" w:hAnsi="仿宋" w:eastAsia="仿宋_GB2312" w:cs="仿宋_GB2312"/>
          <w:b/>
          <w:color w:val="auto"/>
          <w:kern w:val="0"/>
          <w:sz w:val="32"/>
          <w:szCs w:val="32"/>
          <w:highlight w:val="none"/>
        </w:rPr>
        <w:t>、落实政府采购政策需满足的资格要求</w:t>
      </w:r>
    </w:p>
    <w:p w14:paraId="7B0BC7AE">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547B761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91A3E09">
      <w:pPr>
        <w:widowControl/>
        <w:spacing w:line="360" w:lineRule="auto"/>
        <w:ind w:firstLine="480"/>
        <w:jc w:val="left"/>
        <w:rPr>
          <w:rFonts w:hint="eastAsia" w:ascii="仿宋" w:hAnsi="仿宋" w:eastAsia="仿宋" w:cs="仿宋"/>
          <w:color w:val="auto"/>
          <w:sz w:val="24"/>
          <w:highlight w:val="none"/>
        </w:rPr>
      </w:pPr>
    </w:p>
    <w:p w14:paraId="55944A28">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8DD5027">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CB1E040">
      <w:pPr>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CCC1D13">
      <w:pPr>
        <w:rPr>
          <w:color w:val="auto"/>
          <w:highlight w:val="none"/>
          <w:lang w:val="zh-CN"/>
        </w:rPr>
      </w:pPr>
      <w:r>
        <w:rPr>
          <w:color w:val="auto"/>
          <w:highlight w:val="none"/>
          <w:lang w:val="zh-CN"/>
        </w:rPr>
        <w:br w:type="page"/>
      </w:r>
    </w:p>
    <w:p w14:paraId="04BF653C">
      <w:pPr>
        <w:keepNext/>
        <w:keepLines/>
        <w:pageBreakBefore w:val="0"/>
        <w:widowControl w:val="0"/>
        <w:kinsoku/>
        <w:wordWrap/>
        <w:overflowPunct/>
        <w:topLinePunct w:val="0"/>
        <w:autoSpaceDE/>
        <w:autoSpaceDN/>
        <w:bidi w:val="0"/>
        <w:adjustRightInd w:val="0"/>
        <w:snapToGrid/>
        <w:spacing w:line="416" w:lineRule="auto"/>
        <w:textAlignment w:val="auto"/>
        <w:outlineLvl w:val="9"/>
        <w:rPr>
          <w:color w:val="auto"/>
          <w:highlight w:val="none"/>
          <w:lang w:val="zh-CN"/>
        </w:rPr>
      </w:pPr>
    </w:p>
    <w:p w14:paraId="044E4FA6">
      <w:pPr>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本项目专门面向中小企业，中小企业声明函示范格式如下：</w:t>
      </w:r>
    </w:p>
    <w:p w14:paraId="3788003E">
      <w:pPr>
        <w:pageBreakBefore w:val="0"/>
        <w:widowControl w:val="0"/>
        <w:kinsoku/>
        <w:wordWrap/>
        <w:overflowPunct/>
        <w:topLinePunct w:val="0"/>
        <w:autoSpaceDE/>
        <w:autoSpaceDN/>
        <w:bidi w:val="0"/>
        <w:adjustRightInd w:val="0"/>
        <w:snapToGrid w:val="0"/>
        <w:spacing w:line="360" w:lineRule="auto"/>
        <w:ind w:right="0"/>
        <w:jc w:val="center"/>
        <w:textAlignment w:val="auto"/>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08085BA3">
      <w:pPr>
        <w:pageBreakBefore w:val="0"/>
        <w:widowControl w:val="0"/>
        <w:kinsoku/>
        <w:wordWrap/>
        <w:overflowPunct/>
        <w:topLinePunct w:val="0"/>
        <w:autoSpaceDE/>
        <w:autoSpaceDN/>
        <w:bidi w:val="0"/>
        <w:adjustRightInd w:val="0"/>
        <w:snapToGrid w:val="0"/>
        <w:spacing w:line="360" w:lineRule="auto"/>
        <w:ind w:right="0"/>
        <w:textAlignment w:val="auto"/>
        <w:rPr>
          <w:rFonts w:ascii="仿宋_GB2312" w:hAnsi="仿宋" w:eastAsia="仿宋_GB2312"/>
          <w:color w:val="auto"/>
          <w:highlight w:val="none"/>
        </w:rPr>
      </w:pPr>
    </w:p>
    <w:p w14:paraId="229CCA69">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杭州市钱塘区人民政府白杨街道办事处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白杨街道“小脑+手脚”，“四平台处置”服务采购项目（2024-2025年）</w:t>
      </w:r>
      <w:r>
        <w:rPr>
          <w:rFonts w:hint="eastAsia" w:ascii="仿宋" w:hAnsi="仿宋" w:eastAsia="仿宋" w:cs="仿宋"/>
          <w:color w:val="auto"/>
          <w:kern w:val="0"/>
          <w:sz w:val="24"/>
          <w:highlight w:val="none"/>
          <w:u w:val="single"/>
          <w:lang w:val="en-US" w:eastAsia="zh-CN"/>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14:paraId="2565FBAF">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u w:val="single"/>
          <w:lang w:val="en-US" w:eastAsia="zh-CN"/>
        </w:rPr>
        <w:t xml:space="preserve"> 白杨街道“小脑+手脚”，“四平台处置”服务采购项目（2024-2025年） </w:t>
      </w:r>
      <w:r>
        <w:rPr>
          <w:rFonts w:hint="eastAsia" w:ascii="仿宋_GB2312" w:hAnsi="宋体" w:eastAsia="仿宋_GB2312"/>
          <w:color w:val="auto"/>
          <w:sz w:val="24"/>
          <w:highlight w:val="none"/>
        </w:rPr>
        <w:t>，属于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租赁和商务服务业</w:t>
      </w:r>
      <w:r>
        <w:rPr>
          <w:rFonts w:hint="eastAsia" w:ascii="仿宋_GB2312" w:hAnsi="宋体" w:eastAsia="仿宋_GB2312" w:cs="Times New Roman"/>
          <w:color w:val="auto"/>
          <w:sz w:val="24"/>
          <w:highlight w:val="none"/>
          <w:u w:val="single"/>
          <w:lang w:val="en-US" w:eastAsia="zh-CN"/>
        </w:rPr>
        <w:t xml:space="preserve"> </w:t>
      </w:r>
      <w:r>
        <w:rPr>
          <w:rFonts w:ascii="仿宋_GB2312" w:hAnsi="宋体" w:eastAsia="仿宋_GB2312"/>
          <w:color w:val="auto"/>
          <w:sz w:val="24"/>
          <w:highlight w:val="none"/>
        </w:rPr>
        <w:t>；承接企业为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 xml:space="preserve">） </w:t>
      </w:r>
    </w:p>
    <w:p w14:paraId="2409ACFB">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p>
    <w:p w14:paraId="3BD6477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365C88A0">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35FBF162">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5F0A4C00">
      <w:pPr>
        <w:pageBreakBefore w:val="0"/>
        <w:widowControl w:val="0"/>
        <w:kinsoku/>
        <w:wordWrap/>
        <w:overflowPunct/>
        <w:topLinePunct w:val="0"/>
        <w:autoSpaceDE/>
        <w:autoSpaceDN/>
        <w:bidi w:val="0"/>
        <w:adjustRightInd w:val="0"/>
        <w:snapToGrid w:val="0"/>
        <w:spacing w:line="360" w:lineRule="auto"/>
        <w:ind w:right="0"/>
        <w:jc w:val="right"/>
        <w:textAlignment w:val="auto"/>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5B97B8CC">
      <w:pPr>
        <w:keepNext/>
        <w:keepLines/>
        <w:pageBreakBefore w:val="0"/>
        <w:widowControl w:val="0"/>
        <w:kinsoku/>
        <w:wordWrap/>
        <w:overflowPunct/>
        <w:topLinePunct w:val="0"/>
        <w:autoSpaceDE/>
        <w:autoSpaceDN/>
        <w:bidi w:val="0"/>
        <w:adjustRightInd w:val="0"/>
        <w:snapToGrid w:val="0"/>
        <w:spacing w:line="360" w:lineRule="auto"/>
        <w:ind w:right="0" w:firstLine="6240" w:firstLineChars="2600"/>
        <w:textAlignment w:val="auto"/>
        <w:outlineLvl w:val="9"/>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3BF355EB">
      <w:pPr>
        <w:keepNext/>
        <w:keepLines/>
        <w:pageBreakBefore w:val="0"/>
        <w:widowControl w:val="0"/>
        <w:kinsoku/>
        <w:wordWrap/>
        <w:overflowPunct/>
        <w:topLinePunct w:val="0"/>
        <w:autoSpaceDE/>
        <w:autoSpaceDN/>
        <w:bidi w:val="0"/>
        <w:adjustRightInd w:val="0"/>
        <w:snapToGrid/>
        <w:spacing w:line="416" w:lineRule="auto"/>
        <w:textAlignment w:val="auto"/>
        <w:outlineLvl w:val="9"/>
        <w:rPr>
          <w:color w:val="auto"/>
          <w:highlight w:val="none"/>
          <w:lang w:val="zh-CN"/>
        </w:rPr>
      </w:pPr>
    </w:p>
    <w:p w14:paraId="0D9725AD">
      <w:pPr>
        <w:keepNext/>
        <w:keepLines/>
        <w:pageBreakBefore w:val="0"/>
        <w:widowControl w:val="0"/>
        <w:kinsoku/>
        <w:wordWrap/>
        <w:overflowPunct/>
        <w:topLinePunct w:val="0"/>
        <w:autoSpaceDE/>
        <w:autoSpaceDN/>
        <w:bidi w:val="0"/>
        <w:adjustRightInd w:val="0"/>
        <w:snapToGrid/>
        <w:spacing w:line="416" w:lineRule="auto"/>
        <w:textAlignment w:val="auto"/>
        <w:outlineLvl w:val="9"/>
        <w:rPr>
          <w:color w:val="auto"/>
          <w:highlight w:val="none"/>
          <w:lang w:val="zh-CN"/>
        </w:rPr>
      </w:pPr>
    </w:p>
    <w:p w14:paraId="0593B25F">
      <w:pPr>
        <w:rPr>
          <w:rFonts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p>
    <w:p w14:paraId="0E37E5EC">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43B6F66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83576F6">
      <w:pPr>
        <w:spacing w:line="360" w:lineRule="auto"/>
        <w:jc w:val="center"/>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提供</w:t>
      </w:r>
      <w:r>
        <w:rPr>
          <w:rFonts w:hint="eastAsia" w:ascii="仿宋" w:hAnsi="仿宋" w:eastAsia="仿宋" w:cs="仿宋"/>
          <w:snapToGrid w:val="0"/>
          <w:color w:val="auto"/>
          <w:kern w:val="28"/>
          <w:sz w:val="24"/>
          <w:szCs w:val="20"/>
          <w:highlight w:val="none"/>
        </w:rPr>
        <w:t>相关行政主管部门颁发的有效的保安服务许可证</w:t>
      </w:r>
      <w:r>
        <w:rPr>
          <w:rFonts w:hint="eastAsia" w:ascii="仿宋" w:hAnsi="仿宋" w:eastAsia="仿宋" w:cs="仿宋"/>
          <w:color w:val="auto"/>
          <w:sz w:val="24"/>
          <w:highlight w:val="none"/>
        </w:rPr>
        <w:br w:type="page"/>
      </w:r>
    </w:p>
    <w:p w14:paraId="4F5E9F7D">
      <w:pPr>
        <w:spacing w:line="360" w:lineRule="auto"/>
        <w:ind w:right="420"/>
        <w:jc w:val="center"/>
        <w:outlineLvl w:val="1"/>
        <w:rPr>
          <w:rFonts w:ascii="仿宋" w:hAnsi="仿宋" w:eastAsia="仿宋" w:cs="仿宋"/>
          <w:b/>
          <w:color w:val="auto"/>
          <w:kern w:val="0"/>
          <w:sz w:val="36"/>
          <w:szCs w:val="36"/>
          <w:highlight w:val="none"/>
        </w:rPr>
      </w:pPr>
      <w:bookmarkStart w:id="136" w:name="_Toc4272"/>
      <w:bookmarkStart w:id="137" w:name="_Toc28076"/>
      <w:bookmarkStart w:id="138" w:name="_Toc3036"/>
      <w:bookmarkStart w:id="139" w:name="_Toc23502"/>
      <w:r>
        <w:rPr>
          <w:rFonts w:hint="eastAsia" w:ascii="仿宋" w:hAnsi="仿宋" w:eastAsia="仿宋" w:cs="仿宋"/>
          <w:b/>
          <w:color w:val="auto"/>
          <w:kern w:val="0"/>
          <w:sz w:val="36"/>
          <w:szCs w:val="36"/>
          <w:highlight w:val="none"/>
        </w:rPr>
        <w:t>商务技术文件部分</w:t>
      </w:r>
      <w:bookmarkEnd w:id="136"/>
      <w:bookmarkEnd w:id="137"/>
      <w:bookmarkEnd w:id="138"/>
      <w:bookmarkEnd w:id="139"/>
    </w:p>
    <w:p w14:paraId="273BE776">
      <w:pPr>
        <w:spacing w:line="360" w:lineRule="auto"/>
        <w:jc w:val="center"/>
        <w:rPr>
          <w:rFonts w:ascii="仿宋" w:hAnsi="仿宋" w:eastAsia="仿宋" w:cs="仿宋"/>
          <w:b/>
          <w:color w:val="auto"/>
          <w:kern w:val="0"/>
          <w:sz w:val="24"/>
          <w:highlight w:val="none"/>
        </w:rPr>
      </w:pPr>
    </w:p>
    <w:p w14:paraId="5C403EC2">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31C33EDA">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64DE61B6">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682192ED">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14:paraId="0E238D4B">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14:paraId="3F394389">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14:paraId="1247CE01">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18304379">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14:paraId="2A5A20FE">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71DA8E93">
      <w:pPr>
        <w:bidi w:val="0"/>
        <w:rPr>
          <w:color w:val="auto"/>
          <w:highlight w:val="none"/>
          <w:lang w:val="zh-CN"/>
        </w:rPr>
      </w:pPr>
    </w:p>
    <w:p w14:paraId="0EDD98B7">
      <w:pPr>
        <w:bidi w:val="0"/>
        <w:rPr>
          <w:color w:val="auto"/>
          <w:highlight w:val="none"/>
          <w:lang w:val="zh-CN"/>
        </w:rPr>
      </w:pPr>
    </w:p>
    <w:p w14:paraId="05B8F8DD">
      <w:pPr>
        <w:bidi w:val="0"/>
        <w:rPr>
          <w:color w:val="auto"/>
          <w:highlight w:val="none"/>
          <w:lang w:val="zh-CN"/>
        </w:rPr>
      </w:pPr>
    </w:p>
    <w:p w14:paraId="2085AE93">
      <w:pPr>
        <w:bidi w:val="0"/>
        <w:rPr>
          <w:color w:val="auto"/>
          <w:highlight w:val="none"/>
          <w:lang w:val="zh-CN"/>
        </w:rPr>
      </w:pPr>
    </w:p>
    <w:p w14:paraId="4A8641B7">
      <w:pPr>
        <w:bidi w:val="0"/>
        <w:rPr>
          <w:color w:val="auto"/>
          <w:highlight w:val="none"/>
          <w:lang w:val="zh-CN"/>
        </w:rPr>
      </w:pPr>
    </w:p>
    <w:p w14:paraId="25BFBED5">
      <w:pPr>
        <w:bidi w:val="0"/>
        <w:rPr>
          <w:color w:val="auto"/>
          <w:highlight w:val="none"/>
        </w:rPr>
      </w:pPr>
    </w:p>
    <w:p w14:paraId="21F77D48">
      <w:pPr>
        <w:bidi w:val="0"/>
        <w:rPr>
          <w:color w:val="auto"/>
          <w:highlight w:val="none"/>
        </w:rPr>
      </w:pPr>
    </w:p>
    <w:p w14:paraId="3BC4F33B">
      <w:pPr>
        <w:bidi w:val="0"/>
        <w:rPr>
          <w:color w:val="auto"/>
          <w:highlight w:val="none"/>
        </w:rPr>
      </w:pPr>
    </w:p>
    <w:p w14:paraId="30002B1B">
      <w:pPr>
        <w:bidi w:val="0"/>
        <w:rPr>
          <w:color w:val="auto"/>
          <w:highlight w:val="none"/>
        </w:rPr>
      </w:pPr>
    </w:p>
    <w:p w14:paraId="1DD56F28">
      <w:pPr>
        <w:bidi w:val="0"/>
        <w:rPr>
          <w:color w:val="auto"/>
          <w:highlight w:val="none"/>
        </w:rPr>
      </w:pPr>
    </w:p>
    <w:p w14:paraId="16BC18B8">
      <w:pPr>
        <w:bidi w:val="0"/>
        <w:rPr>
          <w:color w:val="auto"/>
          <w:highlight w:val="none"/>
        </w:rPr>
      </w:pPr>
    </w:p>
    <w:p w14:paraId="355D079A">
      <w:pPr>
        <w:bidi w:val="0"/>
        <w:rPr>
          <w:color w:val="auto"/>
          <w:highlight w:val="none"/>
        </w:rPr>
      </w:pPr>
    </w:p>
    <w:p w14:paraId="10602447">
      <w:pPr>
        <w:bidi w:val="0"/>
        <w:rPr>
          <w:color w:val="auto"/>
          <w:highlight w:val="none"/>
        </w:rPr>
      </w:pPr>
    </w:p>
    <w:p w14:paraId="0F0E8582">
      <w:pPr>
        <w:bidi w:val="0"/>
        <w:rPr>
          <w:color w:val="auto"/>
          <w:highlight w:val="none"/>
        </w:rPr>
      </w:pPr>
    </w:p>
    <w:p w14:paraId="2FDEA0F0">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0A662256">
      <w:pPr>
        <w:keepNext w:val="0"/>
        <w:keepLines w:val="0"/>
        <w:pageBreakBefore w:val="0"/>
        <w:kinsoku/>
        <w:wordWrap/>
        <w:overflowPunct/>
        <w:topLinePunct w:val="0"/>
        <w:bidi w:val="0"/>
        <w:snapToGrid w:val="0"/>
        <w:spacing w:line="360" w:lineRule="auto"/>
        <w:jc w:val="center"/>
        <w:textAlignment w:val="auto"/>
        <w:outlineLvl w:val="9"/>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43AC828A">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14:paraId="6ADCF32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14:paraId="0157777B">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29B0522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0C51A51D">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194BB2D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符合参加政府采购活动应当具备的一般条件的承诺函；</w:t>
      </w:r>
    </w:p>
    <w:p w14:paraId="75737AD0">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p>
    <w:p w14:paraId="7C80EAC7">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2.1.3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lang w:val="en-US" w:eastAsia="zh-CN"/>
        </w:rPr>
        <w:t>提供中小企业声明函</w:t>
      </w:r>
      <w:r>
        <w:rPr>
          <w:rFonts w:hint="eastAsia" w:ascii="仿宋_GB2312" w:hAnsi="仿宋" w:eastAsia="仿宋_GB2312"/>
          <w:b w:val="0"/>
          <w:bCs/>
          <w:color w:val="auto"/>
          <w:sz w:val="24"/>
          <w:highlight w:val="none"/>
          <w:lang w:eastAsia="zh-CN"/>
        </w:rPr>
        <w:t>）</w:t>
      </w:r>
    </w:p>
    <w:p w14:paraId="6F0375E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_GB2312" w:hAnsi="仿宋" w:eastAsia="仿宋_GB2312"/>
          <w:b w:val="0"/>
          <w:bCs/>
          <w:color w:val="auto"/>
          <w:sz w:val="24"/>
          <w:highlight w:val="none"/>
          <w:lang w:val="en-US" w:eastAsia="zh-CN"/>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lang w:val="en-US" w:eastAsia="zh-CN"/>
        </w:rPr>
        <w:t>提供保安服务许可证扫描件</w:t>
      </w:r>
      <w:r>
        <w:rPr>
          <w:rFonts w:hint="eastAsia" w:ascii="仿宋_GB2312" w:hAnsi="仿宋" w:eastAsia="仿宋_GB2312"/>
          <w:b w:val="0"/>
          <w:bCs/>
          <w:color w:val="auto"/>
          <w:sz w:val="24"/>
          <w:highlight w:val="none"/>
          <w:lang w:eastAsia="zh-CN"/>
        </w:rPr>
        <w:t>）</w:t>
      </w:r>
    </w:p>
    <w:p w14:paraId="625DEDC4">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76857AD9">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7AEB4C6C">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r>
        <w:rPr>
          <w:rFonts w:hint="eastAsia" w:ascii="仿宋_GB2312" w:hAnsi="仿宋" w:eastAsia="仿宋_GB2312" w:cs="仿宋_GB2312"/>
          <w:color w:val="auto"/>
          <w:sz w:val="24"/>
          <w:highlight w:val="none"/>
          <w:lang w:eastAsia="zh-CN"/>
        </w:rPr>
        <w:t>，</w:t>
      </w:r>
      <w:r>
        <w:rPr>
          <w:rFonts w:hint="eastAsia" w:ascii="仿宋" w:hAnsi="仿宋" w:eastAsia="仿宋"/>
          <w:bCs/>
          <w:sz w:val="24"/>
          <w:highlight w:val="none"/>
          <w:lang w:val="en-US" w:eastAsia="zh-CN"/>
        </w:rPr>
        <w:t>以及为授权代表缴纳、距投标截止时间3个月内任意时间出具的社保证明材料</w:t>
      </w:r>
      <w:r>
        <w:rPr>
          <w:rFonts w:ascii="仿宋_GB2312" w:hAnsi="仿宋" w:eastAsia="仿宋_GB2312" w:cs="仿宋_GB2312"/>
          <w:color w:val="auto"/>
          <w:sz w:val="24"/>
          <w:highlight w:val="none"/>
        </w:rPr>
        <w:t>；</w:t>
      </w:r>
    </w:p>
    <w:p w14:paraId="521AED2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2.2.3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cs="仿宋_GB2312"/>
          <w:color w:val="auto"/>
          <w:sz w:val="24"/>
          <w:highlight w:val="none"/>
          <w:lang w:eastAsia="zh-CN"/>
        </w:rPr>
        <w:t>）</w:t>
      </w:r>
    </w:p>
    <w:p w14:paraId="37369BC1">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符合性审查资料；</w:t>
      </w:r>
    </w:p>
    <w:p w14:paraId="214A7D5C">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评标标准相应的商务技术资料；</w:t>
      </w:r>
    </w:p>
    <w:p w14:paraId="0BC17A8B">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6</w:t>
      </w:r>
      <w:r>
        <w:rPr>
          <w:rFonts w:hint="eastAsia" w:ascii="仿宋_GB2312" w:hAnsi="仿宋" w:eastAsia="仿宋_GB2312" w:cs="仿宋_GB2312"/>
          <w:color w:val="auto"/>
          <w:sz w:val="24"/>
          <w:highlight w:val="none"/>
        </w:rPr>
        <w:t>投标标的清单；</w:t>
      </w:r>
    </w:p>
    <w:p w14:paraId="37F8C0D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商务技术偏离表；</w:t>
      </w:r>
    </w:p>
    <w:p w14:paraId="6C14EA80">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lang w:val="zh-CN"/>
        </w:rPr>
        <w:t>政府采购供应商廉洁自律承诺书；</w:t>
      </w:r>
    </w:p>
    <w:p w14:paraId="503713E9">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45F50B78">
      <w:pPr>
        <w:keepNext w:val="0"/>
        <w:keepLines w:val="0"/>
        <w:pageBreakBefore w:val="0"/>
        <w:kinsoku/>
        <w:wordWrap/>
        <w:overflowPunct/>
        <w:topLinePunct w:val="0"/>
        <w:bidi w:val="0"/>
        <w:adjustRightInd w:val="0"/>
        <w:snapToGrid w:val="0"/>
        <w:spacing w:line="400" w:lineRule="exact"/>
        <w:ind w:left="420" w:leftChars="200"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4B2964E">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2.3.2报价明细表。（自拟）</w:t>
      </w:r>
    </w:p>
    <w:p w14:paraId="3A258E3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1437E30B">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74CFD6B9">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428280AA">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14:paraId="1D44834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14:paraId="2905ECC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14:paraId="67FB0A1E">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51F9CE85">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hint="eastAsia" w:ascii="仿宋_GB2312" w:hAnsi="仿宋" w:eastAsia="仿宋_GB2312" w:cs="仿宋_GB2312"/>
          <w:color w:val="auto"/>
          <w:sz w:val="24"/>
          <w:highlight w:val="none"/>
        </w:rPr>
      </w:pPr>
    </w:p>
    <w:p w14:paraId="2AE01AA8">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74AE412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仿宋_GB2312" w:hAnsi="仿宋" w:eastAsia="仿宋_GB2312" w:cs="仿宋_GB2312"/>
          <w:color w:val="auto"/>
          <w:kern w:val="0"/>
          <w:sz w:val="24"/>
          <w:highlight w:val="none"/>
          <w:u w:val="single"/>
          <w:lang w:val="zh-CN"/>
        </w:rPr>
      </w:pPr>
      <w:r>
        <w:rPr>
          <w:rFonts w:ascii="仿宋_GB2312" w:hAnsi="仿宋" w:eastAsia="仿宋_GB2312" w:cs="仿宋_GB2312"/>
          <w:color w:val="auto"/>
          <w:sz w:val="24"/>
          <w:highlight w:val="none"/>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7E78C28E">
      <w:pPr>
        <w:keepNext w:val="0"/>
        <w:keepLines w:val="0"/>
        <w:pageBreakBefore w:val="0"/>
        <w:kinsoku/>
        <w:wordWrap/>
        <w:overflowPunct/>
        <w:topLinePunct w:val="0"/>
        <w:bidi w:val="0"/>
        <w:spacing w:line="360" w:lineRule="auto"/>
        <w:ind w:right="420"/>
        <w:textAlignment w:val="auto"/>
        <w:outlineLvl w:val="9"/>
        <w:rPr>
          <w:rFonts w:hint="eastAsia" w:ascii="宋体" w:hAnsi="宋体" w:cs="宋体"/>
          <w:color w:val="auto"/>
          <w:sz w:val="24"/>
          <w:highlight w:val="none"/>
        </w:rPr>
      </w:pPr>
    </w:p>
    <w:p w14:paraId="45889D6D">
      <w:pPr>
        <w:keepNext w:val="0"/>
        <w:keepLines w:val="0"/>
        <w:pageBreakBefore w:val="0"/>
        <w:kinsoku/>
        <w:wordWrap/>
        <w:overflowPunct/>
        <w:topLinePunct w:val="0"/>
        <w:bidi w:val="0"/>
        <w:spacing w:line="360" w:lineRule="auto"/>
        <w:ind w:right="420"/>
        <w:textAlignment w:val="auto"/>
        <w:outlineLvl w:val="9"/>
        <w:rPr>
          <w:rFonts w:ascii="宋体" w:hAnsi="宋体" w:cs="宋体"/>
          <w:color w:val="auto"/>
          <w:sz w:val="24"/>
          <w:highlight w:val="none"/>
        </w:rPr>
      </w:pPr>
    </w:p>
    <w:p w14:paraId="22A46A8D">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18C429B5">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0A18AB10">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4D17CE17">
      <w:pPr>
        <w:keepNext w:val="0"/>
        <w:keepLines w:val="0"/>
        <w:pageBreakBefore w:val="0"/>
        <w:kinsoku/>
        <w:wordWrap/>
        <w:overflowPunct/>
        <w:topLinePunct w:val="0"/>
        <w:bidi w:val="0"/>
        <w:snapToGrid w:val="0"/>
        <w:spacing w:line="360" w:lineRule="auto"/>
        <w:ind w:left="0" w:leftChars="0" w:firstLine="0" w:firstLineChars="0"/>
        <w:jc w:val="center"/>
        <w:textAlignment w:val="auto"/>
        <w:outlineLvl w:val="9"/>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6B9274C2">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14:paraId="601F7236">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（姓名）为我方代理人（身份证号码：</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，手机：</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u w:val="single"/>
          <w:lang w:val="en-US" w:eastAsia="zh-CN"/>
        </w:rPr>
        <w:t xml:space="preserve"> </w:t>
      </w:r>
      <w:r>
        <w:rPr>
          <w:rFonts w:ascii="仿宋" w:hAnsi="仿宋" w:eastAsia="仿宋" w:cs="仿宋_GB2312"/>
          <w:kern w:val="0"/>
          <w:sz w:val="24"/>
          <w:highlight w:val="none"/>
          <w:u w:val="single"/>
          <w:lang w:val="zh-CN"/>
        </w:rPr>
        <w:t xml:space="preserve">     </w:t>
      </w:r>
      <w:r>
        <w:rPr>
          <w:rFonts w:hint="eastAsia" w:ascii="仿宋_GB2312" w:hAnsi="仿宋" w:eastAsia="仿宋_GB2312" w:cs="仿宋_GB2312"/>
          <w:kern w:val="0"/>
          <w:sz w:val="24"/>
          <w:highlight w:val="none"/>
          <w:u w:val="none"/>
          <w:lang w:val="zh-CN"/>
        </w:rPr>
        <w:t>，所在单位：</w:t>
      </w:r>
      <w:r>
        <w:rPr>
          <w:rFonts w:hint="eastAsia"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u w:val="single"/>
          <w:lang w:val="zh-CN"/>
        </w:rPr>
        <w:t xml:space="preserve">   </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），以我方名义处理</w:t>
      </w:r>
      <w:r>
        <w:rPr>
          <w:rFonts w:hint="eastAsia" w:ascii="仿宋" w:hAnsi="仿宋" w:eastAsia="仿宋" w:cs="仿宋_GB2312"/>
          <w:sz w:val="24"/>
          <w:highlight w:val="none"/>
        </w:rPr>
        <w:t>（项目名称）【招标编号：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政府采购投标的一切事项，其法律后果由我方承担。</w:t>
      </w:r>
    </w:p>
    <w:p w14:paraId="53D83219">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w:t>
      </w:r>
      <w:r>
        <w:rPr>
          <w:rFonts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年</w:t>
      </w:r>
      <w:r>
        <w:rPr>
          <w:rFonts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月</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日</w:t>
      </w:r>
      <w:r>
        <w:rPr>
          <w:rFonts w:hint="eastAsia" w:ascii="仿宋" w:hAnsi="仿宋" w:eastAsia="仿宋" w:cs="仿宋_GB2312"/>
          <w:kern w:val="0"/>
          <w:sz w:val="24"/>
          <w:highlight w:val="none"/>
          <w:lang w:val="zh-CN"/>
        </w:rPr>
        <w:t>起至</w:t>
      </w:r>
      <w:r>
        <w:rPr>
          <w:rFonts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年</w:t>
      </w:r>
      <w:r>
        <w:rPr>
          <w:rFonts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月</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日</w:t>
      </w:r>
      <w:r>
        <w:rPr>
          <w:rFonts w:hint="eastAsia" w:ascii="仿宋" w:hAnsi="仿宋" w:eastAsia="仿宋" w:cs="仿宋_GB2312"/>
          <w:kern w:val="0"/>
          <w:sz w:val="24"/>
          <w:highlight w:val="none"/>
          <w:lang w:val="zh-CN"/>
        </w:rPr>
        <w:t>止。</w:t>
      </w:r>
    </w:p>
    <w:p w14:paraId="49BBD01E">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特此告知。</w:t>
      </w:r>
    </w:p>
    <w:p w14:paraId="0E934D46">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lang w:val="zh-CN"/>
        </w:rPr>
        <w:t xml:space="preserve">                                                 投标人名称(电子签名)：</w:t>
      </w:r>
    </w:p>
    <w:p w14:paraId="644583D1">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签发日期：</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lang w:val="zh-CN"/>
        </w:rPr>
        <w:t xml:space="preserve"> </w:t>
      </w:r>
      <w:r>
        <w:rPr>
          <w:rFonts w:ascii="仿宋" w:hAnsi="仿宋" w:eastAsia="仿宋" w:cs="仿宋_GB2312"/>
          <w:kern w:val="0"/>
          <w:sz w:val="24"/>
          <w:highlight w:val="none"/>
          <w:lang w:val="zh-CN"/>
        </w:rPr>
        <w:t>年</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lang w:val="zh-CN"/>
        </w:rPr>
        <w:t xml:space="preserve"> </w:t>
      </w:r>
      <w:r>
        <w:rPr>
          <w:rFonts w:ascii="仿宋" w:hAnsi="仿宋" w:eastAsia="仿宋" w:cs="仿宋_GB2312"/>
          <w:kern w:val="0"/>
          <w:sz w:val="24"/>
          <w:highlight w:val="none"/>
          <w:lang w:val="zh-CN"/>
        </w:rPr>
        <w:t>月</w:t>
      </w:r>
      <w:r>
        <w:rPr>
          <w:rFonts w:ascii="仿宋" w:hAnsi="仿宋" w:eastAsia="仿宋" w:cs="仿宋_GB2312"/>
          <w:kern w:val="0"/>
          <w:sz w:val="24"/>
          <w:highlight w:val="none"/>
          <w:u w:val="single"/>
          <w:lang w:val="zh-CN"/>
        </w:rPr>
        <w:t xml:space="preserve">   </w:t>
      </w:r>
      <w:r>
        <w:rPr>
          <w:rFonts w:ascii="仿宋" w:hAnsi="仿宋" w:eastAsia="仿宋" w:cs="仿宋_GB2312"/>
          <w:kern w:val="0"/>
          <w:sz w:val="24"/>
          <w:highlight w:val="none"/>
          <w:lang w:val="zh-CN"/>
        </w:rPr>
        <w:t>日</w:t>
      </w:r>
    </w:p>
    <w:p w14:paraId="534614B6">
      <w:pPr>
        <w:snapToGrid w:val="0"/>
        <w:spacing w:line="360" w:lineRule="auto"/>
        <w:rPr>
          <w:rFonts w:ascii="仿宋" w:hAnsi="仿宋" w:eastAsia="仿宋" w:cs="仿宋_GB2312"/>
          <w:sz w:val="24"/>
          <w:highlight w:val="none"/>
        </w:rPr>
      </w:pPr>
    </w:p>
    <w:p w14:paraId="1899CF29">
      <w:pPr>
        <w:snapToGrid w:val="0"/>
        <w:spacing w:line="360" w:lineRule="auto"/>
        <w:rPr>
          <w:rFonts w:ascii="仿宋" w:hAnsi="仿宋" w:eastAsia="仿宋" w:cs="仿宋_GB2312"/>
          <w:sz w:val="24"/>
          <w:highlight w:val="none"/>
        </w:rPr>
      </w:pPr>
    </w:p>
    <w:p w14:paraId="5E21199E">
      <w:pPr>
        <w:jc w:val="center"/>
        <w:rPr>
          <w:rFonts w:ascii="仿宋" w:hAnsi="仿宋" w:eastAsia="仿宋" w:cs="仿宋_GB2312"/>
          <w:b/>
          <w:kern w:val="0"/>
          <w:sz w:val="32"/>
          <w:szCs w:val="32"/>
          <w:highlight w:val="none"/>
        </w:rPr>
      </w:pPr>
      <w:r>
        <w:rPr>
          <w:rFonts w:ascii="仿宋" w:hAnsi="仿宋" w:eastAsia="仿宋" w:cs="仿宋_GB2312"/>
          <w:b/>
          <w:kern w:val="0"/>
          <w:sz w:val="32"/>
          <w:szCs w:val="32"/>
          <w:highlight w:val="none"/>
          <w:lang w:val="zh-CN"/>
        </w:rPr>
        <w:t xml:space="preserve">      </w:t>
      </w:r>
      <w:r>
        <w:rPr>
          <w:rFonts w:ascii="仿宋" w:hAnsi="仿宋" w:eastAsia="仿宋" w:cs="仿宋_GB2312"/>
          <w:b/>
          <w:kern w:val="0"/>
          <w:sz w:val="32"/>
          <w:szCs w:val="32"/>
          <w:highlight w:val="none"/>
        </w:rPr>
        <w:t xml:space="preserve"> </w:t>
      </w:r>
      <w:r>
        <w:rPr>
          <w:rFonts w:hint="eastAsia" w:ascii="仿宋" w:hAnsi="仿宋" w:eastAsia="仿宋" w:cs="仿宋_GB2312"/>
          <w:b/>
          <w:kern w:val="0"/>
          <w:sz w:val="32"/>
          <w:szCs w:val="32"/>
          <w:highlight w:val="none"/>
          <w:lang w:val="zh-CN"/>
        </w:rPr>
        <w:t>授权委托书（适用于联合体投标）</w:t>
      </w:r>
    </w:p>
    <w:p w14:paraId="5937C208">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（采购人）、（采购代理机构）</w:t>
      </w:r>
      <w:r>
        <w:rPr>
          <w:rFonts w:hint="eastAsia" w:ascii="仿宋" w:hAnsi="仿宋" w:eastAsia="仿宋" w:cs="仿宋_GB2312"/>
          <w:kern w:val="0"/>
          <w:sz w:val="24"/>
          <w:highlight w:val="none"/>
          <w:lang w:val="zh-CN"/>
        </w:rPr>
        <w:t>：</w:t>
      </w:r>
    </w:p>
    <w:p w14:paraId="3B1881B0">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（姓名）为我方代理人（身份证号码：</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，手机：</w:t>
      </w:r>
      <w:r>
        <w:rPr>
          <w:rFonts w:ascii="仿宋" w:hAnsi="仿宋" w:eastAsia="仿宋" w:cs="仿宋_GB2312"/>
          <w:kern w:val="0"/>
          <w:sz w:val="24"/>
          <w:highlight w:val="none"/>
          <w:u w:val="single"/>
          <w:lang w:val="zh-CN"/>
        </w:rPr>
        <w:t xml:space="preserve">       </w:t>
      </w:r>
      <w:r>
        <w:rPr>
          <w:rFonts w:hint="eastAsia" w:ascii="仿宋_GB2312" w:hAnsi="仿宋" w:eastAsia="仿宋_GB2312" w:cs="仿宋_GB2312"/>
          <w:kern w:val="0"/>
          <w:sz w:val="24"/>
          <w:highlight w:val="none"/>
          <w:u w:val="none"/>
          <w:lang w:val="zh-CN"/>
        </w:rPr>
        <w:t>，所在单位：</w:t>
      </w:r>
      <w:r>
        <w:rPr>
          <w:rFonts w:hint="eastAsia"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u w:val="single"/>
          <w:lang w:val="zh-CN"/>
        </w:rPr>
        <w:t xml:space="preserve">   </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），以我方名义处理</w:t>
      </w:r>
      <w:r>
        <w:rPr>
          <w:rFonts w:hint="eastAsia" w:ascii="仿宋" w:hAnsi="仿宋" w:eastAsia="仿宋" w:cs="仿宋_GB2312"/>
          <w:sz w:val="24"/>
          <w:highlight w:val="none"/>
        </w:rPr>
        <w:t>（项目名称）【招标编号：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政府采购投标的一切事项，其法律后果由我方承担。</w:t>
      </w:r>
    </w:p>
    <w:p w14:paraId="51252424">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rPr>
        <w:t>委托期限：</w:t>
      </w:r>
      <w:r>
        <w:rPr>
          <w:rFonts w:hint="eastAsia" w:ascii="仿宋" w:hAnsi="仿宋" w:eastAsia="仿宋" w:cs="仿宋_GB2312"/>
          <w:kern w:val="0"/>
          <w:sz w:val="24"/>
          <w:highlight w:val="none"/>
          <w:lang w:val="zh-CN"/>
        </w:rPr>
        <w:t>自</w:t>
      </w:r>
      <w:r>
        <w:rPr>
          <w:rFonts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年</w:t>
      </w:r>
      <w:r>
        <w:rPr>
          <w:rFonts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月</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日</w:t>
      </w:r>
      <w:r>
        <w:rPr>
          <w:rFonts w:hint="eastAsia" w:ascii="仿宋" w:hAnsi="仿宋" w:eastAsia="仿宋" w:cs="仿宋_GB2312"/>
          <w:kern w:val="0"/>
          <w:sz w:val="24"/>
          <w:highlight w:val="none"/>
          <w:lang w:val="zh-CN"/>
        </w:rPr>
        <w:t>起至</w:t>
      </w:r>
      <w:r>
        <w:rPr>
          <w:rFonts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年</w:t>
      </w:r>
      <w:r>
        <w:rPr>
          <w:rFonts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u w:val="single"/>
        </w:rPr>
        <w:t xml:space="preserve"> </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月</w:t>
      </w:r>
      <w:r>
        <w:rPr>
          <w:rFonts w:ascii="仿宋" w:hAnsi="仿宋" w:eastAsia="仿宋" w:cs="仿宋_GB2312"/>
          <w:kern w:val="0"/>
          <w:sz w:val="24"/>
          <w:highlight w:val="none"/>
          <w:u w:val="single"/>
        </w:rPr>
        <w:t xml:space="preserve">   </w:t>
      </w:r>
      <w:r>
        <w:rPr>
          <w:rFonts w:ascii="仿宋" w:hAnsi="仿宋" w:eastAsia="仿宋" w:cs="仿宋_GB2312"/>
          <w:kern w:val="0"/>
          <w:sz w:val="24"/>
          <w:highlight w:val="none"/>
          <w:lang w:val="zh-CN"/>
        </w:rPr>
        <w:t>日</w:t>
      </w:r>
      <w:r>
        <w:rPr>
          <w:rFonts w:hint="eastAsia" w:ascii="仿宋" w:hAnsi="仿宋" w:eastAsia="仿宋" w:cs="仿宋_GB2312"/>
          <w:kern w:val="0"/>
          <w:sz w:val="24"/>
          <w:highlight w:val="none"/>
          <w:lang w:val="zh-CN"/>
        </w:rPr>
        <w:t>止。</w:t>
      </w:r>
    </w:p>
    <w:p w14:paraId="1EBEE49A">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特此告知。</w:t>
      </w:r>
    </w:p>
    <w:p w14:paraId="79B8C63D">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3EE9517D">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3BA8EF19">
      <w:pPr>
        <w:keepNext w:val="0"/>
        <w:keepLines w:val="0"/>
        <w:pageBreakBefore w:val="0"/>
        <w:kinsoku/>
        <w:wordWrap/>
        <w:overflowPunct/>
        <w:topLinePunct w:val="0"/>
        <w:bidi w:val="0"/>
        <w:textAlignment w:val="auto"/>
        <w:outlineLvl w:val="9"/>
        <w:rPr>
          <w:color w:val="auto"/>
          <w:highlight w:val="none"/>
        </w:rPr>
      </w:pPr>
    </w:p>
    <w:p w14:paraId="7B9B387F">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6374DEFF">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7C8B8601">
      <w:pPr>
        <w:keepNext w:val="0"/>
        <w:keepLines w:val="0"/>
        <w:pageBreakBefore w:val="0"/>
        <w:kinsoku/>
        <w:wordWrap/>
        <w:overflowPunct/>
        <w:topLinePunct w:val="0"/>
        <w:bidi w:val="0"/>
        <w:snapToGrid w:val="0"/>
        <w:spacing w:line="360" w:lineRule="auto"/>
        <w:ind w:firstLine="5760" w:firstLineChars="2400"/>
        <w:textAlignment w:val="auto"/>
        <w:outlineLvl w:val="9"/>
        <w:rPr>
          <w:color w:val="auto"/>
          <w:highlight w:val="none"/>
        </w:rPr>
      </w:pPr>
      <w:r>
        <w:rPr>
          <w:rFonts w:hint="eastAsia" w:ascii="仿宋_GB2312" w:hAnsi="仿宋" w:eastAsia="仿宋_GB2312" w:cs="仿宋_GB2312"/>
          <w:color w:val="auto"/>
          <w:kern w:val="0"/>
          <w:sz w:val="24"/>
          <w:highlight w:val="none"/>
          <w:lang w:val="zh-CN"/>
        </w:rPr>
        <w:t>……</w:t>
      </w:r>
    </w:p>
    <w:p w14:paraId="22AF473F">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5A0EE0DF">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7C54E118">
      <w:pPr>
        <w:keepNext w:val="0"/>
        <w:keepLines w:val="0"/>
        <w:pageBreakBefore w:val="0"/>
        <w:kinsoku/>
        <w:wordWrap/>
        <w:overflowPunct/>
        <w:topLinePunct w:val="0"/>
        <w:autoSpaceDE w:val="0"/>
        <w:autoSpaceDN w:val="0"/>
        <w:bidi w:val="0"/>
        <w:spacing w:line="360" w:lineRule="auto"/>
        <w:jc w:val="center"/>
        <w:textAlignment w:val="auto"/>
        <w:outlineLvl w:val="9"/>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3C23F25F">
      <w:pPr>
        <w:pStyle w:val="196"/>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B4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2C5C8614">
            <w:pPr>
              <w:pStyle w:val="196"/>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79E68FD1">
            <w:pPr>
              <w:pStyle w:val="196"/>
              <w:adjustRightInd w:val="0"/>
              <w:spacing w:line="360" w:lineRule="auto"/>
              <w:rPr>
                <w:rFonts w:ascii="仿宋_GB2312" w:hAnsi="仿宋" w:eastAsia="仿宋_GB2312"/>
                <w:bCs/>
                <w:sz w:val="24"/>
                <w:highlight w:val="none"/>
              </w:rPr>
            </w:pPr>
          </w:p>
        </w:tc>
      </w:tr>
    </w:tbl>
    <w:p w14:paraId="6D0CFCD0">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3FCEEB9A">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投标人为授权代表缴纳的、距投标截止时间3个月内任意时间出具的社保证明材料</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83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207" w:type="dxa"/>
          </w:tcPr>
          <w:p w14:paraId="028E76AB">
            <w:pPr>
              <w:pStyle w:val="196"/>
              <w:adjustRightInd w:val="0"/>
              <w:spacing w:line="360" w:lineRule="auto"/>
              <w:rPr>
                <w:rFonts w:ascii="仿宋_GB2312" w:hAnsi="仿宋" w:eastAsia="仿宋_GB2312"/>
                <w:bCs/>
                <w:sz w:val="24"/>
                <w:highlight w:val="none"/>
              </w:rPr>
            </w:pPr>
          </w:p>
        </w:tc>
      </w:tr>
    </w:tbl>
    <w:p w14:paraId="4C9D6C41">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488E648A">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4D4F8343">
      <w:pPr>
        <w:keepNext w:val="0"/>
        <w:keepLines w:val="0"/>
        <w:pageBreakBefore w:val="0"/>
        <w:kinsoku/>
        <w:wordWrap/>
        <w:overflowPunct/>
        <w:topLinePunct w:val="0"/>
        <w:bidi w:val="0"/>
        <w:spacing w:line="360" w:lineRule="auto"/>
        <w:jc w:val="center"/>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2C94988D">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569B4170">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75A169AC">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7A18918D">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6EE941DF">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2073BF87">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三、分包意向协议（如果有）</w:t>
      </w:r>
    </w:p>
    <w:p w14:paraId="42C8A563">
      <w:pPr>
        <w:keepNext w:val="0"/>
        <w:keepLines w:val="0"/>
        <w:pageBreakBefore w:val="0"/>
        <w:widowControl/>
        <w:kinsoku/>
        <w:wordWrap/>
        <w:overflowPunct/>
        <w:topLinePunct w:val="0"/>
        <w:bidi w:val="0"/>
        <w:spacing w:line="360" w:lineRule="auto"/>
        <w:ind w:firstLine="482" w:firstLineChars="200"/>
        <w:jc w:val="left"/>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p>
    <w:p w14:paraId="5C1CF307">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2B3995A7">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14:paraId="4436640F">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4A2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58CCB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14:paraId="125643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47EB20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14:paraId="64DCFD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14:paraId="7BE9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5D11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rPr>
            </w:pPr>
            <w:r>
              <w:rPr>
                <w:rFonts w:hint="eastAsia" w:ascii="仿宋" w:hAnsi="仿宋" w:eastAsia="仿宋" w:cs="Times New Roman"/>
                <w:b w:val="0"/>
                <w:bCs/>
                <w:color w:val="auto"/>
                <w:sz w:val="24"/>
                <w:highlight w:val="none"/>
              </w:rPr>
              <w:t>1</w:t>
            </w:r>
          </w:p>
        </w:tc>
        <w:tc>
          <w:tcPr>
            <w:tcW w:w="4245" w:type="dxa"/>
            <w:vAlign w:val="center"/>
          </w:tcPr>
          <w:p w14:paraId="31B97A9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0DD2C60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14:paraId="1F6E95C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color w:val="auto"/>
                <w:sz w:val="24"/>
                <w:highlight w:val="none"/>
              </w:rPr>
            </w:pPr>
          </w:p>
          <w:p w14:paraId="4050225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622878D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1AE1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C492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lang w:eastAsia="zh-CN"/>
              </w:rPr>
            </w:pPr>
            <w:r>
              <w:rPr>
                <w:rFonts w:hint="eastAsia" w:ascii="仿宋" w:hAnsi="仿宋" w:eastAsia="仿宋" w:cs="Times New Roman"/>
                <w:b w:val="0"/>
                <w:bCs/>
                <w:color w:val="auto"/>
                <w:sz w:val="24"/>
                <w:highlight w:val="none"/>
                <w:lang w:val="en-US" w:eastAsia="zh-CN"/>
              </w:rPr>
              <w:t>2</w:t>
            </w:r>
          </w:p>
        </w:tc>
        <w:tc>
          <w:tcPr>
            <w:tcW w:w="4245" w:type="dxa"/>
            <w:vAlign w:val="center"/>
          </w:tcPr>
          <w:p w14:paraId="3318643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0B484C9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14:paraId="07B12BD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268E947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0E94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8F0C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lang w:eastAsia="zh-CN"/>
              </w:rPr>
            </w:pPr>
            <w:r>
              <w:rPr>
                <w:rFonts w:hint="eastAsia" w:ascii="仿宋" w:hAnsi="仿宋" w:eastAsia="仿宋" w:cs="Times New Roman"/>
                <w:b w:val="0"/>
                <w:bCs/>
                <w:color w:val="auto"/>
                <w:sz w:val="24"/>
                <w:highlight w:val="none"/>
                <w:lang w:val="en-US" w:eastAsia="zh-CN"/>
              </w:rPr>
              <w:t>3</w:t>
            </w:r>
          </w:p>
        </w:tc>
        <w:tc>
          <w:tcPr>
            <w:tcW w:w="4245" w:type="dxa"/>
            <w:vAlign w:val="center"/>
          </w:tcPr>
          <w:p w14:paraId="604C0DE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79DF5EA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14:paraId="193AE2D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color w:val="auto"/>
                <w:highlight w:val="none"/>
              </w:rPr>
            </w:pPr>
          </w:p>
        </w:tc>
      </w:tr>
      <w:tr w14:paraId="2FF5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5774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lang w:val="en-US" w:eastAsia="zh-CN"/>
              </w:rPr>
            </w:pPr>
          </w:p>
        </w:tc>
        <w:tc>
          <w:tcPr>
            <w:tcW w:w="6796" w:type="dxa"/>
            <w:gridSpan w:val="2"/>
            <w:vAlign w:val="center"/>
          </w:tcPr>
          <w:p w14:paraId="1D381355">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default" w:ascii="仿宋" w:hAnsi="仿宋" w:eastAsia="仿宋" w:cs="仿宋"/>
                <w:snapToGrid w:val="0"/>
                <w:color w:val="auto"/>
                <w:kern w:val="0"/>
                <w:sz w:val="24"/>
                <w:szCs w:val="24"/>
                <w:highlight w:val="none"/>
                <w:lang w:val="en-US" w:eastAsia="zh-CN"/>
              </w:rPr>
            </w:pPr>
            <w:r>
              <w:rPr>
                <w:rFonts w:hint="eastAsia" w:ascii="仿宋_GB2312" w:hAnsi="仿宋" w:eastAsia="仿宋_GB2312" w:cs="仿宋_GB2312"/>
                <w:color w:val="auto"/>
                <w:kern w:val="0"/>
                <w:sz w:val="24"/>
                <w:highlight w:val="none"/>
              </w:rPr>
              <w:t>▲</w:t>
            </w:r>
            <w:r>
              <w:rPr>
                <w:rFonts w:hint="eastAsia" w:ascii="仿宋" w:hAnsi="仿宋" w:eastAsia="仿宋" w:cs="仿宋"/>
                <w:snapToGrid w:val="0"/>
                <w:color w:val="auto"/>
                <w:kern w:val="0"/>
                <w:sz w:val="24"/>
                <w:szCs w:val="24"/>
                <w:highlight w:val="none"/>
                <w:lang w:val="en-US" w:eastAsia="zh-CN"/>
              </w:rPr>
              <w:t>投标文件中提供承诺：本项目投入的特保服务人员，</w:t>
            </w:r>
            <w:r>
              <w:rPr>
                <w:rFonts w:hint="default" w:ascii="仿宋" w:hAnsi="仿宋" w:eastAsia="仿宋" w:cs="仿宋"/>
                <w:snapToGrid w:val="0"/>
                <w:color w:val="auto"/>
                <w:kern w:val="0"/>
                <w:sz w:val="24"/>
                <w:szCs w:val="24"/>
                <w:highlight w:val="none"/>
                <w:lang w:val="en-US" w:eastAsia="zh-CN"/>
              </w:rPr>
              <w:t>纳入采购人对服务单位的考核</w:t>
            </w:r>
            <w:r>
              <w:rPr>
                <w:rFonts w:hint="eastAsia" w:ascii="仿宋" w:hAnsi="仿宋" w:eastAsia="仿宋" w:cs="仿宋"/>
                <w:snapToGrid w:val="0"/>
                <w:color w:val="auto"/>
                <w:kern w:val="0"/>
                <w:sz w:val="24"/>
                <w:szCs w:val="24"/>
                <w:highlight w:val="none"/>
                <w:lang w:val="en-US" w:eastAsia="zh-CN"/>
              </w:rPr>
              <w:t>，并确保无以下情形之一，否则投标无效：如中标，查实有以下情形之一的，中标人承担虚假应标法律责任，并向采购人作相应赔偿。</w:t>
            </w:r>
          </w:p>
          <w:p w14:paraId="7F99009E">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（1）受过刑事处罚或治安管理处罚；</w:t>
            </w:r>
          </w:p>
          <w:p w14:paraId="1F5B9E71">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（2）有较为严重的个人不良信用记录；</w:t>
            </w:r>
          </w:p>
          <w:p w14:paraId="59085097">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（3）因违纪违规被开除、辞退、解聘的人员；</w:t>
            </w:r>
          </w:p>
          <w:p w14:paraId="5F3DB200">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（4）本人或家庭成员、近亲属参加非法组织、邪教组织或从事危害国家安全活动的人员；</w:t>
            </w:r>
          </w:p>
          <w:p w14:paraId="38361B56">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（5）有吸毒、犯罪记录；</w:t>
            </w:r>
          </w:p>
          <w:p w14:paraId="4DF61CB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default" w:ascii="仿宋_GB2312" w:hAnsi="仿宋" w:eastAsia="仿宋_GB2312" w:cs="仿宋_GB2312"/>
                <w:color w:val="auto"/>
                <w:kern w:val="0"/>
                <w:sz w:val="24"/>
                <w:highlight w:val="none"/>
                <w:lang w:val="en-US" w:eastAsia="zh-CN"/>
              </w:rPr>
            </w:pPr>
            <w:r>
              <w:rPr>
                <w:rFonts w:hint="eastAsia" w:ascii="仿宋" w:hAnsi="仿宋" w:eastAsia="仿宋" w:cs="仿宋"/>
                <w:snapToGrid w:val="0"/>
                <w:color w:val="auto"/>
                <w:kern w:val="0"/>
                <w:sz w:val="24"/>
                <w:szCs w:val="24"/>
                <w:highlight w:val="none"/>
                <w:lang w:val="en-US" w:eastAsia="zh-CN"/>
              </w:rPr>
              <w:t>（6）有其他兼职工作或其他不宜从事与本项目相关管理工作的人员</w:t>
            </w:r>
            <w:r>
              <w:rPr>
                <w:rFonts w:hint="eastAsia" w:ascii="仿宋_GB2312" w:hAnsi="仿宋" w:eastAsia="仿宋_GB2312" w:cs="仿宋_GB2312"/>
                <w:snapToGrid/>
                <w:color w:val="auto"/>
                <w:kern w:val="0"/>
                <w:sz w:val="24"/>
                <w:szCs w:val="24"/>
                <w:highlight w:val="none"/>
                <w:lang w:val="en-US" w:eastAsia="zh-CN"/>
              </w:rPr>
              <w:t>。</w:t>
            </w:r>
          </w:p>
        </w:tc>
        <w:tc>
          <w:tcPr>
            <w:tcW w:w="1672" w:type="dxa"/>
            <w:vAlign w:val="center"/>
          </w:tcPr>
          <w:p w14:paraId="1DD9145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color w:val="auto"/>
                <w:sz w:val="24"/>
                <w:highlight w:val="none"/>
              </w:rPr>
            </w:pPr>
          </w:p>
        </w:tc>
      </w:tr>
      <w:tr w14:paraId="6F4A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D0BB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lang w:val="en-US" w:eastAsia="zh-CN"/>
              </w:rPr>
            </w:pPr>
          </w:p>
        </w:tc>
        <w:tc>
          <w:tcPr>
            <w:tcW w:w="6796" w:type="dxa"/>
            <w:gridSpan w:val="2"/>
            <w:vAlign w:val="center"/>
          </w:tcPr>
          <w:p w14:paraId="7267A5E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snapToGrid w:val="0"/>
                <w:color w:val="auto"/>
                <w:kern w:val="0"/>
                <w:sz w:val="24"/>
                <w:highlight w:val="none"/>
                <w:lang w:val="en-US" w:eastAsia="zh-CN"/>
              </w:rPr>
            </w:pPr>
          </w:p>
        </w:tc>
        <w:tc>
          <w:tcPr>
            <w:tcW w:w="1672" w:type="dxa"/>
            <w:vAlign w:val="center"/>
          </w:tcPr>
          <w:p w14:paraId="2C341F3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color w:val="auto"/>
                <w:sz w:val="24"/>
                <w:highlight w:val="none"/>
              </w:rPr>
            </w:pPr>
          </w:p>
        </w:tc>
      </w:tr>
    </w:tbl>
    <w:p w14:paraId="226C6E1E">
      <w:pPr>
        <w:keepNext w:val="0"/>
        <w:keepLines w:val="0"/>
        <w:pageBreakBefore w:val="0"/>
        <w:kinsoku/>
        <w:wordWrap/>
        <w:overflowPunct/>
        <w:topLinePunct w:val="0"/>
        <w:bidi w:val="0"/>
        <w:spacing w:line="360" w:lineRule="auto"/>
        <w:ind w:right="420"/>
        <w:textAlignment w:val="auto"/>
        <w:outlineLvl w:val="9"/>
        <w:rPr>
          <w:rFonts w:ascii="宋体" w:hAnsi="宋体" w:cs="宋体"/>
          <w:color w:val="auto"/>
          <w:sz w:val="24"/>
          <w:highlight w:val="none"/>
        </w:rPr>
      </w:pPr>
    </w:p>
    <w:p w14:paraId="693CFFB2">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37E0FD2F">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62858DD7">
      <w:pPr>
        <w:pStyle w:val="59"/>
        <w:rPr>
          <w:rFonts w:hint="eastAsia"/>
          <w:highlight w:val="none"/>
        </w:rPr>
      </w:pPr>
    </w:p>
    <w:p w14:paraId="23B895CD">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14:paraId="15D0E366">
      <w:pPr>
        <w:keepNext w:val="0"/>
        <w:keepLines w:val="0"/>
        <w:pageBreakBefore w:val="0"/>
        <w:kinsoku/>
        <w:wordWrap/>
        <w:overflowPunct/>
        <w:topLinePunct w:val="0"/>
        <w:bidi w:val="0"/>
        <w:snapToGrid w:val="0"/>
        <w:spacing w:line="360" w:lineRule="auto"/>
        <w:jc w:val="left"/>
        <w:textAlignment w:val="auto"/>
        <w:outlineLvl w:val="9"/>
        <w:rPr>
          <w:rFonts w:hint="eastAsia" w:ascii="仿宋_GB2312" w:hAnsi="仿宋" w:eastAsia="仿宋_GB2312" w:cs="仿宋_GB2312"/>
          <w:b/>
          <w:color w:val="auto"/>
          <w:sz w:val="24"/>
          <w:highlight w:val="none"/>
        </w:rPr>
      </w:pPr>
    </w:p>
    <w:p w14:paraId="4C11F3E5">
      <w:pPr>
        <w:keepNext w:val="0"/>
        <w:keepLines w:val="0"/>
        <w:pageBreakBefore w:val="0"/>
        <w:kinsoku/>
        <w:wordWrap/>
        <w:overflowPunct/>
        <w:topLinePunct w:val="0"/>
        <w:bidi w:val="0"/>
        <w:snapToGrid w:val="0"/>
        <w:spacing w:line="360" w:lineRule="auto"/>
        <w:jc w:val="left"/>
        <w:textAlignment w:val="auto"/>
        <w:outlineLvl w:val="9"/>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1DEBB91C">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1B147C59">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rPr>
      </w:pPr>
    </w:p>
    <w:p w14:paraId="477DA414">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F3F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5E17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1196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246BC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2D47F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9E000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4FD38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6A6E9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（如果有）</w:t>
            </w:r>
          </w:p>
        </w:tc>
      </w:tr>
      <w:tr w14:paraId="598B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8C94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5E9B3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白杨街道“小脑+手脚”，“四平台处置”服务采购项目（2024-2025年）</w:t>
            </w:r>
          </w:p>
        </w:tc>
        <w:tc>
          <w:tcPr>
            <w:tcW w:w="1114" w:type="dxa"/>
            <w:tcBorders>
              <w:top w:val="single" w:color="auto" w:sz="4" w:space="0"/>
              <w:left w:val="single" w:color="auto" w:sz="4" w:space="0"/>
              <w:bottom w:val="single" w:color="auto" w:sz="4" w:space="0"/>
              <w:right w:val="single" w:color="auto" w:sz="4" w:space="0"/>
            </w:tcBorders>
            <w:vAlign w:val="center"/>
          </w:tcPr>
          <w:p w14:paraId="7F3B53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BA59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3572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CF2D2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92C4D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r>
    </w:tbl>
    <w:p w14:paraId="3D192E2D">
      <w:pPr>
        <w:keepNext w:val="0"/>
        <w:keepLines w:val="0"/>
        <w:pageBreakBefore w:val="0"/>
        <w:kinsoku/>
        <w:wordWrap/>
        <w:overflowPunct/>
        <w:topLinePunct w:val="0"/>
        <w:bidi w:val="0"/>
        <w:textAlignment w:val="auto"/>
        <w:outlineLvl w:val="9"/>
        <w:rPr>
          <w:rFonts w:hint="eastAsia"/>
          <w:color w:val="auto"/>
          <w:highlight w:val="none"/>
          <w:lang w:val="zh-CN"/>
        </w:rPr>
      </w:pPr>
    </w:p>
    <w:p w14:paraId="51D5089D">
      <w:pPr>
        <w:keepNext w:val="0"/>
        <w:keepLines w:val="0"/>
        <w:pageBreakBefore w:val="0"/>
        <w:kinsoku/>
        <w:wordWrap/>
        <w:overflowPunct/>
        <w:topLinePunct w:val="0"/>
        <w:bidi w:val="0"/>
        <w:textAlignment w:val="auto"/>
        <w:outlineLvl w:val="9"/>
        <w:rPr>
          <w:rFonts w:hint="eastAsia"/>
          <w:color w:val="auto"/>
          <w:highlight w:val="none"/>
          <w:lang w:val="zh-CN"/>
        </w:rPr>
      </w:pPr>
    </w:p>
    <w:p w14:paraId="325AAD76">
      <w:pPr>
        <w:keepNext w:val="0"/>
        <w:keepLines w:val="0"/>
        <w:pageBreakBefore w:val="0"/>
        <w:kinsoku/>
        <w:wordWrap/>
        <w:overflowPunct/>
        <w:topLinePunct w:val="0"/>
        <w:bidi w:val="0"/>
        <w:textAlignment w:val="auto"/>
        <w:outlineLvl w:val="9"/>
        <w:rPr>
          <w:rFonts w:hint="eastAsia"/>
          <w:color w:val="auto"/>
          <w:highlight w:val="none"/>
          <w:lang w:val="zh-CN"/>
        </w:rPr>
      </w:pPr>
    </w:p>
    <w:p w14:paraId="3D5396B7">
      <w:pPr>
        <w:keepNext w:val="0"/>
        <w:keepLines w:val="0"/>
        <w:pageBreakBefore w:val="0"/>
        <w:kinsoku/>
        <w:wordWrap/>
        <w:overflowPunct/>
        <w:topLinePunct w:val="0"/>
        <w:bidi w:val="0"/>
        <w:textAlignment w:val="auto"/>
        <w:outlineLvl w:val="9"/>
        <w:rPr>
          <w:rFonts w:hint="eastAsia"/>
          <w:color w:val="auto"/>
          <w:highlight w:val="none"/>
          <w:lang w:val="zh-CN"/>
        </w:rPr>
      </w:pPr>
    </w:p>
    <w:p w14:paraId="33DBB2FB">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七、商务技术偏离表</w:t>
      </w:r>
    </w:p>
    <w:p w14:paraId="1109F740">
      <w:pPr>
        <w:keepNext w:val="0"/>
        <w:keepLines w:val="0"/>
        <w:pageBreakBefore w:val="0"/>
        <w:kinsoku/>
        <w:wordWrap/>
        <w:overflowPunct/>
        <w:topLinePunct w:val="0"/>
        <w:bidi w:val="0"/>
        <w:jc w:val="center"/>
        <w:textAlignment w:val="auto"/>
        <w:outlineLvl w:val="9"/>
        <w:rPr>
          <w:rFonts w:hint="eastAsia" w:ascii="仿宋_GB2312" w:hAnsi="仿宋" w:eastAsia="仿宋_GB2312"/>
          <w:b/>
          <w:bCs/>
          <w:color w:val="auto"/>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18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AA41F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14:paraId="7F8812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14:paraId="1B054B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14:paraId="381DBE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58EC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BE6F2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14:paraId="3397D5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3546" w:type="dxa"/>
            <w:vAlign w:val="center"/>
          </w:tcPr>
          <w:p w14:paraId="0E5AE1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1276" w:type="dxa"/>
            <w:vAlign w:val="center"/>
          </w:tcPr>
          <w:p w14:paraId="1C41C1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r>
      <w:tr w14:paraId="47A0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B5F6B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14:paraId="0A48C0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3546" w:type="dxa"/>
            <w:vAlign w:val="center"/>
          </w:tcPr>
          <w:p w14:paraId="1ED9FE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1276" w:type="dxa"/>
            <w:vAlign w:val="center"/>
          </w:tcPr>
          <w:p w14:paraId="1E023B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r>
      <w:tr w14:paraId="54FD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AD77C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14:paraId="73025A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3546" w:type="dxa"/>
            <w:vAlign w:val="center"/>
          </w:tcPr>
          <w:p w14:paraId="3AABB4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1276" w:type="dxa"/>
            <w:vAlign w:val="center"/>
          </w:tcPr>
          <w:p w14:paraId="0F5621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r>
    </w:tbl>
    <w:p w14:paraId="55013C3B">
      <w:pPr>
        <w:keepNext w:val="0"/>
        <w:keepLines w:val="0"/>
        <w:pageBreakBefore w:val="0"/>
        <w:kinsoku/>
        <w:wordWrap/>
        <w:overflowPunct/>
        <w:topLinePunct w:val="0"/>
        <w:bidi w:val="0"/>
        <w:jc w:val="left"/>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4DECB8BD">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14:paraId="0C5C800A">
      <w:pPr>
        <w:keepNext w:val="0"/>
        <w:keepLines w:val="0"/>
        <w:pageBreakBefore w:val="0"/>
        <w:kinsoku/>
        <w:wordWrap/>
        <w:overflowPunct/>
        <w:topLinePunct w:val="0"/>
        <w:bidi w:val="0"/>
        <w:spacing w:line="360" w:lineRule="auto"/>
        <w:ind w:right="420"/>
        <w:textAlignment w:val="auto"/>
        <w:outlineLvl w:val="9"/>
        <w:rPr>
          <w:rFonts w:ascii="宋体" w:hAnsi="宋体" w:cs="宋体"/>
          <w:color w:val="auto"/>
          <w:sz w:val="24"/>
          <w:highlight w:val="none"/>
        </w:rPr>
      </w:pPr>
    </w:p>
    <w:p w14:paraId="068762DE">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2EB2A875">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14:paraId="34742902">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sz w:val="24"/>
          <w:highlight w:val="none"/>
        </w:rPr>
      </w:pPr>
    </w:p>
    <w:p w14:paraId="1E960972">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14:paraId="072D7103">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5F020D1B">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29D0573F">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6C8320A8">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5E1DF963">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3A6825D2">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28768A11">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3867D8E1">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1A316221">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0B927BB0">
      <w:pPr>
        <w:keepNext w:val="0"/>
        <w:keepLines w:val="0"/>
        <w:pageBreakBefore w:val="0"/>
        <w:kinsoku/>
        <w:wordWrap/>
        <w:overflowPunct/>
        <w:topLinePunct w:val="0"/>
        <w:autoSpaceDE w:val="0"/>
        <w:autoSpaceDN w:val="0"/>
        <w:bidi w:val="0"/>
        <w:spacing w:line="360" w:lineRule="auto"/>
        <w:ind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w:t>
      </w:r>
      <w:r>
        <w:rPr>
          <w:rFonts w:hint="eastAsia" w:ascii="仿宋_GB2312" w:hAnsi="仿宋_GB2312" w:eastAsia="仿宋_GB2312" w:cs="仿宋_GB2312"/>
          <w:color w:val="auto"/>
          <w:kern w:val="0"/>
          <w:sz w:val="24"/>
          <w:highlight w:val="none"/>
          <w:lang w:val="en-US" w:eastAsia="zh-CN"/>
        </w:rPr>
        <w:t>监管部门</w:t>
      </w:r>
      <w:r>
        <w:rPr>
          <w:rFonts w:hint="eastAsia" w:ascii="仿宋_GB2312" w:hAnsi="仿宋_GB2312" w:eastAsia="仿宋_GB2312" w:cs="仿宋_GB2312"/>
          <w:color w:val="auto"/>
          <w:kern w:val="0"/>
          <w:sz w:val="24"/>
          <w:highlight w:val="none"/>
          <w:lang w:val="zh-CN"/>
        </w:rPr>
        <w:t>。由此引起的相应损失均由我单位承担。</w:t>
      </w:r>
    </w:p>
    <w:p w14:paraId="6F2D1808">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color w:val="auto"/>
          <w:kern w:val="0"/>
          <w:sz w:val="24"/>
          <w:highlight w:val="none"/>
          <w:lang w:val="zh-CN"/>
        </w:rPr>
      </w:pPr>
    </w:p>
    <w:p w14:paraId="5D8D770D">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color w:val="auto"/>
          <w:kern w:val="0"/>
          <w:sz w:val="24"/>
          <w:highlight w:val="none"/>
          <w:lang w:val="zh-CN"/>
        </w:rPr>
      </w:pPr>
    </w:p>
    <w:p w14:paraId="64A175EC">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color w:val="auto"/>
          <w:kern w:val="0"/>
          <w:sz w:val="24"/>
          <w:highlight w:val="none"/>
          <w:lang w:val="zh-CN"/>
        </w:rPr>
      </w:pPr>
    </w:p>
    <w:p w14:paraId="517D9D8C">
      <w:pPr>
        <w:keepNext w:val="0"/>
        <w:keepLines w:val="0"/>
        <w:pageBreakBefore w:val="0"/>
        <w:kinsoku/>
        <w:wordWrap/>
        <w:overflowPunct/>
        <w:topLinePunct w:val="0"/>
        <w:autoSpaceDE w:val="0"/>
        <w:autoSpaceDN w:val="0"/>
        <w:bidi w:val="0"/>
        <w:spacing w:line="360" w:lineRule="auto"/>
        <w:ind w:left="2" w:leftChars="1" w:right="1120" w:firstLine="4560" w:firstLineChars="19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2245B416">
      <w:pPr>
        <w:keepNext w:val="0"/>
        <w:keepLines w:val="0"/>
        <w:pageBreakBefore w:val="0"/>
        <w:kinsoku/>
        <w:wordWrap/>
        <w:overflowPunct/>
        <w:topLinePunct w:val="0"/>
        <w:bidi w:val="0"/>
        <w:spacing w:line="360" w:lineRule="auto"/>
        <w:ind w:left="4620" w:leftChars="2200"/>
        <w:textAlignment w:val="auto"/>
        <w:outlineLvl w:val="9"/>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12719A42">
      <w:pPr>
        <w:keepNext w:val="0"/>
        <w:keepLines w:val="0"/>
        <w:pageBreakBefore w:val="0"/>
        <w:kinsoku/>
        <w:wordWrap/>
        <w:overflowPunct/>
        <w:topLinePunct w:val="0"/>
        <w:bidi w:val="0"/>
        <w:spacing w:line="360" w:lineRule="auto"/>
        <w:textAlignment w:val="auto"/>
        <w:outlineLvl w:val="9"/>
        <w:rPr>
          <w:rFonts w:ascii="仿宋" w:hAnsi="仿宋" w:eastAsia="仿宋" w:cs="仿宋"/>
          <w:color w:val="auto"/>
          <w:sz w:val="24"/>
          <w:highlight w:val="none"/>
        </w:rPr>
      </w:pPr>
    </w:p>
    <w:p w14:paraId="2F46757A">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DF9A6E9">
      <w:pPr>
        <w:spacing w:line="360" w:lineRule="auto"/>
        <w:jc w:val="center"/>
        <w:outlineLvl w:val="1"/>
        <w:rPr>
          <w:rFonts w:ascii="仿宋" w:hAnsi="仿宋" w:eastAsia="仿宋" w:cs="仿宋"/>
          <w:b/>
          <w:color w:val="auto"/>
          <w:kern w:val="0"/>
          <w:sz w:val="36"/>
          <w:szCs w:val="36"/>
          <w:highlight w:val="none"/>
        </w:rPr>
      </w:pPr>
      <w:bookmarkStart w:id="140" w:name="_Toc5590"/>
      <w:bookmarkStart w:id="141" w:name="_Toc29208"/>
      <w:bookmarkStart w:id="142" w:name="_Toc3114"/>
      <w:bookmarkStart w:id="143" w:name="_Toc3363"/>
      <w:r>
        <w:rPr>
          <w:rFonts w:hint="eastAsia" w:ascii="仿宋" w:hAnsi="仿宋" w:eastAsia="仿宋" w:cs="仿宋"/>
          <w:b/>
          <w:color w:val="auto"/>
          <w:kern w:val="0"/>
          <w:sz w:val="36"/>
          <w:szCs w:val="36"/>
          <w:highlight w:val="none"/>
        </w:rPr>
        <w:t>报价文件部分</w:t>
      </w:r>
      <w:bookmarkEnd w:id="140"/>
      <w:bookmarkEnd w:id="141"/>
      <w:bookmarkEnd w:id="142"/>
      <w:bookmarkEnd w:id="143"/>
    </w:p>
    <w:p w14:paraId="106F8138">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4D1561C">
      <w:pPr>
        <w:spacing w:line="360" w:lineRule="auto"/>
        <w:jc w:val="center"/>
        <w:rPr>
          <w:rFonts w:ascii="仿宋" w:hAnsi="仿宋" w:eastAsia="仿宋" w:cs="仿宋"/>
          <w:b/>
          <w:color w:val="auto"/>
          <w:kern w:val="0"/>
          <w:sz w:val="36"/>
          <w:szCs w:val="36"/>
          <w:highlight w:val="none"/>
        </w:rPr>
      </w:pPr>
    </w:p>
    <w:p w14:paraId="6AD41F9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5B511B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_GB2312" w:hAnsi="仿宋" w:eastAsia="仿宋_GB2312" w:cs="仿宋_GB2312"/>
          <w:color w:val="auto"/>
          <w:sz w:val="24"/>
          <w:highlight w:val="none"/>
        </w:rPr>
        <w:t>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14:paraId="4645C208">
      <w:pPr>
        <w:snapToGrid w:val="0"/>
        <w:spacing w:line="360" w:lineRule="auto"/>
        <w:ind w:right="480"/>
        <w:jc w:val="center"/>
        <w:rPr>
          <w:rFonts w:ascii="仿宋" w:hAnsi="仿宋" w:eastAsia="仿宋" w:cs="仿宋"/>
          <w:b/>
          <w:color w:val="auto"/>
          <w:kern w:val="0"/>
          <w:sz w:val="32"/>
          <w:szCs w:val="32"/>
          <w:highlight w:val="none"/>
        </w:rPr>
      </w:pPr>
    </w:p>
    <w:p w14:paraId="52F478A2">
      <w:pPr>
        <w:snapToGrid w:val="0"/>
        <w:spacing w:line="360" w:lineRule="auto"/>
        <w:ind w:right="480"/>
        <w:jc w:val="center"/>
        <w:rPr>
          <w:rFonts w:ascii="仿宋" w:hAnsi="仿宋" w:eastAsia="仿宋" w:cs="仿宋"/>
          <w:b/>
          <w:color w:val="auto"/>
          <w:kern w:val="0"/>
          <w:sz w:val="32"/>
          <w:szCs w:val="32"/>
          <w:highlight w:val="none"/>
        </w:rPr>
      </w:pPr>
    </w:p>
    <w:p w14:paraId="315D614C">
      <w:pPr>
        <w:snapToGrid w:val="0"/>
        <w:spacing w:line="360" w:lineRule="auto"/>
        <w:ind w:right="480"/>
        <w:jc w:val="center"/>
        <w:rPr>
          <w:rFonts w:ascii="仿宋" w:hAnsi="仿宋" w:eastAsia="仿宋" w:cs="仿宋"/>
          <w:b/>
          <w:color w:val="auto"/>
          <w:kern w:val="0"/>
          <w:sz w:val="32"/>
          <w:szCs w:val="32"/>
          <w:highlight w:val="none"/>
        </w:rPr>
      </w:pPr>
    </w:p>
    <w:p w14:paraId="6BEEA51E">
      <w:pPr>
        <w:snapToGrid w:val="0"/>
        <w:spacing w:line="360" w:lineRule="auto"/>
        <w:ind w:right="480"/>
        <w:jc w:val="center"/>
        <w:rPr>
          <w:rFonts w:ascii="仿宋" w:hAnsi="仿宋" w:eastAsia="仿宋" w:cs="仿宋"/>
          <w:b/>
          <w:color w:val="auto"/>
          <w:kern w:val="0"/>
          <w:sz w:val="32"/>
          <w:szCs w:val="32"/>
          <w:highlight w:val="none"/>
        </w:rPr>
      </w:pPr>
    </w:p>
    <w:p w14:paraId="6C8BD965">
      <w:pPr>
        <w:snapToGrid w:val="0"/>
        <w:spacing w:line="360" w:lineRule="auto"/>
        <w:ind w:right="480"/>
        <w:jc w:val="center"/>
        <w:rPr>
          <w:rFonts w:ascii="仿宋" w:hAnsi="仿宋" w:eastAsia="仿宋" w:cs="仿宋"/>
          <w:b/>
          <w:color w:val="auto"/>
          <w:kern w:val="0"/>
          <w:sz w:val="32"/>
          <w:szCs w:val="32"/>
          <w:highlight w:val="none"/>
        </w:rPr>
      </w:pPr>
    </w:p>
    <w:p w14:paraId="13B8EBD2">
      <w:pPr>
        <w:snapToGrid w:val="0"/>
        <w:spacing w:line="360" w:lineRule="auto"/>
        <w:ind w:right="480"/>
        <w:jc w:val="center"/>
        <w:rPr>
          <w:rFonts w:ascii="仿宋" w:hAnsi="仿宋" w:eastAsia="仿宋" w:cs="仿宋"/>
          <w:b/>
          <w:color w:val="auto"/>
          <w:kern w:val="0"/>
          <w:sz w:val="32"/>
          <w:szCs w:val="32"/>
          <w:highlight w:val="none"/>
        </w:rPr>
      </w:pPr>
    </w:p>
    <w:p w14:paraId="617A927F">
      <w:pPr>
        <w:snapToGrid w:val="0"/>
        <w:spacing w:line="360" w:lineRule="auto"/>
        <w:ind w:right="480"/>
        <w:jc w:val="center"/>
        <w:rPr>
          <w:rFonts w:ascii="仿宋" w:hAnsi="仿宋" w:eastAsia="仿宋" w:cs="仿宋"/>
          <w:b/>
          <w:color w:val="auto"/>
          <w:kern w:val="0"/>
          <w:sz w:val="32"/>
          <w:szCs w:val="32"/>
          <w:highlight w:val="none"/>
        </w:rPr>
      </w:pPr>
    </w:p>
    <w:p w14:paraId="0BC68656">
      <w:pPr>
        <w:snapToGrid w:val="0"/>
        <w:spacing w:line="360" w:lineRule="auto"/>
        <w:ind w:right="480"/>
        <w:jc w:val="center"/>
        <w:rPr>
          <w:rFonts w:ascii="仿宋" w:hAnsi="仿宋" w:eastAsia="仿宋" w:cs="仿宋"/>
          <w:b/>
          <w:color w:val="auto"/>
          <w:kern w:val="0"/>
          <w:sz w:val="32"/>
          <w:szCs w:val="32"/>
          <w:highlight w:val="none"/>
        </w:rPr>
      </w:pPr>
    </w:p>
    <w:p w14:paraId="16D2CD05">
      <w:pPr>
        <w:snapToGrid w:val="0"/>
        <w:spacing w:line="360" w:lineRule="auto"/>
        <w:ind w:right="480"/>
        <w:jc w:val="center"/>
        <w:rPr>
          <w:rFonts w:ascii="仿宋" w:hAnsi="仿宋" w:eastAsia="仿宋" w:cs="仿宋"/>
          <w:b/>
          <w:color w:val="auto"/>
          <w:kern w:val="0"/>
          <w:sz w:val="32"/>
          <w:szCs w:val="32"/>
          <w:highlight w:val="none"/>
        </w:rPr>
      </w:pPr>
    </w:p>
    <w:p w14:paraId="345F7141">
      <w:pPr>
        <w:snapToGrid w:val="0"/>
        <w:spacing w:line="360" w:lineRule="auto"/>
        <w:ind w:right="480"/>
        <w:jc w:val="center"/>
        <w:rPr>
          <w:rFonts w:ascii="仿宋" w:hAnsi="仿宋" w:eastAsia="仿宋" w:cs="仿宋"/>
          <w:b/>
          <w:color w:val="auto"/>
          <w:kern w:val="0"/>
          <w:sz w:val="32"/>
          <w:szCs w:val="32"/>
          <w:highlight w:val="none"/>
        </w:rPr>
      </w:pPr>
    </w:p>
    <w:p w14:paraId="04816CB0">
      <w:pPr>
        <w:snapToGrid w:val="0"/>
        <w:spacing w:line="360" w:lineRule="auto"/>
        <w:ind w:right="480"/>
        <w:jc w:val="center"/>
        <w:rPr>
          <w:rFonts w:ascii="仿宋" w:hAnsi="仿宋" w:eastAsia="仿宋" w:cs="仿宋"/>
          <w:b/>
          <w:color w:val="auto"/>
          <w:kern w:val="0"/>
          <w:sz w:val="32"/>
          <w:szCs w:val="32"/>
          <w:highlight w:val="none"/>
        </w:rPr>
      </w:pPr>
    </w:p>
    <w:p w14:paraId="1A5EDBCA">
      <w:pPr>
        <w:snapToGrid w:val="0"/>
        <w:spacing w:line="360" w:lineRule="auto"/>
        <w:ind w:right="480"/>
        <w:jc w:val="center"/>
        <w:rPr>
          <w:rFonts w:ascii="仿宋" w:hAnsi="仿宋" w:eastAsia="仿宋" w:cs="仿宋"/>
          <w:b/>
          <w:color w:val="auto"/>
          <w:kern w:val="0"/>
          <w:sz w:val="32"/>
          <w:szCs w:val="32"/>
          <w:highlight w:val="none"/>
        </w:rPr>
      </w:pPr>
    </w:p>
    <w:p w14:paraId="12F75C1D">
      <w:pPr>
        <w:snapToGrid w:val="0"/>
        <w:spacing w:line="360" w:lineRule="auto"/>
        <w:ind w:right="480"/>
        <w:jc w:val="center"/>
        <w:rPr>
          <w:rFonts w:ascii="仿宋" w:hAnsi="仿宋" w:eastAsia="仿宋" w:cs="仿宋"/>
          <w:b/>
          <w:color w:val="auto"/>
          <w:kern w:val="0"/>
          <w:sz w:val="32"/>
          <w:szCs w:val="32"/>
          <w:highlight w:val="none"/>
        </w:rPr>
      </w:pPr>
    </w:p>
    <w:p w14:paraId="1ED3B9A2">
      <w:pPr>
        <w:snapToGrid w:val="0"/>
        <w:spacing w:line="360" w:lineRule="auto"/>
        <w:ind w:right="480"/>
        <w:jc w:val="center"/>
        <w:rPr>
          <w:rFonts w:ascii="仿宋" w:hAnsi="仿宋" w:eastAsia="仿宋" w:cs="仿宋"/>
          <w:b/>
          <w:color w:val="auto"/>
          <w:kern w:val="0"/>
          <w:sz w:val="32"/>
          <w:szCs w:val="32"/>
          <w:highlight w:val="none"/>
        </w:rPr>
      </w:pPr>
    </w:p>
    <w:p w14:paraId="73E6C224">
      <w:pPr>
        <w:snapToGrid w:val="0"/>
        <w:spacing w:line="360" w:lineRule="auto"/>
        <w:ind w:right="480"/>
        <w:jc w:val="center"/>
        <w:rPr>
          <w:rFonts w:ascii="仿宋" w:hAnsi="仿宋" w:eastAsia="仿宋" w:cs="仿宋"/>
          <w:b/>
          <w:color w:val="auto"/>
          <w:kern w:val="0"/>
          <w:sz w:val="32"/>
          <w:szCs w:val="32"/>
          <w:highlight w:val="none"/>
        </w:rPr>
      </w:pPr>
    </w:p>
    <w:p w14:paraId="6A51BDE3">
      <w:pPr>
        <w:pStyle w:val="17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6D1A5ED">
      <w:pPr>
        <w:pStyle w:val="17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144" w:name="_Toc366"/>
      <w:bookmarkStart w:id="145" w:name="_Toc5399"/>
      <w:bookmarkStart w:id="146" w:name="_Toc8039"/>
      <w:bookmarkStart w:id="147" w:name="_Toc11552"/>
      <w:bookmarkStart w:id="148" w:name="_Toc17498"/>
      <w:bookmarkStart w:id="149" w:name="_Toc19569"/>
      <w:bookmarkStart w:id="150" w:name="_Toc16414"/>
      <w:bookmarkStart w:id="151" w:name="_Toc13843"/>
      <w:bookmarkStart w:id="152" w:name="_Toc11262"/>
      <w:bookmarkStart w:id="153" w:name="_Toc15988"/>
      <w:bookmarkStart w:id="154" w:name="_Toc21526"/>
      <w:bookmarkStart w:id="155" w:name="_Toc21682"/>
      <w:bookmarkStart w:id="156" w:name="_Toc5294"/>
      <w:bookmarkStart w:id="157" w:name="_Toc25033"/>
      <w:bookmarkStart w:id="158" w:name="_Toc11024"/>
      <w:bookmarkStart w:id="159" w:name="_Toc9655"/>
      <w:bookmarkStart w:id="160" w:name="_Toc12875"/>
      <w:bookmarkStart w:id="161" w:name="_Toc30323"/>
      <w:bookmarkStart w:id="162" w:name="_Toc26125"/>
      <w:r>
        <w:rPr>
          <w:rFonts w:hint="eastAsia" w:ascii="仿宋" w:hAnsi="仿宋" w:eastAsia="仿宋" w:cs="仿宋"/>
          <w:color w:val="auto"/>
          <w:kern w:val="2"/>
          <w:sz w:val="32"/>
          <w:szCs w:val="32"/>
          <w:highlight w:val="none"/>
        </w:rPr>
        <w:t>一、开标一览表（报价表）</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7965BD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65BE12EA">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C7E2562">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14:paraId="7C5B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172530D7">
            <w:pPr>
              <w:adjustRightInd w:val="0"/>
              <w:snapToGrid w:val="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投标报价</w:t>
            </w:r>
          </w:p>
        </w:tc>
        <w:tc>
          <w:tcPr>
            <w:tcW w:w="6286" w:type="dxa"/>
            <w:noWrap/>
            <w:vAlign w:val="center"/>
          </w:tcPr>
          <w:p w14:paraId="3862E0F5">
            <w:pPr>
              <w:adjustRightInd w:val="0"/>
              <w:snapToGrid w:val="0"/>
              <w:ind w:left="72" w:leftChars="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u w:val="single"/>
                <w:lang w:val="en-US" w:eastAsia="zh-CN"/>
              </w:rPr>
              <w:t xml:space="preserve">                           </w:t>
            </w:r>
          </w:p>
        </w:tc>
      </w:tr>
      <w:tr w14:paraId="7BCA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445C191A">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备注：（大写金额）</w:t>
            </w:r>
          </w:p>
        </w:tc>
        <w:tc>
          <w:tcPr>
            <w:tcW w:w="6286" w:type="dxa"/>
            <w:noWrap/>
            <w:vAlign w:val="center"/>
          </w:tcPr>
          <w:p w14:paraId="5778DE5F">
            <w:pPr>
              <w:adjustRightInd w:val="0"/>
              <w:snapToGrid w:val="0"/>
              <w:ind w:left="72" w:leftChars="0"/>
              <w:rPr>
                <w:rFonts w:hint="default" w:ascii="仿宋" w:hAnsi="仿宋" w:eastAsia="仿宋" w:cs="仿宋"/>
                <w:snapToGrid w:val="0"/>
                <w:color w:val="auto"/>
                <w:kern w:val="0"/>
                <w:szCs w:val="21"/>
                <w:highlight w:val="none"/>
                <w:u w:val="single"/>
                <w:lang w:val="en-US" w:eastAsia="zh-CN"/>
              </w:rPr>
            </w:pPr>
          </w:p>
        </w:tc>
      </w:tr>
    </w:tbl>
    <w:p w14:paraId="21B25368">
      <w:pPr>
        <w:adjustRightInd w:val="0"/>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B6C2717">
      <w:pPr>
        <w:adjustRightInd w:val="0"/>
        <w:snapToGrid w:val="0"/>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263C8916">
      <w:pPr>
        <w:adjustRightInd w:val="0"/>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783B3E17">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特别说明：</w:t>
      </w:r>
      <w:r>
        <w:rPr>
          <w:rFonts w:hint="eastAsia" w:ascii="仿宋" w:hAnsi="仿宋" w:eastAsia="仿宋" w:cs="仿宋"/>
          <w:color w:val="auto"/>
          <w:sz w:val="24"/>
          <w:highlight w:val="none"/>
          <w:lang w:val="en-US" w:eastAsia="zh-CN"/>
        </w:rPr>
        <w:t>报价低于50%（不含）的，</w:t>
      </w:r>
      <w:r>
        <w:rPr>
          <w:rFonts w:hint="eastAsia" w:ascii="仿宋" w:hAnsi="仿宋" w:eastAsia="仿宋" w:cs="仿宋"/>
          <w:color w:val="auto"/>
          <w:sz w:val="24"/>
          <w:highlight w:val="none"/>
          <w:lang w:val="zh-CN" w:eastAsia="zh-CN"/>
        </w:rPr>
        <w:t>应当在报价文件中出具《报价情况说明》，</w:t>
      </w:r>
      <w:r>
        <w:rPr>
          <w:rFonts w:hint="eastAsia" w:ascii="仿宋" w:hAnsi="仿宋" w:eastAsia="仿宋" w:cs="仿宋"/>
          <w:color w:val="auto"/>
          <w:sz w:val="24"/>
          <w:highlight w:val="none"/>
          <w:lang w:val="en-US" w:eastAsia="zh-CN"/>
        </w:rPr>
        <w:t>针对采购需求列出的工作项目内容提供该报价的原因，</w:t>
      </w:r>
      <w:r>
        <w:rPr>
          <w:rFonts w:hint="eastAsia" w:ascii="仿宋" w:hAnsi="仿宋" w:eastAsia="仿宋" w:cs="仿宋"/>
          <w:color w:val="auto"/>
          <w:sz w:val="24"/>
          <w:highlight w:val="none"/>
          <w:lang w:val="zh-CN" w:eastAsia="zh-CN"/>
        </w:rPr>
        <w:t>详细阐述不影响服务质量或者诚信履约的具体理由及依据。</w:t>
      </w:r>
    </w:p>
    <w:p w14:paraId="2C70D3DA">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eastAsia="仿宋"/>
          <w:highlight w:val="none"/>
          <w:lang w:val="en-US" w:eastAsia="zh-CN"/>
        </w:rPr>
      </w:pPr>
    </w:p>
    <w:p w14:paraId="5292EB25">
      <w:pPr>
        <w:keepNext w:val="0"/>
        <w:keepLines w:val="0"/>
        <w:pageBreakBefore w:val="0"/>
        <w:kinsoku/>
        <w:wordWrap/>
        <w:overflowPunct/>
        <w:topLinePunct w:val="0"/>
        <w:bidi w:val="0"/>
        <w:snapToGrid w:val="0"/>
        <w:spacing w:line="360" w:lineRule="auto"/>
        <w:ind w:firstLine="576"/>
        <w:jc w:val="left"/>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投标人名称(电子签名)：                              </w:t>
      </w:r>
    </w:p>
    <w:p w14:paraId="0EE2BE1F">
      <w:pPr>
        <w:adjustRightInd w:val="0"/>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ascii="仿宋_GB2312" w:hAnsi="仿宋" w:eastAsia="仿宋_GB2312" w:cs="仿宋_GB2312"/>
          <w:color w:val="auto"/>
          <w:kern w:val="0"/>
          <w:sz w:val="24"/>
          <w:highlight w:val="none"/>
          <w:lang w:val="zh-CN"/>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477977FB">
      <w:pPr>
        <w:spacing w:line="360" w:lineRule="auto"/>
        <w:ind w:firstLine="482" w:firstLineChars="200"/>
        <w:rPr>
          <w:rFonts w:ascii="仿宋" w:hAnsi="仿宋" w:eastAsia="仿宋" w:cs="仿宋"/>
          <w:b/>
          <w:color w:val="auto"/>
          <w:kern w:val="0"/>
          <w:sz w:val="24"/>
          <w:highlight w:val="none"/>
        </w:rPr>
      </w:pPr>
    </w:p>
    <w:p w14:paraId="69538FE6">
      <w:pPr>
        <w:pStyle w:val="17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861893E">
      <w:pPr>
        <w:pStyle w:val="19"/>
        <w:spacing w:line="600" w:lineRule="exact"/>
        <w:ind w:firstLine="0"/>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二、报价明细表</w:t>
      </w:r>
    </w:p>
    <w:p w14:paraId="5CC16AAB">
      <w:pPr>
        <w:adjustRightInd w:val="0"/>
        <w:spacing w:line="360" w:lineRule="auto"/>
        <w:jc w:val="left"/>
        <w:rPr>
          <w:rFonts w:ascii="仿宋" w:hAnsi="仿宋" w:eastAsia="仿宋" w:cs="仿宋"/>
          <w:color w:val="auto"/>
          <w:szCs w:val="21"/>
          <w:highlight w:val="none"/>
        </w:rPr>
      </w:pPr>
    </w:p>
    <w:p w14:paraId="6FAB4D48">
      <w:pPr>
        <w:adjustRightIn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白杨街道“小脑+手脚”，“四平台处置”服务采购项目（2024-2025年）</w:t>
      </w:r>
    </w:p>
    <w:p w14:paraId="3AA8B2FE">
      <w:pPr>
        <w:pStyle w:val="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采购编号：</w:t>
      </w:r>
      <w:r>
        <w:rPr>
          <w:rFonts w:hint="eastAsia" w:ascii="仿宋" w:hAnsi="仿宋" w:eastAsia="仿宋" w:cs="仿宋"/>
          <w:color w:val="auto"/>
          <w:szCs w:val="21"/>
          <w:highlight w:val="none"/>
          <w:lang w:eastAsia="zh-CN"/>
        </w:rPr>
        <w:t>QTCG-GK-2024-176</w:t>
      </w:r>
    </w:p>
    <w:p w14:paraId="1EFA3C78">
      <w:pPr>
        <w:pStyle w:val="3"/>
        <w:rPr>
          <w:rFonts w:hint="eastAsia" w:ascii="仿宋" w:hAnsi="仿宋" w:eastAsia="仿宋" w:cs="仿宋"/>
          <w:color w:val="auto"/>
          <w:szCs w:val="21"/>
          <w:highlight w:val="none"/>
          <w:lang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6"/>
        <w:gridCol w:w="2372"/>
        <w:gridCol w:w="2027"/>
        <w:gridCol w:w="1"/>
        <w:gridCol w:w="3497"/>
      </w:tblGrid>
      <w:tr w14:paraId="5A3A2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D561386">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77AA166">
            <w:pPr>
              <w:jc w:val="center"/>
              <w:rPr>
                <w:rFonts w:hint="eastAsia" w:ascii="仿宋" w:hAnsi="仿宋" w:eastAsia="仿宋" w:cs="仿宋"/>
                <w:b/>
                <w:color w:val="auto"/>
                <w:highlight w:val="none"/>
              </w:rPr>
            </w:pPr>
            <w:r>
              <w:rPr>
                <w:rFonts w:hint="eastAsia" w:ascii="仿宋" w:hAnsi="仿宋" w:eastAsia="仿宋" w:cs="仿宋"/>
                <w:b/>
                <w:color w:val="auto"/>
                <w:highlight w:val="none"/>
              </w:rPr>
              <w:t>科  目</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1BF155A9">
            <w:pPr>
              <w:jc w:val="center"/>
              <w:rPr>
                <w:rFonts w:hint="eastAsia" w:ascii="仿宋" w:hAnsi="仿宋" w:eastAsia="仿宋" w:cs="仿宋"/>
                <w:b/>
                <w:color w:val="auto"/>
                <w:highlight w:val="none"/>
              </w:rPr>
            </w:pPr>
            <w:r>
              <w:rPr>
                <w:rFonts w:hint="eastAsia" w:ascii="仿宋" w:hAnsi="仿宋" w:eastAsia="仿宋" w:cs="仿宋"/>
                <w:b/>
                <w:color w:val="auto"/>
                <w:highlight w:val="none"/>
              </w:rPr>
              <w:t>（元）</w:t>
            </w:r>
          </w:p>
        </w:tc>
        <w:tc>
          <w:tcPr>
            <w:tcW w:w="3497" w:type="dxa"/>
            <w:tcBorders>
              <w:top w:val="single" w:color="auto" w:sz="4" w:space="0"/>
              <w:left w:val="single" w:color="auto" w:sz="4" w:space="0"/>
              <w:bottom w:val="single" w:color="auto" w:sz="4" w:space="0"/>
              <w:right w:val="single" w:color="auto" w:sz="4" w:space="0"/>
            </w:tcBorders>
            <w:noWrap w:val="0"/>
            <w:vAlign w:val="center"/>
          </w:tcPr>
          <w:p w14:paraId="6A291BC9">
            <w:pPr>
              <w:jc w:val="center"/>
              <w:rPr>
                <w:rFonts w:hint="eastAsia" w:ascii="仿宋" w:hAnsi="仿宋" w:eastAsia="仿宋" w:cs="仿宋"/>
                <w:b/>
                <w:color w:val="auto"/>
                <w:highlight w:val="none"/>
              </w:rPr>
            </w:pPr>
            <w:r>
              <w:rPr>
                <w:rFonts w:hint="eastAsia" w:ascii="仿宋" w:hAnsi="仿宋" w:eastAsia="仿宋" w:cs="仿宋"/>
                <w:b/>
                <w:color w:val="auto"/>
                <w:highlight w:val="none"/>
              </w:rPr>
              <w:t>说  明</w:t>
            </w:r>
          </w:p>
        </w:tc>
      </w:tr>
      <w:tr w14:paraId="1A28E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52C1C218">
            <w:pP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管理费用</w:t>
            </w:r>
          </w:p>
        </w:tc>
      </w:tr>
      <w:tr w14:paraId="20ED3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794BFA28">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7F21A8F">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F1BEC6F">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6E945E19">
            <w:pPr>
              <w:pStyle w:val="225"/>
              <w:jc w:val="center"/>
              <w:rPr>
                <w:rFonts w:hint="eastAsia" w:ascii="仿宋" w:hAnsi="仿宋" w:eastAsia="仿宋" w:cs="仿宋"/>
                <w:color w:val="auto"/>
                <w:sz w:val="24"/>
                <w:szCs w:val="24"/>
                <w:highlight w:val="none"/>
              </w:rPr>
            </w:pPr>
          </w:p>
        </w:tc>
      </w:tr>
      <w:tr w14:paraId="1343E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27F0F73A">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8FE4503">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2A8EA6A">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893FBB6">
            <w:pPr>
              <w:jc w:val="center"/>
              <w:rPr>
                <w:rFonts w:hint="eastAsia" w:ascii="仿宋" w:hAnsi="仿宋" w:eastAsia="仿宋" w:cs="仿宋"/>
                <w:color w:val="auto"/>
                <w:highlight w:val="none"/>
              </w:rPr>
            </w:pPr>
          </w:p>
        </w:tc>
      </w:tr>
      <w:tr w14:paraId="45892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799CD1C">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1.3</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0259725">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288943BB">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753365DF">
            <w:pPr>
              <w:jc w:val="center"/>
              <w:rPr>
                <w:rFonts w:hint="eastAsia" w:ascii="仿宋" w:hAnsi="仿宋" w:eastAsia="仿宋" w:cs="仿宋"/>
                <w:color w:val="auto"/>
                <w:highlight w:val="none"/>
              </w:rPr>
            </w:pPr>
          </w:p>
        </w:tc>
      </w:tr>
      <w:tr w14:paraId="48A3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1FBE3666">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C5F6584">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F72D74E">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7B689656">
            <w:pPr>
              <w:jc w:val="center"/>
              <w:rPr>
                <w:rFonts w:hint="eastAsia" w:ascii="仿宋" w:hAnsi="仿宋" w:eastAsia="仿宋" w:cs="仿宋"/>
                <w:color w:val="auto"/>
                <w:highlight w:val="none"/>
              </w:rPr>
            </w:pPr>
          </w:p>
        </w:tc>
      </w:tr>
      <w:tr w14:paraId="5B1A7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0C794A06">
            <w:pPr>
              <w:jc w:val="both"/>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2、特保人员投入部分的服务费用</w:t>
            </w:r>
          </w:p>
        </w:tc>
      </w:tr>
      <w:tr w14:paraId="629E2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11C4B1E2">
            <w:pPr>
              <w:jc w:val="center"/>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2.1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E67D600">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1D43CD75">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16BF1CE7">
            <w:pPr>
              <w:jc w:val="center"/>
              <w:rPr>
                <w:rFonts w:hint="eastAsia" w:ascii="仿宋" w:hAnsi="仿宋" w:eastAsia="仿宋" w:cs="仿宋"/>
                <w:color w:val="auto"/>
                <w:highlight w:val="none"/>
              </w:rPr>
            </w:pPr>
          </w:p>
        </w:tc>
      </w:tr>
      <w:tr w14:paraId="740C5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344431F2">
            <w:pPr>
              <w:jc w:val="center"/>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2.2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3055285">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7606E0B1">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7639EB5A">
            <w:pPr>
              <w:jc w:val="center"/>
              <w:rPr>
                <w:rFonts w:hint="eastAsia" w:ascii="仿宋" w:hAnsi="仿宋" w:eastAsia="仿宋" w:cs="仿宋"/>
                <w:color w:val="auto"/>
                <w:highlight w:val="none"/>
              </w:rPr>
            </w:pPr>
          </w:p>
        </w:tc>
      </w:tr>
      <w:tr w14:paraId="19CBF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19F0778">
            <w:pPr>
              <w:jc w:val="center"/>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2.3</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9598D88">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DB59D9B">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060A9E9">
            <w:pPr>
              <w:jc w:val="center"/>
              <w:rPr>
                <w:rFonts w:hint="eastAsia" w:ascii="仿宋" w:hAnsi="仿宋" w:eastAsia="仿宋" w:cs="仿宋"/>
                <w:color w:val="auto"/>
                <w:highlight w:val="none"/>
              </w:rPr>
            </w:pPr>
          </w:p>
        </w:tc>
      </w:tr>
      <w:tr w14:paraId="7D06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1F07433B">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70DBA40">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78D1E7C6">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2C9B0709">
            <w:pPr>
              <w:jc w:val="center"/>
              <w:rPr>
                <w:rFonts w:hint="eastAsia" w:ascii="仿宋" w:hAnsi="仿宋" w:eastAsia="仿宋" w:cs="仿宋"/>
                <w:color w:val="auto"/>
                <w:highlight w:val="none"/>
              </w:rPr>
            </w:pPr>
          </w:p>
        </w:tc>
      </w:tr>
      <w:tr w14:paraId="560DB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5A1D18C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车辆投入部分的服务费用</w:t>
            </w:r>
          </w:p>
        </w:tc>
      </w:tr>
      <w:tr w14:paraId="24355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13CDE33">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1F92645">
            <w:pPr>
              <w:jc w:val="center"/>
              <w:rPr>
                <w:rFonts w:hint="default"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CBE946E">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1FD023D">
            <w:pPr>
              <w:jc w:val="center"/>
              <w:rPr>
                <w:rFonts w:hint="eastAsia" w:ascii="仿宋" w:hAnsi="仿宋" w:eastAsia="仿宋" w:cs="仿宋"/>
                <w:color w:val="auto"/>
                <w:highlight w:val="none"/>
              </w:rPr>
            </w:pPr>
          </w:p>
        </w:tc>
      </w:tr>
      <w:tr w14:paraId="67340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E97629D">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391E7BE">
            <w:pPr>
              <w:jc w:val="center"/>
              <w:rPr>
                <w:rFonts w:hint="eastAsia"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4E3F56C5">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47E8664">
            <w:pPr>
              <w:jc w:val="center"/>
              <w:rPr>
                <w:rFonts w:hint="default" w:ascii="仿宋" w:hAnsi="仿宋" w:eastAsia="仿宋" w:cs="仿宋"/>
                <w:color w:val="auto"/>
                <w:highlight w:val="none"/>
                <w:lang w:val="en-US" w:eastAsia="zh-CN"/>
              </w:rPr>
            </w:pPr>
          </w:p>
        </w:tc>
      </w:tr>
      <w:tr w14:paraId="39518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3008F78">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03C80491">
            <w:pPr>
              <w:jc w:val="center"/>
              <w:rPr>
                <w:rFonts w:hint="eastAsia"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2CB89056">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5D9F281">
            <w:pPr>
              <w:jc w:val="center"/>
              <w:rPr>
                <w:rFonts w:hint="eastAsia" w:ascii="仿宋" w:hAnsi="仿宋" w:eastAsia="仿宋" w:cs="仿宋"/>
                <w:color w:val="auto"/>
                <w:highlight w:val="none"/>
              </w:rPr>
            </w:pPr>
          </w:p>
        </w:tc>
      </w:tr>
      <w:tr w14:paraId="1B2A9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2641FD40">
            <w:pPr>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4、装备</w:t>
            </w:r>
            <w:r>
              <w:rPr>
                <w:rFonts w:hint="eastAsia" w:ascii="仿宋" w:hAnsi="仿宋" w:eastAsia="仿宋" w:cs="仿宋"/>
                <w:color w:val="auto"/>
                <w:highlight w:val="none"/>
              </w:rPr>
              <w:t>费用及其它</w:t>
            </w:r>
            <w:r>
              <w:rPr>
                <w:rFonts w:hint="eastAsia" w:ascii="仿宋" w:hAnsi="仿宋" w:eastAsia="仿宋" w:cs="仿宋"/>
                <w:color w:val="auto"/>
                <w:highlight w:val="none"/>
                <w:lang w:val="en-US" w:eastAsia="zh-CN"/>
              </w:rPr>
              <w:t>投入部分的服务费用</w:t>
            </w:r>
          </w:p>
        </w:tc>
      </w:tr>
      <w:tr w14:paraId="7CB17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D68E0CB">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4.1</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2FBB6782">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78FE2C75">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293F232E">
            <w:pPr>
              <w:jc w:val="both"/>
              <w:rPr>
                <w:rFonts w:hint="eastAsia" w:ascii="仿宋" w:hAnsi="仿宋" w:eastAsia="仿宋" w:cs="仿宋"/>
                <w:color w:val="auto"/>
                <w:highlight w:val="none"/>
                <w:lang w:val="en-US" w:eastAsia="zh-CN"/>
              </w:rPr>
            </w:pPr>
          </w:p>
        </w:tc>
      </w:tr>
      <w:tr w14:paraId="5E45B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254D6F5">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4.2</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4A6182FF">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A128D59">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14589ECE">
            <w:pPr>
              <w:jc w:val="both"/>
              <w:rPr>
                <w:rFonts w:hint="eastAsia" w:ascii="仿宋" w:hAnsi="仿宋" w:eastAsia="仿宋" w:cs="仿宋"/>
                <w:color w:val="auto"/>
                <w:highlight w:val="none"/>
                <w:lang w:val="en-US" w:eastAsia="zh-CN"/>
              </w:rPr>
            </w:pPr>
          </w:p>
        </w:tc>
      </w:tr>
      <w:tr w14:paraId="05FF0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DF838BD">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75D09663">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0C47B880">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64BDB30B">
            <w:pPr>
              <w:jc w:val="both"/>
              <w:rPr>
                <w:rFonts w:hint="eastAsia" w:ascii="仿宋" w:hAnsi="仿宋" w:eastAsia="仿宋" w:cs="仿宋"/>
                <w:color w:val="auto"/>
                <w:highlight w:val="none"/>
                <w:lang w:val="en-US" w:eastAsia="zh-CN"/>
              </w:rPr>
            </w:pPr>
          </w:p>
        </w:tc>
      </w:tr>
      <w:tr w14:paraId="52CC3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3"/>
            <w:tcBorders>
              <w:top w:val="single" w:color="auto" w:sz="4" w:space="0"/>
              <w:left w:val="single" w:color="auto" w:sz="4" w:space="0"/>
              <w:bottom w:val="single" w:color="auto" w:sz="4" w:space="0"/>
              <w:right w:val="single" w:color="auto" w:sz="4" w:space="0"/>
            </w:tcBorders>
            <w:noWrap w:val="0"/>
            <w:vAlign w:val="center"/>
          </w:tcPr>
          <w:p w14:paraId="54B54FCD">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5、项目其他费用</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105F62B3">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533D5C9F">
            <w:pPr>
              <w:jc w:val="center"/>
              <w:rPr>
                <w:rFonts w:hint="eastAsia" w:ascii="仿宋" w:hAnsi="仿宋" w:eastAsia="仿宋" w:cs="仿宋"/>
                <w:color w:val="auto"/>
                <w:highlight w:val="none"/>
              </w:rPr>
            </w:pPr>
          </w:p>
        </w:tc>
      </w:tr>
      <w:tr w14:paraId="5A76E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114EC177">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7FAB4CBA">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D29653D">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5EB44610">
            <w:pPr>
              <w:jc w:val="center"/>
              <w:rPr>
                <w:rFonts w:hint="eastAsia" w:ascii="仿宋" w:hAnsi="仿宋" w:eastAsia="仿宋" w:cs="仿宋"/>
                <w:color w:val="auto"/>
                <w:highlight w:val="none"/>
              </w:rPr>
            </w:pPr>
          </w:p>
        </w:tc>
      </w:tr>
      <w:tr w14:paraId="1B9A5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792CC81C">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3497F07">
            <w:pPr>
              <w:jc w:val="center"/>
              <w:rPr>
                <w:rFonts w:hint="eastAsia"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5E6796FD">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7264F45B">
            <w:pPr>
              <w:jc w:val="center"/>
              <w:rPr>
                <w:rFonts w:hint="eastAsia" w:ascii="仿宋" w:hAnsi="仿宋" w:eastAsia="仿宋" w:cs="仿宋"/>
                <w:color w:val="auto"/>
                <w:highlight w:val="none"/>
              </w:rPr>
            </w:pPr>
          </w:p>
        </w:tc>
      </w:tr>
      <w:tr w14:paraId="043AB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F60C3D8">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354CBC1">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5B7A8BFC">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51CC000">
            <w:pPr>
              <w:jc w:val="center"/>
              <w:rPr>
                <w:rFonts w:hint="eastAsia" w:ascii="仿宋" w:hAnsi="仿宋" w:eastAsia="仿宋" w:cs="仿宋"/>
                <w:color w:val="auto"/>
                <w:highlight w:val="none"/>
              </w:rPr>
            </w:pPr>
          </w:p>
        </w:tc>
      </w:tr>
      <w:tr w14:paraId="5DE63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259" w:type="dxa"/>
            <w:gridSpan w:val="3"/>
            <w:tcBorders>
              <w:top w:val="single" w:color="auto" w:sz="4" w:space="0"/>
              <w:left w:val="single" w:color="auto" w:sz="4" w:space="0"/>
              <w:bottom w:val="single" w:color="auto" w:sz="4" w:space="0"/>
              <w:right w:val="single" w:color="auto" w:sz="4" w:space="0"/>
            </w:tcBorders>
            <w:noWrap w:val="0"/>
            <w:vAlign w:val="center"/>
          </w:tcPr>
          <w:p w14:paraId="7AF3F42D">
            <w:pPr>
              <w:jc w:val="center"/>
              <w:rPr>
                <w:rFonts w:hint="eastAsia" w:ascii="仿宋" w:hAnsi="仿宋" w:eastAsia="仿宋" w:cs="仿宋"/>
                <w:b/>
                <w:color w:val="auto"/>
                <w:highlight w:val="none"/>
              </w:rPr>
            </w:pPr>
            <w:r>
              <w:rPr>
                <w:rFonts w:hint="eastAsia" w:ascii="仿宋" w:hAnsi="仿宋" w:eastAsia="仿宋" w:cs="仿宋"/>
                <w:b/>
                <w:color w:val="auto"/>
                <w:highlight w:val="none"/>
              </w:rPr>
              <w:t>合计：</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0D22A20C">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7785DB8">
            <w:pPr>
              <w:jc w:val="center"/>
              <w:rPr>
                <w:rFonts w:hint="eastAsia" w:ascii="仿宋" w:hAnsi="仿宋" w:eastAsia="仿宋" w:cs="仿宋"/>
                <w:color w:val="auto"/>
                <w:highlight w:val="none"/>
              </w:rPr>
            </w:pPr>
            <w:r>
              <w:rPr>
                <w:rFonts w:hint="eastAsia" w:ascii="仿宋" w:hAnsi="仿宋" w:eastAsia="仿宋" w:cs="仿宋"/>
                <w:color w:val="auto"/>
                <w:highlight w:val="none"/>
              </w:rPr>
              <w:t>以上所有子项的总和</w:t>
            </w:r>
          </w:p>
        </w:tc>
      </w:tr>
    </w:tbl>
    <w:p w14:paraId="038F49C4">
      <w:pPr>
        <w:rPr>
          <w:rFonts w:hint="eastAsia" w:ascii="仿宋" w:hAnsi="仿宋" w:eastAsia="仿宋" w:cs="仿宋"/>
          <w:color w:val="auto"/>
          <w:szCs w:val="21"/>
          <w:highlight w:val="none"/>
          <w:lang w:eastAsia="zh-CN"/>
        </w:rPr>
      </w:pPr>
    </w:p>
    <w:p w14:paraId="147DEFE9">
      <w:pPr>
        <w:spacing w:line="360" w:lineRule="auto"/>
        <w:rPr>
          <w:rFonts w:ascii="仿宋" w:hAnsi="仿宋" w:eastAsia="仿宋" w:cs="仿宋"/>
          <w:color w:val="auto"/>
          <w:highlight w:val="none"/>
        </w:rPr>
      </w:pPr>
      <w:r>
        <w:rPr>
          <w:rFonts w:hint="eastAsia" w:ascii="仿宋" w:hAnsi="仿宋" w:eastAsia="仿宋" w:cs="仿宋"/>
          <w:color w:val="auto"/>
          <w:highlight w:val="none"/>
        </w:rPr>
        <w:t>注：1. 投标人根据实际情况可在表中报价明细的基础上进行扩展。形式不限，内容自拟。</w:t>
      </w:r>
    </w:p>
    <w:p w14:paraId="78C5004A">
      <w:pPr>
        <w:spacing w:line="360" w:lineRule="auto"/>
        <w:rPr>
          <w:rFonts w:ascii="仿宋" w:hAnsi="仿宋" w:eastAsia="仿宋" w:cs="仿宋"/>
          <w:color w:val="auto"/>
          <w:highlight w:val="none"/>
        </w:rPr>
      </w:pPr>
      <w:r>
        <w:rPr>
          <w:rFonts w:hint="eastAsia" w:ascii="仿宋" w:hAnsi="仿宋" w:eastAsia="仿宋" w:cs="仿宋"/>
          <w:color w:val="auto"/>
          <w:highlight w:val="none"/>
        </w:rPr>
        <w:t>2、上表所述“报价”应与“开标一览表”中的报价一致，如有矛盾，以“开标一览表”中的为准。</w:t>
      </w:r>
    </w:p>
    <w:p w14:paraId="4F3B1929">
      <w:pPr>
        <w:spacing w:line="360" w:lineRule="auto"/>
        <w:rPr>
          <w:rFonts w:ascii="仿宋" w:hAnsi="仿宋" w:eastAsia="仿宋" w:cs="仿宋"/>
          <w:color w:val="auto"/>
          <w:highlight w:val="none"/>
        </w:rPr>
      </w:pPr>
      <w:r>
        <w:rPr>
          <w:rFonts w:hint="eastAsia" w:ascii="仿宋" w:hAnsi="仿宋" w:eastAsia="仿宋" w:cs="仿宋"/>
          <w:color w:val="auto"/>
          <w:highlight w:val="none"/>
        </w:rPr>
        <w:t>3.投标总价不为零，报价明细表中部分产品、服务单价为零的，视作已包含在总价中。采购人将以合同形式有偿取得货物或服务，不接受投标人给予的赠品、回扣或者与采购无关的其他商品、服务；采购内容未包含在《投标报价明细表》名称栏中，投标人不能作出合理解释的，视为投标文件含有采购人不能接受的附加条件的，投标无效。</w:t>
      </w:r>
    </w:p>
    <w:p w14:paraId="02F27C8A">
      <w:pPr>
        <w:adjustRightInd w:val="0"/>
        <w:spacing w:line="360" w:lineRule="auto"/>
        <w:ind w:firstLine="4515" w:firstLineChars="2150"/>
        <w:rPr>
          <w:rFonts w:ascii="仿宋" w:hAnsi="仿宋" w:eastAsia="仿宋" w:cs="仿宋"/>
          <w:color w:val="auto"/>
          <w:szCs w:val="21"/>
          <w:highlight w:val="none"/>
        </w:rPr>
      </w:pPr>
    </w:p>
    <w:p w14:paraId="0E24F6B8">
      <w:pPr>
        <w:keepNext w:val="0"/>
        <w:keepLines w:val="0"/>
        <w:pageBreakBefore w:val="0"/>
        <w:kinsoku/>
        <w:wordWrap/>
        <w:overflowPunct/>
        <w:topLinePunct w:val="0"/>
        <w:bidi w:val="0"/>
        <w:snapToGrid w:val="0"/>
        <w:spacing w:line="360" w:lineRule="auto"/>
        <w:ind w:firstLine="576"/>
        <w:jc w:val="left"/>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投标人名称(电子签名)：                              </w:t>
      </w:r>
    </w:p>
    <w:p w14:paraId="180D8227">
      <w:pPr>
        <w:adjustRightInd w:val="0"/>
        <w:ind w:firstLine="720" w:firstLineChars="300"/>
        <w:rPr>
          <w:rFonts w:ascii="仿宋" w:hAnsi="仿宋" w:eastAsia="仿宋" w:cs="仿宋"/>
          <w:color w:val="auto"/>
          <w:szCs w:val="21"/>
          <w:highlight w:val="none"/>
        </w:rPr>
      </w:pPr>
      <w:r>
        <w:rPr>
          <w:rFonts w:ascii="仿宋_GB2312" w:hAnsi="仿宋" w:eastAsia="仿宋_GB2312" w:cs="仿宋_GB2312"/>
          <w:color w:val="auto"/>
          <w:kern w:val="0"/>
          <w:sz w:val="24"/>
          <w:highlight w:val="none"/>
          <w:lang w:val="zh-CN"/>
        </w:rPr>
        <w:t>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7C54CD89">
      <w:pPr>
        <w:pStyle w:val="176"/>
        <w:keepNext w:val="0"/>
        <w:pageBreakBefore w:val="0"/>
        <w:tabs>
          <w:tab w:val="clear" w:pos="720"/>
        </w:tabs>
        <w:snapToGrid w:val="0"/>
        <w:spacing w:before="120" w:after="120"/>
        <w:ind w:firstLine="643"/>
        <w:outlineLvl w:val="9"/>
        <w:rPr>
          <w:rFonts w:ascii="仿宋" w:hAnsi="仿宋" w:eastAsia="仿宋" w:cs="仿宋"/>
          <w:color w:val="auto"/>
          <w:highlight w:val="none"/>
        </w:rPr>
        <w:sectPr>
          <w:pgSz w:w="11906" w:h="16838"/>
          <w:pgMar w:top="1247" w:right="1418" w:bottom="1276" w:left="1418" w:header="851" w:footer="992" w:gutter="0"/>
          <w:cols w:space="720" w:num="1"/>
          <w:titlePg/>
          <w:docGrid w:linePitch="312" w:charSpace="0"/>
        </w:sectPr>
      </w:pPr>
    </w:p>
    <w:p w14:paraId="0CD757C2">
      <w:pPr>
        <w:rPr>
          <w:rFonts w:ascii="仿宋" w:hAnsi="仿宋" w:eastAsia="仿宋" w:cs="仿宋"/>
          <w:color w:val="auto"/>
          <w:highlight w:val="none"/>
        </w:rPr>
      </w:pPr>
    </w:p>
    <w:p w14:paraId="7B150343">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A49C0CE">
      <w:pPr>
        <w:spacing w:line="360" w:lineRule="auto"/>
        <w:jc w:val="center"/>
        <w:rPr>
          <w:rFonts w:ascii="仿宋" w:hAnsi="仿宋" w:eastAsia="仿宋" w:cs="仿宋"/>
          <w:b/>
          <w:color w:val="auto"/>
          <w:spacing w:val="6"/>
          <w:sz w:val="32"/>
          <w:szCs w:val="32"/>
          <w:highlight w:val="none"/>
        </w:rPr>
      </w:pPr>
      <w:bookmarkStart w:id="163" w:name="OLE_LINK13"/>
      <w:bookmarkStart w:id="164" w:name="OLE_LINK14"/>
      <w:r>
        <w:rPr>
          <w:rFonts w:hint="eastAsia" w:ascii="仿宋" w:hAnsi="仿宋" w:eastAsia="仿宋" w:cs="仿宋"/>
          <w:b/>
          <w:color w:val="auto"/>
          <w:spacing w:val="6"/>
          <w:sz w:val="32"/>
          <w:szCs w:val="32"/>
          <w:highlight w:val="none"/>
        </w:rPr>
        <w:t>残疾人福利性单位声明函</w:t>
      </w:r>
    </w:p>
    <w:bookmarkEnd w:id="163"/>
    <w:bookmarkEnd w:id="164"/>
    <w:p w14:paraId="3E28A980">
      <w:pPr>
        <w:spacing w:line="360" w:lineRule="auto"/>
        <w:rPr>
          <w:rFonts w:ascii="仿宋" w:hAnsi="仿宋" w:eastAsia="仿宋" w:cs="仿宋"/>
          <w:b/>
          <w:color w:val="auto"/>
          <w:spacing w:val="6"/>
          <w:sz w:val="30"/>
          <w:szCs w:val="30"/>
          <w:highlight w:val="none"/>
        </w:rPr>
      </w:pPr>
    </w:p>
    <w:p w14:paraId="6BECA5F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DFB9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B09CCFB">
      <w:pPr>
        <w:spacing w:line="360" w:lineRule="auto"/>
        <w:ind w:firstLine="480" w:firstLineChars="200"/>
        <w:rPr>
          <w:rFonts w:ascii="仿宋" w:hAnsi="仿宋" w:eastAsia="仿宋" w:cs="仿宋"/>
          <w:color w:val="auto"/>
          <w:sz w:val="24"/>
          <w:highlight w:val="none"/>
        </w:rPr>
      </w:pPr>
    </w:p>
    <w:p w14:paraId="43DD775E">
      <w:pPr>
        <w:spacing w:line="360" w:lineRule="auto"/>
        <w:ind w:firstLine="480" w:firstLineChars="200"/>
        <w:rPr>
          <w:rFonts w:ascii="仿宋" w:hAnsi="仿宋" w:eastAsia="仿宋" w:cs="仿宋"/>
          <w:color w:val="auto"/>
          <w:sz w:val="24"/>
          <w:highlight w:val="none"/>
        </w:rPr>
      </w:pPr>
    </w:p>
    <w:p w14:paraId="41FC8033">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8DFCCFB">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4253ABF">
      <w:pPr>
        <w:spacing w:line="360" w:lineRule="auto"/>
        <w:ind w:firstLine="480" w:firstLineChars="200"/>
        <w:rPr>
          <w:rFonts w:ascii="仿宋" w:hAnsi="仿宋" w:eastAsia="仿宋" w:cs="仿宋"/>
          <w:color w:val="auto"/>
          <w:sz w:val="24"/>
          <w:highlight w:val="none"/>
        </w:rPr>
      </w:pPr>
    </w:p>
    <w:p w14:paraId="10E71438">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C00169B">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7B7F772">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0CF4599">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F80328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3B24717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4999476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2684384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23559C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AD33A0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28991566">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71F3CB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59B84A0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6F6C992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732000E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0FD1EFA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B47E8F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4ED5A31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7514A93">
      <w:pPr>
        <w:snapToGrid w:val="0"/>
        <w:spacing w:line="360" w:lineRule="auto"/>
        <w:rPr>
          <w:rFonts w:ascii="仿宋" w:hAnsi="仿宋" w:eastAsia="仿宋" w:cs="仿宋"/>
          <w:color w:val="auto"/>
          <w:sz w:val="24"/>
          <w:highlight w:val="none"/>
        </w:rPr>
      </w:pPr>
    </w:p>
    <w:p w14:paraId="6843DEC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54B1C1E9">
      <w:pPr>
        <w:snapToGrid w:val="0"/>
        <w:spacing w:line="360" w:lineRule="auto"/>
        <w:rPr>
          <w:rFonts w:ascii="仿宋" w:hAnsi="仿宋" w:eastAsia="仿宋" w:cs="仿宋"/>
          <w:color w:val="auto"/>
          <w:sz w:val="24"/>
          <w:highlight w:val="none"/>
          <w:u w:val="dotted"/>
        </w:rPr>
      </w:pPr>
    </w:p>
    <w:p w14:paraId="25C3DC4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9B389A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F1D0553">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E41840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6358A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25C19C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B19F013">
      <w:pPr>
        <w:spacing w:line="360" w:lineRule="auto"/>
        <w:jc w:val="center"/>
        <w:rPr>
          <w:rFonts w:ascii="仿宋" w:hAnsi="仿宋" w:eastAsia="仿宋" w:cs="仿宋"/>
          <w:b/>
          <w:bCs/>
          <w:color w:val="auto"/>
          <w:sz w:val="24"/>
          <w:highlight w:val="none"/>
        </w:rPr>
      </w:pPr>
    </w:p>
    <w:p w14:paraId="1387EEB7">
      <w:pPr>
        <w:spacing w:line="360" w:lineRule="auto"/>
        <w:rPr>
          <w:rFonts w:ascii="仿宋" w:hAnsi="仿宋" w:eastAsia="仿宋" w:cs="仿宋"/>
          <w:b/>
          <w:color w:val="auto"/>
          <w:sz w:val="24"/>
          <w:highlight w:val="none"/>
        </w:rPr>
      </w:pPr>
    </w:p>
    <w:p w14:paraId="65C8560E">
      <w:pPr>
        <w:spacing w:line="360" w:lineRule="auto"/>
        <w:rPr>
          <w:rFonts w:ascii="仿宋" w:hAnsi="仿宋" w:eastAsia="仿宋" w:cs="仿宋"/>
          <w:b/>
          <w:color w:val="auto"/>
          <w:sz w:val="24"/>
          <w:highlight w:val="none"/>
        </w:rPr>
      </w:pPr>
    </w:p>
    <w:p w14:paraId="152C00D0">
      <w:pPr>
        <w:spacing w:line="360" w:lineRule="auto"/>
        <w:rPr>
          <w:rFonts w:ascii="仿宋" w:hAnsi="仿宋" w:eastAsia="仿宋" w:cs="仿宋"/>
          <w:b/>
          <w:color w:val="auto"/>
          <w:sz w:val="24"/>
          <w:highlight w:val="none"/>
        </w:rPr>
      </w:pPr>
    </w:p>
    <w:p w14:paraId="429FD32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8A8D48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DA1F1A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B38059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34DC74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9020B2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EF4747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3AE36BF">
      <w:pPr>
        <w:widowControl/>
        <w:spacing w:line="360" w:lineRule="auto"/>
        <w:ind w:firstLine="600" w:firstLineChars="200"/>
        <w:jc w:val="left"/>
        <w:rPr>
          <w:rFonts w:ascii="仿宋" w:hAnsi="仿宋" w:eastAsia="仿宋" w:cs="仿宋"/>
          <w:color w:val="auto"/>
          <w:sz w:val="30"/>
          <w:szCs w:val="30"/>
          <w:highlight w:val="none"/>
        </w:rPr>
      </w:pPr>
    </w:p>
    <w:p w14:paraId="20E696CC">
      <w:pPr>
        <w:spacing w:line="360" w:lineRule="auto"/>
        <w:jc w:val="center"/>
        <w:rPr>
          <w:rFonts w:ascii="仿宋" w:hAnsi="仿宋" w:eastAsia="仿宋" w:cs="仿宋"/>
          <w:b/>
          <w:color w:val="auto"/>
          <w:spacing w:val="6"/>
          <w:sz w:val="32"/>
          <w:szCs w:val="32"/>
          <w:highlight w:val="none"/>
        </w:rPr>
      </w:pPr>
    </w:p>
    <w:p w14:paraId="65EF5C90">
      <w:pPr>
        <w:spacing w:line="360" w:lineRule="auto"/>
        <w:jc w:val="center"/>
        <w:rPr>
          <w:rFonts w:ascii="仿宋" w:hAnsi="仿宋" w:eastAsia="仿宋" w:cs="仿宋"/>
          <w:b/>
          <w:color w:val="auto"/>
          <w:spacing w:val="6"/>
          <w:sz w:val="32"/>
          <w:szCs w:val="32"/>
          <w:highlight w:val="none"/>
        </w:rPr>
      </w:pPr>
    </w:p>
    <w:p w14:paraId="3F5C9BEB">
      <w:pPr>
        <w:spacing w:line="360" w:lineRule="auto"/>
        <w:jc w:val="center"/>
        <w:rPr>
          <w:rFonts w:ascii="仿宋" w:hAnsi="仿宋" w:eastAsia="仿宋" w:cs="仿宋"/>
          <w:b/>
          <w:color w:val="auto"/>
          <w:spacing w:val="6"/>
          <w:sz w:val="32"/>
          <w:szCs w:val="32"/>
          <w:highlight w:val="none"/>
        </w:rPr>
      </w:pPr>
    </w:p>
    <w:p w14:paraId="351F9D34">
      <w:pPr>
        <w:spacing w:line="360" w:lineRule="auto"/>
        <w:jc w:val="center"/>
        <w:rPr>
          <w:rFonts w:ascii="仿宋" w:hAnsi="仿宋" w:eastAsia="仿宋" w:cs="仿宋"/>
          <w:b/>
          <w:color w:val="auto"/>
          <w:spacing w:val="6"/>
          <w:sz w:val="32"/>
          <w:szCs w:val="32"/>
          <w:highlight w:val="none"/>
        </w:rPr>
      </w:pPr>
    </w:p>
    <w:p w14:paraId="63853969">
      <w:pPr>
        <w:spacing w:line="360" w:lineRule="auto"/>
        <w:jc w:val="center"/>
        <w:rPr>
          <w:rFonts w:ascii="仿宋" w:hAnsi="仿宋" w:eastAsia="仿宋" w:cs="仿宋"/>
          <w:b/>
          <w:color w:val="auto"/>
          <w:spacing w:val="6"/>
          <w:sz w:val="32"/>
          <w:szCs w:val="32"/>
          <w:highlight w:val="none"/>
        </w:rPr>
      </w:pPr>
    </w:p>
    <w:p w14:paraId="3E223EA1">
      <w:pPr>
        <w:spacing w:line="360" w:lineRule="auto"/>
        <w:jc w:val="center"/>
        <w:rPr>
          <w:rFonts w:ascii="仿宋" w:hAnsi="仿宋" w:eastAsia="仿宋" w:cs="仿宋"/>
          <w:b/>
          <w:color w:val="auto"/>
          <w:spacing w:val="6"/>
          <w:sz w:val="32"/>
          <w:szCs w:val="32"/>
          <w:highlight w:val="none"/>
        </w:rPr>
      </w:pPr>
    </w:p>
    <w:p w14:paraId="473895D5">
      <w:pPr>
        <w:spacing w:line="360" w:lineRule="auto"/>
        <w:jc w:val="center"/>
        <w:rPr>
          <w:rFonts w:ascii="仿宋" w:hAnsi="仿宋" w:eastAsia="仿宋" w:cs="仿宋"/>
          <w:b/>
          <w:color w:val="auto"/>
          <w:spacing w:val="6"/>
          <w:sz w:val="32"/>
          <w:szCs w:val="32"/>
          <w:highlight w:val="none"/>
        </w:rPr>
      </w:pPr>
    </w:p>
    <w:p w14:paraId="16F974B3">
      <w:pPr>
        <w:spacing w:line="360" w:lineRule="auto"/>
        <w:jc w:val="center"/>
        <w:rPr>
          <w:rFonts w:ascii="仿宋" w:hAnsi="仿宋" w:eastAsia="仿宋" w:cs="仿宋"/>
          <w:b/>
          <w:color w:val="auto"/>
          <w:spacing w:val="6"/>
          <w:sz w:val="32"/>
          <w:szCs w:val="32"/>
          <w:highlight w:val="none"/>
        </w:rPr>
      </w:pPr>
    </w:p>
    <w:p w14:paraId="46969754">
      <w:pPr>
        <w:spacing w:line="360" w:lineRule="auto"/>
        <w:jc w:val="center"/>
        <w:rPr>
          <w:rFonts w:ascii="仿宋" w:hAnsi="仿宋" w:eastAsia="仿宋" w:cs="仿宋"/>
          <w:b/>
          <w:color w:val="auto"/>
          <w:spacing w:val="6"/>
          <w:sz w:val="32"/>
          <w:szCs w:val="32"/>
          <w:highlight w:val="none"/>
        </w:rPr>
      </w:pPr>
    </w:p>
    <w:p w14:paraId="7B5FDB0F">
      <w:pPr>
        <w:spacing w:line="360" w:lineRule="auto"/>
        <w:jc w:val="center"/>
        <w:rPr>
          <w:rFonts w:ascii="仿宋" w:hAnsi="仿宋" w:eastAsia="仿宋" w:cs="仿宋"/>
          <w:b/>
          <w:color w:val="auto"/>
          <w:spacing w:val="6"/>
          <w:sz w:val="32"/>
          <w:szCs w:val="32"/>
          <w:highlight w:val="none"/>
        </w:rPr>
      </w:pPr>
    </w:p>
    <w:p w14:paraId="687191A5">
      <w:pPr>
        <w:spacing w:line="360" w:lineRule="auto"/>
        <w:jc w:val="center"/>
        <w:rPr>
          <w:rFonts w:ascii="仿宋" w:hAnsi="仿宋" w:eastAsia="仿宋" w:cs="仿宋"/>
          <w:b/>
          <w:color w:val="auto"/>
          <w:spacing w:val="6"/>
          <w:sz w:val="32"/>
          <w:szCs w:val="32"/>
          <w:highlight w:val="none"/>
        </w:rPr>
      </w:pPr>
    </w:p>
    <w:p w14:paraId="33F13E0A">
      <w:pPr>
        <w:spacing w:line="360" w:lineRule="auto"/>
        <w:jc w:val="center"/>
        <w:rPr>
          <w:rFonts w:ascii="仿宋" w:hAnsi="仿宋" w:eastAsia="仿宋" w:cs="仿宋"/>
          <w:b/>
          <w:color w:val="auto"/>
          <w:spacing w:val="6"/>
          <w:sz w:val="32"/>
          <w:szCs w:val="32"/>
          <w:highlight w:val="none"/>
        </w:rPr>
      </w:pPr>
    </w:p>
    <w:p w14:paraId="5D8842B4">
      <w:pPr>
        <w:spacing w:line="360" w:lineRule="auto"/>
        <w:jc w:val="left"/>
        <w:rPr>
          <w:rFonts w:ascii="仿宋" w:hAnsi="仿宋" w:eastAsia="仿宋" w:cs="仿宋"/>
          <w:b/>
          <w:color w:val="auto"/>
          <w:spacing w:val="6"/>
          <w:sz w:val="32"/>
          <w:szCs w:val="32"/>
          <w:highlight w:val="none"/>
        </w:rPr>
      </w:pPr>
    </w:p>
    <w:p w14:paraId="6970ED43">
      <w:pPr>
        <w:spacing w:line="360" w:lineRule="auto"/>
        <w:jc w:val="left"/>
        <w:rPr>
          <w:rFonts w:ascii="仿宋" w:hAnsi="仿宋" w:eastAsia="仿宋" w:cs="仿宋"/>
          <w:b/>
          <w:color w:val="auto"/>
          <w:spacing w:val="6"/>
          <w:sz w:val="32"/>
          <w:szCs w:val="32"/>
          <w:highlight w:val="none"/>
        </w:rPr>
      </w:pPr>
    </w:p>
    <w:p w14:paraId="434E43C1">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456185B">
      <w:pPr>
        <w:spacing w:line="360" w:lineRule="auto"/>
        <w:jc w:val="center"/>
        <w:rPr>
          <w:rFonts w:ascii="仿宋" w:hAnsi="仿宋" w:eastAsia="仿宋" w:cs="仿宋"/>
          <w:b/>
          <w:color w:val="auto"/>
          <w:sz w:val="24"/>
          <w:highlight w:val="none"/>
        </w:rPr>
      </w:pPr>
    </w:p>
    <w:p w14:paraId="4758A298">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925F6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61E757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748B111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77CCA09">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789E75A6">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05718FF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3E86B0B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7BD1059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1897E94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41DB55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3171179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DF62FB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ADF135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54115A9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97FD51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FF9E6A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394716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3E04D73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713184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3F36B8E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1C57045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E77EB8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49AB9BA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74BD87D">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提出质疑，质疑事项为：</w:t>
      </w:r>
    </w:p>
    <w:p w14:paraId="0C635CC5">
      <w:pPr>
        <w:spacing w:line="360" w:lineRule="auto"/>
        <w:rPr>
          <w:rFonts w:ascii="仿宋" w:hAnsi="仿宋" w:eastAsia="仿宋" w:cs="仿宋"/>
          <w:color w:val="auto"/>
          <w:sz w:val="24"/>
          <w:highlight w:val="none"/>
          <w:u w:val="dotted"/>
        </w:rPr>
      </w:pPr>
    </w:p>
    <w:p w14:paraId="16F53AB8">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522E98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33C63A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0D9EA1B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720908B">
      <w:pPr>
        <w:spacing w:line="360" w:lineRule="auto"/>
        <w:rPr>
          <w:rFonts w:ascii="仿宋" w:hAnsi="仿宋" w:eastAsia="仿宋" w:cs="仿宋"/>
          <w:color w:val="auto"/>
          <w:sz w:val="24"/>
          <w:highlight w:val="none"/>
          <w:u w:val="dotted"/>
        </w:rPr>
      </w:pPr>
    </w:p>
    <w:p w14:paraId="2726CF3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3796FCD9">
      <w:pPr>
        <w:spacing w:line="360" w:lineRule="auto"/>
        <w:rPr>
          <w:rFonts w:ascii="仿宋" w:hAnsi="仿宋" w:eastAsia="仿宋" w:cs="仿宋"/>
          <w:color w:val="auto"/>
          <w:sz w:val="24"/>
          <w:highlight w:val="none"/>
          <w:u w:val="dotted"/>
        </w:rPr>
      </w:pPr>
    </w:p>
    <w:p w14:paraId="1D5B0F5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21E7E0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1F70C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656D7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555B64FD">
      <w:pPr>
        <w:spacing w:line="360" w:lineRule="auto"/>
        <w:rPr>
          <w:rFonts w:ascii="仿宋" w:hAnsi="仿宋" w:eastAsia="仿宋" w:cs="仿宋"/>
          <w:color w:val="auto"/>
          <w:sz w:val="24"/>
          <w:highlight w:val="none"/>
          <w:u w:val="single"/>
        </w:rPr>
      </w:pPr>
    </w:p>
    <w:p w14:paraId="50D9A7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1683C8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07EC415">
      <w:pPr>
        <w:spacing w:line="360" w:lineRule="auto"/>
        <w:rPr>
          <w:rFonts w:ascii="仿宋" w:hAnsi="仿宋" w:eastAsia="仿宋" w:cs="仿宋"/>
          <w:b/>
          <w:color w:val="auto"/>
          <w:sz w:val="24"/>
          <w:highlight w:val="none"/>
        </w:rPr>
      </w:pPr>
    </w:p>
    <w:p w14:paraId="03814344">
      <w:pPr>
        <w:spacing w:line="360" w:lineRule="auto"/>
        <w:rPr>
          <w:rFonts w:ascii="仿宋" w:hAnsi="仿宋" w:eastAsia="仿宋" w:cs="仿宋"/>
          <w:b/>
          <w:color w:val="auto"/>
          <w:sz w:val="24"/>
          <w:highlight w:val="none"/>
        </w:rPr>
      </w:pPr>
    </w:p>
    <w:p w14:paraId="3E19B23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460F79F">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205C78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D82BA8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48D8C6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B5A13A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045023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305BE71">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68D6C37">
      <w:pPr>
        <w:spacing w:line="360" w:lineRule="auto"/>
        <w:rPr>
          <w:rFonts w:ascii="仿宋" w:hAnsi="仿宋" w:eastAsia="仿宋" w:cs="仿宋"/>
          <w:b/>
          <w:color w:val="auto"/>
          <w:sz w:val="24"/>
          <w:highlight w:val="none"/>
        </w:rPr>
      </w:pPr>
    </w:p>
    <w:p w14:paraId="20632437">
      <w:pPr>
        <w:autoSpaceDE w:val="0"/>
        <w:autoSpaceDN w:val="0"/>
        <w:jc w:val="center"/>
        <w:rPr>
          <w:rFonts w:ascii="仿宋" w:hAnsi="仿宋" w:eastAsia="仿宋" w:cs="仿宋"/>
          <w:b/>
          <w:color w:val="auto"/>
          <w:spacing w:val="6"/>
          <w:sz w:val="32"/>
          <w:szCs w:val="32"/>
          <w:highlight w:val="none"/>
        </w:rPr>
      </w:pPr>
    </w:p>
    <w:p w14:paraId="7267958A">
      <w:pPr>
        <w:autoSpaceDE w:val="0"/>
        <w:autoSpaceDN w:val="0"/>
        <w:jc w:val="center"/>
        <w:rPr>
          <w:rFonts w:ascii="仿宋" w:hAnsi="仿宋" w:eastAsia="仿宋" w:cs="仿宋"/>
          <w:b/>
          <w:color w:val="auto"/>
          <w:spacing w:val="6"/>
          <w:sz w:val="32"/>
          <w:szCs w:val="32"/>
          <w:highlight w:val="none"/>
        </w:rPr>
      </w:pPr>
    </w:p>
    <w:p w14:paraId="0F9D8FF6">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D8ABC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9852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547B7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1842927">
      <w:pPr>
        <w:spacing w:line="360" w:lineRule="auto"/>
        <w:ind w:firstLine="494"/>
        <w:rPr>
          <w:rFonts w:ascii="仿宋" w:hAnsi="仿宋" w:eastAsia="仿宋" w:cs="仿宋"/>
          <w:color w:val="auto"/>
          <w:sz w:val="24"/>
          <w:highlight w:val="none"/>
        </w:rPr>
      </w:pPr>
    </w:p>
    <w:p w14:paraId="51421C38">
      <w:pPr>
        <w:spacing w:line="360" w:lineRule="auto"/>
        <w:ind w:firstLine="494"/>
        <w:rPr>
          <w:rFonts w:ascii="仿宋" w:hAnsi="仿宋" w:eastAsia="仿宋" w:cs="仿宋"/>
          <w:color w:val="auto"/>
          <w:sz w:val="24"/>
          <w:highlight w:val="none"/>
        </w:rPr>
      </w:pPr>
    </w:p>
    <w:p w14:paraId="0206C160">
      <w:pPr>
        <w:spacing w:line="360" w:lineRule="auto"/>
        <w:ind w:firstLine="494"/>
        <w:rPr>
          <w:rFonts w:ascii="仿宋" w:hAnsi="仿宋" w:eastAsia="仿宋" w:cs="仿宋"/>
          <w:color w:val="auto"/>
          <w:sz w:val="24"/>
          <w:highlight w:val="none"/>
        </w:rPr>
      </w:pPr>
    </w:p>
    <w:p w14:paraId="1C2A0196">
      <w:pPr>
        <w:spacing w:line="360" w:lineRule="auto"/>
        <w:ind w:firstLine="494"/>
        <w:rPr>
          <w:rFonts w:ascii="仿宋" w:hAnsi="仿宋" w:eastAsia="仿宋" w:cs="仿宋"/>
          <w:color w:val="auto"/>
          <w:sz w:val="24"/>
          <w:highlight w:val="none"/>
        </w:rPr>
      </w:pPr>
    </w:p>
    <w:p w14:paraId="460E770E">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B950021">
      <w:pPr>
        <w:ind w:right="1440" w:firstLine="49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日期：       年     月     </w:t>
      </w:r>
      <w:r>
        <w:rPr>
          <w:rFonts w:hint="eastAsia" w:ascii="仿宋" w:hAnsi="仿宋" w:eastAsia="仿宋" w:cs="仿宋"/>
          <w:color w:val="auto"/>
          <w:sz w:val="24"/>
          <w:highlight w:val="none"/>
          <w:lang w:val="en-US" w:eastAsia="zh-CN"/>
        </w:rPr>
        <w:t>日</w:t>
      </w:r>
    </w:p>
    <w:p w14:paraId="219651A4">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31D08618">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7FF1B68">
      <w:pPr>
        <w:autoSpaceDE w:val="0"/>
        <w:autoSpaceDN w:val="0"/>
        <w:jc w:val="center"/>
        <w:rPr>
          <w:rFonts w:ascii="仿宋" w:hAnsi="仿宋" w:eastAsia="仿宋" w:cs="仿宋"/>
          <w:b/>
          <w:color w:val="auto"/>
          <w:spacing w:val="6"/>
          <w:sz w:val="32"/>
          <w:szCs w:val="32"/>
          <w:highlight w:val="none"/>
        </w:rPr>
      </w:pPr>
    </w:p>
    <w:p w14:paraId="5178CB32">
      <w:pPr>
        <w:autoSpaceDE w:val="0"/>
        <w:autoSpaceDN w:val="0"/>
        <w:jc w:val="center"/>
        <w:rPr>
          <w:rFonts w:ascii="仿宋" w:hAnsi="仿宋" w:eastAsia="仿宋" w:cs="仿宋"/>
          <w:b/>
          <w:color w:val="auto"/>
          <w:spacing w:val="6"/>
          <w:sz w:val="32"/>
          <w:szCs w:val="32"/>
          <w:highlight w:val="none"/>
        </w:rPr>
      </w:pPr>
    </w:p>
    <w:p w14:paraId="323EFA99">
      <w:pPr>
        <w:autoSpaceDE w:val="0"/>
        <w:autoSpaceDN w:val="0"/>
        <w:jc w:val="center"/>
        <w:rPr>
          <w:rFonts w:ascii="仿宋" w:hAnsi="仿宋" w:eastAsia="仿宋" w:cs="仿宋"/>
          <w:b/>
          <w:color w:val="auto"/>
          <w:spacing w:val="6"/>
          <w:sz w:val="32"/>
          <w:szCs w:val="32"/>
          <w:highlight w:val="none"/>
        </w:rPr>
      </w:pPr>
    </w:p>
    <w:p w14:paraId="6FEB31A9">
      <w:pPr>
        <w:autoSpaceDE w:val="0"/>
        <w:autoSpaceDN w:val="0"/>
        <w:jc w:val="center"/>
        <w:rPr>
          <w:rFonts w:ascii="仿宋" w:hAnsi="仿宋" w:eastAsia="仿宋" w:cs="仿宋"/>
          <w:b/>
          <w:color w:val="auto"/>
          <w:spacing w:val="6"/>
          <w:sz w:val="32"/>
          <w:szCs w:val="32"/>
          <w:highlight w:val="none"/>
        </w:rPr>
      </w:pPr>
    </w:p>
    <w:p w14:paraId="4CB031ED">
      <w:pPr>
        <w:autoSpaceDE w:val="0"/>
        <w:autoSpaceDN w:val="0"/>
        <w:jc w:val="center"/>
        <w:rPr>
          <w:rFonts w:ascii="仿宋" w:hAnsi="仿宋" w:eastAsia="仿宋" w:cs="仿宋"/>
          <w:b/>
          <w:color w:val="auto"/>
          <w:spacing w:val="6"/>
          <w:sz w:val="32"/>
          <w:szCs w:val="32"/>
          <w:highlight w:val="none"/>
        </w:rPr>
      </w:pPr>
    </w:p>
    <w:p w14:paraId="7E190B62">
      <w:pPr>
        <w:autoSpaceDE w:val="0"/>
        <w:autoSpaceDN w:val="0"/>
        <w:jc w:val="center"/>
        <w:rPr>
          <w:rFonts w:ascii="仿宋" w:hAnsi="仿宋" w:eastAsia="仿宋" w:cs="仿宋"/>
          <w:b/>
          <w:color w:val="auto"/>
          <w:spacing w:val="6"/>
          <w:sz w:val="32"/>
          <w:szCs w:val="32"/>
          <w:highlight w:val="none"/>
        </w:rPr>
      </w:pPr>
    </w:p>
    <w:p w14:paraId="54523B4C">
      <w:pPr>
        <w:autoSpaceDE w:val="0"/>
        <w:autoSpaceDN w:val="0"/>
        <w:jc w:val="center"/>
        <w:rPr>
          <w:rFonts w:ascii="仿宋" w:hAnsi="仿宋" w:eastAsia="仿宋" w:cs="仿宋"/>
          <w:b/>
          <w:color w:val="auto"/>
          <w:spacing w:val="6"/>
          <w:sz w:val="32"/>
          <w:szCs w:val="32"/>
          <w:highlight w:val="none"/>
        </w:rPr>
      </w:pPr>
    </w:p>
    <w:p w14:paraId="6358D504">
      <w:pPr>
        <w:autoSpaceDE w:val="0"/>
        <w:autoSpaceDN w:val="0"/>
        <w:jc w:val="center"/>
        <w:rPr>
          <w:rFonts w:ascii="仿宋" w:hAnsi="仿宋" w:eastAsia="仿宋" w:cs="仿宋"/>
          <w:b/>
          <w:color w:val="auto"/>
          <w:spacing w:val="6"/>
          <w:sz w:val="32"/>
          <w:szCs w:val="32"/>
          <w:highlight w:val="none"/>
        </w:rPr>
      </w:pPr>
    </w:p>
    <w:p w14:paraId="3D7960E0">
      <w:pPr>
        <w:autoSpaceDE w:val="0"/>
        <w:autoSpaceDN w:val="0"/>
        <w:jc w:val="center"/>
        <w:rPr>
          <w:rFonts w:ascii="仿宋" w:hAnsi="仿宋" w:eastAsia="仿宋" w:cs="仿宋"/>
          <w:b/>
          <w:color w:val="auto"/>
          <w:spacing w:val="6"/>
          <w:sz w:val="32"/>
          <w:szCs w:val="32"/>
          <w:highlight w:val="none"/>
        </w:rPr>
      </w:pPr>
    </w:p>
    <w:p w14:paraId="367CDDE4">
      <w:pPr>
        <w:autoSpaceDE w:val="0"/>
        <w:autoSpaceDN w:val="0"/>
        <w:jc w:val="center"/>
        <w:rPr>
          <w:rFonts w:ascii="仿宋" w:hAnsi="仿宋" w:eastAsia="仿宋" w:cs="仿宋"/>
          <w:b/>
          <w:color w:val="auto"/>
          <w:spacing w:val="6"/>
          <w:sz w:val="32"/>
          <w:szCs w:val="32"/>
          <w:highlight w:val="none"/>
        </w:rPr>
      </w:pPr>
    </w:p>
    <w:p w14:paraId="0033A63C">
      <w:pPr>
        <w:autoSpaceDE w:val="0"/>
        <w:autoSpaceDN w:val="0"/>
        <w:jc w:val="center"/>
        <w:rPr>
          <w:rFonts w:ascii="仿宋" w:hAnsi="仿宋" w:eastAsia="仿宋" w:cs="仿宋"/>
          <w:b/>
          <w:color w:val="auto"/>
          <w:spacing w:val="6"/>
          <w:sz w:val="32"/>
          <w:szCs w:val="32"/>
          <w:highlight w:val="none"/>
        </w:rPr>
      </w:pPr>
    </w:p>
    <w:p w14:paraId="44270FCD">
      <w:pPr>
        <w:autoSpaceDE w:val="0"/>
        <w:autoSpaceDN w:val="0"/>
        <w:jc w:val="center"/>
        <w:rPr>
          <w:rFonts w:ascii="仿宋" w:hAnsi="仿宋" w:eastAsia="仿宋" w:cs="仿宋"/>
          <w:b/>
          <w:color w:val="auto"/>
          <w:spacing w:val="6"/>
          <w:sz w:val="32"/>
          <w:szCs w:val="32"/>
          <w:highlight w:val="none"/>
        </w:rPr>
      </w:pPr>
    </w:p>
    <w:p w14:paraId="1B7164AC">
      <w:pPr>
        <w:autoSpaceDE w:val="0"/>
        <w:autoSpaceDN w:val="0"/>
        <w:jc w:val="center"/>
        <w:rPr>
          <w:rFonts w:ascii="仿宋" w:hAnsi="仿宋" w:eastAsia="仿宋" w:cs="仿宋"/>
          <w:b/>
          <w:color w:val="auto"/>
          <w:spacing w:val="6"/>
          <w:sz w:val="32"/>
          <w:szCs w:val="32"/>
          <w:highlight w:val="none"/>
        </w:rPr>
      </w:pPr>
    </w:p>
    <w:p w14:paraId="69859B3D">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E346DD2">
      <w:pPr>
        <w:autoSpaceDE w:val="0"/>
        <w:autoSpaceDN w:val="0"/>
        <w:jc w:val="center"/>
        <w:rPr>
          <w:rFonts w:ascii="宋体" w:hAnsi="宋体" w:cs="宋体"/>
          <w:b/>
          <w:color w:val="auto"/>
          <w:kern w:val="0"/>
          <w:sz w:val="32"/>
          <w:szCs w:val="32"/>
          <w:highlight w:val="none"/>
          <w:lang w:val="zh-CN"/>
        </w:rPr>
      </w:pPr>
      <w:r>
        <w:rPr>
          <w:rFonts w:hint="eastAsia" w:ascii="仿宋" w:hAnsi="仿宋" w:eastAsia="仿宋"/>
          <w:b/>
          <w:bCs/>
          <w:color w:val="auto"/>
          <w:sz w:val="32"/>
          <w:szCs w:val="32"/>
          <w:highlight w:val="none"/>
        </w:rPr>
        <w:t>附件5：</w:t>
      </w:r>
      <w:r>
        <w:rPr>
          <w:rFonts w:hint="eastAsia" w:ascii="仿宋" w:hAnsi="仿宋" w:eastAsia="仿宋"/>
          <w:b/>
          <w:bCs/>
          <w:color w:val="auto"/>
          <w:sz w:val="32"/>
          <w:szCs w:val="32"/>
          <w:highlight w:val="none"/>
          <w:lang w:val="zh-CN"/>
        </w:rPr>
        <w:t>联合协议</w:t>
      </w:r>
    </w:p>
    <w:p w14:paraId="4220AE51">
      <w:pPr>
        <w:widowControl/>
        <w:spacing w:line="360" w:lineRule="auto"/>
        <w:ind w:firstLine="482" w:firstLineChars="200"/>
        <w:jc w:val="left"/>
        <w:rPr>
          <w:rFonts w:hint="eastAsia" w:ascii="仿宋" w:hAnsi="仿宋" w:eastAsia="仿宋" w:cs="仿宋"/>
          <w:b/>
          <w:color w:val="auto"/>
          <w:sz w:val="24"/>
          <w:highlight w:val="none"/>
        </w:rPr>
      </w:pPr>
    </w:p>
    <w:p w14:paraId="7F22635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A1193F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15B81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001080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19CAEF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F556C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C22D3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E8B6D0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B6E51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FCF784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65" w:name="_Hlk101131882"/>
      <w:r>
        <w:rPr>
          <w:rFonts w:hint="eastAsia" w:ascii="仿宋" w:hAnsi="仿宋" w:eastAsia="仿宋" w:cs="仿宋"/>
          <w:color w:val="auto"/>
          <w:kern w:val="0"/>
          <w:sz w:val="24"/>
          <w:highlight w:val="none"/>
          <w:u w:val="single"/>
        </w:rPr>
        <w:t>联合体成员X,……</w:t>
      </w:r>
      <w:bookmarkEnd w:id="16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66"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66"/>
      <w:r>
        <w:rPr>
          <w:rFonts w:hint="eastAsia" w:ascii="仿宋" w:hAnsi="仿宋" w:eastAsia="仿宋" w:cs="仿宋"/>
          <w:b/>
          <w:color w:val="auto"/>
          <w:kern w:val="0"/>
          <w:sz w:val="24"/>
          <w:highlight w:val="none"/>
          <w:lang w:val="zh-CN"/>
        </w:rPr>
        <w:t>）</w:t>
      </w:r>
    </w:p>
    <w:p w14:paraId="592779B8">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6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67"/>
    </w:p>
    <w:p w14:paraId="61AF1B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81B91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E35E0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6EEDC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9D4B2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F674B6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5EA7C4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490BDD">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13BA9F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8EC642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9374CC">
      <w:pPr>
        <w:autoSpaceDE w:val="0"/>
        <w:autoSpaceDN w:val="0"/>
        <w:jc w:val="center"/>
        <w:rPr>
          <w:rFonts w:hint="eastAsia" w:ascii="仿宋" w:hAnsi="仿宋" w:eastAsia="仿宋" w:cs="仿宋"/>
          <w:b/>
          <w:color w:val="auto"/>
          <w:spacing w:val="6"/>
          <w:sz w:val="32"/>
          <w:szCs w:val="32"/>
          <w:highlight w:val="none"/>
        </w:rPr>
      </w:pPr>
    </w:p>
    <w:p w14:paraId="1A48A282">
      <w:pPr>
        <w:autoSpaceDE w:val="0"/>
        <w:autoSpaceDN w:val="0"/>
        <w:jc w:val="center"/>
        <w:rPr>
          <w:rFonts w:hint="eastAsia" w:ascii="仿宋" w:hAnsi="仿宋" w:eastAsia="仿宋" w:cs="仿宋"/>
          <w:b/>
          <w:color w:val="auto"/>
          <w:spacing w:val="6"/>
          <w:sz w:val="32"/>
          <w:szCs w:val="32"/>
          <w:highlight w:val="none"/>
        </w:rPr>
      </w:pPr>
    </w:p>
    <w:p w14:paraId="4989F19C">
      <w:pPr>
        <w:widowControl/>
        <w:adjustRightInd/>
        <w:jc w:val="left"/>
        <w:rPr>
          <w:rFonts w:hint="eastAsia" w:ascii="仿宋" w:hAnsi="仿宋" w:eastAsia="仿宋" w:cs="仿宋"/>
          <w:b/>
          <w:color w:val="auto"/>
          <w:spacing w:val="6"/>
          <w:sz w:val="32"/>
          <w:szCs w:val="32"/>
          <w:highlight w:val="none"/>
        </w:rPr>
      </w:pPr>
    </w:p>
    <w:p w14:paraId="01CE98E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0B26A5D">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728C28C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D97B9B2">
      <w:pPr>
        <w:pageBreakBefore w:val="0"/>
        <w:tabs>
          <w:tab w:val="left" w:pos="432"/>
        </w:tabs>
        <w:kinsoku/>
        <w:wordWrap/>
        <w:overflowPunct/>
        <w:topLinePunct w:val="0"/>
        <w:bidi w:val="0"/>
        <w:textAlignment w:val="auto"/>
        <w:outlineLvl w:val="9"/>
        <w:rPr>
          <w:rFonts w:hint="eastAsia"/>
          <w:color w:val="auto"/>
          <w:highlight w:val="none"/>
        </w:rPr>
      </w:pPr>
    </w:p>
    <w:p w14:paraId="3E8DE0B4">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94F56B1">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8D992A8">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B842E43">
      <w:pPr>
        <w:pageBreakBefore w:val="0"/>
        <w:tabs>
          <w:tab w:val="left" w:pos="432"/>
        </w:tabs>
        <w:kinsoku/>
        <w:wordWrap/>
        <w:overflowPunct/>
        <w:topLinePunct w:val="0"/>
        <w:bidi w:val="0"/>
        <w:ind w:left="664" w:leftChars="316" w:firstLine="228" w:firstLineChars="95"/>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8D8E664">
      <w:pPr>
        <w:pageBreakBefore w:val="0"/>
        <w:kinsoku/>
        <w:wordWrap/>
        <w:overflowPunct/>
        <w:topLinePunct w:val="0"/>
        <w:bidi w:val="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D83BB89">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519B1A5">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8E47437">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A6D7F70">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C4AF222">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A52CEA4">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85E84E2">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F5797F7">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45D1D0C">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DD1E476">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3D26740">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F800AAE">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1004CBA">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F86C5BA">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EC772B2">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2E1B8178">
      <w:pPr>
        <w:pageBreakBefore w:val="0"/>
        <w:kinsoku/>
        <w:wordWrap/>
        <w:overflowPunct/>
        <w:topLinePunct w:val="0"/>
        <w:bidi w:val="0"/>
        <w:snapToGrid w:val="0"/>
        <w:spacing w:line="360" w:lineRule="auto"/>
        <w:jc w:val="righ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B652C83">
      <w:pPr>
        <w:pageBreakBefore w:val="0"/>
        <w:kinsoku/>
        <w:wordWrap/>
        <w:overflowPunct/>
        <w:topLinePunct w:val="0"/>
        <w:bidi w:val="0"/>
        <w:snapToGrid w:val="0"/>
        <w:spacing w:line="360" w:lineRule="auto"/>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CC3D526">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8219833">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65901BB">
      <w:pPr>
        <w:pageBreakBefore w:val="0"/>
        <w:kinsoku/>
        <w:wordWrap/>
        <w:overflowPunct/>
        <w:topLinePunct w:val="0"/>
        <w:bidi w:val="0"/>
        <w:textAlignment w:val="auto"/>
        <w:outlineLvl w:val="9"/>
        <w:rPr>
          <w:rFonts w:hint="eastAsia" w:ascii="仿宋" w:hAnsi="仿宋" w:eastAsia="仿宋"/>
          <w:b/>
          <w:color w:val="auto"/>
          <w:spacing w:val="6"/>
          <w:sz w:val="32"/>
          <w:szCs w:val="32"/>
          <w:highlight w:val="none"/>
        </w:rPr>
      </w:pPr>
    </w:p>
    <w:p w14:paraId="19A41A1A">
      <w:pPr>
        <w:pageBreakBefore w:val="0"/>
        <w:kinsoku/>
        <w:wordWrap/>
        <w:overflowPunct/>
        <w:topLinePunct w:val="0"/>
        <w:bidi w:val="0"/>
        <w:textAlignment w:val="auto"/>
        <w:outlineLvl w:val="9"/>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5FADBF5C">
      <w:pPr>
        <w:pageBreakBefore w:val="0"/>
        <w:kinsoku/>
        <w:wordWrap/>
        <w:overflowPunct/>
        <w:topLinePunct w:val="0"/>
        <w:autoSpaceDE w:val="0"/>
        <w:autoSpaceDN w:val="0"/>
        <w:bidi w:val="0"/>
        <w:jc w:val="center"/>
        <w:textAlignment w:val="auto"/>
        <w:outlineLvl w:val="9"/>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7717BE27">
      <w:pPr>
        <w:pageBreakBefore w:val="0"/>
        <w:kinsoku/>
        <w:wordWrap/>
        <w:overflowPunct/>
        <w:topLinePunct w:val="0"/>
        <w:bidi w:val="0"/>
        <w:spacing w:line="360" w:lineRule="auto"/>
        <w:jc w:val="center"/>
        <w:textAlignment w:val="auto"/>
        <w:outlineLvl w:val="9"/>
        <w:rPr>
          <w:rFonts w:ascii="仿宋" w:hAnsi="仿宋" w:eastAsia="仿宋" w:cs="仿宋"/>
          <w:color w:val="auto"/>
          <w:sz w:val="24"/>
          <w:highlight w:val="none"/>
          <w:u w:val="single"/>
        </w:rPr>
      </w:pPr>
    </w:p>
    <w:p w14:paraId="7C883CF1">
      <w:pPr>
        <w:pageBreakBefore w:val="0"/>
        <w:kinsoku/>
        <w:wordWrap/>
        <w:overflowPunct/>
        <w:topLinePunct w:val="0"/>
        <w:bidi w:val="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（资格文件部分有示范格式）</w:t>
      </w:r>
    </w:p>
    <w:p w14:paraId="67D89260">
      <w:pPr>
        <w:pageBreakBefore w:val="0"/>
        <w:kinsoku/>
        <w:wordWrap/>
        <w:overflowPunct/>
        <w:topLinePunct w:val="0"/>
        <w:bidi w:val="0"/>
        <w:spacing w:line="360" w:lineRule="auto"/>
        <w:jc w:val="center"/>
        <w:textAlignment w:val="auto"/>
        <w:outlineLvl w:val="9"/>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6FE063C">
      <w:pPr>
        <w:pageBreakBefore w:val="0"/>
        <w:kinsoku/>
        <w:wordWrap/>
        <w:overflowPunct/>
        <w:topLinePunct w:val="0"/>
        <w:bidi w:val="0"/>
        <w:spacing w:line="360" w:lineRule="auto"/>
        <w:textAlignment w:val="auto"/>
        <w:outlineLvl w:val="9"/>
        <w:rPr>
          <w:rFonts w:ascii="仿宋" w:hAnsi="仿宋" w:eastAsia="仿宋" w:cs="仿宋"/>
          <w:color w:val="auto"/>
          <w:highlight w:val="none"/>
        </w:rPr>
      </w:pPr>
    </w:p>
    <w:p w14:paraId="612FD1FA">
      <w:pPr>
        <w:pageBreakBefore w:val="0"/>
        <w:kinsoku/>
        <w:wordWrap/>
        <w:overflowPunct/>
        <w:topLinePunct w:val="0"/>
        <w:bidi w:val="0"/>
        <w:spacing w:line="360" w:lineRule="auto"/>
        <w:ind w:firstLine="360" w:firstLineChars="15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lang w:val="en-US" w:eastAsia="zh-CN"/>
        </w:rPr>
        <w:t xml:space="preserve">      （采购人）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szCs w:val="24"/>
          <w:highlight w:val="none"/>
          <w:u w:val="single"/>
          <w:lang w:val="en-US" w:eastAsia="zh-CN"/>
        </w:rPr>
        <w:t xml:space="preserve">   （项目名称）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48047AD">
      <w:pPr>
        <w:pageBreakBefore w:val="0"/>
        <w:numPr>
          <w:ilvl w:val="0"/>
          <w:numId w:val="12"/>
        </w:numPr>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（标的）</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lang w:val="en-US" w:eastAsia="zh-CN"/>
        </w:rPr>
        <w:t xml:space="preserve">    （行业）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482A040C">
      <w:pPr>
        <w:pageBreakBefore w:val="0"/>
        <w:numPr>
          <w:ilvl w:val="0"/>
          <w:numId w:val="12"/>
        </w:numPr>
        <w:kinsoku/>
        <w:wordWrap/>
        <w:overflowPunct/>
        <w:topLinePunct w:val="0"/>
        <w:bidi w:val="0"/>
        <w:spacing w:line="360" w:lineRule="auto"/>
        <w:ind w:left="0" w:leftChars="0" w:firstLine="480" w:firstLineChars="200"/>
        <w:jc w:val="left"/>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lang w:val="en-US" w:eastAsia="zh-CN"/>
        </w:rPr>
        <w:t xml:space="preserve">           （标的）</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lang w:val="en-US" w:eastAsia="zh-CN"/>
        </w:rPr>
        <w:t xml:space="preserve">    （行业）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72008FD7">
      <w:pPr>
        <w:pageBreakBefore w:val="0"/>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120C235">
      <w:pPr>
        <w:pageBreakBefore w:val="0"/>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C742B8E">
      <w:pPr>
        <w:pageBreakBefore w:val="0"/>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F03F946">
      <w:pPr>
        <w:pageBreakBefore w:val="0"/>
        <w:kinsoku/>
        <w:wordWrap/>
        <w:overflowPunct/>
        <w:topLinePunct w:val="0"/>
        <w:bidi w:val="0"/>
        <w:spacing w:line="360" w:lineRule="auto"/>
        <w:ind w:right="1760"/>
        <w:jc w:val="righ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AEA7403">
      <w:pPr>
        <w:pageBreakBefore w:val="0"/>
        <w:kinsoku/>
        <w:wordWrap/>
        <w:overflowPunct/>
        <w:topLinePunct w:val="0"/>
        <w:bidi w:val="0"/>
        <w:spacing w:line="360" w:lineRule="auto"/>
        <w:ind w:right="1120" w:firstLine="4680" w:firstLineChars="195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52D8B2F6">
      <w:pPr>
        <w:pageBreakBefore w:val="0"/>
        <w:kinsoku/>
        <w:wordWrap/>
        <w:overflowPunct/>
        <w:topLinePunct w:val="0"/>
        <w:bidi w:val="0"/>
        <w:spacing w:line="360" w:lineRule="auto"/>
        <w:ind w:firstLine="310" w:firstLineChars="147"/>
        <w:jc w:val="left"/>
        <w:textAlignment w:val="auto"/>
        <w:outlineLvl w:val="9"/>
        <w:rPr>
          <w:rFonts w:ascii="仿宋" w:hAnsi="仿宋" w:eastAsia="仿宋" w:cs="仿宋"/>
          <w:b/>
          <w:color w:val="auto"/>
          <w:szCs w:val="21"/>
          <w:highlight w:val="none"/>
        </w:rPr>
      </w:pPr>
    </w:p>
    <w:p w14:paraId="50115EB1">
      <w:pPr>
        <w:pageBreakBefore w:val="0"/>
        <w:kinsoku/>
        <w:wordWrap/>
        <w:overflowPunct/>
        <w:topLinePunct w:val="0"/>
        <w:bidi w:val="0"/>
        <w:spacing w:line="360" w:lineRule="auto"/>
        <w:ind w:right="420"/>
        <w:textAlignment w:val="auto"/>
        <w:outlineLvl w:val="9"/>
        <w:rPr>
          <w:rFonts w:ascii="仿宋_GB2312" w:hAnsi="仿宋" w:eastAsia="仿宋_GB2312" w:cs="仿宋_GB2312"/>
          <w:color w:val="auto"/>
          <w:sz w:val="24"/>
          <w:highlight w:val="none"/>
        </w:rPr>
      </w:pPr>
    </w:p>
    <w:p w14:paraId="109EE5B3">
      <w:pPr>
        <w:pageBreakBefore w:val="0"/>
        <w:kinsoku/>
        <w:wordWrap/>
        <w:overflowPunct/>
        <w:topLinePunct w:val="0"/>
        <w:bidi w:val="0"/>
        <w:spacing w:line="360" w:lineRule="auto"/>
        <w:ind w:right="42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3138FD">
      <w:pPr>
        <w:pageBreakBefore w:val="0"/>
        <w:kinsoku/>
        <w:wordWrap/>
        <w:overflowPunct/>
        <w:topLinePunct w:val="0"/>
        <w:bidi w:val="0"/>
        <w:spacing w:line="360" w:lineRule="auto"/>
        <w:ind w:right="420"/>
        <w:textAlignment w:val="auto"/>
        <w:outlineLvl w:val="9"/>
        <w:rPr>
          <w:rFonts w:ascii="仿宋" w:hAnsi="仿宋" w:eastAsia="仿宋" w:cs="仿宋"/>
          <w:color w:val="auto"/>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4C45FE6">
      <w:pPr>
        <w:pageBreakBefore w:val="0"/>
        <w:kinsoku/>
        <w:wordWrap/>
        <w:overflowPunct/>
        <w:topLinePunct w:val="0"/>
        <w:bidi w:val="0"/>
        <w:spacing w:line="360" w:lineRule="auto"/>
        <w:ind w:right="420"/>
        <w:textAlignment w:val="auto"/>
        <w:outlineLvl w:val="9"/>
        <w:rPr>
          <w:rFonts w:ascii="仿宋" w:hAnsi="仿宋" w:eastAsia="仿宋" w:cs="仿宋"/>
          <w:color w:val="auto"/>
          <w:highlight w:val="none"/>
        </w:rPr>
      </w:pPr>
    </w:p>
    <w:p w14:paraId="66414DEC">
      <w:pPr>
        <w:pStyle w:val="186"/>
        <w:pageBreakBefore w:val="0"/>
        <w:widowControl w:val="0"/>
        <w:kinsoku/>
        <w:wordWrap/>
        <w:overflowPunct/>
        <w:topLinePunct w:val="0"/>
        <w:bidi w:val="0"/>
        <w:adjustRightInd w:val="0"/>
        <w:snapToGrid w:val="0"/>
        <w:spacing w:line="360" w:lineRule="auto"/>
        <w:jc w:val="both"/>
        <w:textAlignment w:val="auto"/>
        <w:outlineLvl w:val="9"/>
        <w:rPr>
          <w:rFonts w:hint="default" w:ascii="仿宋" w:hAnsi="仿宋" w:eastAsia="仿宋" w:cs="仿宋"/>
          <w:b/>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14:paraId="3DBC7C44">
      <w:pPr>
        <w:pageBreakBefore w:val="0"/>
        <w:kinsoku/>
        <w:wordWrap/>
        <w:overflowPunct/>
        <w:topLinePunct w:val="0"/>
        <w:autoSpaceDE w:val="0"/>
        <w:autoSpaceDN w:val="0"/>
        <w:bidi w:val="0"/>
        <w:jc w:val="center"/>
        <w:textAlignment w:val="auto"/>
        <w:outlineLvl w:val="9"/>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其他</w:t>
      </w:r>
    </w:p>
    <w:p w14:paraId="161D3827">
      <w:pPr>
        <w:pageBreakBefore w:val="0"/>
        <w:kinsoku/>
        <w:wordWrap/>
        <w:overflowPunct/>
        <w:topLinePunct w:val="0"/>
        <w:bidi w:val="0"/>
        <w:spacing w:line="360" w:lineRule="auto"/>
        <w:jc w:val="center"/>
        <w:textAlignment w:val="auto"/>
        <w:outlineLvl w:val="9"/>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关于钱塘区政府采购支持中小企业信用融资相关事项通知</w:t>
      </w:r>
    </w:p>
    <w:p w14:paraId="714C7B03">
      <w:pPr>
        <w:pageBreakBefore w:val="0"/>
        <w:kinsoku/>
        <w:wordWrap/>
        <w:overflowPunct/>
        <w:topLinePunct w:val="0"/>
        <w:bidi w:val="0"/>
        <w:spacing w:line="360" w:lineRule="auto"/>
        <w:jc w:val="center"/>
        <w:textAlignment w:val="auto"/>
        <w:outlineLvl w:val="9"/>
        <w:rPr>
          <w:rFonts w:ascii="仿宋" w:hAnsi="仿宋" w:eastAsia="仿宋" w:cs="仿宋"/>
          <w:b/>
          <w:color w:val="auto"/>
          <w:sz w:val="10"/>
          <w:szCs w:val="10"/>
          <w:highlight w:val="none"/>
        </w:rPr>
      </w:pPr>
    </w:p>
    <w:p w14:paraId="2A91C6BE">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5E334B2F">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一、适用对象</w:t>
      </w:r>
    </w:p>
    <w:p w14:paraId="1475428C">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在浙江“政采云”平台注册入库，并取得钱塘区政府采购合同的中小企业供应商。</w:t>
      </w:r>
    </w:p>
    <w:p w14:paraId="33A15865">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二、相关信息获取方式</w:t>
      </w:r>
    </w:p>
    <w:p w14:paraId="08A61806">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请登陆杭州钱塘区管理委员会官网（http://qt.hangzhou.gov.cn） “公告公示”专栏，查看信用融资政策文件及各相关银行服务方案。</w:t>
      </w:r>
    </w:p>
    <w:p w14:paraId="055B346F">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三、申请方式和步骤</w:t>
      </w:r>
    </w:p>
    <w:p w14:paraId="1AE257FE">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1、供应商若有融资意向，需先与钱塘区财政金融局合作的银行对接，办理相关融资前期手续；</w:t>
      </w:r>
    </w:p>
    <w:p w14:paraId="2DA5E6A6">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2、中标后，供应商应与采购单位或者采购代理机构及时联系，告知融资需求；</w:t>
      </w:r>
    </w:p>
    <w:p w14:paraId="60096C12">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3、相关合作银行联系并审核供应商及相关中标信息，办理相关融资事宜；</w:t>
      </w:r>
    </w:p>
    <w:p w14:paraId="7843ECF5">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4、采购单位或者采购代理机构在政府采购信息系统录入中标合同信息时，须标注合同为信用融资合同，并选择相应的信用融资合作银行，录入账号信息；</w:t>
      </w:r>
    </w:p>
    <w:p w14:paraId="5193A7EE">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5、采购人应及时将信用融资合同提交财政金融局备案。</w:t>
      </w:r>
    </w:p>
    <w:p w14:paraId="4C698AC9">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四、注意事项</w:t>
      </w:r>
    </w:p>
    <w:p w14:paraId="43E180A3">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请各采购单位和采购代理机构积极支持和配合政府采购信用融资工作，在合同备案环节务必请仔细核对收款银行、账号信息等内容，一旦录入将无法修改。</w:t>
      </w:r>
    </w:p>
    <w:p w14:paraId="7F0FE6D5">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14:paraId="29B19564">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459484B">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5392F9BC">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5F83A809">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12335ABC">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电话</w:t>
            </w:r>
          </w:p>
        </w:tc>
      </w:tr>
      <w:tr w14:paraId="11F3E65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394EC6C">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14:paraId="0C68C350">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14:paraId="6D0E3CC7">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14:paraId="05FD07B5">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86910319，13588718187</w:t>
            </w:r>
          </w:p>
        </w:tc>
      </w:tr>
      <w:tr w14:paraId="654A0EF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892987F">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14:paraId="5883EEB5">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14:paraId="1EDC9C43">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14:paraId="179AB54D">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13777889798</w:t>
            </w:r>
          </w:p>
        </w:tc>
      </w:tr>
      <w:tr w14:paraId="7FCD00F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F4F5C21">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14:paraId="718BC3F6">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14:paraId="17783BA9">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14:paraId="3B2FC509">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13906811832</w:t>
            </w:r>
          </w:p>
        </w:tc>
      </w:tr>
      <w:tr w14:paraId="514D243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53674B2">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14:paraId="348F88C8">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14:paraId="12C22355">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费莎</w:t>
            </w:r>
          </w:p>
        </w:tc>
        <w:tc>
          <w:tcPr>
            <w:tcW w:w="3220" w:type="dxa"/>
            <w:tcBorders>
              <w:top w:val="nil"/>
              <w:left w:val="nil"/>
              <w:bottom w:val="single" w:color="auto" w:sz="4" w:space="0"/>
              <w:right w:val="single" w:color="auto" w:sz="4" w:space="0"/>
            </w:tcBorders>
            <w:noWrap/>
            <w:vAlign w:val="center"/>
          </w:tcPr>
          <w:p w14:paraId="258931BB">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13388617781</w:t>
            </w:r>
          </w:p>
        </w:tc>
      </w:tr>
      <w:tr w14:paraId="6ACA31F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46683C9">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14:paraId="29E5E334">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14:paraId="3FEC3E14">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14:paraId="6EFBABDC">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13777421564</w:t>
            </w:r>
          </w:p>
        </w:tc>
      </w:tr>
      <w:tr w14:paraId="380B7FF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E953D6D">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14:paraId="5BEF1487">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14:paraId="1B619545">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高飞</w:t>
            </w:r>
          </w:p>
        </w:tc>
        <w:tc>
          <w:tcPr>
            <w:tcW w:w="3220" w:type="dxa"/>
            <w:tcBorders>
              <w:top w:val="nil"/>
              <w:left w:val="nil"/>
              <w:bottom w:val="single" w:color="auto" w:sz="4" w:space="0"/>
              <w:right w:val="single" w:color="auto" w:sz="4" w:space="0"/>
            </w:tcBorders>
            <w:noWrap/>
            <w:vAlign w:val="center"/>
          </w:tcPr>
          <w:p w14:paraId="78C0FE05">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86722499</w:t>
            </w:r>
          </w:p>
        </w:tc>
      </w:tr>
      <w:tr w14:paraId="0A7C6A4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9D7A311">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14:paraId="3E000F5C">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14:paraId="62B4CD85">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吴建恩</w:t>
            </w:r>
          </w:p>
        </w:tc>
        <w:tc>
          <w:tcPr>
            <w:tcW w:w="3220" w:type="dxa"/>
            <w:tcBorders>
              <w:top w:val="nil"/>
              <w:left w:val="nil"/>
              <w:bottom w:val="single" w:color="auto" w:sz="4" w:space="0"/>
              <w:right w:val="single" w:color="auto" w:sz="4" w:space="0"/>
            </w:tcBorders>
            <w:noWrap/>
            <w:vAlign w:val="center"/>
          </w:tcPr>
          <w:p w14:paraId="3EC0E7C9">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13646861493</w:t>
            </w:r>
          </w:p>
        </w:tc>
      </w:tr>
      <w:tr w14:paraId="2BDA4240">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06220F9E">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14:paraId="17B4481E">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14:paraId="5211A232">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14:paraId="014A48C8">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13575745232</w:t>
            </w:r>
          </w:p>
        </w:tc>
      </w:tr>
      <w:tr w14:paraId="68C7CAB1">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6680B391">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14:paraId="5F35D3D8">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7ABCA6EF">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14:paraId="3475CFC9">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18906520030</w:t>
            </w:r>
          </w:p>
        </w:tc>
      </w:tr>
      <w:tr w14:paraId="47EB9248">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3784CF61">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14:paraId="4CF198C9">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14:paraId="636AFAAB">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施伟东</w:t>
            </w:r>
          </w:p>
        </w:tc>
        <w:tc>
          <w:tcPr>
            <w:tcW w:w="3220" w:type="dxa"/>
            <w:tcBorders>
              <w:top w:val="nil"/>
              <w:left w:val="nil"/>
              <w:bottom w:val="single" w:color="auto" w:sz="4" w:space="0"/>
              <w:right w:val="single" w:color="auto" w:sz="4" w:space="0"/>
            </w:tcBorders>
            <w:noWrap/>
            <w:vAlign w:val="center"/>
          </w:tcPr>
          <w:p w14:paraId="52C01A29">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86912948,15988106601</w:t>
            </w:r>
          </w:p>
        </w:tc>
      </w:tr>
      <w:tr w14:paraId="67537321">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6BB5BF40">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11</w:t>
            </w:r>
          </w:p>
        </w:tc>
        <w:tc>
          <w:tcPr>
            <w:tcW w:w="3020" w:type="dxa"/>
            <w:tcBorders>
              <w:top w:val="nil"/>
              <w:left w:val="nil"/>
              <w:bottom w:val="single" w:color="auto" w:sz="4" w:space="0"/>
              <w:right w:val="single" w:color="auto" w:sz="4" w:space="0"/>
            </w:tcBorders>
            <w:noWrap/>
            <w:vAlign w:val="center"/>
          </w:tcPr>
          <w:p w14:paraId="116EAD9F">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14:paraId="4BAEB359">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朱丽丹</w:t>
            </w:r>
          </w:p>
        </w:tc>
        <w:tc>
          <w:tcPr>
            <w:tcW w:w="3220" w:type="dxa"/>
            <w:tcBorders>
              <w:top w:val="nil"/>
              <w:left w:val="nil"/>
              <w:bottom w:val="single" w:color="auto" w:sz="4" w:space="0"/>
              <w:right w:val="single" w:color="auto" w:sz="4" w:space="0"/>
            </w:tcBorders>
            <w:noWrap/>
            <w:vAlign w:val="center"/>
          </w:tcPr>
          <w:p w14:paraId="154F1CDD">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13732249271</w:t>
            </w:r>
          </w:p>
        </w:tc>
      </w:tr>
      <w:tr w14:paraId="35D8150D">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549EE773">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w:t>
            </w:r>
          </w:p>
        </w:tc>
        <w:tc>
          <w:tcPr>
            <w:tcW w:w="3020" w:type="dxa"/>
            <w:tcBorders>
              <w:top w:val="nil"/>
              <w:left w:val="nil"/>
              <w:bottom w:val="single" w:color="auto" w:sz="4" w:space="0"/>
              <w:right w:val="single" w:color="auto" w:sz="4" w:space="0"/>
            </w:tcBorders>
            <w:noWrap/>
            <w:vAlign w:val="center"/>
          </w:tcPr>
          <w:p w14:paraId="4F952124">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14:paraId="63C85FD9">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张学民</w:t>
            </w:r>
          </w:p>
        </w:tc>
        <w:tc>
          <w:tcPr>
            <w:tcW w:w="3220" w:type="dxa"/>
            <w:tcBorders>
              <w:top w:val="nil"/>
              <w:left w:val="nil"/>
              <w:bottom w:val="single" w:color="auto" w:sz="4" w:space="0"/>
              <w:right w:val="single" w:color="auto" w:sz="4" w:space="0"/>
            </w:tcBorders>
            <w:noWrap/>
            <w:vAlign w:val="center"/>
          </w:tcPr>
          <w:p w14:paraId="53F9D661">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82198699，13867197838</w:t>
            </w:r>
          </w:p>
        </w:tc>
      </w:tr>
    </w:tbl>
    <w:p w14:paraId="2A12DD5E">
      <w:pPr>
        <w:pStyle w:val="186"/>
        <w:pageBreakBefore w:val="0"/>
        <w:widowControl w:val="0"/>
        <w:kinsoku/>
        <w:wordWrap/>
        <w:overflowPunct/>
        <w:topLinePunct w:val="0"/>
        <w:bidi w:val="0"/>
        <w:adjustRightInd w:val="0"/>
        <w:snapToGrid w:val="0"/>
        <w:spacing w:line="360" w:lineRule="auto"/>
        <w:jc w:val="both"/>
        <w:textAlignment w:val="auto"/>
        <w:outlineLvl w:val="9"/>
        <w:rPr>
          <w:rFonts w:hint="default" w:ascii="仿宋" w:hAnsi="仿宋" w:eastAsia="仿宋" w:cs="仿宋"/>
          <w:b/>
          <w:color w:val="auto"/>
          <w:sz w:val="30"/>
          <w:szCs w:val="30"/>
          <w:highlight w:val="none"/>
        </w:rPr>
        <w:sectPr>
          <w:pgSz w:w="11906" w:h="16838"/>
          <w:pgMar w:top="1247" w:right="1588" w:bottom="1089" w:left="1588" w:header="851" w:footer="992" w:gutter="0"/>
          <w:cols w:space="720" w:num="1"/>
          <w:docGrid w:linePitch="312" w:charSpace="0"/>
        </w:sectPr>
      </w:pPr>
    </w:p>
    <w:p w14:paraId="5C8ADB92">
      <w:pPr>
        <w:pStyle w:val="186"/>
        <w:pageBreakBefore w:val="0"/>
        <w:widowControl w:val="0"/>
        <w:kinsoku/>
        <w:wordWrap/>
        <w:overflowPunct/>
        <w:topLinePunct w:val="0"/>
        <w:bidi w:val="0"/>
        <w:snapToGrid w:val="0"/>
        <w:spacing w:line="500" w:lineRule="exact"/>
        <w:textAlignment w:val="auto"/>
        <w:outlineLvl w:val="9"/>
        <w:rPr>
          <w:rFonts w:hint="default" w:ascii="仿宋" w:hAnsi="仿宋" w:eastAsia="仿宋" w:cs="仿宋"/>
          <w:b/>
          <w:color w:val="auto"/>
          <w:sz w:val="28"/>
          <w:szCs w:val="28"/>
          <w:highlight w:val="none"/>
        </w:rPr>
      </w:pPr>
      <w:r>
        <w:rPr>
          <w:rFonts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D47AC0B">
      <w:pPr>
        <w:pStyle w:val="186"/>
        <w:pageBreakBefore w:val="0"/>
        <w:widowControl w:val="0"/>
        <w:kinsoku/>
        <w:wordWrap/>
        <w:overflowPunct/>
        <w:topLinePunct w:val="0"/>
        <w:bidi w:val="0"/>
        <w:snapToGrid w:val="0"/>
        <w:spacing w:line="500" w:lineRule="exact"/>
        <w:jc w:val="center"/>
        <w:textAlignment w:val="auto"/>
        <w:outlineLvl w:val="9"/>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中小企业划型标准规定</w:t>
      </w:r>
    </w:p>
    <w:p w14:paraId="156DD2AE">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p>
    <w:p w14:paraId="74DFEE69">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国务院关于进一步促进中小企业发展的若干意见</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国发〔2009〕36号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)，制定本规定。</w:t>
      </w:r>
    </w:p>
    <w:p w14:paraId="1DC1E241">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12A7BD5A">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AFBFD1C">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四、各行业划型标准为：</w:t>
      </w:r>
    </w:p>
    <w:p w14:paraId="40B10EF2">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7DDD564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B1C8F8">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243B62">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781C44">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A66A958">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900C15B">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A3730C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94FA4B5">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B758DC">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6563E4">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CC21C6">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128C58">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716F04">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AC5B72">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AAC8E8">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69F52DBB">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五、企业类型的划分以统计部门的统计数据为依据。</w:t>
      </w:r>
    </w:p>
    <w:p w14:paraId="082C50FC">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6D81A23C">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42B3498">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549C2154">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九、本规定由工业和信息化部、国家统计局会同有关部门负责解释。</w:t>
      </w:r>
    </w:p>
    <w:p w14:paraId="68875289">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中小企业标准暂行规定</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国经贸中小企[2003]143号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同时废止。</w:t>
      </w:r>
    </w:p>
    <w:p w14:paraId="7678FC90">
      <w:pPr>
        <w:pStyle w:val="186"/>
        <w:pageBreakBefore w:val="0"/>
        <w:widowControl w:val="0"/>
        <w:kinsoku/>
        <w:wordWrap/>
        <w:overflowPunct/>
        <w:topLinePunct w:val="0"/>
        <w:bidi w:val="0"/>
        <w:adjustRightInd w:val="0"/>
        <w:snapToGrid w:val="0"/>
        <w:spacing w:line="360" w:lineRule="auto"/>
        <w:jc w:val="both"/>
        <w:textAlignment w:val="auto"/>
        <w:outlineLvl w:val="9"/>
        <w:rPr>
          <w:rFonts w:hint="default" w:ascii="仿宋" w:hAnsi="仿宋" w:eastAsia="仿宋" w:cs="仿宋"/>
          <w:b/>
          <w:color w:val="auto"/>
          <w:sz w:val="30"/>
          <w:szCs w:val="30"/>
          <w:highlight w:val="none"/>
        </w:rPr>
      </w:pPr>
      <w:r>
        <w:rPr>
          <w:rFonts w:ascii="仿宋" w:hAnsi="仿宋" w:eastAsia="仿宋" w:cs="仿宋"/>
          <w:color w:val="auto"/>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p w14:paraId="06BD1AC3">
      <w:pPr>
        <w:rPr>
          <w:highlight w:val="none"/>
        </w:rPr>
      </w:pP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DokChampa">
    <w:altName w:val="Microsoft Sans Serif"/>
    <w:panose1 w:val="020B0604020202020204"/>
    <w:charset w:val="DE"/>
    <w:family w:val="swiss"/>
    <w:pitch w:val="default"/>
    <w:sig w:usb0="00000000" w:usb1="00000000" w:usb2="00000000" w:usb3="00000000" w:csb0="40010001"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BF12">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7385300">
                          <w:pPr>
                            <w:pStyle w:val="30"/>
                            <w:rPr>
                              <w:rFonts w:eastAsia="宋体"/>
                            </w:rPr>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17385300">
                    <w:pPr>
                      <w:pStyle w:val="30"/>
                      <w:rPr>
                        <w:rFonts w:eastAsia="宋体"/>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B312">
    <w:pPr>
      <w:pStyle w:val="30"/>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50946FF">
                          <w:pPr>
                            <w:pStyle w:val="30"/>
                            <w:rPr>
                              <w:rFonts w:eastAsia="宋体"/>
                            </w:rPr>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250946FF">
                    <w:pPr>
                      <w:pStyle w:val="30"/>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CA29">
    <w:pPr>
      <w:pStyle w:val="3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C5F48D2">
                          <w:pPr>
                            <w:pStyle w:val="30"/>
                            <w:rPr>
                              <w:rFonts w:eastAsia="宋体"/>
                            </w:rPr>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7C5F48D2">
                    <w:pPr>
                      <w:pStyle w:val="30"/>
                      <w:rPr>
                        <w:rFonts w:eastAsia="宋体"/>
                      </w:rPr>
                    </w:pPr>
                    <w:r>
                      <w:fldChar w:fldCharType="begin"/>
                    </w:r>
                    <w:r>
                      <w:instrText xml:space="preserve"> PAGE  \* MERGEFORMAT </w:instrText>
                    </w:r>
                    <w:r>
                      <w:fldChar w:fldCharType="separate"/>
                    </w:r>
                    <w:r>
                      <w:t>48</w:t>
                    </w:r>
                    <w:r>
                      <w:fldChar w:fldCharType="end"/>
                    </w:r>
                  </w:p>
                </w:txbxContent>
              </v:textbox>
            </v:shape>
          </w:pict>
        </mc:Fallback>
      </mc:AlternateContent>
    </w:r>
  </w:p>
  <w:p w14:paraId="629AAA2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3CFD">
    <w:pPr>
      <w:pStyle w:val="3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2B8DE7B">
                          <w:pPr>
                            <w:pStyle w:val="30"/>
                            <w:rPr>
                              <w:rFonts w:eastAsia="宋体"/>
                            </w:rPr>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02B8DE7B">
                    <w:pPr>
                      <w:pStyle w:val="30"/>
                      <w:rPr>
                        <w:rFonts w:eastAsia="宋体"/>
                      </w:rPr>
                    </w:pPr>
                    <w:r>
                      <w:fldChar w:fldCharType="begin"/>
                    </w:r>
                    <w:r>
                      <w:instrText xml:space="preserve"> PAGE  \* MERGEFORMAT </w:instrText>
                    </w:r>
                    <w:r>
                      <w:fldChar w:fldCharType="separate"/>
                    </w:r>
                    <w:r>
                      <w:t>71</w:t>
                    </w:r>
                    <w:r>
                      <w:fldChar w:fldCharType="end"/>
                    </w:r>
                  </w:p>
                </w:txbxContent>
              </v:textbox>
            </v:shape>
          </w:pict>
        </mc:Fallback>
      </mc:AlternateContent>
    </w:r>
  </w:p>
  <w:p w14:paraId="092E4BB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F9FA">
    <w:pPr>
      <w:pStyle w:val="30"/>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42E2D6">
                          <w:pPr>
                            <w:pStyle w:val="30"/>
                            <w:rPr>
                              <w:rFonts w:eastAsia="宋体"/>
                            </w:rPr>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4642E2D6">
                    <w:pPr>
                      <w:pStyle w:val="30"/>
                      <w:rPr>
                        <w:rFonts w:eastAsia="宋体"/>
                      </w:rP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12F9">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B013">
    <w:pPr>
      <w:pStyle w:val="31"/>
      <w:pBdr>
        <w:bottom w:val="none" w:color="auto" w:sz="0" w:space="1"/>
      </w:pBdr>
    </w:pPr>
  </w:p>
  <w:p w14:paraId="00A6AAEC">
    <w:pPr>
      <w:pStyle w:val="42"/>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D502E">
    <w:pPr>
      <w:pStyle w:val="31"/>
      <w:pBdr>
        <w:bottom w:val="none" w:color="auto" w:sz="0" w:space="1"/>
      </w:pBdr>
      <w:jc w:val="right"/>
      <w:rPr>
        <w:rFonts w:ascii="仿宋_GB2312" w:eastAsia="仿宋_GB2312"/>
        <w:b/>
        <w:i/>
        <w:u w:val="single"/>
      </w:rPr>
    </w:pPr>
  </w:p>
  <w:p w14:paraId="34D10DD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3711">
    <w:pPr>
      <w:pStyle w:val="31"/>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2C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B8DAF609"/>
    <w:multiLevelType w:val="singleLevel"/>
    <w:tmpl w:val="B8DAF609"/>
    <w:lvl w:ilvl="0" w:tentative="0">
      <w:start w:val="10"/>
      <w:numFmt w:val="chineseCounting"/>
      <w:suff w:val="nothing"/>
      <w:lvlText w:val="%1、"/>
      <w:lvlJc w:val="left"/>
      <w:rPr>
        <w:rFonts w:hint="eastAsia"/>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D6315F5"/>
    <w:multiLevelType w:val="singleLevel"/>
    <w:tmpl w:val="0D6315F5"/>
    <w:lvl w:ilvl="0" w:tentative="0">
      <w:start w:val="1"/>
      <w:numFmt w:val="decimal"/>
      <w:suff w:val="space"/>
      <w:lvlText w:val="%1."/>
      <w:lvlJc w:val="left"/>
    </w:lvl>
  </w:abstractNum>
  <w:abstractNum w:abstractNumId="7">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6BCB5E2A"/>
    <w:multiLevelType w:val="singleLevel"/>
    <w:tmpl w:val="6BCB5E2A"/>
    <w:lvl w:ilvl="0" w:tentative="0">
      <w:start w:val="1"/>
      <w:numFmt w:val="decimal"/>
      <w:suff w:val="space"/>
      <w:lvlText w:val="%1."/>
      <w:lvlJc w:val="left"/>
    </w:lvl>
  </w:abstractNum>
  <w:num w:numId="1">
    <w:abstractNumId w:val="1"/>
  </w:num>
  <w:num w:numId="2">
    <w:abstractNumId w:val="3"/>
  </w:num>
  <w:num w:numId="3">
    <w:abstractNumId w:val="8"/>
  </w:num>
  <w:num w:numId="4">
    <w:abstractNumId w:val="0"/>
  </w:num>
  <w:num w:numId="5">
    <w:abstractNumId w:val="7"/>
  </w:num>
  <w:num w:numId="6">
    <w:abstractNumId w:val="10"/>
  </w:num>
  <w:num w:numId="7">
    <w:abstractNumId w:val="4"/>
  </w:num>
  <w:num w:numId="8">
    <w:abstractNumId w:val="5"/>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2187"/>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46760"/>
    <w:rsid w:val="01767F39"/>
    <w:rsid w:val="0178774A"/>
    <w:rsid w:val="01837032"/>
    <w:rsid w:val="01891C53"/>
    <w:rsid w:val="018F3568"/>
    <w:rsid w:val="01A026F0"/>
    <w:rsid w:val="01AF1DEF"/>
    <w:rsid w:val="01B5447A"/>
    <w:rsid w:val="01C045F9"/>
    <w:rsid w:val="01C23D30"/>
    <w:rsid w:val="01D85D7E"/>
    <w:rsid w:val="01DD653E"/>
    <w:rsid w:val="01F03100"/>
    <w:rsid w:val="01F91FE9"/>
    <w:rsid w:val="01FC6168"/>
    <w:rsid w:val="02205968"/>
    <w:rsid w:val="022E0EC5"/>
    <w:rsid w:val="023C6877"/>
    <w:rsid w:val="023D593B"/>
    <w:rsid w:val="024A4B3B"/>
    <w:rsid w:val="02546DDA"/>
    <w:rsid w:val="025E069A"/>
    <w:rsid w:val="02647ECA"/>
    <w:rsid w:val="02676E1B"/>
    <w:rsid w:val="02731095"/>
    <w:rsid w:val="02772BD8"/>
    <w:rsid w:val="027F4191"/>
    <w:rsid w:val="02952E03"/>
    <w:rsid w:val="029F7028"/>
    <w:rsid w:val="02A77100"/>
    <w:rsid w:val="02C00B3F"/>
    <w:rsid w:val="02EF0CFB"/>
    <w:rsid w:val="02EF19D6"/>
    <w:rsid w:val="02F77757"/>
    <w:rsid w:val="02FA23A8"/>
    <w:rsid w:val="031F446C"/>
    <w:rsid w:val="032062CB"/>
    <w:rsid w:val="032F0848"/>
    <w:rsid w:val="03310592"/>
    <w:rsid w:val="033A0E9D"/>
    <w:rsid w:val="033F29FA"/>
    <w:rsid w:val="034641C3"/>
    <w:rsid w:val="03485A0F"/>
    <w:rsid w:val="0351799C"/>
    <w:rsid w:val="035A4CAD"/>
    <w:rsid w:val="035B47DA"/>
    <w:rsid w:val="036D3BCF"/>
    <w:rsid w:val="036D5065"/>
    <w:rsid w:val="037557A7"/>
    <w:rsid w:val="03756445"/>
    <w:rsid w:val="0379245F"/>
    <w:rsid w:val="037E4B04"/>
    <w:rsid w:val="038652C6"/>
    <w:rsid w:val="03936BB9"/>
    <w:rsid w:val="03A9328A"/>
    <w:rsid w:val="03B234AE"/>
    <w:rsid w:val="03C17E5B"/>
    <w:rsid w:val="03DB2543"/>
    <w:rsid w:val="03E5647E"/>
    <w:rsid w:val="03FC0994"/>
    <w:rsid w:val="042451DA"/>
    <w:rsid w:val="04266BBA"/>
    <w:rsid w:val="04281C40"/>
    <w:rsid w:val="042E4DD9"/>
    <w:rsid w:val="04325931"/>
    <w:rsid w:val="04513859"/>
    <w:rsid w:val="045F036E"/>
    <w:rsid w:val="046532AA"/>
    <w:rsid w:val="04735F53"/>
    <w:rsid w:val="04757F77"/>
    <w:rsid w:val="04813F74"/>
    <w:rsid w:val="04950609"/>
    <w:rsid w:val="049B4ADB"/>
    <w:rsid w:val="04A21EFD"/>
    <w:rsid w:val="04A76479"/>
    <w:rsid w:val="04B63BFF"/>
    <w:rsid w:val="04BB391E"/>
    <w:rsid w:val="04CE1F73"/>
    <w:rsid w:val="04D57147"/>
    <w:rsid w:val="04EA35AB"/>
    <w:rsid w:val="04F11AB8"/>
    <w:rsid w:val="04F82F7C"/>
    <w:rsid w:val="04FA4853"/>
    <w:rsid w:val="04FC5702"/>
    <w:rsid w:val="04FE5BD1"/>
    <w:rsid w:val="050A784F"/>
    <w:rsid w:val="050B0CD7"/>
    <w:rsid w:val="050E113B"/>
    <w:rsid w:val="052203F1"/>
    <w:rsid w:val="052841DE"/>
    <w:rsid w:val="053179BA"/>
    <w:rsid w:val="053921E2"/>
    <w:rsid w:val="053E62FD"/>
    <w:rsid w:val="05407769"/>
    <w:rsid w:val="0549386E"/>
    <w:rsid w:val="054E5ED7"/>
    <w:rsid w:val="056B4BA9"/>
    <w:rsid w:val="057100AB"/>
    <w:rsid w:val="05757C7C"/>
    <w:rsid w:val="059557B1"/>
    <w:rsid w:val="059F0331"/>
    <w:rsid w:val="05A0616A"/>
    <w:rsid w:val="05A133AA"/>
    <w:rsid w:val="05C45420"/>
    <w:rsid w:val="05D62E8D"/>
    <w:rsid w:val="05EB7976"/>
    <w:rsid w:val="05F077D4"/>
    <w:rsid w:val="06091935"/>
    <w:rsid w:val="060D4D85"/>
    <w:rsid w:val="060F45F1"/>
    <w:rsid w:val="06136FCC"/>
    <w:rsid w:val="061834A6"/>
    <w:rsid w:val="063F1073"/>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736C4"/>
    <w:rsid w:val="070B300A"/>
    <w:rsid w:val="07272FEF"/>
    <w:rsid w:val="072A05F0"/>
    <w:rsid w:val="07387D99"/>
    <w:rsid w:val="074618E0"/>
    <w:rsid w:val="0756170A"/>
    <w:rsid w:val="075848D7"/>
    <w:rsid w:val="07611FC2"/>
    <w:rsid w:val="07701844"/>
    <w:rsid w:val="07810992"/>
    <w:rsid w:val="078656CD"/>
    <w:rsid w:val="07881B83"/>
    <w:rsid w:val="079F1279"/>
    <w:rsid w:val="07A267CB"/>
    <w:rsid w:val="07A85F84"/>
    <w:rsid w:val="07B572E3"/>
    <w:rsid w:val="07C766EF"/>
    <w:rsid w:val="07D37E8D"/>
    <w:rsid w:val="07DB1942"/>
    <w:rsid w:val="07DB6632"/>
    <w:rsid w:val="07E6588F"/>
    <w:rsid w:val="07E67990"/>
    <w:rsid w:val="07EB52FC"/>
    <w:rsid w:val="07F6398C"/>
    <w:rsid w:val="08007C66"/>
    <w:rsid w:val="08066D92"/>
    <w:rsid w:val="080B30F6"/>
    <w:rsid w:val="080F5EFD"/>
    <w:rsid w:val="08163E4D"/>
    <w:rsid w:val="081E7C8D"/>
    <w:rsid w:val="08444D3B"/>
    <w:rsid w:val="084F6F27"/>
    <w:rsid w:val="085B2896"/>
    <w:rsid w:val="085B47AE"/>
    <w:rsid w:val="085E00A1"/>
    <w:rsid w:val="08752AC1"/>
    <w:rsid w:val="08757F68"/>
    <w:rsid w:val="08895C65"/>
    <w:rsid w:val="08904B46"/>
    <w:rsid w:val="089153C7"/>
    <w:rsid w:val="08936E11"/>
    <w:rsid w:val="08A344C0"/>
    <w:rsid w:val="08AD7D17"/>
    <w:rsid w:val="08B7057E"/>
    <w:rsid w:val="08BD56F0"/>
    <w:rsid w:val="08BF66FF"/>
    <w:rsid w:val="08D351BE"/>
    <w:rsid w:val="08DD1D65"/>
    <w:rsid w:val="08DD2846"/>
    <w:rsid w:val="08E13796"/>
    <w:rsid w:val="08E21174"/>
    <w:rsid w:val="08E32E74"/>
    <w:rsid w:val="08F740E9"/>
    <w:rsid w:val="08F84BFB"/>
    <w:rsid w:val="09000221"/>
    <w:rsid w:val="09023E0B"/>
    <w:rsid w:val="090E5904"/>
    <w:rsid w:val="091D5275"/>
    <w:rsid w:val="092422D4"/>
    <w:rsid w:val="092E0CF2"/>
    <w:rsid w:val="0941147D"/>
    <w:rsid w:val="0948744F"/>
    <w:rsid w:val="094E5EB9"/>
    <w:rsid w:val="09503F28"/>
    <w:rsid w:val="09647A9E"/>
    <w:rsid w:val="0967778B"/>
    <w:rsid w:val="0972141D"/>
    <w:rsid w:val="098B5CEE"/>
    <w:rsid w:val="09B0689E"/>
    <w:rsid w:val="09B213D0"/>
    <w:rsid w:val="09E0485F"/>
    <w:rsid w:val="09EF6144"/>
    <w:rsid w:val="09FB16A7"/>
    <w:rsid w:val="09FD39CA"/>
    <w:rsid w:val="0A030A5B"/>
    <w:rsid w:val="0A110ED0"/>
    <w:rsid w:val="0A2A682C"/>
    <w:rsid w:val="0A2C7D49"/>
    <w:rsid w:val="0A4707FD"/>
    <w:rsid w:val="0A4D6348"/>
    <w:rsid w:val="0A690634"/>
    <w:rsid w:val="0A6E1C10"/>
    <w:rsid w:val="0AA350C7"/>
    <w:rsid w:val="0AA867C8"/>
    <w:rsid w:val="0AB16EAD"/>
    <w:rsid w:val="0AB77E64"/>
    <w:rsid w:val="0AC92E5A"/>
    <w:rsid w:val="0AE67C59"/>
    <w:rsid w:val="0AEB64A8"/>
    <w:rsid w:val="0AED3445"/>
    <w:rsid w:val="0AEF60E1"/>
    <w:rsid w:val="0AF315E8"/>
    <w:rsid w:val="0AF344E1"/>
    <w:rsid w:val="0AFE6184"/>
    <w:rsid w:val="0B1449F6"/>
    <w:rsid w:val="0B1A1E43"/>
    <w:rsid w:val="0B2912D0"/>
    <w:rsid w:val="0B361B49"/>
    <w:rsid w:val="0B476BBC"/>
    <w:rsid w:val="0B48684A"/>
    <w:rsid w:val="0B4D48A4"/>
    <w:rsid w:val="0B507925"/>
    <w:rsid w:val="0B533B29"/>
    <w:rsid w:val="0B631A54"/>
    <w:rsid w:val="0B7E7850"/>
    <w:rsid w:val="0B823FD1"/>
    <w:rsid w:val="0B871E95"/>
    <w:rsid w:val="0B9630C2"/>
    <w:rsid w:val="0B975356"/>
    <w:rsid w:val="0B9B7B36"/>
    <w:rsid w:val="0BA7004E"/>
    <w:rsid w:val="0BA8144D"/>
    <w:rsid w:val="0BAD7ADF"/>
    <w:rsid w:val="0BB4611C"/>
    <w:rsid w:val="0BBD4675"/>
    <w:rsid w:val="0BDC640E"/>
    <w:rsid w:val="0BE0144B"/>
    <w:rsid w:val="0BE10566"/>
    <w:rsid w:val="0BEB5940"/>
    <w:rsid w:val="0C013897"/>
    <w:rsid w:val="0C176CBC"/>
    <w:rsid w:val="0C3236E7"/>
    <w:rsid w:val="0C352A19"/>
    <w:rsid w:val="0C494A35"/>
    <w:rsid w:val="0C49575D"/>
    <w:rsid w:val="0C545B8D"/>
    <w:rsid w:val="0C610419"/>
    <w:rsid w:val="0C6A2581"/>
    <w:rsid w:val="0C6D71DA"/>
    <w:rsid w:val="0C6F619B"/>
    <w:rsid w:val="0C756558"/>
    <w:rsid w:val="0C7905D8"/>
    <w:rsid w:val="0C952C04"/>
    <w:rsid w:val="0C95435A"/>
    <w:rsid w:val="0C9D3858"/>
    <w:rsid w:val="0CA87625"/>
    <w:rsid w:val="0CAD6CD5"/>
    <w:rsid w:val="0CAF4411"/>
    <w:rsid w:val="0CB02F58"/>
    <w:rsid w:val="0CB71182"/>
    <w:rsid w:val="0CC7607D"/>
    <w:rsid w:val="0CD31EEE"/>
    <w:rsid w:val="0D181D78"/>
    <w:rsid w:val="0D2546FA"/>
    <w:rsid w:val="0D2B6157"/>
    <w:rsid w:val="0D3244DD"/>
    <w:rsid w:val="0D5864B2"/>
    <w:rsid w:val="0D6A1AC0"/>
    <w:rsid w:val="0D6B0852"/>
    <w:rsid w:val="0D6D3302"/>
    <w:rsid w:val="0D7F3975"/>
    <w:rsid w:val="0D8C26CD"/>
    <w:rsid w:val="0D9A0057"/>
    <w:rsid w:val="0DA27718"/>
    <w:rsid w:val="0DB1010B"/>
    <w:rsid w:val="0DBB55AD"/>
    <w:rsid w:val="0DCF7FD6"/>
    <w:rsid w:val="0DE57D7F"/>
    <w:rsid w:val="0E096E39"/>
    <w:rsid w:val="0E1C1EC9"/>
    <w:rsid w:val="0E206931"/>
    <w:rsid w:val="0E442EAE"/>
    <w:rsid w:val="0E4C3071"/>
    <w:rsid w:val="0E60507D"/>
    <w:rsid w:val="0E971A66"/>
    <w:rsid w:val="0EA72BA6"/>
    <w:rsid w:val="0EAA475B"/>
    <w:rsid w:val="0EAC11AD"/>
    <w:rsid w:val="0EC74501"/>
    <w:rsid w:val="0EC915D0"/>
    <w:rsid w:val="0EDA0876"/>
    <w:rsid w:val="0EEB4C90"/>
    <w:rsid w:val="0EF162BD"/>
    <w:rsid w:val="0F032F2D"/>
    <w:rsid w:val="0F14495A"/>
    <w:rsid w:val="0F2E3D57"/>
    <w:rsid w:val="0F305AAD"/>
    <w:rsid w:val="0F321605"/>
    <w:rsid w:val="0F3353B7"/>
    <w:rsid w:val="0F48505B"/>
    <w:rsid w:val="0F5342DC"/>
    <w:rsid w:val="0F566845"/>
    <w:rsid w:val="0F684F69"/>
    <w:rsid w:val="0F68565B"/>
    <w:rsid w:val="0F687084"/>
    <w:rsid w:val="0F757FCC"/>
    <w:rsid w:val="0F7B6A00"/>
    <w:rsid w:val="0F814668"/>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51038C"/>
    <w:rsid w:val="10804688"/>
    <w:rsid w:val="1082485A"/>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3C1792"/>
    <w:rsid w:val="114306D4"/>
    <w:rsid w:val="11506166"/>
    <w:rsid w:val="11567833"/>
    <w:rsid w:val="115A0E16"/>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E4B3D"/>
    <w:rsid w:val="12361FE3"/>
    <w:rsid w:val="1238092A"/>
    <w:rsid w:val="12491D3D"/>
    <w:rsid w:val="124C0824"/>
    <w:rsid w:val="124F70F5"/>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3828A6"/>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0E0CD1"/>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44639"/>
    <w:rsid w:val="14A7200E"/>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40771C"/>
    <w:rsid w:val="164E4741"/>
    <w:rsid w:val="164E668F"/>
    <w:rsid w:val="165635D9"/>
    <w:rsid w:val="1658525F"/>
    <w:rsid w:val="16611327"/>
    <w:rsid w:val="169D25F5"/>
    <w:rsid w:val="16A1133A"/>
    <w:rsid w:val="16B001AD"/>
    <w:rsid w:val="16CD690B"/>
    <w:rsid w:val="16F5338F"/>
    <w:rsid w:val="16F83846"/>
    <w:rsid w:val="16FF7F43"/>
    <w:rsid w:val="1700661C"/>
    <w:rsid w:val="17193A6D"/>
    <w:rsid w:val="171D2783"/>
    <w:rsid w:val="171F52F1"/>
    <w:rsid w:val="172C3D13"/>
    <w:rsid w:val="175A32D2"/>
    <w:rsid w:val="176424DC"/>
    <w:rsid w:val="1767731A"/>
    <w:rsid w:val="176C179B"/>
    <w:rsid w:val="176F6360"/>
    <w:rsid w:val="17790994"/>
    <w:rsid w:val="1783643C"/>
    <w:rsid w:val="178B7F80"/>
    <w:rsid w:val="178C1D45"/>
    <w:rsid w:val="17A54A43"/>
    <w:rsid w:val="17E57F7D"/>
    <w:rsid w:val="17E97420"/>
    <w:rsid w:val="17E979B2"/>
    <w:rsid w:val="17F36885"/>
    <w:rsid w:val="18004438"/>
    <w:rsid w:val="1809236A"/>
    <w:rsid w:val="180E3449"/>
    <w:rsid w:val="18105287"/>
    <w:rsid w:val="18110CF1"/>
    <w:rsid w:val="181D0DEF"/>
    <w:rsid w:val="182527C9"/>
    <w:rsid w:val="182C2AE2"/>
    <w:rsid w:val="183E5722"/>
    <w:rsid w:val="18423C4B"/>
    <w:rsid w:val="18670C19"/>
    <w:rsid w:val="187637AB"/>
    <w:rsid w:val="187D6A8B"/>
    <w:rsid w:val="18866D16"/>
    <w:rsid w:val="188B0AC6"/>
    <w:rsid w:val="18902376"/>
    <w:rsid w:val="18AB3B04"/>
    <w:rsid w:val="18AB7E54"/>
    <w:rsid w:val="18E17C22"/>
    <w:rsid w:val="18ED7DF7"/>
    <w:rsid w:val="18FC0A05"/>
    <w:rsid w:val="190A3949"/>
    <w:rsid w:val="190D3E7D"/>
    <w:rsid w:val="19221422"/>
    <w:rsid w:val="19250B27"/>
    <w:rsid w:val="19264BDF"/>
    <w:rsid w:val="19346A4B"/>
    <w:rsid w:val="19371F32"/>
    <w:rsid w:val="193B3A99"/>
    <w:rsid w:val="1940592C"/>
    <w:rsid w:val="195722CB"/>
    <w:rsid w:val="195C5947"/>
    <w:rsid w:val="19671C74"/>
    <w:rsid w:val="196A76A5"/>
    <w:rsid w:val="19776586"/>
    <w:rsid w:val="199146A9"/>
    <w:rsid w:val="19930F16"/>
    <w:rsid w:val="19A60451"/>
    <w:rsid w:val="19A74E14"/>
    <w:rsid w:val="19AB7B63"/>
    <w:rsid w:val="19AC7816"/>
    <w:rsid w:val="19C31A2B"/>
    <w:rsid w:val="19D27DA3"/>
    <w:rsid w:val="19D34CDE"/>
    <w:rsid w:val="19D4436D"/>
    <w:rsid w:val="19DC7A10"/>
    <w:rsid w:val="19E26DAC"/>
    <w:rsid w:val="19ED3CEA"/>
    <w:rsid w:val="19F02457"/>
    <w:rsid w:val="19F93831"/>
    <w:rsid w:val="1A0770C2"/>
    <w:rsid w:val="1A2A5F83"/>
    <w:rsid w:val="1A343559"/>
    <w:rsid w:val="1A3437B8"/>
    <w:rsid w:val="1A3641C6"/>
    <w:rsid w:val="1A4F04C3"/>
    <w:rsid w:val="1A4F1C7C"/>
    <w:rsid w:val="1A5176FD"/>
    <w:rsid w:val="1A617DCC"/>
    <w:rsid w:val="1A6C2697"/>
    <w:rsid w:val="1A6D1B43"/>
    <w:rsid w:val="1A7E3CBC"/>
    <w:rsid w:val="1A831294"/>
    <w:rsid w:val="1A8D1997"/>
    <w:rsid w:val="1A8D3F8F"/>
    <w:rsid w:val="1A9100C3"/>
    <w:rsid w:val="1A9D75F4"/>
    <w:rsid w:val="1ABB3DE0"/>
    <w:rsid w:val="1AC62341"/>
    <w:rsid w:val="1AC6675E"/>
    <w:rsid w:val="1AD556E9"/>
    <w:rsid w:val="1AEA7E63"/>
    <w:rsid w:val="1AEE0B2F"/>
    <w:rsid w:val="1AEE1B94"/>
    <w:rsid w:val="1AFD065A"/>
    <w:rsid w:val="1B03409D"/>
    <w:rsid w:val="1B111517"/>
    <w:rsid w:val="1B152B4D"/>
    <w:rsid w:val="1B2A45D6"/>
    <w:rsid w:val="1B372915"/>
    <w:rsid w:val="1B516834"/>
    <w:rsid w:val="1B55025B"/>
    <w:rsid w:val="1B5A2E9D"/>
    <w:rsid w:val="1B9A3B85"/>
    <w:rsid w:val="1B9E46F5"/>
    <w:rsid w:val="1BA12479"/>
    <w:rsid w:val="1BAF5235"/>
    <w:rsid w:val="1BB3174C"/>
    <w:rsid w:val="1BC06EA2"/>
    <w:rsid w:val="1BC21757"/>
    <w:rsid w:val="1BC34195"/>
    <w:rsid w:val="1BC34FCD"/>
    <w:rsid w:val="1BC50628"/>
    <w:rsid w:val="1BC50972"/>
    <w:rsid w:val="1BC55301"/>
    <w:rsid w:val="1BC57B47"/>
    <w:rsid w:val="1BC82618"/>
    <w:rsid w:val="1BD74EFE"/>
    <w:rsid w:val="1BDE3B4C"/>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6D3780"/>
    <w:rsid w:val="1C723F66"/>
    <w:rsid w:val="1C746750"/>
    <w:rsid w:val="1C8054A9"/>
    <w:rsid w:val="1C825C78"/>
    <w:rsid w:val="1C8E121B"/>
    <w:rsid w:val="1C8F233B"/>
    <w:rsid w:val="1CA86307"/>
    <w:rsid w:val="1CBA6E7B"/>
    <w:rsid w:val="1CBE2B3D"/>
    <w:rsid w:val="1CD90366"/>
    <w:rsid w:val="1CDE1582"/>
    <w:rsid w:val="1CEE2D5A"/>
    <w:rsid w:val="1D0D5C23"/>
    <w:rsid w:val="1D0F7823"/>
    <w:rsid w:val="1D1207F7"/>
    <w:rsid w:val="1D1252E8"/>
    <w:rsid w:val="1D185B98"/>
    <w:rsid w:val="1D1F3740"/>
    <w:rsid w:val="1D28001A"/>
    <w:rsid w:val="1D2E4533"/>
    <w:rsid w:val="1D361885"/>
    <w:rsid w:val="1D45790F"/>
    <w:rsid w:val="1D542175"/>
    <w:rsid w:val="1D625BC2"/>
    <w:rsid w:val="1D763161"/>
    <w:rsid w:val="1D767C76"/>
    <w:rsid w:val="1D7F6A99"/>
    <w:rsid w:val="1D8E03FA"/>
    <w:rsid w:val="1D8F2F1D"/>
    <w:rsid w:val="1D944D0C"/>
    <w:rsid w:val="1D982ACF"/>
    <w:rsid w:val="1DB14064"/>
    <w:rsid w:val="1DC23D0F"/>
    <w:rsid w:val="1DD261D8"/>
    <w:rsid w:val="1DD71650"/>
    <w:rsid w:val="1DE43A17"/>
    <w:rsid w:val="1DEE1EFA"/>
    <w:rsid w:val="1E12611C"/>
    <w:rsid w:val="1E157A3A"/>
    <w:rsid w:val="1E171E3D"/>
    <w:rsid w:val="1E3078D5"/>
    <w:rsid w:val="1E4644CC"/>
    <w:rsid w:val="1E61167C"/>
    <w:rsid w:val="1E7077F5"/>
    <w:rsid w:val="1E873F99"/>
    <w:rsid w:val="1E8B73A7"/>
    <w:rsid w:val="1E970166"/>
    <w:rsid w:val="1E9811D0"/>
    <w:rsid w:val="1EAA335B"/>
    <w:rsid w:val="1EAE6ECC"/>
    <w:rsid w:val="1EBB2DC6"/>
    <w:rsid w:val="1EBE7E01"/>
    <w:rsid w:val="1ED0548E"/>
    <w:rsid w:val="1F161228"/>
    <w:rsid w:val="1F1906B6"/>
    <w:rsid w:val="1F1D3032"/>
    <w:rsid w:val="1F2B32BE"/>
    <w:rsid w:val="1F390D89"/>
    <w:rsid w:val="1F3E7F5B"/>
    <w:rsid w:val="1F4A124B"/>
    <w:rsid w:val="1F513ECC"/>
    <w:rsid w:val="1F583E13"/>
    <w:rsid w:val="1F686EA8"/>
    <w:rsid w:val="1F6A3BAE"/>
    <w:rsid w:val="1F6F027D"/>
    <w:rsid w:val="1F7B7564"/>
    <w:rsid w:val="1F885F5F"/>
    <w:rsid w:val="1F8B0D13"/>
    <w:rsid w:val="1FB3007D"/>
    <w:rsid w:val="1FC86FB2"/>
    <w:rsid w:val="1FE039FF"/>
    <w:rsid w:val="1FFD682A"/>
    <w:rsid w:val="20017C8D"/>
    <w:rsid w:val="200E563D"/>
    <w:rsid w:val="2022167F"/>
    <w:rsid w:val="203C1C0C"/>
    <w:rsid w:val="20412465"/>
    <w:rsid w:val="20570026"/>
    <w:rsid w:val="20583861"/>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F1461"/>
    <w:rsid w:val="211E47B1"/>
    <w:rsid w:val="213B0E23"/>
    <w:rsid w:val="21410A8D"/>
    <w:rsid w:val="214915A6"/>
    <w:rsid w:val="214F3C0C"/>
    <w:rsid w:val="21535276"/>
    <w:rsid w:val="21812056"/>
    <w:rsid w:val="21902632"/>
    <w:rsid w:val="219C4CA5"/>
    <w:rsid w:val="21A56EDA"/>
    <w:rsid w:val="21AF01FD"/>
    <w:rsid w:val="21B002AA"/>
    <w:rsid w:val="21B5199E"/>
    <w:rsid w:val="21BF6859"/>
    <w:rsid w:val="21C32279"/>
    <w:rsid w:val="21D867B6"/>
    <w:rsid w:val="21DB0BBB"/>
    <w:rsid w:val="21E156B9"/>
    <w:rsid w:val="21F029E2"/>
    <w:rsid w:val="21F5181A"/>
    <w:rsid w:val="22054352"/>
    <w:rsid w:val="22147AF1"/>
    <w:rsid w:val="221701F3"/>
    <w:rsid w:val="223751DC"/>
    <w:rsid w:val="2244378B"/>
    <w:rsid w:val="224C7E9B"/>
    <w:rsid w:val="2254079F"/>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70D69"/>
    <w:rsid w:val="23061CAF"/>
    <w:rsid w:val="230963C7"/>
    <w:rsid w:val="230B64DF"/>
    <w:rsid w:val="23151973"/>
    <w:rsid w:val="231A52F5"/>
    <w:rsid w:val="231A6657"/>
    <w:rsid w:val="231F64C9"/>
    <w:rsid w:val="232E7024"/>
    <w:rsid w:val="233A4131"/>
    <w:rsid w:val="233A4278"/>
    <w:rsid w:val="233E4A36"/>
    <w:rsid w:val="23607F20"/>
    <w:rsid w:val="23664E71"/>
    <w:rsid w:val="23846FD7"/>
    <w:rsid w:val="2386717E"/>
    <w:rsid w:val="23B25529"/>
    <w:rsid w:val="23B420F8"/>
    <w:rsid w:val="23BC0851"/>
    <w:rsid w:val="23C1595F"/>
    <w:rsid w:val="23CD6B0E"/>
    <w:rsid w:val="23ED1676"/>
    <w:rsid w:val="23FE2357"/>
    <w:rsid w:val="24624308"/>
    <w:rsid w:val="2466664F"/>
    <w:rsid w:val="246F5780"/>
    <w:rsid w:val="247C28FF"/>
    <w:rsid w:val="2499166B"/>
    <w:rsid w:val="24A905E3"/>
    <w:rsid w:val="24AA7332"/>
    <w:rsid w:val="24AC37E9"/>
    <w:rsid w:val="24AF4AB0"/>
    <w:rsid w:val="24B81E16"/>
    <w:rsid w:val="24C63A20"/>
    <w:rsid w:val="24D562C0"/>
    <w:rsid w:val="24DE0E5E"/>
    <w:rsid w:val="24FB111E"/>
    <w:rsid w:val="251F3280"/>
    <w:rsid w:val="25203277"/>
    <w:rsid w:val="253E3EBC"/>
    <w:rsid w:val="25401C79"/>
    <w:rsid w:val="25404CD9"/>
    <w:rsid w:val="25416241"/>
    <w:rsid w:val="254B1650"/>
    <w:rsid w:val="2553463D"/>
    <w:rsid w:val="255B0BA0"/>
    <w:rsid w:val="25763B01"/>
    <w:rsid w:val="257858B7"/>
    <w:rsid w:val="257D1B5A"/>
    <w:rsid w:val="25853324"/>
    <w:rsid w:val="25931026"/>
    <w:rsid w:val="25BC5CB5"/>
    <w:rsid w:val="25BE7846"/>
    <w:rsid w:val="25C757F6"/>
    <w:rsid w:val="25CA0C55"/>
    <w:rsid w:val="25D0543A"/>
    <w:rsid w:val="25DB00D2"/>
    <w:rsid w:val="25E70335"/>
    <w:rsid w:val="25EB0B51"/>
    <w:rsid w:val="25ED2BD0"/>
    <w:rsid w:val="25EE39A1"/>
    <w:rsid w:val="26020D1E"/>
    <w:rsid w:val="260A5655"/>
    <w:rsid w:val="260B3108"/>
    <w:rsid w:val="260C5E52"/>
    <w:rsid w:val="261301D0"/>
    <w:rsid w:val="26140373"/>
    <w:rsid w:val="26195456"/>
    <w:rsid w:val="26280C7C"/>
    <w:rsid w:val="26460C0D"/>
    <w:rsid w:val="26517D5A"/>
    <w:rsid w:val="265A1637"/>
    <w:rsid w:val="265D4D90"/>
    <w:rsid w:val="266427D3"/>
    <w:rsid w:val="266A5519"/>
    <w:rsid w:val="266A6683"/>
    <w:rsid w:val="2670658E"/>
    <w:rsid w:val="2675674A"/>
    <w:rsid w:val="26843375"/>
    <w:rsid w:val="26846979"/>
    <w:rsid w:val="26851904"/>
    <w:rsid w:val="268B606C"/>
    <w:rsid w:val="269359D8"/>
    <w:rsid w:val="269F54AF"/>
    <w:rsid w:val="26A4798B"/>
    <w:rsid w:val="26B2210E"/>
    <w:rsid w:val="26D1232B"/>
    <w:rsid w:val="26EE0FB2"/>
    <w:rsid w:val="27000709"/>
    <w:rsid w:val="273A03D9"/>
    <w:rsid w:val="27512D73"/>
    <w:rsid w:val="27515A3B"/>
    <w:rsid w:val="27540081"/>
    <w:rsid w:val="275A1503"/>
    <w:rsid w:val="275C2488"/>
    <w:rsid w:val="27707D9F"/>
    <w:rsid w:val="27710808"/>
    <w:rsid w:val="277736B5"/>
    <w:rsid w:val="2777522A"/>
    <w:rsid w:val="27A256BD"/>
    <w:rsid w:val="27A9643E"/>
    <w:rsid w:val="27AE05E7"/>
    <w:rsid w:val="27B0758A"/>
    <w:rsid w:val="27BA2806"/>
    <w:rsid w:val="27BC244A"/>
    <w:rsid w:val="27C93226"/>
    <w:rsid w:val="27E04F87"/>
    <w:rsid w:val="27E3520A"/>
    <w:rsid w:val="27F76560"/>
    <w:rsid w:val="280C2F29"/>
    <w:rsid w:val="280E3E73"/>
    <w:rsid w:val="281A5069"/>
    <w:rsid w:val="2838132E"/>
    <w:rsid w:val="283C47A1"/>
    <w:rsid w:val="28447CD2"/>
    <w:rsid w:val="284F6DA3"/>
    <w:rsid w:val="28621296"/>
    <w:rsid w:val="286B3E9F"/>
    <w:rsid w:val="286D568F"/>
    <w:rsid w:val="28771649"/>
    <w:rsid w:val="287A5694"/>
    <w:rsid w:val="28907A65"/>
    <w:rsid w:val="28926C90"/>
    <w:rsid w:val="2895355D"/>
    <w:rsid w:val="289F2FF8"/>
    <w:rsid w:val="28A74874"/>
    <w:rsid w:val="28AC48F5"/>
    <w:rsid w:val="28AF48FE"/>
    <w:rsid w:val="28B30360"/>
    <w:rsid w:val="28B700D8"/>
    <w:rsid w:val="28B81A59"/>
    <w:rsid w:val="28BC0025"/>
    <w:rsid w:val="28BD749A"/>
    <w:rsid w:val="28BF5BE1"/>
    <w:rsid w:val="28C838C3"/>
    <w:rsid w:val="28DE736F"/>
    <w:rsid w:val="28E215E7"/>
    <w:rsid w:val="28E75C23"/>
    <w:rsid w:val="28F66F27"/>
    <w:rsid w:val="28F74D45"/>
    <w:rsid w:val="28FE3091"/>
    <w:rsid w:val="28FF44FC"/>
    <w:rsid w:val="29004CA4"/>
    <w:rsid w:val="29060DC1"/>
    <w:rsid w:val="29077127"/>
    <w:rsid w:val="2908154A"/>
    <w:rsid w:val="29122857"/>
    <w:rsid w:val="293B2E83"/>
    <w:rsid w:val="293E708B"/>
    <w:rsid w:val="29594737"/>
    <w:rsid w:val="295E4802"/>
    <w:rsid w:val="2967522D"/>
    <w:rsid w:val="296E63D4"/>
    <w:rsid w:val="297D2E22"/>
    <w:rsid w:val="29931A80"/>
    <w:rsid w:val="299E45D3"/>
    <w:rsid w:val="299F2675"/>
    <w:rsid w:val="29A12A77"/>
    <w:rsid w:val="29A671D2"/>
    <w:rsid w:val="29AC6EB1"/>
    <w:rsid w:val="29AD6F45"/>
    <w:rsid w:val="29B444FC"/>
    <w:rsid w:val="29BD120F"/>
    <w:rsid w:val="29C769C8"/>
    <w:rsid w:val="29D74EB6"/>
    <w:rsid w:val="29E2264F"/>
    <w:rsid w:val="29E4464B"/>
    <w:rsid w:val="29F36D30"/>
    <w:rsid w:val="29F84CE2"/>
    <w:rsid w:val="2A0343F7"/>
    <w:rsid w:val="2A1E312C"/>
    <w:rsid w:val="2A277F19"/>
    <w:rsid w:val="2A4B31B4"/>
    <w:rsid w:val="2A516722"/>
    <w:rsid w:val="2A676A61"/>
    <w:rsid w:val="2A77544F"/>
    <w:rsid w:val="2A7C4B41"/>
    <w:rsid w:val="2A8C5942"/>
    <w:rsid w:val="2AA059B0"/>
    <w:rsid w:val="2AA2170A"/>
    <w:rsid w:val="2AAC3BC6"/>
    <w:rsid w:val="2AC15811"/>
    <w:rsid w:val="2ACE3624"/>
    <w:rsid w:val="2ACF5A8C"/>
    <w:rsid w:val="2AD40EF4"/>
    <w:rsid w:val="2ADF4AAE"/>
    <w:rsid w:val="2AED28A3"/>
    <w:rsid w:val="2AF51552"/>
    <w:rsid w:val="2AFE28F4"/>
    <w:rsid w:val="2B0C00B5"/>
    <w:rsid w:val="2B0F60E3"/>
    <w:rsid w:val="2B1534EE"/>
    <w:rsid w:val="2B171B79"/>
    <w:rsid w:val="2B2621F1"/>
    <w:rsid w:val="2B2E661F"/>
    <w:rsid w:val="2B3561CA"/>
    <w:rsid w:val="2B3E61BC"/>
    <w:rsid w:val="2B646A04"/>
    <w:rsid w:val="2B833DCF"/>
    <w:rsid w:val="2B9C72A6"/>
    <w:rsid w:val="2BA867E1"/>
    <w:rsid w:val="2BAA72ED"/>
    <w:rsid w:val="2BAD5346"/>
    <w:rsid w:val="2BB03333"/>
    <w:rsid w:val="2BB32876"/>
    <w:rsid w:val="2BC67E03"/>
    <w:rsid w:val="2BCC0AF7"/>
    <w:rsid w:val="2BDA19F5"/>
    <w:rsid w:val="2BDC54EB"/>
    <w:rsid w:val="2BF93228"/>
    <w:rsid w:val="2BFC41C0"/>
    <w:rsid w:val="2BFF6824"/>
    <w:rsid w:val="2C002162"/>
    <w:rsid w:val="2C0E1ED5"/>
    <w:rsid w:val="2C37329E"/>
    <w:rsid w:val="2C3A254F"/>
    <w:rsid w:val="2C4D331F"/>
    <w:rsid w:val="2C710E04"/>
    <w:rsid w:val="2C7E0919"/>
    <w:rsid w:val="2C8F010A"/>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4E5182"/>
    <w:rsid w:val="2D6B7AAF"/>
    <w:rsid w:val="2D71509A"/>
    <w:rsid w:val="2D734381"/>
    <w:rsid w:val="2D7979A9"/>
    <w:rsid w:val="2D90359F"/>
    <w:rsid w:val="2D962D8D"/>
    <w:rsid w:val="2DA210D2"/>
    <w:rsid w:val="2DA65AC5"/>
    <w:rsid w:val="2DAD5937"/>
    <w:rsid w:val="2DCD664C"/>
    <w:rsid w:val="2DD11D00"/>
    <w:rsid w:val="2DDA12DB"/>
    <w:rsid w:val="2DDC0D17"/>
    <w:rsid w:val="2DDD3AA0"/>
    <w:rsid w:val="2DE0049D"/>
    <w:rsid w:val="2DE07B9D"/>
    <w:rsid w:val="2DE87C4A"/>
    <w:rsid w:val="2DE90351"/>
    <w:rsid w:val="2DFD7CA4"/>
    <w:rsid w:val="2DFE4473"/>
    <w:rsid w:val="2E0C18B0"/>
    <w:rsid w:val="2E0C73C5"/>
    <w:rsid w:val="2E0D3FF0"/>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45EB9"/>
    <w:rsid w:val="2EE72AF7"/>
    <w:rsid w:val="2EE87514"/>
    <w:rsid w:val="2EF36922"/>
    <w:rsid w:val="2EF62E8D"/>
    <w:rsid w:val="2EFF15EE"/>
    <w:rsid w:val="2F000DF7"/>
    <w:rsid w:val="2F10450B"/>
    <w:rsid w:val="2F130058"/>
    <w:rsid w:val="2F1468C2"/>
    <w:rsid w:val="2F277E48"/>
    <w:rsid w:val="2F5F5B1B"/>
    <w:rsid w:val="2F6971AB"/>
    <w:rsid w:val="2F6C5CA5"/>
    <w:rsid w:val="2F6C7A55"/>
    <w:rsid w:val="2F6D3FB3"/>
    <w:rsid w:val="2F957CAF"/>
    <w:rsid w:val="2F9D34D5"/>
    <w:rsid w:val="2FC836E2"/>
    <w:rsid w:val="2FCF2A28"/>
    <w:rsid w:val="2FD97E44"/>
    <w:rsid w:val="2FE23FCB"/>
    <w:rsid w:val="2FE5465A"/>
    <w:rsid w:val="2FEA3641"/>
    <w:rsid w:val="2FF454EA"/>
    <w:rsid w:val="2FFB9F57"/>
    <w:rsid w:val="300264A9"/>
    <w:rsid w:val="30042D9F"/>
    <w:rsid w:val="300F506A"/>
    <w:rsid w:val="30194492"/>
    <w:rsid w:val="302152AE"/>
    <w:rsid w:val="30235E16"/>
    <w:rsid w:val="30387810"/>
    <w:rsid w:val="303956AD"/>
    <w:rsid w:val="30424923"/>
    <w:rsid w:val="30442EDE"/>
    <w:rsid w:val="30527FC5"/>
    <w:rsid w:val="3053398E"/>
    <w:rsid w:val="305B2034"/>
    <w:rsid w:val="30652C14"/>
    <w:rsid w:val="306D31AB"/>
    <w:rsid w:val="307427C9"/>
    <w:rsid w:val="309950F4"/>
    <w:rsid w:val="30AE7BC9"/>
    <w:rsid w:val="30B14C74"/>
    <w:rsid w:val="30B73992"/>
    <w:rsid w:val="30B94808"/>
    <w:rsid w:val="30BD6ACE"/>
    <w:rsid w:val="30BF415F"/>
    <w:rsid w:val="30C72B81"/>
    <w:rsid w:val="30C82D31"/>
    <w:rsid w:val="30CB5389"/>
    <w:rsid w:val="30E62F57"/>
    <w:rsid w:val="30ED06E7"/>
    <w:rsid w:val="3106371A"/>
    <w:rsid w:val="310900FE"/>
    <w:rsid w:val="310D28FD"/>
    <w:rsid w:val="310F3B05"/>
    <w:rsid w:val="31101099"/>
    <w:rsid w:val="31132938"/>
    <w:rsid w:val="312622CD"/>
    <w:rsid w:val="31282B8E"/>
    <w:rsid w:val="312C75A1"/>
    <w:rsid w:val="313A3CC4"/>
    <w:rsid w:val="313A706C"/>
    <w:rsid w:val="31411253"/>
    <w:rsid w:val="3156310C"/>
    <w:rsid w:val="315A1862"/>
    <w:rsid w:val="316049FB"/>
    <w:rsid w:val="31680A34"/>
    <w:rsid w:val="3172154C"/>
    <w:rsid w:val="317A2589"/>
    <w:rsid w:val="3188610E"/>
    <w:rsid w:val="318A4E74"/>
    <w:rsid w:val="318D5CFE"/>
    <w:rsid w:val="319627F6"/>
    <w:rsid w:val="319F3C19"/>
    <w:rsid w:val="31C132B8"/>
    <w:rsid w:val="31C632CA"/>
    <w:rsid w:val="31D16BBF"/>
    <w:rsid w:val="31F65A58"/>
    <w:rsid w:val="320B1A06"/>
    <w:rsid w:val="3210733A"/>
    <w:rsid w:val="32263C46"/>
    <w:rsid w:val="32267886"/>
    <w:rsid w:val="322B2A37"/>
    <w:rsid w:val="322B6746"/>
    <w:rsid w:val="3237213F"/>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D3412D"/>
    <w:rsid w:val="32E7022E"/>
    <w:rsid w:val="330271CA"/>
    <w:rsid w:val="330E5872"/>
    <w:rsid w:val="330E7FD6"/>
    <w:rsid w:val="33161561"/>
    <w:rsid w:val="331E7F08"/>
    <w:rsid w:val="331F6A4D"/>
    <w:rsid w:val="334603F1"/>
    <w:rsid w:val="3353338A"/>
    <w:rsid w:val="33701A05"/>
    <w:rsid w:val="33702795"/>
    <w:rsid w:val="337C00DB"/>
    <w:rsid w:val="33C62D00"/>
    <w:rsid w:val="33CE4A55"/>
    <w:rsid w:val="33DE50CB"/>
    <w:rsid w:val="33E123CD"/>
    <w:rsid w:val="33E23E40"/>
    <w:rsid w:val="33EC1514"/>
    <w:rsid w:val="33F71155"/>
    <w:rsid w:val="33FF0C21"/>
    <w:rsid w:val="34104BC5"/>
    <w:rsid w:val="341A06B8"/>
    <w:rsid w:val="342C7F98"/>
    <w:rsid w:val="342D0BB1"/>
    <w:rsid w:val="34416C0A"/>
    <w:rsid w:val="34460B76"/>
    <w:rsid w:val="344D5388"/>
    <w:rsid w:val="346E46B7"/>
    <w:rsid w:val="3471177D"/>
    <w:rsid w:val="34726277"/>
    <w:rsid w:val="347B23B3"/>
    <w:rsid w:val="34821BE3"/>
    <w:rsid w:val="34832720"/>
    <w:rsid w:val="34871985"/>
    <w:rsid w:val="34915EA2"/>
    <w:rsid w:val="34940253"/>
    <w:rsid w:val="34983684"/>
    <w:rsid w:val="34A57D6A"/>
    <w:rsid w:val="34A913BC"/>
    <w:rsid w:val="34BC2226"/>
    <w:rsid w:val="34C03AF1"/>
    <w:rsid w:val="34D5003A"/>
    <w:rsid w:val="34E87B0F"/>
    <w:rsid w:val="34F26658"/>
    <w:rsid w:val="34FA62E8"/>
    <w:rsid w:val="34FB7282"/>
    <w:rsid w:val="34FC4642"/>
    <w:rsid w:val="35194603"/>
    <w:rsid w:val="351B0D3E"/>
    <w:rsid w:val="3520042F"/>
    <w:rsid w:val="3521031A"/>
    <w:rsid w:val="35210A8D"/>
    <w:rsid w:val="35216B3A"/>
    <w:rsid w:val="35354DFA"/>
    <w:rsid w:val="35393D99"/>
    <w:rsid w:val="35485A54"/>
    <w:rsid w:val="354E3B51"/>
    <w:rsid w:val="35522C36"/>
    <w:rsid w:val="355B4C65"/>
    <w:rsid w:val="356C52F9"/>
    <w:rsid w:val="35852EE6"/>
    <w:rsid w:val="35936C62"/>
    <w:rsid w:val="35945057"/>
    <w:rsid w:val="359B56A3"/>
    <w:rsid w:val="35A270E4"/>
    <w:rsid w:val="35C8653B"/>
    <w:rsid w:val="35D30C65"/>
    <w:rsid w:val="35D61456"/>
    <w:rsid w:val="35D65B34"/>
    <w:rsid w:val="35DA5022"/>
    <w:rsid w:val="35DF52F8"/>
    <w:rsid w:val="35E644CB"/>
    <w:rsid w:val="35E81A7F"/>
    <w:rsid w:val="35F24C09"/>
    <w:rsid w:val="35F3004D"/>
    <w:rsid w:val="360139B8"/>
    <w:rsid w:val="360311CD"/>
    <w:rsid w:val="36070CBD"/>
    <w:rsid w:val="36127207"/>
    <w:rsid w:val="36256DC5"/>
    <w:rsid w:val="36290C2F"/>
    <w:rsid w:val="36301CAE"/>
    <w:rsid w:val="3637718E"/>
    <w:rsid w:val="36384921"/>
    <w:rsid w:val="36435665"/>
    <w:rsid w:val="366B14B6"/>
    <w:rsid w:val="368045CB"/>
    <w:rsid w:val="36900EB9"/>
    <w:rsid w:val="36A24CBE"/>
    <w:rsid w:val="36A85C45"/>
    <w:rsid w:val="36AF6AB1"/>
    <w:rsid w:val="36B36BA8"/>
    <w:rsid w:val="36BC7D30"/>
    <w:rsid w:val="36C515C6"/>
    <w:rsid w:val="36C7685E"/>
    <w:rsid w:val="36C8518D"/>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A41EA"/>
    <w:rsid w:val="37465029"/>
    <w:rsid w:val="37543839"/>
    <w:rsid w:val="37585C03"/>
    <w:rsid w:val="376B44C4"/>
    <w:rsid w:val="376D0E2E"/>
    <w:rsid w:val="37802D3A"/>
    <w:rsid w:val="37850091"/>
    <w:rsid w:val="379116A8"/>
    <w:rsid w:val="379E11AD"/>
    <w:rsid w:val="37A60983"/>
    <w:rsid w:val="37A93BCE"/>
    <w:rsid w:val="37B71B23"/>
    <w:rsid w:val="37BB194B"/>
    <w:rsid w:val="37BF843D"/>
    <w:rsid w:val="37CF5451"/>
    <w:rsid w:val="37DA2CF5"/>
    <w:rsid w:val="37DF0D06"/>
    <w:rsid w:val="37E64902"/>
    <w:rsid w:val="37EF25FC"/>
    <w:rsid w:val="37F7120E"/>
    <w:rsid w:val="37FE5FF1"/>
    <w:rsid w:val="38035DBC"/>
    <w:rsid w:val="38082ACA"/>
    <w:rsid w:val="380D2520"/>
    <w:rsid w:val="380F56A1"/>
    <w:rsid w:val="38134DDD"/>
    <w:rsid w:val="381B6DB3"/>
    <w:rsid w:val="38305B7D"/>
    <w:rsid w:val="383B13D4"/>
    <w:rsid w:val="384A501C"/>
    <w:rsid w:val="38546D78"/>
    <w:rsid w:val="385566B6"/>
    <w:rsid w:val="386144A9"/>
    <w:rsid w:val="38785F5F"/>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D3525"/>
    <w:rsid w:val="399D5052"/>
    <w:rsid w:val="39AD78D2"/>
    <w:rsid w:val="39AE5A5B"/>
    <w:rsid w:val="39B72078"/>
    <w:rsid w:val="39B96310"/>
    <w:rsid w:val="39BB0FB8"/>
    <w:rsid w:val="39C830C2"/>
    <w:rsid w:val="39EC7D3C"/>
    <w:rsid w:val="39ED1A22"/>
    <w:rsid w:val="3A10410D"/>
    <w:rsid w:val="3A2053A6"/>
    <w:rsid w:val="3A26050E"/>
    <w:rsid w:val="3A271F33"/>
    <w:rsid w:val="3A446E54"/>
    <w:rsid w:val="3A5244D1"/>
    <w:rsid w:val="3A602052"/>
    <w:rsid w:val="3A6B361F"/>
    <w:rsid w:val="3A714511"/>
    <w:rsid w:val="3A7FA0D8"/>
    <w:rsid w:val="3A894E1A"/>
    <w:rsid w:val="3A985B80"/>
    <w:rsid w:val="3AA51A0D"/>
    <w:rsid w:val="3ABD00AF"/>
    <w:rsid w:val="3AC76E36"/>
    <w:rsid w:val="3ACB56B9"/>
    <w:rsid w:val="3AD8035A"/>
    <w:rsid w:val="3ADF037E"/>
    <w:rsid w:val="3AE22C48"/>
    <w:rsid w:val="3AEF41B2"/>
    <w:rsid w:val="3AF07D51"/>
    <w:rsid w:val="3AFD60FD"/>
    <w:rsid w:val="3B040FE4"/>
    <w:rsid w:val="3B0D0484"/>
    <w:rsid w:val="3B1744D9"/>
    <w:rsid w:val="3B2B14C0"/>
    <w:rsid w:val="3B3D0765"/>
    <w:rsid w:val="3B510961"/>
    <w:rsid w:val="3B641997"/>
    <w:rsid w:val="3B6762C9"/>
    <w:rsid w:val="3B723AD4"/>
    <w:rsid w:val="3B7B4897"/>
    <w:rsid w:val="3B7B4EF3"/>
    <w:rsid w:val="3B802375"/>
    <w:rsid w:val="3B8D4FDE"/>
    <w:rsid w:val="3B90605D"/>
    <w:rsid w:val="3BA53444"/>
    <w:rsid w:val="3BA81601"/>
    <w:rsid w:val="3BAC507F"/>
    <w:rsid w:val="3BB13E90"/>
    <w:rsid w:val="3BC05C20"/>
    <w:rsid w:val="3BC242CB"/>
    <w:rsid w:val="3BC255BB"/>
    <w:rsid w:val="3BCA6B4D"/>
    <w:rsid w:val="3BE922D2"/>
    <w:rsid w:val="3BEA2018"/>
    <w:rsid w:val="3C1740B1"/>
    <w:rsid w:val="3C1C68FB"/>
    <w:rsid w:val="3C266052"/>
    <w:rsid w:val="3C28373B"/>
    <w:rsid w:val="3C322630"/>
    <w:rsid w:val="3C390C19"/>
    <w:rsid w:val="3C3B092C"/>
    <w:rsid w:val="3C544530"/>
    <w:rsid w:val="3C5D3905"/>
    <w:rsid w:val="3C5E7B6B"/>
    <w:rsid w:val="3C720A34"/>
    <w:rsid w:val="3C731522"/>
    <w:rsid w:val="3C7438DB"/>
    <w:rsid w:val="3C7B26C4"/>
    <w:rsid w:val="3C8D6778"/>
    <w:rsid w:val="3C935899"/>
    <w:rsid w:val="3C9E74DC"/>
    <w:rsid w:val="3CA40291"/>
    <w:rsid w:val="3CAE3FCB"/>
    <w:rsid w:val="3CB35C1A"/>
    <w:rsid w:val="3CB46D18"/>
    <w:rsid w:val="3CCA127C"/>
    <w:rsid w:val="3D066D21"/>
    <w:rsid w:val="3D0E1D7A"/>
    <w:rsid w:val="3D146378"/>
    <w:rsid w:val="3D155535"/>
    <w:rsid w:val="3D1A551E"/>
    <w:rsid w:val="3D1D0DC6"/>
    <w:rsid w:val="3D2364DC"/>
    <w:rsid w:val="3D3313E5"/>
    <w:rsid w:val="3D3B13BE"/>
    <w:rsid w:val="3D414A19"/>
    <w:rsid w:val="3D4566E6"/>
    <w:rsid w:val="3D617252"/>
    <w:rsid w:val="3D636911"/>
    <w:rsid w:val="3D690E22"/>
    <w:rsid w:val="3D8865AD"/>
    <w:rsid w:val="3D9D0729"/>
    <w:rsid w:val="3DA9101D"/>
    <w:rsid w:val="3DA917B8"/>
    <w:rsid w:val="3DAC39CF"/>
    <w:rsid w:val="3DAE434A"/>
    <w:rsid w:val="3DB377D0"/>
    <w:rsid w:val="3DC44B1D"/>
    <w:rsid w:val="3DCB1B13"/>
    <w:rsid w:val="3DCD4D10"/>
    <w:rsid w:val="3DD223B2"/>
    <w:rsid w:val="3DEA0E7D"/>
    <w:rsid w:val="3DEA4188"/>
    <w:rsid w:val="3DFD3C46"/>
    <w:rsid w:val="3E047890"/>
    <w:rsid w:val="3E0D2BA2"/>
    <w:rsid w:val="3E234D34"/>
    <w:rsid w:val="3E28157C"/>
    <w:rsid w:val="3E313576"/>
    <w:rsid w:val="3E36697B"/>
    <w:rsid w:val="3E493FE3"/>
    <w:rsid w:val="3E4B6981"/>
    <w:rsid w:val="3E672EB4"/>
    <w:rsid w:val="3E695273"/>
    <w:rsid w:val="3E6D11EF"/>
    <w:rsid w:val="3E89310E"/>
    <w:rsid w:val="3E8D5C11"/>
    <w:rsid w:val="3EA22D08"/>
    <w:rsid w:val="3EA610B6"/>
    <w:rsid w:val="3EA6508A"/>
    <w:rsid w:val="3EB04CAF"/>
    <w:rsid w:val="3EB70181"/>
    <w:rsid w:val="3EBB151E"/>
    <w:rsid w:val="3EBC352D"/>
    <w:rsid w:val="3EBD7904"/>
    <w:rsid w:val="3EBE084F"/>
    <w:rsid w:val="3EC076B5"/>
    <w:rsid w:val="3EC32B74"/>
    <w:rsid w:val="3ED715C1"/>
    <w:rsid w:val="3ED71712"/>
    <w:rsid w:val="3ED92825"/>
    <w:rsid w:val="3EDB7087"/>
    <w:rsid w:val="3EF7CD5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A3294"/>
    <w:rsid w:val="3FA834DC"/>
    <w:rsid w:val="3FAE7BFF"/>
    <w:rsid w:val="3FAEC77E"/>
    <w:rsid w:val="3FB079D9"/>
    <w:rsid w:val="3FB44390"/>
    <w:rsid w:val="3FBE48F8"/>
    <w:rsid w:val="3FD010CB"/>
    <w:rsid w:val="3FD049EC"/>
    <w:rsid w:val="3FDA1D33"/>
    <w:rsid w:val="3FE261F2"/>
    <w:rsid w:val="3FE815EE"/>
    <w:rsid w:val="3FEA6BFC"/>
    <w:rsid w:val="3FF76861"/>
    <w:rsid w:val="40023C70"/>
    <w:rsid w:val="40086A92"/>
    <w:rsid w:val="402158C5"/>
    <w:rsid w:val="402F7539"/>
    <w:rsid w:val="404264F9"/>
    <w:rsid w:val="405F542D"/>
    <w:rsid w:val="406518C8"/>
    <w:rsid w:val="40736AAC"/>
    <w:rsid w:val="40774C91"/>
    <w:rsid w:val="407D2FDC"/>
    <w:rsid w:val="40872663"/>
    <w:rsid w:val="408847A8"/>
    <w:rsid w:val="40A36975"/>
    <w:rsid w:val="40A92D7E"/>
    <w:rsid w:val="40DC05C4"/>
    <w:rsid w:val="40EC294D"/>
    <w:rsid w:val="41112814"/>
    <w:rsid w:val="41220DC3"/>
    <w:rsid w:val="41336AA7"/>
    <w:rsid w:val="413A078C"/>
    <w:rsid w:val="413C022C"/>
    <w:rsid w:val="414508EB"/>
    <w:rsid w:val="41465A7C"/>
    <w:rsid w:val="414A27E7"/>
    <w:rsid w:val="41567FFC"/>
    <w:rsid w:val="415A2C36"/>
    <w:rsid w:val="416C6812"/>
    <w:rsid w:val="417A2E1B"/>
    <w:rsid w:val="419A3818"/>
    <w:rsid w:val="419C55D6"/>
    <w:rsid w:val="419F3437"/>
    <w:rsid w:val="41CC0CFB"/>
    <w:rsid w:val="41CE1449"/>
    <w:rsid w:val="41DC7A85"/>
    <w:rsid w:val="41DE664A"/>
    <w:rsid w:val="41E31636"/>
    <w:rsid w:val="41E6684E"/>
    <w:rsid w:val="41EB00BA"/>
    <w:rsid w:val="42007BC3"/>
    <w:rsid w:val="420C1A57"/>
    <w:rsid w:val="42187677"/>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582D"/>
    <w:rsid w:val="446272E5"/>
    <w:rsid w:val="446374FE"/>
    <w:rsid w:val="44643E47"/>
    <w:rsid w:val="44750B28"/>
    <w:rsid w:val="44836571"/>
    <w:rsid w:val="44897E3F"/>
    <w:rsid w:val="448C6DF0"/>
    <w:rsid w:val="449A179A"/>
    <w:rsid w:val="449A71A0"/>
    <w:rsid w:val="44A92E36"/>
    <w:rsid w:val="44C25CAA"/>
    <w:rsid w:val="44C9538F"/>
    <w:rsid w:val="44D85483"/>
    <w:rsid w:val="44DF52E6"/>
    <w:rsid w:val="44F17CAA"/>
    <w:rsid w:val="44FE4D41"/>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378EF"/>
    <w:rsid w:val="45C412DE"/>
    <w:rsid w:val="45C42B72"/>
    <w:rsid w:val="45C65B0E"/>
    <w:rsid w:val="45C70A4F"/>
    <w:rsid w:val="45D16D59"/>
    <w:rsid w:val="45E10B02"/>
    <w:rsid w:val="45E56CA3"/>
    <w:rsid w:val="45EB06EF"/>
    <w:rsid w:val="45F17488"/>
    <w:rsid w:val="45FD6F20"/>
    <w:rsid w:val="460F492E"/>
    <w:rsid w:val="46186197"/>
    <w:rsid w:val="461934A2"/>
    <w:rsid w:val="461A4C1A"/>
    <w:rsid w:val="46332BF8"/>
    <w:rsid w:val="46362EF9"/>
    <w:rsid w:val="463E476D"/>
    <w:rsid w:val="46445707"/>
    <w:rsid w:val="464610B0"/>
    <w:rsid w:val="465638A4"/>
    <w:rsid w:val="4662784A"/>
    <w:rsid w:val="4675215E"/>
    <w:rsid w:val="467B0514"/>
    <w:rsid w:val="467B30A8"/>
    <w:rsid w:val="467B4EE0"/>
    <w:rsid w:val="4691113B"/>
    <w:rsid w:val="469C3D47"/>
    <w:rsid w:val="46A85E78"/>
    <w:rsid w:val="46B04AE1"/>
    <w:rsid w:val="46B21EA4"/>
    <w:rsid w:val="46B40B6B"/>
    <w:rsid w:val="46BA47C2"/>
    <w:rsid w:val="46BB765E"/>
    <w:rsid w:val="46D64DD7"/>
    <w:rsid w:val="46D7495C"/>
    <w:rsid w:val="46DA02D9"/>
    <w:rsid w:val="46F427C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B7614"/>
    <w:rsid w:val="479F6D48"/>
    <w:rsid w:val="47A74A6E"/>
    <w:rsid w:val="47B2140D"/>
    <w:rsid w:val="47B279FC"/>
    <w:rsid w:val="47B70B10"/>
    <w:rsid w:val="47C76806"/>
    <w:rsid w:val="47E328E4"/>
    <w:rsid w:val="47F241AB"/>
    <w:rsid w:val="47F44E19"/>
    <w:rsid w:val="47FF773A"/>
    <w:rsid w:val="47FFF4BB"/>
    <w:rsid w:val="48025E63"/>
    <w:rsid w:val="48096E61"/>
    <w:rsid w:val="48164085"/>
    <w:rsid w:val="48282106"/>
    <w:rsid w:val="484323CF"/>
    <w:rsid w:val="484564C5"/>
    <w:rsid w:val="4854681C"/>
    <w:rsid w:val="485D351D"/>
    <w:rsid w:val="485E64DF"/>
    <w:rsid w:val="48797688"/>
    <w:rsid w:val="487F180D"/>
    <w:rsid w:val="488327FF"/>
    <w:rsid w:val="48874608"/>
    <w:rsid w:val="489E2F22"/>
    <w:rsid w:val="48A279E5"/>
    <w:rsid w:val="48AE07FB"/>
    <w:rsid w:val="48CA5BDD"/>
    <w:rsid w:val="48D70F23"/>
    <w:rsid w:val="48D7347B"/>
    <w:rsid w:val="48D91E9A"/>
    <w:rsid w:val="48E1229C"/>
    <w:rsid w:val="48FD3F53"/>
    <w:rsid w:val="48FE483B"/>
    <w:rsid w:val="490A31EA"/>
    <w:rsid w:val="49204394"/>
    <w:rsid w:val="49273E0A"/>
    <w:rsid w:val="492809FC"/>
    <w:rsid w:val="49295B00"/>
    <w:rsid w:val="493605C1"/>
    <w:rsid w:val="49371193"/>
    <w:rsid w:val="49383978"/>
    <w:rsid w:val="49422109"/>
    <w:rsid w:val="4944592C"/>
    <w:rsid w:val="494758DD"/>
    <w:rsid w:val="494F77BB"/>
    <w:rsid w:val="495163FD"/>
    <w:rsid w:val="498F6B83"/>
    <w:rsid w:val="4990050C"/>
    <w:rsid w:val="49905F6E"/>
    <w:rsid w:val="49926105"/>
    <w:rsid w:val="49984919"/>
    <w:rsid w:val="499968D8"/>
    <w:rsid w:val="49A202BD"/>
    <w:rsid w:val="49B7467B"/>
    <w:rsid w:val="49BB4DFF"/>
    <w:rsid w:val="49BC6CDE"/>
    <w:rsid w:val="49DA6140"/>
    <w:rsid w:val="49ED5CD0"/>
    <w:rsid w:val="49F6782D"/>
    <w:rsid w:val="4A006538"/>
    <w:rsid w:val="4A060E41"/>
    <w:rsid w:val="4A13062D"/>
    <w:rsid w:val="4A247656"/>
    <w:rsid w:val="4A27484B"/>
    <w:rsid w:val="4A295BD9"/>
    <w:rsid w:val="4A2E3588"/>
    <w:rsid w:val="4A35554B"/>
    <w:rsid w:val="4A4A7727"/>
    <w:rsid w:val="4A4D4AF3"/>
    <w:rsid w:val="4A551DC2"/>
    <w:rsid w:val="4A5C4BFA"/>
    <w:rsid w:val="4A637FA2"/>
    <w:rsid w:val="4A683F6B"/>
    <w:rsid w:val="4A7578C9"/>
    <w:rsid w:val="4A7D7891"/>
    <w:rsid w:val="4A7E4254"/>
    <w:rsid w:val="4A922B5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117368"/>
    <w:rsid w:val="4B257BC2"/>
    <w:rsid w:val="4B3B31C8"/>
    <w:rsid w:val="4B3D4D2C"/>
    <w:rsid w:val="4B432B93"/>
    <w:rsid w:val="4B4817B5"/>
    <w:rsid w:val="4B660844"/>
    <w:rsid w:val="4B6B3337"/>
    <w:rsid w:val="4B7C3D8C"/>
    <w:rsid w:val="4B975535"/>
    <w:rsid w:val="4BA44B18"/>
    <w:rsid w:val="4BB12A34"/>
    <w:rsid w:val="4BB15C21"/>
    <w:rsid w:val="4BCD4D56"/>
    <w:rsid w:val="4BCD5AFB"/>
    <w:rsid w:val="4BDB6776"/>
    <w:rsid w:val="4BDD6A09"/>
    <w:rsid w:val="4BE06EB7"/>
    <w:rsid w:val="4BE33950"/>
    <w:rsid w:val="4BEB7DF9"/>
    <w:rsid w:val="4BF13E9C"/>
    <w:rsid w:val="4BF63E77"/>
    <w:rsid w:val="4C171611"/>
    <w:rsid w:val="4C3103F7"/>
    <w:rsid w:val="4C3C127F"/>
    <w:rsid w:val="4C427B95"/>
    <w:rsid w:val="4C4669D2"/>
    <w:rsid w:val="4C871830"/>
    <w:rsid w:val="4C8B0174"/>
    <w:rsid w:val="4C9926CC"/>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37130"/>
    <w:rsid w:val="4D1A1400"/>
    <w:rsid w:val="4D1E4578"/>
    <w:rsid w:val="4D335236"/>
    <w:rsid w:val="4D447064"/>
    <w:rsid w:val="4D4F3090"/>
    <w:rsid w:val="4D6B1C74"/>
    <w:rsid w:val="4D722A68"/>
    <w:rsid w:val="4D7C0D00"/>
    <w:rsid w:val="4D87352F"/>
    <w:rsid w:val="4D931243"/>
    <w:rsid w:val="4DB51809"/>
    <w:rsid w:val="4DBC6539"/>
    <w:rsid w:val="4DD475D1"/>
    <w:rsid w:val="4DD776AB"/>
    <w:rsid w:val="4DDB5EB1"/>
    <w:rsid w:val="4DF831B6"/>
    <w:rsid w:val="4E08517B"/>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C39D0"/>
    <w:rsid w:val="4F5E4B10"/>
    <w:rsid w:val="4F701229"/>
    <w:rsid w:val="4F7864E2"/>
    <w:rsid w:val="4F972442"/>
    <w:rsid w:val="4FA25A31"/>
    <w:rsid w:val="4FB91209"/>
    <w:rsid w:val="4FBD1A1F"/>
    <w:rsid w:val="4FBE1DF5"/>
    <w:rsid w:val="4FBF6F62"/>
    <w:rsid w:val="4FC24E8A"/>
    <w:rsid w:val="4FF10B69"/>
    <w:rsid w:val="4FF721D3"/>
    <w:rsid w:val="4FFD57A5"/>
    <w:rsid w:val="500D5DB3"/>
    <w:rsid w:val="5010374D"/>
    <w:rsid w:val="501613EA"/>
    <w:rsid w:val="5033292A"/>
    <w:rsid w:val="503E0ED2"/>
    <w:rsid w:val="505356F4"/>
    <w:rsid w:val="5067527D"/>
    <w:rsid w:val="506816E0"/>
    <w:rsid w:val="50744D60"/>
    <w:rsid w:val="50803083"/>
    <w:rsid w:val="50847F8A"/>
    <w:rsid w:val="50886413"/>
    <w:rsid w:val="508865A2"/>
    <w:rsid w:val="50937803"/>
    <w:rsid w:val="50A34C80"/>
    <w:rsid w:val="50AD68A1"/>
    <w:rsid w:val="50B22361"/>
    <w:rsid w:val="50B65562"/>
    <w:rsid w:val="50C3153F"/>
    <w:rsid w:val="50C833CB"/>
    <w:rsid w:val="50D51337"/>
    <w:rsid w:val="50EC10D6"/>
    <w:rsid w:val="50EE3A87"/>
    <w:rsid w:val="510224A3"/>
    <w:rsid w:val="51096FBC"/>
    <w:rsid w:val="510C0E2E"/>
    <w:rsid w:val="511023D2"/>
    <w:rsid w:val="513833F4"/>
    <w:rsid w:val="513B4C0C"/>
    <w:rsid w:val="51431745"/>
    <w:rsid w:val="5150081D"/>
    <w:rsid w:val="516171A0"/>
    <w:rsid w:val="5162232C"/>
    <w:rsid w:val="51636DAE"/>
    <w:rsid w:val="5167665C"/>
    <w:rsid w:val="51722F47"/>
    <w:rsid w:val="51767FF0"/>
    <w:rsid w:val="51955D74"/>
    <w:rsid w:val="51A551DA"/>
    <w:rsid w:val="51AE6FCB"/>
    <w:rsid w:val="51B63DF6"/>
    <w:rsid w:val="51E23F34"/>
    <w:rsid w:val="51E473ED"/>
    <w:rsid w:val="51ED0FAB"/>
    <w:rsid w:val="51F9411A"/>
    <w:rsid w:val="51FD1A5C"/>
    <w:rsid w:val="52211C80"/>
    <w:rsid w:val="5226155A"/>
    <w:rsid w:val="522639F0"/>
    <w:rsid w:val="522B3864"/>
    <w:rsid w:val="523C2CD5"/>
    <w:rsid w:val="5241072B"/>
    <w:rsid w:val="524C3FFD"/>
    <w:rsid w:val="52523205"/>
    <w:rsid w:val="52634BD2"/>
    <w:rsid w:val="52682C3F"/>
    <w:rsid w:val="52760D63"/>
    <w:rsid w:val="527F6CB5"/>
    <w:rsid w:val="528668E2"/>
    <w:rsid w:val="528D53C6"/>
    <w:rsid w:val="52A36D3A"/>
    <w:rsid w:val="52B61074"/>
    <w:rsid w:val="52C76A06"/>
    <w:rsid w:val="52CC22C8"/>
    <w:rsid w:val="52D37065"/>
    <w:rsid w:val="52F3427A"/>
    <w:rsid w:val="52F5267F"/>
    <w:rsid w:val="52FA0223"/>
    <w:rsid w:val="530144F2"/>
    <w:rsid w:val="53074D0E"/>
    <w:rsid w:val="531C6B04"/>
    <w:rsid w:val="53346DCF"/>
    <w:rsid w:val="53365130"/>
    <w:rsid w:val="533EC6B1"/>
    <w:rsid w:val="535F4C6A"/>
    <w:rsid w:val="53615D77"/>
    <w:rsid w:val="537428F6"/>
    <w:rsid w:val="537A110E"/>
    <w:rsid w:val="538A3FFC"/>
    <w:rsid w:val="539908EE"/>
    <w:rsid w:val="53BA3A2B"/>
    <w:rsid w:val="53BF452D"/>
    <w:rsid w:val="53C3637A"/>
    <w:rsid w:val="53C7425F"/>
    <w:rsid w:val="53F47C07"/>
    <w:rsid w:val="53FA7012"/>
    <w:rsid w:val="54017C77"/>
    <w:rsid w:val="5405643C"/>
    <w:rsid w:val="54154D59"/>
    <w:rsid w:val="54282813"/>
    <w:rsid w:val="544A47D3"/>
    <w:rsid w:val="545753FB"/>
    <w:rsid w:val="545B53C8"/>
    <w:rsid w:val="54730839"/>
    <w:rsid w:val="547D2F9E"/>
    <w:rsid w:val="547D731B"/>
    <w:rsid w:val="54895F6F"/>
    <w:rsid w:val="548F6CA3"/>
    <w:rsid w:val="5496345A"/>
    <w:rsid w:val="54B30C5E"/>
    <w:rsid w:val="54B8031D"/>
    <w:rsid w:val="54BC4F94"/>
    <w:rsid w:val="54BD088F"/>
    <w:rsid w:val="54DB1C81"/>
    <w:rsid w:val="54DD0277"/>
    <w:rsid w:val="54E04D60"/>
    <w:rsid w:val="54E36374"/>
    <w:rsid w:val="54EF288B"/>
    <w:rsid w:val="54F070DE"/>
    <w:rsid w:val="550B5058"/>
    <w:rsid w:val="550E21DD"/>
    <w:rsid w:val="55105FF9"/>
    <w:rsid w:val="5515023E"/>
    <w:rsid w:val="551D5901"/>
    <w:rsid w:val="552176E2"/>
    <w:rsid w:val="5535086A"/>
    <w:rsid w:val="553B15EC"/>
    <w:rsid w:val="554076AF"/>
    <w:rsid w:val="554100C8"/>
    <w:rsid w:val="55647267"/>
    <w:rsid w:val="55692886"/>
    <w:rsid w:val="55781630"/>
    <w:rsid w:val="55787787"/>
    <w:rsid w:val="5588360C"/>
    <w:rsid w:val="558C23AE"/>
    <w:rsid w:val="558C4235"/>
    <w:rsid w:val="55B70915"/>
    <w:rsid w:val="55BF392A"/>
    <w:rsid w:val="55C335FF"/>
    <w:rsid w:val="55D24AB8"/>
    <w:rsid w:val="55D70A42"/>
    <w:rsid w:val="55D903ED"/>
    <w:rsid w:val="55FF46FF"/>
    <w:rsid w:val="56102E1E"/>
    <w:rsid w:val="56124F67"/>
    <w:rsid w:val="56253E24"/>
    <w:rsid w:val="562770B6"/>
    <w:rsid w:val="562F0650"/>
    <w:rsid w:val="56325048"/>
    <w:rsid w:val="564D1EEA"/>
    <w:rsid w:val="564E5475"/>
    <w:rsid w:val="565270C9"/>
    <w:rsid w:val="56556039"/>
    <w:rsid w:val="565D713B"/>
    <w:rsid w:val="566E43CB"/>
    <w:rsid w:val="567134D1"/>
    <w:rsid w:val="567601AC"/>
    <w:rsid w:val="56817115"/>
    <w:rsid w:val="568D1ECF"/>
    <w:rsid w:val="56A032C5"/>
    <w:rsid w:val="56A81C1A"/>
    <w:rsid w:val="56B778AE"/>
    <w:rsid w:val="56C4326C"/>
    <w:rsid w:val="56CB1868"/>
    <w:rsid w:val="56CC25C8"/>
    <w:rsid w:val="56E056D4"/>
    <w:rsid w:val="56EE30C2"/>
    <w:rsid w:val="56F813A0"/>
    <w:rsid w:val="57003F7A"/>
    <w:rsid w:val="5701658C"/>
    <w:rsid w:val="57032046"/>
    <w:rsid w:val="57096108"/>
    <w:rsid w:val="571662CD"/>
    <w:rsid w:val="57455942"/>
    <w:rsid w:val="574B0213"/>
    <w:rsid w:val="574F2990"/>
    <w:rsid w:val="575647A8"/>
    <w:rsid w:val="575D4053"/>
    <w:rsid w:val="57672B61"/>
    <w:rsid w:val="57810778"/>
    <w:rsid w:val="57A83EF8"/>
    <w:rsid w:val="57B45537"/>
    <w:rsid w:val="57CA30B6"/>
    <w:rsid w:val="57D17F4B"/>
    <w:rsid w:val="57F934C0"/>
    <w:rsid w:val="57F93FED"/>
    <w:rsid w:val="58013D55"/>
    <w:rsid w:val="58233E6B"/>
    <w:rsid w:val="583F6838"/>
    <w:rsid w:val="58404354"/>
    <w:rsid w:val="58422934"/>
    <w:rsid w:val="585B5805"/>
    <w:rsid w:val="58634DD0"/>
    <w:rsid w:val="586844B6"/>
    <w:rsid w:val="58786C58"/>
    <w:rsid w:val="58951C97"/>
    <w:rsid w:val="58AF735F"/>
    <w:rsid w:val="58B0410D"/>
    <w:rsid w:val="58B6797B"/>
    <w:rsid w:val="58BB21A4"/>
    <w:rsid w:val="58C62C27"/>
    <w:rsid w:val="58C963C2"/>
    <w:rsid w:val="58CA4549"/>
    <w:rsid w:val="58CC2A45"/>
    <w:rsid w:val="58D222ED"/>
    <w:rsid w:val="58E86451"/>
    <w:rsid w:val="58FC5AEF"/>
    <w:rsid w:val="59035AFA"/>
    <w:rsid w:val="5904247D"/>
    <w:rsid w:val="59147540"/>
    <w:rsid w:val="591E45BB"/>
    <w:rsid w:val="59201ECA"/>
    <w:rsid w:val="592F1BA0"/>
    <w:rsid w:val="593E64CA"/>
    <w:rsid w:val="594556FD"/>
    <w:rsid w:val="59534CCC"/>
    <w:rsid w:val="595A2183"/>
    <w:rsid w:val="596379A9"/>
    <w:rsid w:val="597115A7"/>
    <w:rsid w:val="59772EB0"/>
    <w:rsid w:val="59787FEA"/>
    <w:rsid w:val="597D0736"/>
    <w:rsid w:val="59834524"/>
    <w:rsid w:val="598B6C60"/>
    <w:rsid w:val="5991071A"/>
    <w:rsid w:val="59934B4F"/>
    <w:rsid w:val="599B2EE3"/>
    <w:rsid w:val="59AA1CA3"/>
    <w:rsid w:val="59AC3E0E"/>
    <w:rsid w:val="59B30318"/>
    <w:rsid w:val="59C02604"/>
    <w:rsid w:val="59CF1ADD"/>
    <w:rsid w:val="59D17D75"/>
    <w:rsid w:val="59D471D7"/>
    <w:rsid w:val="59E37B16"/>
    <w:rsid w:val="59E61693"/>
    <w:rsid w:val="5A030835"/>
    <w:rsid w:val="5A1317F0"/>
    <w:rsid w:val="5A2646DB"/>
    <w:rsid w:val="5A2B57AE"/>
    <w:rsid w:val="5A321BEA"/>
    <w:rsid w:val="5A366F84"/>
    <w:rsid w:val="5A3F0176"/>
    <w:rsid w:val="5A442FFB"/>
    <w:rsid w:val="5A6D2DB1"/>
    <w:rsid w:val="5A6E407A"/>
    <w:rsid w:val="5A7E74F9"/>
    <w:rsid w:val="5A8E165E"/>
    <w:rsid w:val="5AA72176"/>
    <w:rsid w:val="5AAE0441"/>
    <w:rsid w:val="5AAE5BEC"/>
    <w:rsid w:val="5AD1351F"/>
    <w:rsid w:val="5AD339D9"/>
    <w:rsid w:val="5AD85B99"/>
    <w:rsid w:val="5AE8322E"/>
    <w:rsid w:val="5AEC73A3"/>
    <w:rsid w:val="5AEF1185"/>
    <w:rsid w:val="5AF11C14"/>
    <w:rsid w:val="5AFA3298"/>
    <w:rsid w:val="5B016D34"/>
    <w:rsid w:val="5B0B39F4"/>
    <w:rsid w:val="5B0D7295"/>
    <w:rsid w:val="5B206399"/>
    <w:rsid w:val="5B224853"/>
    <w:rsid w:val="5B456E93"/>
    <w:rsid w:val="5B4C2ADE"/>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93177"/>
    <w:rsid w:val="5C0D0073"/>
    <w:rsid w:val="5C144FCE"/>
    <w:rsid w:val="5C3E78DA"/>
    <w:rsid w:val="5C5342DE"/>
    <w:rsid w:val="5C5E1DE9"/>
    <w:rsid w:val="5C611C30"/>
    <w:rsid w:val="5C640E34"/>
    <w:rsid w:val="5C654CF3"/>
    <w:rsid w:val="5C692CEC"/>
    <w:rsid w:val="5C6D3417"/>
    <w:rsid w:val="5C8D2EAA"/>
    <w:rsid w:val="5C9256E7"/>
    <w:rsid w:val="5CA531D1"/>
    <w:rsid w:val="5CAD5B70"/>
    <w:rsid w:val="5CB75213"/>
    <w:rsid w:val="5CBA1507"/>
    <w:rsid w:val="5CBC5D91"/>
    <w:rsid w:val="5CC20563"/>
    <w:rsid w:val="5CCA12C8"/>
    <w:rsid w:val="5CD374BB"/>
    <w:rsid w:val="5CF1327E"/>
    <w:rsid w:val="5CFB164F"/>
    <w:rsid w:val="5D160E63"/>
    <w:rsid w:val="5D170048"/>
    <w:rsid w:val="5D17051D"/>
    <w:rsid w:val="5D2E727E"/>
    <w:rsid w:val="5D40035D"/>
    <w:rsid w:val="5D49706D"/>
    <w:rsid w:val="5D5F77DD"/>
    <w:rsid w:val="5D717B18"/>
    <w:rsid w:val="5D840C43"/>
    <w:rsid w:val="5DAA3645"/>
    <w:rsid w:val="5DAE77A4"/>
    <w:rsid w:val="5DAF73C1"/>
    <w:rsid w:val="5DB57EF0"/>
    <w:rsid w:val="5DB6074F"/>
    <w:rsid w:val="5DD45079"/>
    <w:rsid w:val="5DE8676B"/>
    <w:rsid w:val="5DE96D9A"/>
    <w:rsid w:val="5DF47894"/>
    <w:rsid w:val="5E0C65C1"/>
    <w:rsid w:val="5E1044A2"/>
    <w:rsid w:val="5E162F9C"/>
    <w:rsid w:val="5E192361"/>
    <w:rsid w:val="5E1F592C"/>
    <w:rsid w:val="5E2B3F08"/>
    <w:rsid w:val="5E366F27"/>
    <w:rsid w:val="5E386453"/>
    <w:rsid w:val="5E3A712D"/>
    <w:rsid w:val="5E415746"/>
    <w:rsid w:val="5E67210D"/>
    <w:rsid w:val="5E7D126D"/>
    <w:rsid w:val="5E8001BD"/>
    <w:rsid w:val="5E8A7599"/>
    <w:rsid w:val="5E915FF6"/>
    <w:rsid w:val="5E9206AE"/>
    <w:rsid w:val="5EB455C5"/>
    <w:rsid w:val="5EBE29B5"/>
    <w:rsid w:val="5ED351EB"/>
    <w:rsid w:val="5EE335F7"/>
    <w:rsid w:val="5EFC45A8"/>
    <w:rsid w:val="5EFD4006"/>
    <w:rsid w:val="5EFF0ED2"/>
    <w:rsid w:val="5F126D05"/>
    <w:rsid w:val="5F204F1D"/>
    <w:rsid w:val="5F2B1DCB"/>
    <w:rsid w:val="5F401BE4"/>
    <w:rsid w:val="5F4A1EBB"/>
    <w:rsid w:val="5F4B5E88"/>
    <w:rsid w:val="5F533C7C"/>
    <w:rsid w:val="5F595662"/>
    <w:rsid w:val="5F597B7C"/>
    <w:rsid w:val="5F5B7782"/>
    <w:rsid w:val="5F5E1936"/>
    <w:rsid w:val="5F675B22"/>
    <w:rsid w:val="5F6C4C79"/>
    <w:rsid w:val="5F732EBB"/>
    <w:rsid w:val="5F7D448F"/>
    <w:rsid w:val="5F8250FF"/>
    <w:rsid w:val="5F906917"/>
    <w:rsid w:val="5F912ACF"/>
    <w:rsid w:val="5F9173F4"/>
    <w:rsid w:val="5F954394"/>
    <w:rsid w:val="5FA20BE3"/>
    <w:rsid w:val="5FBE282E"/>
    <w:rsid w:val="5FD15BC7"/>
    <w:rsid w:val="5FD367A6"/>
    <w:rsid w:val="5FD73AA6"/>
    <w:rsid w:val="5FD85EAF"/>
    <w:rsid w:val="5FF41C37"/>
    <w:rsid w:val="60104EE3"/>
    <w:rsid w:val="602533C0"/>
    <w:rsid w:val="6027337A"/>
    <w:rsid w:val="6028470C"/>
    <w:rsid w:val="604C1BAD"/>
    <w:rsid w:val="605B4538"/>
    <w:rsid w:val="60765321"/>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638A2"/>
    <w:rsid w:val="616E30DB"/>
    <w:rsid w:val="6180258F"/>
    <w:rsid w:val="61862C2F"/>
    <w:rsid w:val="618C70A4"/>
    <w:rsid w:val="61A23F59"/>
    <w:rsid w:val="61B90BF2"/>
    <w:rsid w:val="61BC1E65"/>
    <w:rsid w:val="61E8288B"/>
    <w:rsid w:val="61F93300"/>
    <w:rsid w:val="62033646"/>
    <w:rsid w:val="6203710A"/>
    <w:rsid w:val="621F3FC7"/>
    <w:rsid w:val="62320ECD"/>
    <w:rsid w:val="62321792"/>
    <w:rsid w:val="623873CB"/>
    <w:rsid w:val="62420D5E"/>
    <w:rsid w:val="624256F1"/>
    <w:rsid w:val="62461BBC"/>
    <w:rsid w:val="62480825"/>
    <w:rsid w:val="624C43CB"/>
    <w:rsid w:val="62540C44"/>
    <w:rsid w:val="625A4E9B"/>
    <w:rsid w:val="62635350"/>
    <w:rsid w:val="626A7DDF"/>
    <w:rsid w:val="62871B8B"/>
    <w:rsid w:val="628B5453"/>
    <w:rsid w:val="62983D63"/>
    <w:rsid w:val="62AB4430"/>
    <w:rsid w:val="62C671FE"/>
    <w:rsid w:val="62CC09DC"/>
    <w:rsid w:val="62CD11E8"/>
    <w:rsid w:val="62DF39AC"/>
    <w:rsid w:val="62F7131A"/>
    <w:rsid w:val="63111189"/>
    <w:rsid w:val="63252E32"/>
    <w:rsid w:val="63277B43"/>
    <w:rsid w:val="6337309B"/>
    <w:rsid w:val="633A09A7"/>
    <w:rsid w:val="633C776F"/>
    <w:rsid w:val="63471651"/>
    <w:rsid w:val="636176F3"/>
    <w:rsid w:val="636F572B"/>
    <w:rsid w:val="6374316D"/>
    <w:rsid w:val="63877230"/>
    <w:rsid w:val="638C249A"/>
    <w:rsid w:val="63A8579E"/>
    <w:rsid w:val="63AF2E7A"/>
    <w:rsid w:val="63B1353D"/>
    <w:rsid w:val="63B425DD"/>
    <w:rsid w:val="63B558BF"/>
    <w:rsid w:val="63BE7084"/>
    <w:rsid w:val="63CD3460"/>
    <w:rsid w:val="63DF1582"/>
    <w:rsid w:val="63E646FF"/>
    <w:rsid w:val="63EF3DEF"/>
    <w:rsid w:val="63FE569C"/>
    <w:rsid w:val="640D0B45"/>
    <w:rsid w:val="6412191B"/>
    <w:rsid w:val="641240B1"/>
    <w:rsid w:val="64161F52"/>
    <w:rsid w:val="64171D73"/>
    <w:rsid w:val="642B3479"/>
    <w:rsid w:val="642F70DC"/>
    <w:rsid w:val="64425440"/>
    <w:rsid w:val="644E2285"/>
    <w:rsid w:val="647F7413"/>
    <w:rsid w:val="648D414A"/>
    <w:rsid w:val="64A14C54"/>
    <w:rsid w:val="64A357A5"/>
    <w:rsid w:val="64A55457"/>
    <w:rsid w:val="64AF0893"/>
    <w:rsid w:val="64B0068F"/>
    <w:rsid w:val="64B0634B"/>
    <w:rsid w:val="64B7DBF3"/>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5D27A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36687"/>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4D3C1B"/>
    <w:rsid w:val="66517729"/>
    <w:rsid w:val="666F5074"/>
    <w:rsid w:val="667558EB"/>
    <w:rsid w:val="66866840"/>
    <w:rsid w:val="66950E06"/>
    <w:rsid w:val="66A12504"/>
    <w:rsid w:val="66A46015"/>
    <w:rsid w:val="66BB34F8"/>
    <w:rsid w:val="66CF4C55"/>
    <w:rsid w:val="66D11DEE"/>
    <w:rsid w:val="66D63CEA"/>
    <w:rsid w:val="66DD70A5"/>
    <w:rsid w:val="66E40448"/>
    <w:rsid w:val="6703542F"/>
    <w:rsid w:val="670871A8"/>
    <w:rsid w:val="672D3127"/>
    <w:rsid w:val="67420658"/>
    <w:rsid w:val="67451124"/>
    <w:rsid w:val="674533A1"/>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C20C79"/>
    <w:rsid w:val="67C57F48"/>
    <w:rsid w:val="67D60266"/>
    <w:rsid w:val="67DE4EEE"/>
    <w:rsid w:val="67E46554"/>
    <w:rsid w:val="67ED5955"/>
    <w:rsid w:val="68022E63"/>
    <w:rsid w:val="68052F36"/>
    <w:rsid w:val="6808141A"/>
    <w:rsid w:val="681A272F"/>
    <w:rsid w:val="68366331"/>
    <w:rsid w:val="68400AB2"/>
    <w:rsid w:val="6841737C"/>
    <w:rsid w:val="68455B1A"/>
    <w:rsid w:val="684D63BA"/>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85E16"/>
    <w:rsid w:val="691B0000"/>
    <w:rsid w:val="6922628D"/>
    <w:rsid w:val="69243CCB"/>
    <w:rsid w:val="692D10A8"/>
    <w:rsid w:val="694E1343"/>
    <w:rsid w:val="696778E1"/>
    <w:rsid w:val="6976628D"/>
    <w:rsid w:val="69781887"/>
    <w:rsid w:val="6979522C"/>
    <w:rsid w:val="69911493"/>
    <w:rsid w:val="69945F1A"/>
    <w:rsid w:val="69A264FB"/>
    <w:rsid w:val="69A463E4"/>
    <w:rsid w:val="69C159B6"/>
    <w:rsid w:val="69C356D6"/>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DB2C10"/>
    <w:rsid w:val="6ADFB8F3"/>
    <w:rsid w:val="6AF14EA4"/>
    <w:rsid w:val="6B004DE3"/>
    <w:rsid w:val="6B0933D8"/>
    <w:rsid w:val="6B1E06AB"/>
    <w:rsid w:val="6B2347F8"/>
    <w:rsid w:val="6B2D2415"/>
    <w:rsid w:val="6B316BBE"/>
    <w:rsid w:val="6B353BDC"/>
    <w:rsid w:val="6B554422"/>
    <w:rsid w:val="6B810BED"/>
    <w:rsid w:val="6B8428B4"/>
    <w:rsid w:val="6B851189"/>
    <w:rsid w:val="6B91457B"/>
    <w:rsid w:val="6B930274"/>
    <w:rsid w:val="6BA47A68"/>
    <w:rsid w:val="6BBFA03B"/>
    <w:rsid w:val="6BCF2AB2"/>
    <w:rsid w:val="6BDB04B7"/>
    <w:rsid w:val="6BF61AFE"/>
    <w:rsid w:val="6C005156"/>
    <w:rsid w:val="6C0D7E8A"/>
    <w:rsid w:val="6C1D7BEB"/>
    <w:rsid w:val="6C261FA5"/>
    <w:rsid w:val="6C267CEF"/>
    <w:rsid w:val="6C271424"/>
    <w:rsid w:val="6C4F3C53"/>
    <w:rsid w:val="6C4F4761"/>
    <w:rsid w:val="6C5B7F78"/>
    <w:rsid w:val="6C63308B"/>
    <w:rsid w:val="6C736123"/>
    <w:rsid w:val="6C7A1C7C"/>
    <w:rsid w:val="6C915824"/>
    <w:rsid w:val="6C98717A"/>
    <w:rsid w:val="6C9A696F"/>
    <w:rsid w:val="6C9E3F84"/>
    <w:rsid w:val="6C9F2ED4"/>
    <w:rsid w:val="6CA45DFE"/>
    <w:rsid w:val="6CB77895"/>
    <w:rsid w:val="6CC32DC1"/>
    <w:rsid w:val="6CCB2A5C"/>
    <w:rsid w:val="6CCB57A9"/>
    <w:rsid w:val="6CCE109B"/>
    <w:rsid w:val="6CDBD50C"/>
    <w:rsid w:val="6CE47F86"/>
    <w:rsid w:val="6CEB4C3D"/>
    <w:rsid w:val="6CEF474A"/>
    <w:rsid w:val="6D0E6DEA"/>
    <w:rsid w:val="6D2C27DC"/>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35541C"/>
    <w:rsid w:val="6E451788"/>
    <w:rsid w:val="6E4C1361"/>
    <w:rsid w:val="6E541B46"/>
    <w:rsid w:val="6E641F84"/>
    <w:rsid w:val="6E663280"/>
    <w:rsid w:val="6E6C3A9A"/>
    <w:rsid w:val="6E726FC5"/>
    <w:rsid w:val="6E7D66A2"/>
    <w:rsid w:val="6E8C7D79"/>
    <w:rsid w:val="6E957A3F"/>
    <w:rsid w:val="6EA77046"/>
    <w:rsid w:val="6EB83E57"/>
    <w:rsid w:val="6EC553D5"/>
    <w:rsid w:val="6EE7018C"/>
    <w:rsid w:val="6EF5C34B"/>
    <w:rsid w:val="6EF76DEC"/>
    <w:rsid w:val="6F074349"/>
    <w:rsid w:val="6F0B05C6"/>
    <w:rsid w:val="6F130C23"/>
    <w:rsid w:val="6F150B51"/>
    <w:rsid w:val="6F155D42"/>
    <w:rsid w:val="6F193BD1"/>
    <w:rsid w:val="6F270A73"/>
    <w:rsid w:val="6F364C63"/>
    <w:rsid w:val="6F572727"/>
    <w:rsid w:val="6F5C26F0"/>
    <w:rsid w:val="6F68212E"/>
    <w:rsid w:val="6F757176"/>
    <w:rsid w:val="6F792725"/>
    <w:rsid w:val="6F88611E"/>
    <w:rsid w:val="6F9E3156"/>
    <w:rsid w:val="6FA303AB"/>
    <w:rsid w:val="6FA6D380"/>
    <w:rsid w:val="6FAA58A9"/>
    <w:rsid w:val="6FB6420C"/>
    <w:rsid w:val="6FB81081"/>
    <w:rsid w:val="6FBC0361"/>
    <w:rsid w:val="6FC844B0"/>
    <w:rsid w:val="6FC91D09"/>
    <w:rsid w:val="6FCF744E"/>
    <w:rsid w:val="6FDB250C"/>
    <w:rsid w:val="6FDBACE9"/>
    <w:rsid w:val="6FE03DA0"/>
    <w:rsid w:val="6FE27002"/>
    <w:rsid w:val="6FEA3F10"/>
    <w:rsid w:val="6FEA761E"/>
    <w:rsid w:val="6FEC76E2"/>
    <w:rsid w:val="6FF6867F"/>
    <w:rsid w:val="6FF925B2"/>
    <w:rsid w:val="6FFFB0FE"/>
    <w:rsid w:val="70004270"/>
    <w:rsid w:val="70062004"/>
    <w:rsid w:val="700F02F2"/>
    <w:rsid w:val="701D4C6D"/>
    <w:rsid w:val="702211B8"/>
    <w:rsid w:val="70285C83"/>
    <w:rsid w:val="70313C65"/>
    <w:rsid w:val="70360700"/>
    <w:rsid w:val="7049745E"/>
    <w:rsid w:val="704B6227"/>
    <w:rsid w:val="704F480E"/>
    <w:rsid w:val="70531176"/>
    <w:rsid w:val="70553DF8"/>
    <w:rsid w:val="7073427E"/>
    <w:rsid w:val="70753CEA"/>
    <w:rsid w:val="70CB1949"/>
    <w:rsid w:val="70CE3CD6"/>
    <w:rsid w:val="70D5200B"/>
    <w:rsid w:val="70D77435"/>
    <w:rsid w:val="70D86A93"/>
    <w:rsid w:val="70E72C7C"/>
    <w:rsid w:val="70F30CAD"/>
    <w:rsid w:val="70F33611"/>
    <w:rsid w:val="70FC164A"/>
    <w:rsid w:val="70FE3E55"/>
    <w:rsid w:val="71105C72"/>
    <w:rsid w:val="711F5147"/>
    <w:rsid w:val="71333A0D"/>
    <w:rsid w:val="713664A7"/>
    <w:rsid w:val="713E00F5"/>
    <w:rsid w:val="713F2452"/>
    <w:rsid w:val="714F7DC5"/>
    <w:rsid w:val="71606F55"/>
    <w:rsid w:val="7164280C"/>
    <w:rsid w:val="716763F1"/>
    <w:rsid w:val="716B28F4"/>
    <w:rsid w:val="717568BB"/>
    <w:rsid w:val="7176061E"/>
    <w:rsid w:val="719368F2"/>
    <w:rsid w:val="719426FE"/>
    <w:rsid w:val="719460D6"/>
    <w:rsid w:val="71A71FCA"/>
    <w:rsid w:val="71AE1825"/>
    <w:rsid w:val="71B23F18"/>
    <w:rsid w:val="71BF7712"/>
    <w:rsid w:val="71CF510A"/>
    <w:rsid w:val="71D11979"/>
    <w:rsid w:val="71D23CA4"/>
    <w:rsid w:val="71D821BD"/>
    <w:rsid w:val="71E40978"/>
    <w:rsid w:val="71E54C93"/>
    <w:rsid w:val="71FB2A90"/>
    <w:rsid w:val="720B2724"/>
    <w:rsid w:val="72264CCC"/>
    <w:rsid w:val="722A0E8A"/>
    <w:rsid w:val="722C78DA"/>
    <w:rsid w:val="72361EFD"/>
    <w:rsid w:val="72391B27"/>
    <w:rsid w:val="723F6347"/>
    <w:rsid w:val="724D0CB0"/>
    <w:rsid w:val="725E5BA2"/>
    <w:rsid w:val="72787113"/>
    <w:rsid w:val="728D3332"/>
    <w:rsid w:val="729B26AC"/>
    <w:rsid w:val="72B56CCB"/>
    <w:rsid w:val="72D1040D"/>
    <w:rsid w:val="72DE24DB"/>
    <w:rsid w:val="72EA0498"/>
    <w:rsid w:val="72EA3482"/>
    <w:rsid w:val="72F40F30"/>
    <w:rsid w:val="72F56855"/>
    <w:rsid w:val="72FC651D"/>
    <w:rsid w:val="7304299B"/>
    <w:rsid w:val="730A2B08"/>
    <w:rsid w:val="730A558D"/>
    <w:rsid w:val="730E1865"/>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9089C"/>
    <w:rsid w:val="73DB32B4"/>
    <w:rsid w:val="73EA000A"/>
    <w:rsid w:val="73F67F63"/>
    <w:rsid w:val="73F723FE"/>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91A28"/>
    <w:rsid w:val="74633D61"/>
    <w:rsid w:val="74682B38"/>
    <w:rsid w:val="74897BA8"/>
    <w:rsid w:val="74921949"/>
    <w:rsid w:val="74981804"/>
    <w:rsid w:val="74A62A32"/>
    <w:rsid w:val="74AF7E07"/>
    <w:rsid w:val="74C11A94"/>
    <w:rsid w:val="74C303AA"/>
    <w:rsid w:val="74DA01CE"/>
    <w:rsid w:val="74E11CE7"/>
    <w:rsid w:val="74EA0887"/>
    <w:rsid w:val="74F2528E"/>
    <w:rsid w:val="74F54377"/>
    <w:rsid w:val="751B69AC"/>
    <w:rsid w:val="75227415"/>
    <w:rsid w:val="75285984"/>
    <w:rsid w:val="752B18E8"/>
    <w:rsid w:val="752B58CD"/>
    <w:rsid w:val="75550DBA"/>
    <w:rsid w:val="75562889"/>
    <w:rsid w:val="756225D4"/>
    <w:rsid w:val="75646065"/>
    <w:rsid w:val="7571709E"/>
    <w:rsid w:val="757A24EA"/>
    <w:rsid w:val="758868F7"/>
    <w:rsid w:val="75913442"/>
    <w:rsid w:val="759D41D5"/>
    <w:rsid w:val="759F6E47"/>
    <w:rsid w:val="75AE3429"/>
    <w:rsid w:val="75BD26ED"/>
    <w:rsid w:val="75D32087"/>
    <w:rsid w:val="75DF28CE"/>
    <w:rsid w:val="75E53387"/>
    <w:rsid w:val="75E874E8"/>
    <w:rsid w:val="75FD4BCD"/>
    <w:rsid w:val="760602D2"/>
    <w:rsid w:val="760729A8"/>
    <w:rsid w:val="76164029"/>
    <w:rsid w:val="761C63DD"/>
    <w:rsid w:val="76204870"/>
    <w:rsid w:val="762215B7"/>
    <w:rsid w:val="76342A16"/>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F26294"/>
    <w:rsid w:val="76F62C91"/>
    <w:rsid w:val="77052BDB"/>
    <w:rsid w:val="770E458F"/>
    <w:rsid w:val="772623E4"/>
    <w:rsid w:val="773A2AD5"/>
    <w:rsid w:val="77517517"/>
    <w:rsid w:val="775D7B56"/>
    <w:rsid w:val="77645A0B"/>
    <w:rsid w:val="77816B5E"/>
    <w:rsid w:val="778234EF"/>
    <w:rsid w:val="778612B4"/>
    <w:rsid w:val="77861DAE"/>
    <w:rsid w:val="779A3B25"/>
    <w:rsid w:val="77A16F59"/>
    <w:rsid w:val="77A61A19"/>
    <w:rsid w:val="77A8713B"/>
    <w:rsid w:val="77B024F4"/>
    <w:rsid w:val="77BB27AB"/>
    <w:rsid w:val="77C7030D"/>
    <w:rsid w:val="77CA262C"/>
    <w:rsid w:val="77D12E2D"/>
    <w:rsid w:val="77D17AF4"/>
    <w:rsid w:val="77D40517"/>
    <w:rsid w:val="77D73344"/>
    <w:rsid w:val="77DB1D1B"/>
    <w:rsid w:val="77E63610"/>
    <w:rsid w:val="77E804AB"/>
    <w:rsid w:val="77E85E69"/>
    <w:rsid w:val="77ED1164"/>
    <w:rsid w:val="77EE1A98"/>
    <w:rsid w:val="780D018B"/>
    <w:rsid w:val="781A0DB5"/>
    <w:rsid w:val="78256ACF"/>
    <w:rsid w:val="782D7B09"/>
    <w:rsid w:val="78346968"/>
    <w:rsid w:val="783D7C3D"/>
    <w:rsid w:val="784C03CB"/>
    <w:rsid w:val="784D2006"/>
    <w:rsid w:val="7855282E"/>
    <w:rsid w:val="78606362"/>
    <w:rsid w:val="787A665F"/>
    <w:rsid w:val="7884180F"/>
    <w:rsid w:val="78915BE9"/>
    <w:rsid w:val="78957992"/>
    <w:rsid w:val="78B3587F"/>
    <w:rsid w:val="78B86EC2"/>
    <w:rsid w:val="78C141FE"/>
    <w:rsid w:val="78C20890"/>
    <w:rsid w:val="78D665EA"/>
    <w:rsid w:val="78D66912"/>
    <w:rsid w:val="78D8401B"/>
    <w:rsid w:val="78E05ACF"/>
    <w:rsid w:val="78E9231B"/>
    <w:rsid w:val="78ED13FE"/>
    <w:rsid w:val="78EE54C1"/>
    <w:rsid w:val="78F27200"/>
    <w:rsid w:val="78F82D58"/>
    <w:rsid w:val="78F856CB"/>
    <w:rsid w:val="7903679E"/>
    <w:rsid w:val="7903780E"/>
    <w:rsid w:val="790C6E07"/>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A57893"/>
    <w:rsid w:val="79A64908"/>
    <w:rsid w:val="79BA5C30"/>
    <w:rsid w:val="79C721B0"/>
    <w:rsid w:val="79CC3B9C"/>
    <w:rsid w:val="79CF4756"/>
    <w:rsid w:val="79D17055"/>
    <w:rsid w:val="79D81A97"/>
    <w:rsid w:val="79DB0FFE"/>
    <w:rsid w:val="79E93CD4"/>
    <w:rsid w:val="79EA3EAF"/>
    <w:rsid w:val="79F15391"/>
    <w:rsid w:val="7A122883"/>
    <w:rsid w:val="7A1F19C3"/>
    <w:rsid w:val="7A2B4030"/>
    <w:rsid w:val="7A37269B"/>
    <w:rsid w:val="7A3F46A8"/>
    <w:rsid w:val="7A3F6A69"/>
    <w:rsid w:val="7A4260F2"/>
    <w:rsid w:val="7A492248"/>
    <w:rsid w:val="7A511CEA"/>
    <w:rsid w:val="7A514314"/>
    <w:rsid w:val="7A5B6BF1"/>
    <w:rsid w:val="7A745689"/>
    <w:rsid w:val="7A74617C"/>
    <w:rsid w:val="7A882AAB"/>
    <w:rsid w:val="7A8935AA"/>
    <w:rsid w:val="7A8C5A62"/>
    <w:rsid w:val="7A9B02A0"/>
    <w:rsid w:val="7AA7242D"/>
    <w:rsid w:val="7AAC493D"/>
    <w:rsid w:val="7AB70A93"/>
    <w:rsid w:val="7AC7367E"/>
    <w:rsid w:val="7AC77AD7"/>
    <w:rsid w:val="7AE4433A"/>
    <w:rsid w:val="7AE56790"/>
    <w:rsid w:val="7AFF5BCE"/>
    <w:rsid w:val="7B10013E"/>
    <w:rsid w:val="7B326C07"/>
    <w:rsid w:val="7B3330E5"/>
    <w:rsid w:val="7B362E62"/>
    <w:rsid w:val="7B556837"/>
    <w:rsid w:val="7B676012"/>
    <w:rsid w:val="7B6A7511"/>
    <w:rsid w:val="7B711CC9"/>
    <w:rsid w:val="7B890DF9"/>
    <w:rsid w:val="7B9C2817"/>
    <w:rsid w:val="7BA311A3"/>
    <w:rsid w:val="7BA46460"/>
    <w:rsid w:val="7BB045D8"/>
    <w:rsid w:val="7BBA247E"/>
    <w:rsid w:val="7BBA2AA5"/>
    <w:rsid w:val="7BBB6AF8"/>
    <w:rsid w:val="7BBF2239"/>
    <w:rsid w:val="7BC81986"/>
    <w:rsid w:val="7BD84BDB"/>
    <w:rsid w:val="7BE72A58"/>
    <w:rsid w:val="7BEA1821"/>
    <w:rsid w:val="7BEF2D8B"/>
    <w:rsid w:val="7C1773FB"/>
    <w:rsid w:val="7C1E7985"/>
    <w:rsid w:val="7C277F03"/>
    <w:rsid w:val="7C2F634D"/>
    <w:rsid w:val="7C304464"/>
    <w:rsid w:val="7C357268"/>
    <w:rsid w:val="7C394685"/>
    <w:rsid w:val="7C3946D8"/>
    <w:rsid w:val="7C3C1819"/>
    <w:rsid w:val="7C41114A"/>
    <w:rsid w:val="7C470595"/>
    <w:rsid w:val="7C4E19B5"/>
    <w:rsid w:val="7C5442D6"/>
    <w:rsid w:val="7C5A528B"/>
    <w:rsid w:val="7C620617"/>
    <w:rsid w:val="7C7878E3"/>
    <w:rsid w:val="7C826ECF"/>
    <w:rsid w:val="7C8C0A8D"/>
    <w:rsid w:val="7C8E3BC1"/>
    <w:rsid w:val="7C927AF3"/>
    <w:rsid w:val="7C97014B"/>
    <w:rsid w:val="7CA273D9"/>
    <w:rsid w:val="7CA874EC"/>
    <w:rsid w:val="7CB14A8A"/>
    <w:rsid w:val="7CBC0EDA"/>
    <w:rsid w:val="7CBE6E05"/>
    <w:rsid w:val="7CC01527"/>
    <w:rsid w:val="7CC318EA"/>
    <w:rsid w:val="7CCE5944"/>
    <w:rsid w:val="7CE4315C"/>
    <w:rsid w:val="7CF242BC"/>
    <w:rsid w:val="7CFE6AE4"/>
    <w:rsid w:val="7CFF2B54"/>
    <w:rsid w:val="7D001143"/>
    <w:rsid w:val="7D0905C7"/>
    <w:rsid w:val="7D180251"/>
    <w:rsid w:val="7D2420E5"/>
    <w:rsid w:val="7D2E5F39"/>
    <w:rsid w:val="7D345D3C"/>
    <w:rsid w:val="7D3A23FC"/>
    <w:rsid w:val="7D3D4510"/>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B4B47"/>
    <w:rsid w:val="7E0D2D37"/>
    <w:rsid w:val="7E1150D6"/>
    <w:rsid w:val="7E2447D7"/>
    <w:rsid w:val="7E3201EE"/>
    <w:rsid w:val="7E3A3239"/>
    <w:rsid w:val="7E3B60E6"/>
    <w:rsid w:val="7E5656C0"/>
    <w:rsid w:val="7E5A3003"/>
    <w:rsid w:val="7E694EB9"/>
    <w:rsid w:val="7E702D4F"/>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EFE7DEF"/>
    <w:rsid w:val="7F093C4D"/>
    <w:rsid w:val="7F0D5DAE"/>
    <w:rsid w:val="7F0F6AEE"/>
    <w:rsid w:val="7F0F6E3F"/>
    <w:rsid w:val="7F176427"/>
    <w:rsid w:val="7F181840"/>
    <w:rsid w:val="7F2B63DB"/>
    <w:rsid w:val="7F2F0A58"/>
    <w:rsid w:val="7F396F3C"/>
    <w:rsid w:val="7F434859"/>
    <w:rsid w:val="7F4514DB"/>
    <w:rsid w:val="7F505FC9"/>
    <w:rsid w:val="7F556937"/>
    <w:rsid w:val="7F6A4DD4"/>
    <w:rsid w:val="7F77465A"/>
    <w:rsid w:val="7F7B9674"/>
    <w:rsid w:val="7F8830F2"/>
    <w:rsid w:val="7F8D64E6"/>
    <w:rsid w:val="7F930B43"/>
    <w:rsid w:val="7F942DB0"/>
    <w:rsid w:val="7F9BDCC8"/>
    <w:rsid w:val="7F9C24B0"/>
    <w:rsid w:val="7FB73304"/>
    <w:rsid w:val="7FC03CB9"/>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98AB133"/>
    <w:rsid w:val="BBFF417C"/>
    <w:rsid w:val="BF5E733C"/>
    <w:rsid w:val="BF7D0E26"/>
    <w:rsid w:val="BFB78EF0"/>
    <w:rsid w:val="BFBF7B8E"/>
    <w:rsid w:val="C39ACA65"/>
    <w:rsid w:val="CCBF4163"/>
    <w:rsid w:val="CF7E8EF9"/>
    <w:rsid w:val="D4BF86C9"/>
    <w:rsid w:val="D7FF16CF"/>
    <w:rsid w:val="DB2DDDA8"/>
    <w:rsid w:val="DCFFD526"/>
    <w:rsid w:val="DDF7DAF1"/>
    <w:rsid w:val="DEFF1B55"/>
    <w:rsid w:val="E7C71E2C"/>
    <w:rsid w:val="E7F5CFAD"/>
    <w:rsid w:val="E9F92EFF"/>
    <w:rsid w:val="EA5481EC"/>
    <w:rsid w:val="EE7FBE7D"/>
    <w:rsid w:val="EFBFC07B"/>
    <w:rsid w:val="EFD9372C"/>
    <w:rsid w:val="EFDF81C4"/>
    <w:rsid w:val="EFFE9AA7"/>
    <w:rsid w:val="F2FF462E"/>
    <w:rsid w:val="F3D53566"/>
    <w:rsid w:val="F5DFAABC"/>
    <w:rsid w:val="F7D393A2"/>
    <w:rsid w:val="F9D7F67F"/>
    <w:rsid w:val="FB6F6285"/>
    <w:rsid w:val="FDBDDA66"/>
    <w:rsid w:val="FDD82E6C"/>
    <w:rsid w:val="FDF315CB"/>
    <w:rsid w:val="FE3FA395"/>
    <w:rsid w:val="FE5B8028"/>
    <w:rsid w:val="FE7F1E31"/>
    <w:rsid w:val="FEDB3E6A"/>
    <w:rsid w:val="FF75CE6E"/>
    <w:rsid w:val="FF9EA0AC"/>
    <w:rsid w:val="FF9FBD61"/>
    <w:rsid w:val="FFAFF89C"/>
    <w:rsid w:val="FFE6C866"/>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66"/>
    <w:qFormat/>
    <w:uiPriority w:val="0"/>
    <w:pPr>
      <w:keepNext/>
      <w:keepLines/>
      <w:spacing w:line="578" w:lineRule="auto"/>
      <w:outlineLvl w:val="0"/>
    </w:pPr>
    <w:rPr>
      <w:rFonts w:ascii="Times New Roman" w:hAnsi="Times New Roman" w:eastAsia="Century Gothic"/>
      <w:b/>
      <w:bCs/>
      <w:kern w:val="44"/>
      <w:sz w:val="44"/>
      <w:szCs w:val="44"/>
    </w:rPr>
  </w:style>
  <w:style w:type="paragraph" w:styleId="5">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6">
    <w:name w:val="heading 3"/>
    <w:basedOn w:val="1"/>
    <w:next w:val="1"/>
    <w:qFormat/>
    <w:uiPriority w:val="0"/>
    <w:pPr>
      <w:keepNext/>
      <w:keepLines/>
      <w:spacing w:line="416" w:lineRule="auto"/>
      <w:outlineLvl w:val="2"/>
    </w:pPr>
    <w:rPr>
      <w:b/>
      <w:bCs/>
      <w:sz w:val="32"/>
      <w:szCs w:val="32"/>
    </w:rPr>
  </w:style>
  <w:style w:type="paragraph" w:styleId="7">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8">
    <w:name w:val="heading 5"/>
    <w:basedOn w:val="1"/>
    <w:next w:val="1"/>
    <w:qFormat/>
    <w:uiPriority w:val="0"/>
    <w:pPr>
      <w:widowControl/>
      <w:jc w:val="left"/>
      <w:outlineLvl w:val="4"/>
    </w:pPr>
    <w:rPr>
      <w:rFonts w:ascii="MS Sans Serif" w:eastAsia="MS Sans Serif"/>
      <w:kern w:val="0"/>
      <w:sz w:val="24"/>
      <w:szCs w:val="20"/>
    </w:rPr>
  </w:style>
  <w:style w:type="paragraph" w:styleId="9">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10">
    <w:name w:val="heading 7"/>
    <w:basedOn w:val="1"/>
    <w:next w:val="1"/>
    <w:qFormat/>
    <w:uiPriority w:val="0"/>
    <w:pPr>
      <w:keepNext/>
      <w:keepLines/>
      <w:spacing w:line="320" w:lineRule="auto"/>
      <w:outlineLvl w:val="6"/>
    </w:pPr>
    <w:rPr>
      <w:b/>
      <w:sz w:val="24"/>
      <w:szCs w:val="20"/>
    </w:rPr>
  </w:style>
  <w:style w:type="paragraph" w:styleId="11">
    <w:name w:val="heading 8"/>
    <w:basedOn w:val="1"/>
    <w:next w:val="12"/>
    <w:qFormat/>
    <w:uiPriority w:val="0"/>
    <w:pPr>
      <w:keepNext/>
      <w:keepLines/>
      <w:spacing w:line="320" w:lineRule="auto"/>
      <w:outlineLvl w:val="7"/>
    </w:pPr>
    <w:rPr>
      <w:rFonts w:ascii="黑体" w:hAnsi="黑体" w:eastAsia="楷体"/>
      <w:sz w:val="24"/>
      <w:szCs w:val="20"/>
    </w:rPr>
  </w:style>
  <w:style w:type="paragraph" w:styleId="13">
    <w:name w:val="heading 9"/>
    <w:basedOn w:val="1"/>
    <w:next w:val="12"/>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1"/>
    <w:qFormat/>
    <w:uiPriority w:val="0"/>
    <w:pPr>
      <w:ind w:firstLine="420"/>
    </w:pPr>
  </w:style>
  <w:style w:type="paragraph" w:styleId="12">
    <w:name w:val="Normal Indent"/>
    <w:basedOn w:val="1"/>
    <w:next w:val="1"/>
    <w:link w:val="67"/>
    <w:qFormat/>
    <w:uiPriority w:val="0"/>
    <w:pPr>
      <w:widowControl/>
      <w:ind w:firstLine="420"/>
      <w:jc w:val="left"/>
    </w:pPr>
    <w:rPr>
      <w:rFonts w:ascii="Arial" w:hAnsi="Arial" w:cs="Arial"/>
      <w:kern w:val="0"/>
      <w:sz w:val="20"/>
      <w:szCs w:val="20"/>
    </w:rPr>
  </w:style>
  <w:style w:type="paragraph" w:styleId="14">
    <w:name w:val="toc 7"/>
    <w:basedOn w:val="1"/>
    <w:next w:val="1"/>
    <w:semiHidden/>
    <w:qFormat/>
    <w:uiPriority w:val="0"/>
    <w:pPr>
      <w:ind w:left="1260"/>
      <w:jc w:val="left"/>
    </w:pPr>
    <w:rPr>
      <w:sz w:val="18"/>
      <w:szCs w:val="18"/>
    </w:rPr>
  </w:style>
  <w:style w:type="paragraph" w:styleId="15">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6">
    <w:name w:val="caption"/>
    <w:basedOn w:val="1"/>
    <w:next w:val="1"/>
    <w:qFormat/>
    <w:uiPriority w:val="0"/>
    <w:rPr>
      <w:rFonts w:ascii="黑体" w:hAnsi="黑体" w:eastAsia="楷体" w:cs="黑体"/>
      <w:sz w:val="20"/>
      <w:szCs w:val="20"/>
    </w:rPr>
  </w:style>
  <w:style w:type="paragraph" w:styleId="17">
    <w:name w:val="Document Map"/>
    <w:basedOn w:val="1"/>
    <w:semiHidden/>
    <w:qFormat/>
    <w:uiPriority w:val="0"/>
    <w:pPr>
      <w:shd w:val="clear" w:color="auto" w:fill="000080"/>
    </w:pPr>
  </w:style>
  <w:style w:type="paragraph" w:styleId="18">
    <w:name w:val="annotation text"/>
    <w:basedOn w:val="1"/>
    <w:semiHidden/>
    <w:qFormat/>
    <w:uiPriority w:val="0"/>
    <w:pPr>
      <w:jc w:val="left"/>
    </w:pPr>
  </w:style>
  <w:style w:type="paragraph" w:styleId="19">
    <w:name w:val="Body Text Indent"/>
    <w:basedOn w:val="1"/>
    <w:next w:val="20"/>
    <w:link w:val="68"/>
    <w:qFormat/>
    <w:uiPriority w:val="0"/>
    <w:pPr>
      <w:adjustRightInd w:val="0"/>
      <w:spacing w:line="360" w:lineRule="auto"/>
      <w:ind w:firstLine="490"/>
      <w:jc w:val="left"/>
    </w:pPr>
    <w:rPr>
      <w:rFonts w:ascii="Century Gothic" w:hAnsi="Century Gothic" w:eastAsia="Century Gothic"/>
      <w:sz w:val="24"/>
      <w:szCs w:val="20"/>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2">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semiHidden/>
    <w:qFormat/>
    <w:uiPriority w:val="0"/>
    <w:pPr>
      <w:ind w:left="420"/>
      <w:jc w:val="left"/>
    </w:pPr>
    <w:rPr>
      <w:i/>
      <w:iCs/>
      <w:sz w:val="20"/>
      <w:szCs w:val="20"/>
    </w:rPr>
  </w:style>
  <w:style w:type="paragraph" w:styleId="25">
    <w:name w:val="Plain Text"/>
    <w:basedOn w:val="1"/>
    <w:next w:val="1"/>
    <w:link w:val="69"/>
    <w:qFormat/>
    <w:uiPriority w:val="0"/>
    <w:rPr>
      <w:rFonts w:ascii="Century Gothic" w:hAnsi="楷体_GB2312" w:eastAsia="Century Gothic" w:cs="楷体_GB2312"/>
      <w:szCs w:val="21"/>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qFormat/>
    <w:uiPriority w:val="0"/>
    <w:pPr>
      <w:ind w:left="100" w:leftChars="2500"/>
    </w:pPr>
  </w:style>
  <w:style w:type="paragraph" w:styleId="28">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9">
    <w:name w:val="Balloon Text"/>
    <w:basedOn w:val="1"/>
    <w:semiHidden/>
    <w:qFormat/>
    <w:uiPriority w:val="0"/>
    <w:rPr>
      <w:sz w:val="18"/>
      <w:szCs w:val="18"/>
    </w:rPr>
  </w:style>
  <w:style w:type="paragraph" w:styleId="30">
    <w:name w:val="footer"/>
    <w:basedOn w:val="1"/>
    <w:link w:val="70"/>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1">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qFormat/>
    <w:uiPriority w:val="39"/>
    <w:pPr>
      <w:tabs>
        <w:tab w:val="right" w:leader="dot" w:pos="8720"/>
      </w:tabs>
      <w:jc w:val="left"/>
    </w:pPr>
    <w:rPr>
      <w:rFonts w:ascii="Century Gothic" w:hAnsi="Century Gothic"/>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qFormat/>
    <w:uiPriority w:val="0"/>
    <w:rPr>
      <w:sz w:val="24"/>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next w:val="1"/>
    <w:qFormat/>
    <w:uiPriority w:val="0"/>
    <w:pPr>
      <w:tabs>
        <w:tab w:val="left" w:pos="1200"/>
      </w:tabs>
      <w:spacing w:afterLines="200"/>
      <w:ind w:left="1440" w:hanging="720"/>
      <w:jc w:val="center"/>
    </w:pPr>
    <w:rPr>
      <w:b/>
      <w:bCs/>
      <w:spacing w:val="60"/>
      <w:sz w:val="32"/>
    </w:rPr>
  </w:style>
  <w:style w:type="paragraph" w:styleId="43">
    <w:name w:val="annotation subject"/>
    <w:basedOn w:val="18"/>
    <w:next w:val="18"/>
    <w:semiHidden/>
    <w:qFormat/>
    <w:uiPriority w:val="0"/>
    <w:rPr>
      <w:b/>
      <w:bCs/>
    </w:rPr>
  </w:style>
  <w:style w:type="paragraph" w:styleId="44">
    <w:name w:val="Body Text First Indent 2"/>
    <w:basedOn w:val="19"/>
    <w:next w:val="1"/>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paragraph" w:customStyle="1" w:styleId="59">
    <w:name w:val="正文缩进1"/>
    <w:basedOn w:val="60"/>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0">
    <w:name w:val="正文1"/>
    <w:basedOn w:val="24"/>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
    <w:name w:val="正文文本首行缩进 21"/>
    <w:basedOn w:val="59"/>
    <w:qFormat/>
    <w:uiPriority w:val="99"/>
    <w:pPr>
      <w:tabs>
        <w:tab w:val="right" w:leader="dot" w:pos="8268"/>
      </w:tabs>
      <w:spacing w:line="200" w:lineRule="atLeast"/>
      <w:ind w:firstLine="420"/>
    </w:pPr>
    <w:rPr>
      <w:spacing w:val="-4"/>
      <w:sz w:val="18"/>
    </w:rPr>
  </w:style>
  <w:style w:type="paragraph" w:styleId="62">
    <w:name w:val="List Paragraph"/>
    <w:basedOn w:val="1"/>
    <w:link w:val="96"/>
    <w:qFormat/>
    <w:uiPriority w:val="34"/>
    <w:pPr>
      <w:ind w:firstLine="420" w:firstLineChars="200"/>
    </w:pPr>
    <w:rPr>
      <w:rFonts w:ascii="Times New Roman" w:hAnsi="Times New Roman"/>
    </w:rPr>
  </w:style>
  <w:style w:type="paragraph" w:customStyle="1" w:styleId="63">
    <w:name w:val="正文文字"/>
    <w:basedOn w:val="1"/>
    <w:qFormat/>
    <w:uiPriority w:val="0"/>
    <w:pPr>
      <w:widowControl/>
      <w:spacing w:line="952" w:lineRule="atLeast"/>
      <w:ind w:firstLine="419"/>
    </w:pPr>
    <w:rPr>
      <w:b/>
      <w:color w:val="000000"/>
      <w:sz w:val="44"/>
      <w:szCs w:val="20"/>
    </w:rPr>
  </w:style>
  <w:style w:type="paragraph" w:customStyle="1" w:styleId="64">
    <w:name w:val="_Style 2"/>
    <w:basedOn w:val="1"/>
    <w:qFormat/>
    <w:uiPriority w:val="0"/>
    <w:pPr>
      <w:ind w:firstLine="200" w:firstLineChars="200"/>
    </w:pPr>
    <w:rPr>
      <w:rFonts w:ascii="Calibri" w:hAnsi="Calibri"/>
      <w:sz w:val="28"/>
      <w:szCs w:val="22"/>
    </w:rPr>
  </w:style>
  <w:style w:type="paragraph" w:customStyle="1" w:styleId="65">
    <w:name w:val="_Style 1"/>
    <w:qFormat/>
    <w:uiPriority w:val="0"/>
    <w:rPr>
      <w:rFonts w:ascii="Calibri" w:hAnsi="Calibri" w:eastAsia="宋体" w:cs="Times New Roman"/>
      <w:kern w:val="2"/>
      <w:sz w:val="28"/>
      <w:szCs w:val="22"/>
      <w:lang w:val="en-US" w:eastAsia="zh-CN" w:bidi="ar-SA"/>
    </w:rPr>
  </w:style>
  <w:style w:type="character" w:customStyle="1" w:styleId="66">
    <w:name w:val="标题 1 Char"/>
    <w:link w:val="4"/>
    <w:qFormat/>
    <w:uiPriority w:val="0"/>
    <w:rPr>
      <w:rFonts w:eastAsia="Century Gothic"/>
      <w:b/>
      <w:bCs/>
      <w:kern w:val="44"/>
      <w:sz w:val="44"/>
      <w:szCs w:val="44"/>
      <w:lang w:val="en-US" w:eastAsia="zh-CN" w:bidi="ar-SA"/>
    </w:rPr>
  </w:style>
  <w:style w:type="character" w:customStyle="1" w:styleId="67">
    <w:name w:val="正文缩进 Char"/>
    <w:link w:val="12"/>
    <w:qFormat/>
    <w:uiPriority w:val="0"/>
    <w:rPr>
      <w:rFonts w:ascii="Arial" w:hAnsi="Arial" w:eastAsia="宋体" w:cs="Arial"/>
      <w:lang w:val="en-US" w:eastAsia="zh-CN" w:bidi="ar-SA"/>
    </w:rPr>
  </w:style>
  <w:style w:type="character" w:customStyle="1" w:styleId="68">
    <w:name w:val="正文文本缩进 Char"/>
    <w:link w:val="19"/>
    <w:semiHidden/>
    <w:qFormat/>
    <w:uiPriority w:val="0"/>
    <w:rPr>
      <w:rFonts w:ascii="Century Gothic" w:hAnsi="Century Gothic" w:eastAsia="Century Gothic"/>
      <w:kern w:val="2"/>
      <w:sz w:val="24"/>
      <w:lang w:val="en-US" w:eastAsia="zh-CN" w:bidi="ar-SA"/>
    </w:rPr>
  </w:style>
  <w:style w:type="character" w:customStyle="1" w:styleId="69">
    <w:name w:val="纯文本 Char"/>
    <w:link w:val="25"/>
    <w:qFormat/>
    <w:uiPriority w:val="0"/>
    <w:rPr>
      <w:rFonts w:ascii="Century Gothic" w:hAnsi="楷体_GB2312" w:eastAsia="Century Gothic" w:cs="楷体_GB2312"/>
      <w:kern w:val="2"/>
      <w:sz w:val="21"/>
      <w:szCs w:val="21"/>
      <w:lang w:val="en-US" w:eastAsia="zh-CN" w:bidi="ar-SA"/>
    </w:rPr>
  </w:style>
  <w:style w:type="character" w:customStyle="1" w:styleId="70">
    <w:name w:val="页脚 Char"/>
    <w:link w:val="30"/>
    <w:qFormat/>
    <w:uiPriority w:val="0"/>
    <w:rPr>
      <w:rFonts w:eastAsia="Century Gothic"/>
      <w:kern w:val="2"/>
      <w:sz w:val="18"/>
      <w:lang w:val="en-US" w:eastAsia="zh-CN" w:bidi="ar-SA"/>
    </w:rPr>
  </w:style>
  <w:style w:type="character" w:customStyle="1" w:styleId="71">
    <w:name w:val="zbggmain style9"/>
    <w:qFormat/>
    <w:uiPriority w:val="0"/>
    <w:rPr>
      <w:rFonts w:ascii="Courier New" w:eastAsia="Courier New"/>
      <w:b/>
      <w:kern w:val="2"/>
      <w:sz w:val="32"/>
      <w:szCs w:val="32"/>
      <w:lang w:val="en-US" w:eastAsia="zh-CN" w:bidi="ar-SA"/>
    </w:rPr>
  </w:style>
  <w:style w:type="character" w:customStyle="1" w:styleId="72">
    <w:name w:val="temp1"/>
    <w:qFormat/>
    <w:uiPriority w:val="0"/>
  </w:style>
  <w:style w:type="character" w:customStyle="1" w:styleId="73">
    <w:name w:val="Char Char21"/>
    <w:qFormat/>
    <w:uiPriority w:val="0"/>
    <w:rPr>
      <w:rFonts w:eastAsia="Century Gothic"/>
      <w:b/>
      <w:bCs/>
      <w:kern w:val="44"/>
      <w:sz w:val="32"/>
      <w:szCs w:val="44"/>
      <w:lang w:val="en-US" w:eastAsia="zh-CN" w:bidi="ar-SA"/>
    </w:rPr>
  </w:style>
  <w:style w:type="character" w:customStyle="1" w:styleId="74">
    <w:name w:val="Char Char12"/>
    <w:qFormat/>
    <w:uiPriority w:val="0"/>
    <w:rPr>
      <w:rFonts w:ascii="Century Gothic" w:hAnsi="楷体_GB2312" w:eastAsia="Century Gothic" w:cs="楷体_GB2312"/>
      <w:kern w:val="2"/>
      <w:sz w:val="21"/>
      <w:szCs w:val="21"/>
      <w:lang w:val="en-US" w:eastAsia="zh-CN" w:bidi="ar-SA"/>
    </w:rPr>
  </w:style>
  <w:style w:type="character" w:customStyle="1" w:styleId="75">
    <w:name w:val="first-child7"/>
    <w:qFormat/>
    <w:uiPriority w:val="0"/>
  </w:style>
  <w:style w:type="character" w:customStyle="1" w:styleId="76">
    <w:name w:val="ant-select-tree-checkbox"/>
    <w:qFormat/>
    <w:uiPriority w:val="0"/>
  </w:style>
  <w:style w:type="character" w:customStyle="1" w:styleId="77">
    <w:name w:val="tag-type"/>
    <w:qFormat/>
    <w:uiPriority w:val="0"/>
    <w:rPr>
      <w:color w:val="FFFFFF"/>
      <w:sz w:val="18"/>
      <w:szCs w:val="18"/>
      <w:shd w:val="clear" w:color="auto" w:fill="317FFD"/>
    </w:rPr>
  </w:style>
  <w:style w:type="character" w:customStyle="1" w:styleId="78">
    <w:name w:val="ant-select-tree-switcher"/>
    <w:qFormat/>
    <w:uiPriority w:val="0"/>
  </w:style>
  <w:style w:type="character" w:customStyle="1" w:styleId="79">
    <w:name w:val="Default Char"/>
    <w:link w:val="80"/>
    <w:qFormat/>
    <w:uiPriority w:val="0"/>
    <w:rPr>
      <w:rFonts w:ascii="楷体" w:eastAsia="楷体"/>
      <w:color w:val="000000"/>
      <w:sz w:val="24"/>
      <w:szCs w:val="24"/>
      <w:lang w:val="en-US" w:eastAsia="zh-CN" w:bidi="ar-SA"/>
    </w:rPr>
  </w:style>
  <w:style w:type="paragraph" w:customStyle="1" w:styleId="80">
    <w:name w:val="Default"/>
    <w:next w:val="81"/>
    <w:link w:val="79"/>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4">
    <w:name w:val="font71"/>
    <w:qFormat/>
    <w:uiPriority w:val="0"/>
    <w:rPr>
      <w:rFonts w:hint="eastAsia" w:ascii="宋体" w:hAnsi="宋体" w:eastAsia="宋体" w:cs="宋体"/>
      <w:color w:val="000000"/>
      <w:sz w:val="20"/>
      <w:szCs w:val="20"/>
      <w:u w:val="none"/>
    </w:rPr>
  </w:style>
  <w:style w:type="character" w:customStyle="1" w:styleId="85">
    <w:name w:val="current"/>
    <w:qFormat/>
    <w:uiPriority w:val="0"/>
    <w:rPr>
      <w:color w:val="00C1DE"/>
    </w:rPr>
  </w:style>
  <w:style w:type="character" w:customStyle="1" w:styleId="86">
    <w:name w:val="last-of-type"/>
    <w:qFormat/>
    <w:uiPriority w:val="0"/>
    <w:rPr>
      <w:color w:val="FF4A44"/>
      <w:sz w:val="27"/>
      <w:szCs w:val="27"/>
    </w:rPr>
  </w:style>
  <w:style w:type="character" w:customStyle="1" w:styleId="87">
    <w:name w:val="font121"/>
    <w:qFormat/>
    <w:uiPriority w:val="0"/>
    <w:rPr>
      <w:rFonts w:hint="eastAsia" w:ascii="宋体" w:hAnsi="宋体" w:eastAsia="宋体" w:cs="宋体"/>
      <w:b/>
      <w:color w:val="000000"/>
      <w:sz w:val="20"/>
      <w:szCs w:val="20"/>
      <w:u w:val="none"/>
    </w:rPr>
  </w:style>
  <w:style w:type="character" w:customStyle="1" w:styleId="88">
    <w:name w:val="font01"/>
    <w:basedOn w:val="47"/>
    <w:qFormat/>
    <w:uiPriority w:val="0"/>
    <w:rPr>
      <w:rFonts w:hint="eastAsia" w:ascii="宋体" w:hAnsi="宋体" w:eastAsia="宋体" w:cs="宋体"/>
      <w:color w:val="000000"/>
      <w:sz w:val="20"/>
      <w:szCs w:val="20"/>
      <w:u w:val="none"/>
      <w:vertAlign w:val="superscript"/>
    </w:rPr>
  </w:style>
  <w:style w:type="character" w:customStyle="1" w:styleId="89">
    <w:name w:val="first-child"/>
    <w:qFormat/>
    <w:uiPriority w:val="0"/>
  </w:style>
  <w:style w:type="character" w:customStyle="1" w:styleId="90">
    <w:name w:val="current1"/>
    <w:qFormat/>
    <w:uiPriority w:val="0"/>
    <w:rPr>
      <w:color w:val="00C1DE"/>
    </w:rPr>
  </w:style>
  <w:style w:type="character" w:customStyle="1" w:styleId="91">
    <w:name w:val="zbggtop11 style5"/>
    <w:qFormat/>
    <w:uiPriority w:val="0"/>
  </w:style>
  <w:style w:type="character" w:customStyle="1" w:styleId="92">
    <w:name w:val="style1"/>
    <w:qFormat/>
    <w:uiPriority w:val="0"/>
  </w:style>
  <w:style w:type="character" w:customStyle="1" w:styleId="93">
    <w:name w:val="ant-tree-iconele"/>
    <w:qFormat/>
    <w:uiPriority w:val="0"/>
  </w:style>
  <w:style w:type="character" w:customStyle="1" w:styleId="94">
    <w:name w:val="content"/>
    <w:qFormat/>
    <w:uiPriority w:val="0"/>
  </w:style>
  <w:style w:type="character" w:customStyle="1" w:styleId="95">
    <w:name w:val="font51"/>
    <w:qFormat/>
    <w:uiPriority w:val="0"/>
    <w:rPr>
      <w:rFonts w:hint="eastAsia" w:ascii="宋体" w:hAnsi="宋体" w:eastAsia="宋体" w:cs="宋体"/>
      <w:color w:val="000000"/>
      <w:sz w:val="20"/>
      <w:szCs w:val="20"/>
      <w:u w:val="none"/>
    </w:rPr>
  </w:style>
  <w:style w:type="character" w:customStyle="1" w:styleId="96">
    <w:name w:val="列出段落 Char"/>
    <w:link w:val="62"/>
    <w:qFormat/>
    <w:uiPriority w:val="34"/>
    <w:rPr>
      <w:kern w:val="2"/>
      <w:sz w:val="21"/>
      <w:szCs w:val="24"/>
    </w:rPr>
  </w:style>
  <w:style w:type="character" w:customStyle="1" w:styleId="97">
    <w:name w:val="ant-select-tree-iconele"/>
    <w:qFormat/>
    <w:uiPriority w:val="0"/>
  </w:style>
  <w:style w:type="character" w:customStyle="1" w:styleId="98">
    <w:name w:val="bookmark-item uuid-1588129097073 code-23007 addword single-line-text-input-box-cls readonly"/>
    <w:qFormat/>
    <w:uiPriority w:val="0"/>
  </w:style>
  <w:style w:type="character" w:customStyle="1" w:styleId="99">
    <w:name w:val="ant-badge-status-dot2"/>
    <w:qFormat/>
    <w:uiPriority w:val="0"/>
    <w:rPr>
      <w:shd w:val="clear" w:color="auto" w:fill="FFFFFF"/>
    </w:rPr>
  </w:style>
  <w:style w:type="character" w:customStyle="1" w:styleId="100">
    <w:name w:val="change-camera-place"/>
    <w:qFormat/>
    <w:uiPriority w:val="0"/>
    <w:rPr>
      <w:color w:val="3177FD"/>
    </w:rPr>
  </w:style>
  <w:style w:type="character" w:customStyle="1" w:styleId="101">
    <w:name w:val="last-child1"/>
    <w:qFormat/>
    <w:uiPriority w:val="0"/>
  </w:style>
  <w:style w:type="character" w:customStyle="1" w:styleId="102">
    <w:name w:val="first-child9"/>
    <w:qFormat/>
    <w:uiPriority w:val="0"/>
  </w:style>
  <w:style w:type="character" w:customStyle="1" w:styleId="103">
    <w:name w:val="all-fit-info2"/>
    <w:qFormat/>
    <w:uiPriority w:val="0"/>
    <w:rPr>
      <w:color w:val="939393"/>
    </w:rPr>
  </w:style>
  <w:style w:type="character" w:customStyle="1" w:styleId="104">
    <w:name w:val="ant-tree-switcher"/>
    <w:qFormat/>
    <w:uiPriority w:val="0"/>
  </w:style>
  <w:style w:type="character" w:customStyle="1" w:styleId="105">
    <w:name w:val="temp2"/>
    <w:qFormat/>
    <w:uiPriority w:val="0"/>
  </w:style>
  <w:style w:type="character" w:customStyle="1" w:styleId="106">
    <w:name w:val="tpc_content1"/>
    <w:qFormat/>
    <w:uiPriority w:val="0"/>
    <w:rPr>
      <w:sz w:val="20"/>
      <w:szCs w:val="20"/>
    </w:rPr>
  </w:style>
  <w:style w:type="character" w:customStyle="1" w:styleId="107">
    <w:name w:val="font81"/>
    <w:basedOn w:val="47"/>
    <w:qFormat/>
    <w:uiPriority w:val="0"/>
    <w:rPr>
      <w:rFonts w:hint="eastAsia" w:ascii="宋体" w:hAnsi="宋体" w:eastAsia="宋体" w:cs="宋体"/>
      <w:color w:val="FF0000"/>
      <w:sz w:val="24"/>
      <w:szCs w:val="24"/>
      <w:u w:val="none"/>
    </w:rPr>
  </w:style>
  <w:style w:type="character" w:customStyle="1" w:styleId="108">
    <w:name w:val="tag-type1"/>
    <w:qFormat/>
    <w:uiPriority w:val="0"/>
    <w:rPr>
      <w:color w:val="FFFFFF"/>
      <w:sz w:val="18"/>
      <w:szCs w:val="18"/>
      <w:shd w:val="clear" w:color="auto" w:fill="317FFD"/>
    </w:rPr>
  </w:style>
  <w:style w:type="character" w:customStyle="1" w:styleId="109">
    <w:name w:val="font21"/>
    <w:basedOn w:val="47"/>
    <w:qFormat/>
    <w:uiPriority w:val="0"/>
    <w:rPr>
      <w:rFonts w:hint="default" w:ascii="Arial" w:hAnsi="Arial" w:cs="Arial"/>
      <w:color w:val="000000"/>
      <w:sz w:val="21"/>
      <w:szCs w:val="21"/>
      <w:u w:val="none"/>
    </w:rPr>
  </w:style>
  <w:style w:type="character" w:customStyle="1" w:styleId="110">
    <w:name w:val="last-child2"/>
    <w:qFormat/>
    <w:uiPriority w:val="0"/>
  </w:style>
  <w:style w:type="character" w:customStyle="1" w:styleId="111">
    <w:name w:val="info-content"/>
    <w:qFormat/>
    <w:uiPriority w:val="0"/>
    <w:rPr>
      <w:color w:val="808080"/>
    </w:rPr>
  </w:style>
  <w:style w:type="character" w:customStyle="1" w:styleId="112">
    <w:name w:val="Char Char"/>
    <w:qFormat/>
    <w:uiPriority w:val="0"/>
    <w:rPr>
      <w:rFonts w:ascii="Courier New" w:eastAsia="Courier New"/>
      <w:color w:val="FF0000"/>
      <w:kern w:val="2"/>
      <w:sz w:val="24"/>
      <w:szCs w:val="24"/>
      <w:u w:val="single"/>
      <w:lang w:val="en-US" w:eastAsia="zh-CN" w:bidi="ar-SA"/>
    </w:rPr>
  </w:style>
  <w:style w:type="character" w:customStyle="1" w:styleId="113">
    <w:name w:val="ant-tree-checkbox2"/>
    <w:qFormat/>
    <w:uiPriority w:val="0"/>
  </w:style>
  <w:style w:type="character" w:customStyle="1" w:styleId="114">
    <w:name w:val="label2"/>
    <w:qFormat/>
    <w:uiPriority w:val="0"/>
  </w:style>
  <w:style w:type="character" w:customStyle="1" w:styleId="115">
    <w:name w:val="标准文本 Char"/>
    <w:link w:val="116"/>
    <w:qFormat/>
    <w:uiPriority w:val="0"/>
    <w:rPr>
      <w:rFonts w:eastAsia="宋体" w:cs="宋体"/>
      <w:kern w:val="2"/>
      <w:sz w:val="24"/>
      <w:lang w:val="en-US" w:eastAsia="zh-CN" w:bidi="ar-SA"/>
    </w:rPr>
  </w:style>
  <w:style w:type="paragraph" w:customStyle="1" w:styleId="116">
    <w:name w:val="标准文本"/>
    <w:basedOn w:val="1"/>
    <w:link w:val="115"/>
    <w:qFormat/>
    <w:uiPriority w:val="0"/>
    <w:pPr>
      <w:spacing w:line="360" w:lineRule="auto"/>
      <w:ind w:firstLine="480" w:firstLineChars="200"/>
    </w:pPr>
    <w:rPr>
      <w:rFonts w:ascii="Times New Roman" w:hAnsi="Times New Roman" w:cs="宋体"/>
      <w:sz w:val="24"/>
      <w:szCs w:val="20"/>
    </w:rPr>
  </w:style>
  <w:style w:type="character" w:customStyle="1" w:styleId="117">
    <w:name w:val="正文2 Char"/>
    <w:link w:val="118"/>
    <w:qFormat/>
    <w:uiPriority w:val="0"/>
    <w:rPr>
      <w:rFonts w:eastAsia="宋体"/>
      <w:kern w:val="2"/>
      <w:sz w:val="24"/>
      <w:lang w:val="en-US" w:eastAsia="zh-CN" w:bidi="ar-SA"/>
    </w:rPr>
  </w:style>
  <w:style w:type="paragraph" w:customStyle="1" w:styleId="118">
    <w:name w:val="正文2"/>
    <w:basedOn w:val="1"/>
    <w:link w:val="117"/>
    <w:qFormat/>
    <w:uiPriority w:val="0"/>
    <w:pPr>
      <w:spacing w:line="360" w:lineRule="auto"/>
      <w:ind w:firstLine="510" w:firstLineChars="200"/>
    </w:pPr>
    <w:rPr>
      <w:rFonts w:ascii="Times New Roman" w:hAnsi="Times New Roman"/>
      <w:sz w:val="24"/>
      <w:szCs w:val="20"/>
    </w:rPr>
  </w:style>
  <w:style w:type="character" w:customStyle="1" w:styleId="119">
    <w:name w:val="bulletintext1"/>
    <w:qFormat/>
    <w:uiPriority w:val="0"/>
    <w:rPr>
      <w:color w:val="000000"/>
      <w:sz w:val="18"/>
    </w:rPr>
  </w:style>
  <w:style w:type="character" w:customStyle="1" w:styleId="120">
    <w:name w:val="last-child"/>
    <w:qFormat/>
    <w:uiPriority w:val="0"/>
  </w:style>
  <w:style w:type="character" w:customStyle="1" w:styleId="121">
    <w:name w:val="font101"/>
    <w:qFormat/>
    <w:uiPriority w:val="0"/>
    <w:rPr>
      <w:rFonts w:ascii="Calibri" w:hAnsi="Calibri" w:cs="Calibri"/>
      <w:color w:val="000000"/>
      <w:sz w:val="20"/>
      <w:szCs w:val="20"/>
      <w:u w:val="none"/>
    </w:rPr>
  </w:style>
  <w:style w:type="character" w:customStyle="1" w:styleId="122">
    <w:name w:val="font61"/>
    <w:basedOn w:val="47"/>
    <w:qFormat/>
    <w:uiPriority w:val="0"/>
    <w:rPr>
      <w:rFonts w:hint="eastAsia" w:ascii="宋体" w:hAnsi="宋体" w:eastAsia="宋体" w:cs="宋体"/>
      <w:color w:val="161616"/>
      <w:sz w:val="20"/>
      <w:szCs w:val="20"/>
      <w:u w:val="none"/>
    </w:rPr>
  </w:style>
  <w:style w:type="character" w:customStyle="1" w:styleId="123">
    <w:name w:val="all-fit-info"/>
    <w:qFormat/>
    <w:uiPriority w:val="0"/>
    <w:rPr>
      <w:color w:val="939393"/>
    </w:rPr>
  </w:style>
  <w:style w:type="character" w:customStyle="1" w:styleId="124">
    <w:name w:val="ant-tree-checkbox"/>
    <w:qFormat/>
    <w:uiPriority w:val="0"/>
  </w:style>
  <w:style w:type="character" w:customStyle="1" w:styleId="125">
    <w:name w:val="ant-badge-status-dot"/>
    <w:qFormat/>
    <w:uiPriority w:val="0"/>
    <w:rPr>
      <w:shd w:val="clear" w:color="auto" w:fill="FFFFFF"/>
    </w:rPr>
  </w:style>
  <w:style w:type="character" w:customStyle="1" w:styleId="126">
    <w:name w:val="bookmark-item uuid-1591619842642 code-23011 addword date-time-selection-cls"/>
    <w:qFormat/>
    <w:uiPriority w:val="0"/>
  </w:style>
  <w:style w:type="character" w:customStyle="1" w:styleId="127">
    <w:name w:val="content8"/>
    <w:qFormat/>
    <w:uiPriority w:val="0"/>
  </w:style>
  <w:style w:type="character" w:customStyle="1" w:styleId="128">
    <w:name w:val="info-label"/>
    <w:qFormat/>
    <w:uiPriority w:val="0"/>
    <w:rPr>
      <w:b/>
    </w:rPr>
  </w:style>
  <w:style w:type="character" w:customStyle="1" w:styleId="129">
    <w:name w:val="ant-select-tree-checkbox2"/>
    <w:qFormat/>
    <w:uiPriority w:val="0"/>
  </w:style>
  <w:style w:type="character" w:customStyle="1" w:styleId="130">
    <w:name w:val="temp"/>
    <w:qFormat/>
    <w:uiPriority w:val="0"/>
  </w:style>
  <w:style w:type="character" w:customStyle="1" w:styleId="131">
    <w:name w:val="label"/>
    <w:qFormat/>
    <w:uiPriority w:val="0"/>
  </w:style>
  <w:style w:type="character" w:customStyle="1" w:styleId="132">
    <w:name w:val="ant-tree-icon_loading"/>
    <w:qFormat/>
    <w:uiPriority w:val="0"/>
    <w:rPr>
      <w:shd w:val="clear" w:color="auto" w:fill="FFFFFF"/>
    </w:rPr>
  </w:style>
  <w:style w:type="character" w:customStyle="1" w:styleId="133">
    <w:name w:val="last-child3"/>
    <w:qFormat/>
    <w:uiPriority w:val="0"/>
  </w:style>
  <w:style w:type="character" w:customStyle="1" w:styleId="134">
    <w:name w:val="font11"/>
    <w:basedOn w:val="47"/>
    <w:qFormat/>
    <w:uiPriority w:val="0"/>
    <w:rPr>
      <w:rFonts w:hint="eastAsia" w:ascii="宋体" w:hAnsi="宋体" w:eastAsia="宋体" w:cs="宋体"/>
      <w:color w:val="000000"/>
      <w:sz w:val="21"/>
      <w:szCs w:val="21"/>
      <w:u w:val="none"/>
    </w:rPr>
  </w:style>
  <w:style w:type="character" w:customStyle="1" w:styleId="135">
    <w:name w:val="all-fit-info1"/>
    <w:qFormat/>
    <w:uiPriority w:val="0"/>
    <w:rPr>
      <w:color w:val="939393"/>
    </w:rPr>
  </w:style>
  <w:style w:type="paragraph" w:customStyle="1" w:styleId="136">
    <w:name w:val="[Normal]"/>
    <w:qFormat/>
    <w:uiPriority w:val="0"/>
    <w:rPr>
      <w:rFonts w:ascii="宋体" w:hAnsi="宋体" w:eastAsia="宋体" w:cs="Arial"/>
      <w:sz w:val="24"/>
      <w:szCs w:val="22"/>
      <w:lang w:val="zh-CN" w:eastAsia="zh-CN" w:bidi="ar-SA"/>
    </w:rPr>
  </w:style>
  <w:style w:type="paragraph" w:customStyle="1" w:styleId="137">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8">
    <w:name w:val="样式5"/>
    <w:basedOn w:val="7"/>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3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0">
    <w:name w:val="标书标题4"/>
    <w:basedOn w:val="7"/>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1">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2">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3">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4">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font6"/>
    <w:basedOn w:val="1"/>
    <w:qFormat/>
    <w:uiPriority w:val="0"/>
    <w:pPr>
      <w:widowControl/>
      <w:spacing w:beforeAutospacing="1" w:afterAutospacing="1"/>
      <w:jc w:val="left"/>
    </w:pPr>
    <w:rPr>
      <w:kern w:val="0"/>
      <w:sz w:val="18"/>
      <w:szCs w:val="18"/>
    </w:rPr>
  </w:style>
  <w:style w:type="paragraph" w:customStyle="1" w:styleId="1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8">
    <w:name w:val="列出段落1"/>
    <w:basedOn w:val="1"/>
    <w:qFormat/>
    <w:uiPriority w:val="0"/>
    <w:pPr>
      <w:ind w:firstLine="420" w:firstLineChars="200"/>
    </w:pPr>
    <w:rPr>
      <w:rFonts w:ascii="等线" w:hAnsi="等线"/>
      <w:szCs w:val="21"/>
    </w:rPr>
  </w:style>
  <w:style w:type="paragraph" w:customStyle="1" w:styleId="149">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0">
    <w:name w:val="BodyText1I"/>
    <w:basedOn w:val="151"/>
    <w:qFormat/>
    <w:uiPriority w:val="0"/>
    <w:pPr>
      <w:spacing w:after="120"/>
      <w:ind w:firstLine="420" w:firstLineChars="100"/>
    </w:pPr>
  </w:style>
  <w:style w:type="paragraph" w:customStyle="1" w:styleId="151">
    <w:name w:val="BodyText"/>
    <w:basedOn w:val="1"/>
    <w:next w:val="150"/>
    <w:qFormat/>
    <w:uiPriority w:val="0"/>
    <w:rPr>
      <w:sz w:val="20"/>
    </w:rPr>
  </w:style>
  <w:style w:type="paragraph" w:customStyle="1" w:styleId="152">
    <w:name w:val="索引 11"/>
    <w:basedOn w:val="1"/>
    <w:next w:val="1"/>
    <w:qFormat/>
    <w:uiPriority w:val="99"/>
    <w:pPr>
      <w:spacing w:line="360" w:lineRule="auto"/>
    </w:pPr>
    <w:rPr>
      <w:rFonts w:ascii="仿宋_GB2312" w:eastAsia="仿宋_GB2312"/>
      <w:sz w:val="24"/>
      <w:szCs w:val="20"/>
    </w:rPr>
  </w:style>
  <w:style w:type="paragraph" w:customStyle="1" w:styleId="153">
    <w:name w:val="Char Char Char Char Char"/>
    <w:basedOn w:val="1"/>
    <w:qFormat/>
    <w:uiPriority w:val="0"/>
    <w:pPr>
      <w:widowControl/>
      <w:spacing w:line="240" w:lineRule="exact"/>
      <w:jc w:val="left"/>
    </w:pPr>
    <w:rPr>
      <w:rFonts w:ascii="Verdana" w:hAnsi="Verdana" w:eastAsia="华文细黑"/>
    </w:rPr>
  </w:style>
  <w:style w:type="paragraph" w:customStyle="1" w:styleId="154">
    <w:name w:val="无间距1"/>
    <w:qFormat/>
    <w:uiPriority w:val="0"/>
    <w:rPr>
      <w:rFonts w:ascii="Times New Roman" w:hAnsi="Times New Roman" w:eastAsia="??" w:cs="宋体"/>
      <w:sz w:val="22"/>
      <w:szCs w:val="22"/>
      <w:lang w:val="en-US" w:eastAsia="en-US" w:bidi="ar-SA"/>
    </w:rPr>
  </w:style>
  <w:style w:type="paragraph" w:customStyle="1" w:styleId="155">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6">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方案三级标题"/>
    <w:basedOn w:val="5"/>
    <w:qFormat/>
    <w:uiPriority w:val="0"/>
    <w:pPr>
      <w:spacing w:before="120" w:after="120" w:line="300" w:lineRule="auto"/>
    </w:pPr>
    <w:rPr>
      <w:rFonts w:ascii="宋体" w:hAnsi="宋体" w:eastAsia="宋体"/>
      <w:sz w:val="30"/>
    </w:rPr>
  </w:style>
  <w:style w:type="paragraph" w:customStyle="1" w:styleId="159">
    <w:name w:val="标书标题2"/>
    <w:basedOn w:val="5"/>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0">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1">
    <w:name w:val="正文（缩进）"/>
    <w:basedOn w:val="1"/>
    <w:qFormat/>
    <w:uiPriority w:val="0"/>
    <w:pPr>
      <w:spacing w:before="156" w:after="156"/>
      <w:ind w:firstLine="480"/>
    </w:pPr>
    <w:rPr>
      <w:rFonts w:ascii="Times New Roman" w:hAnsi="Times New Roman"/>
    </w:rPr>
  </w:style>
  <w:style w:type="paragraph" w:customStyle="1" w:styleId="162">
    <w:name w:val="Body Text Indent1"/>
    <w:basedOn w:val="1"/>
    <w:qFormat/>
    <w:uiPriority w:val="0"/>
    <w:pPr>
      <w:spacing w:line="200" w:lineRule="exact"/>
      <w:ind w:firstLine="301"/>
    </w:pPr>
    <w:rPr>
      <w:rFonts w:ascii="宋体" w:hAnsi="Courier New"/>
      <w:spacing w:val="-4"/>
      <w:sz w:val="18"/>
    </w:rPr>
  </w:style>
  <w:style w:type="paragraph" w:customStyle="1" w:styleId="163">
    <w:name w:val="title11"/>
    <w:basedOn w:val="1"/>
    <w:qFormat/>
    <w:uiPriority w:val="0"/>
    <w:pPr>
      <w:spacing w:before="150"/>
      <w:jc w:val="left"/>
    </w:pPr>
    <w:rPr>
      <w:b/>
      <w:kern w:val="0"/>
    </w:rPr>
  </w:style>
  <w:style w:type="paragraph" w:customStyle="1" w:styleId="164">
    <w:name w:val="Char Char Char Char"/>
    <w:basedOn w:val="1"/>
    <w:qFormat/>
    <w:uiPriority w:val="0"/>
    <w:rPr>
      <w:szCs w:val="20"/>
    </w:rPr>
  </w:style>
  <w:style w:type="paragraph" w:customStyle="1" w:styleId="165">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纯文本1"/>
    <w:basedOn w:val="1"/>
    <w:qFormat/>
    <w:uiPriority w:val="0"/>
    <w:rPr>
      <w:rFonts w:ascii="宋体" w:hAnsi="Courier New"/>
      <w:kern w:val="0"/>
      <w:sz w:val="20"/>
      <w:szCs w:val="20"/>
    </w:rPr>
  </w:style>
  <w:style w:type="paragraph" w:customStyle="1" w:styleId="167">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8">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9">
    <w:name w:val="标书标题3"/>
    <w:basedOn w:val="6"/>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0">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1">
    <w:name w:val="p0"/>
    <w:basedOn w:val="1"/>
    <w:unhideWhenUsed/>
    <w:qFormat/>
    <w:uiPriority w:val="0"/>
    <w:pPr>
      <w:widowControl/>
    </w:pPr>
    <w:rPr>
      <w:rFonts w:hint="eastAsia"/>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节"/>
    <w:basedOn w:val="5"/>
    <w:qFormat/>
    <w:uiPriority w:val="0"/>
    <w:pPr>
      <w:adjustRightInd/>
      <w:spacing w:line="720" w:lineRule="exact"/>
      <w:jc w:val="center"/>
    </w:pPr>
    <w:rPr>
      <w:rFonts w:ascii="Arial" w:hAnsi="Arial"/>
      <w:b w:val="0"/>
      <w:color w:val="000000"/>
      <w:spacing w:val="14"/>
      <w:kern w:val="24"/>
      <w:sz w:val="28"/>
      <w:szCs w:val="20"/>
    </w:rPr>
  </w:style>
  <w:style w:type="paragraph" w:customStyle="1" w:styleId="174">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5">
    <w:name w:val="Char3 Char Char Char"/>
    <w:basedOn w:val="1"/>
    <w:qFormat/>
    <w:uiPriority w:val="0"/>
    <w:pPr>
      <w:widowControl/>
      <w:spacing w:line="240" w:lineRule="exact"/>
      <w:jc w:val="left"/>
    </w:pPr>
    <w:rPr>
      <w:szCs w:val="20"/>
    </w:rPr>
  </w:style>
  <w:style w:type="paragraph" w:customStyle="1" w:styleId="1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8">
    <w:name w:val="小节"/>
    <w:basedOn w:val="6"/>
    <w:qFormat/>
    <w:uiPriority w:val="0"/>
    <w:pPr>
      <w:spacing w:line="560" w:lineRule="exact"/>
      <w:jc w:val="left"/>
    </w:pPr>
    <w:rPr>
      <w:rFonts w:ascii="Century Gothic" w:hAnsi="Century Gothic"/>
      <w:bCs w:val="0"/>
      <w:color w:val="000000"/>
      <w:spacing w:val="10"/>
      <w:kern w:val="24"/>
      <w:sz w:val="28"/>
    </w:rPr>
  </w:style>
  <w:style w:type="paragraph" w:customStyle="1" w:styleId="179">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0">
    <w:name w:val="1正文"/>
    <w:basedOn w:val="1"/>
    <w:qFormat/>
    <w:uiPriority w:val="0"/>
    <w:rPr>
      <w:rFonts w:ascii="仿宋_GB2312" w:hAnsi="仿宋_GB2312"/>
      <w:szCs w:val="28"/>
    </w:rPr>
  </w:style>
  <w:style w:type="paragraph" w:customStyle="1" w:styleId="18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2">
    <w:name w:val="Char1"/>
    <w:basedOn w:val="1"/>
    <w:qFormat/>
    <w:uiPriority w:val="0"/>
    <w:pPr>
      <w:widowControl/>
      <w:spacing w:line="240" w:lineRule="exact"/>
      <w:jc w:val="left"/>
    </w:pPr>
    <w:rPr>
      <w:szCs w:val="20"/>
    </w:rPr>
  </w:style>
  <w:style w:type="paragraph" w:customStyle="1" w:styleId="183">
    <w:name w:val="Char"/>
    <w:basedOn w:val="1"/>
    <w:qFormat/>
    <w:uiPriority w:val="0"/>
  </w:style>
  <w:style w:type="paragraph" w:customStyle="1" w:styleId="184">
    <w:name w:val="正文文字格式"/>
    <w:basedOn w:val="1"/>
    <w:qFormat/>
    <w:uiPriority w:val="0"/>
    <w:pPr>
      <w:spacing w:line="460" w:lineRule="exact"/>
      <w:ind w:firstLine="505"/>
      <w:jc w:val="left"/>
    </w:pPr>
    <w:rPr>
      <w:rFonts w:ascii="Century Gothic"/>
      <w:kern w:val="24"/>
      <w:sz w:val="24"/>
      <w:szCs w:val="20"/>
    </w:rPr>
  </w:style>
  <w:style w:type="paragraph" w:customStyle="1" w:styleId="185">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6">
    <w:name w:val="纯文本2"/>
    <w:basedOn w:val="60"/>
    <w:qFormat/>
    <w:uiPriority w:val="0"/>
    <w:pPr>
      <w:widowControl/>
      <w:jc w:val="left"/>
    </w:pPr>
    <w:rPr>
      <w:rFonts w:ascii="宋体" w:hAnsi="Courier New"/>
    </w:rPr>
  </w:style>
  <w:style w:type="paragraph" w:customStyle="1" w:styleId="187">
    <w:name w:val="Heading2"/>
    <w:basedOn w:val="179"/>
    <w:next w:val="1"/>
    <w:qFormat/>
    <w:uiPriority w:val="0"/>
    <w:pPr>
      <w:keepLines/>
      <w:tabs>
        <w:tab w:val="left" w:pos="706"/>
        <w:tab w:val="left" w:pos="1110"/>
      </w:tabs>
      <w:ind w:left="106" w:firstLine="454"/>
    </w:pPr>
    <w:rPr>
      <w:rFonts w:ascii="Arial" w:hAnsi="Arial" w:cs="Arial"/>
      <w:bCs/>
      <w:szCs w:val="32"/>
    </w:rPr>
  </w:style>
  <w:style w:type="paragraph" w:customStyle="1" w:styleId="188">
    <w:name w:val="样式 标题 1 + 四号 加粗"/>
    <w:basedOn w:val="4"/>
    <w:qFormat/>
    <w:uiPriority w:val="0"/>
    <w:rPr>
      <w:rFonts w:eastAsia="黑体"/>
    </w:rPr>
  </w:style>
  <w:style w:type="paragraph" w:customStyle="1" w:styleId="189">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DAS正文"/>
    <w:basedOn w:val="1"/>
    <w:qFormat/>
    <w:uiPriority w:val="0"/>
    <w:pPr>
      <w:spacing w:line="360" w:lineRule="auto"/>
      <w:ind w:right="181" w:firstLine="480" w:firstLineChars="200"/>
    </w:pPr>
    <w:rPr>
      <w:rFonts w:ascii="Verdana" w:hAnsi="Verdana"/>
      <w:sz w:val="24"/>
      <w:szCs w:val="20"/>
    </w:rPr>
  </w:style>
  <w:style w:type="paragraph" w:customStyle="1" w:styleId="1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3">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List Paragraph1"/>
    <w:basedOn w:val="1"/>
    <w:qFormat/>
    <w:uiPriority w:val="0"/>
    <w:pPr>
      <w:ind w:firstLine="420" w:firstLineChars="200"/>
    </w:pPr>
  </w:style>
  <w:style w:type="paragraph" w:customStyle="1" w:styleId="196">
    <w:name w:val="纯文本_0_0"/>
    <w:basedOn w:val="145"/>
    <w:qFormat/>
    <w:uiPriority w:val="0"/>
    <w:rPr>
      <w:rFonts w:ascii="宋体" w:hAnsi="Courier New"/>
      <w:szCs w:val="21"/>
    </w:rPr>
  </w:style>
  <w:style w:type="paragraph" w:customStyle="1" w:styleId="197">
    <w:name w:val="p15"/>
    <w:basedOn w:val="1"/>
    <w:qFormat/>
    <w:uiPriority w:val="0"/>
    <w:pPr>
      <w:widowControl/>
      <w:ind w:firstLine="420"/>
    </w:pPr>
    <w:rPr>
      <w:rFonts w:cs="宋体"/>
      <w:kern w:val="0"/>
      <w:szCs w:val="21"/>
    </w:rPr>
  </w:style>
  <w:style w:type="paragraph" w:customStyle="1" w:styleId="198">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9">
    <w:name w:val="Blockquote"/>
    <w:basedOn w:val="1"/>
    <w:qFormat/>
    <w:uiPriority w:val="0"/>
    <w:pPr>
      <w:autoSpaceDE w:val="0"/>
      <w:autoSpaceDN w:val="0"/>
      <w:adjustRightInd w:val="0"/>
      <w:ind w:left="360" w:right="360"/>
      <w:jc w:val="left"/>
    </w:pPr>
    <w:rPr>
      <w:kern w:val="0"/>
      <w:sz w:val="24"/>
      <w:szCs w:val="20"/>
    </w:rPr>
  </w:style>
  <w:style w:type="paragraph" w:customStyle="1" w:styleId="200">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2">
    <w:name w:val="【正文】"/>
    <w:basedOn w:val="1"/>
    <w:qFormat/>
    <w:uiPriority w:val="0"/>
    <w:pPr>
      <w:ind w:firstLine="480"/>
    </w:pPr>
    <w:rPr>
      <w:rFonts w:cs="DokChampa"/>
      <w:szCs w:val="22"/>
    </w:rPr>
  </w:style>
  <w:style w:type="paragraph" w:customStyle="1" w:styleId="20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5">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6">
    <w:name w:val="无间隔1"/>
    <w:qFormat/>
    <w:uiPriority w:val="0"/>
    <w:rPr>
      <w:rFonts w:ascii="Times New Roman" w:hAnsi="Times New Roman" w:eastAsia="宋体" w:cs="Times New Roman"/>
      <w:sz w:val="22"/>
      <w:szCs w:val="22"/>
      <w:lang w:val="en-US" w:eastAsia="en-US" w:bidi="ar-SA"/>
    </w:rPr>
  </w:style>
  <w:style w:type="paragraph" w:customStyle="1" w:styleId="207">
    <w:name w:val="正文不缩进"/>
    <w:basedOn w:val="1"/>
    <w:qFormat/>
    <w:uiPriority w:val="0"/>
    <w:pPr>
      <w:spacing w:before="240" w:after="240" w:line="360" w:lineRule="auto"/>
      <w:jc w:val="left"/>
    </w:pPr>
  </w:style>
  <w:style w:type="paragraph" w:customStyle="1" w:styleId="208">
    <w:name w:val="Body Text First Indent 21"/>
    <w:basedOn w:val="162"/>
    <w:qFormat/>
    <w:uiPriority w:val="0"/>
    <w:pPr>
      <w:spacing w:after="120" w:line="240" w:lineRule="auto"/>
      <w:ind w:left="420" w:leftChars="200" w:firstLine="420" w:firstLineChars="200"/>
    </w:pPr>
    <w:rPr>
      <w:sz w:val="21"/>
    </w:rPr>
  </w:style>
  <w:style w:type="paragraph" w:customStyle="1" w:styleId="209">
    <w:name w:val="样式1"/>
    <w:basedOn w:val="1"/>
    <w:qFormat/>
    <w:uiPriority w:val="0"/>
    <w:pPr>
      <w:spacing w:line="360" w:lineRule="exact"/>
      <w:ind w:firstLine="200" w:firstLineChars="200"/>
    </w:pPr>
    <w:rPr>
      <w:rFonts w:ascii="Arial" w:hAnsi="Arial"/>
    </w:rPr>
  </w:style>
  <w:style w:type="paragraph" w:customStyle="1" w:styleId="210">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Char Char Char Char Char Char Char Char"/>
    <w:basedOn w:val="1"/>
    <w:qFormat/>
    <w:uiPriority w:val="0"/>
    <w:pPr>
      <w:tabs>
        <w:tab w:val="left" w:pos="360"/>
      </w:tabs>
    </w:pPr>
    <w:rPr>
      <w:szCs w:val="20"/>
    </w:rPr>
  </w:style>
  <w:style w:type="paragraph" w:customStyle="1" w:styleId="212">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3">
    <w:name w:val="Char2"/>
    <w:basedOn w:val="1"/>
    <w:qFormat/>
    <w:uiPriority w:val="0"/>
    <w:rPr>
      <w:rFonts w:ascii="Courier New" w:eastAsia="Courier New"/>
      <w:b/>
      <w:sz w:val="32"/>
      <w:szCs w:val="32"/>
    </w:rPr>
  </w:style>
  <w:style w:type="paragraph" w:customStyle="1" w:styleId="214">
    <w:name w:val="首行缩进"/>
    <w:basedOn w:val="1"/>
    <w:next w:val="2"/>
    <w:qFormat/>
    <w:uiPriority w:val="0"/>
    <w:pPr>
      <w:spacing w:line="360" w:lineRule="auto"/>
      <w:ind w:firstLine="480" w:firstLineChars="200"/>
    </w:pPr>
    <w:rPr>
      <w:rFonts w:ascii="宋体"/>
      <w:sz w:val="24"/>
      <w:szCs w:val="20"/>
    </w:rPr>
  </w:style>
  <w:style w:type="character" w:customStyle="1" w:styleId="215">
    <w:name w:val="font31"/>
    <w:basedOn w:val="47"/>
    <w:qFormat/>
    <w:uiPriority w:val="0"/>
    <w:rPr>
      <w:rFonts w:hint="default" w:ascii="仿宋_GB2312" w:eastAsia="仿宋_GB2312" w:cs="仿宋_GB2312"/>
      <w:color w:val="000000"/>
      <w:sz w:val="22"/>
      <w:szCs w:val="22"/>
      <w:u w:val="none"/>
    </w:rPr>
  </w:style>
  <w:style w:type="character" w:customStyle="1" w:styleId="216">
    <w:name w:val="font131"/>
    <w:basedOn w:val="47"/>
    <w:qFormat/>
    <w:uiPriority w:val="0"/>
    <w:rPr>
      <w:rFonts w:hint="eastAsia" w:ascii="宋体" w:hAnsi="宋体" w:eastAsia="宋体" w:cs="宋体"/>
      <w:color w:val="000000"/>
      <w:sz w:val="22"/>
      <w:szCs w:val="22"/>
      <w:u w:val="none"/>
    </w:rPr>
  </w:style>
  <w:style w:type="character" w:customStyle="1" w:styleId="217">
    <w:name w:val="NormalCharacter"/>
    <w:link w:val="218"/>
    <w:qFormat/>
    <w:uiPriority w:val="0"/>
    <w:rPr>
      <w:rFonts w:ascii="Calibri"/>
      <w:szCs w:val="22"/>
    </w:rPr>
  </w:style>
  <w:style w:type="paragraph" w:customStyle="1" w:styleId="218">
    <w:name w:val="UserStyle_127"/>
    <w:basedOn w:val="1"/>
    <w:link w:val="217"/>
    <w:qFormat/>
    <w:uiPriority w:val="0"/>
    <w:pPr>
      <w:spacing w:after="160" w:line="240" w:lineRule="exact"/>
      <w:jc w:val="left"/>
    </w:pPr>
    <w:rPr>
      <w:rFonts w:ascii="Calibri"/>
      <w:szCs w:val="22"/>
    </w:rPr>
  </w:style>
  <w:style w:type="character" w:customStyle="1" w:styleId="219">
    <w:name w:val="hover29"/>
    <w:basedOn w:val="47"/>
    <w:qFormat/>
    <w:uiPriority w:val="0"/>
    <w:rPr>
      <w:color w:val="315EFB"/>
    </w:rPr>
  </w:style>
  <w:style w:type="character" w:customStyle="1" w:styleId="220">
    <w:name w:val="hover30"/>
    <w:basedOn w:val="47"/>
    <w:qFormat/>
    <w:uiPriority w:val="0"/>
    <w:rPr>
      <w:color w:val="315EFB"/>
      <w:shd w:val="clear" w:fill="F0F3FD"/>
    </w:rPr>
  </w:style>
  <w:style w:type="character" w:customStyle="1" w:styleId="221">
    <w:name w:val="hover31"/>
    <w:basedOn w:val="47"/>
    <w:qFormat/>
    <w:uiPriority w:val="0"/>
  </w:style>
  <w:style w:type="character" w:customStyle="1" w:styleId="222">
    <w:name w:val="hover32"/>
    <w:basedOn w:val="47"/>
    <w:qFormat/>
    <w:uiPriority w:val="0"/>
    <w:rPr>
      <w:color w:val="315EFB"/>
    </w:rPr>
  </w:style>
  <w:style w:type="character" w:customStyle="1" w:styleId="223">
    <w:name w:val="c-icon32"/>
    <w:basedOn w:val="47"/>
    <w:qFormat/>
    <w:uiPriority w:val="0"/>
  </w:style>
  <w:style w:type="character" w:customStyle="1" w:styleId="224">
    <w:name w:val="ec_d20_recomm_link1"/>
    <w:basedOn w:val="47"/>
    <w:qFormat/>
    <w:uiPriority w:val="0"/>
    <w:rPr>
      <w:shd w:val="clear" w:fill="F5F5F6"/>
    </w:rPr>
  </w:style>
  <w:style w:type="paragraph" w:customStyle="1" w:styleId="225">
    <w:name w:val="中等深浅网格 2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91</Pages>
  <Words>47881</Words>
  <Characters>50150</Characters>
  <Lines>370</Lines>
  <Paragraphs>104</Paragraphs>
  <TotalTime>38</TotalTime>
  <ScaleCrop>false</ScaleCrop>
  <LinksUpToDate>false</LinksUpToDate>
  <CharactersWithSpaces>52676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2022-09-30T20:37:00Z</dcterms:created>
  <dc:creator>微软用户</dc:creator>
  <cp:lastModifiedBy>唐稳</cp:lastModifiedBy>
  <cp:lastPrinted>2023-05-06T06:01:00Z</cp:lastPrinted>
  <dcterms:modified xsi:type="dcterms:W3CDTF">2024-08-21T09:47:56Z</dcterms:modified>
  <dc:title>杭州下沙服务外包人才培训基地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4703AD8732F6436491D022F6B19D6AE7_13</vt:lpwstr>
  </property>
</Properties>
</file>