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B5DCA">
      <w:pPr>
        <w:adjustRightInd w:val="0"/>
        <w:snapToGrid w:val="0"/>
        <w:spacing w:line="360" w:lineRule="auto"/>
        <w:rPr>
          <w:rFonts w:hint="eastAsia" w:ascii="仿宋" w:hAnsi="仿宋" w:eastAsia="仿宋" w:cs="仿宋"/>
          <w:color w:val="auto"/>
          <w:w w:val="80"/>
          <w:sz w:val="52"/>
          <w:szCs w:val="52"/>
          <w:highlight w:val="none"/>
          <w:lang w:bidi="th-TH"/>
        </w:rPr>
      </w:pPr>
    </w:p>
    <w:p w14:paraId="3AF877D6">
      <w:pPr>
        <w:pStyle w:val="19"/>
        <w:adjustRightInd w:val="0"/>
        <w:snapToGrid w:val="0"/>
        <w:spacing w:line="360" w:lineRule="auto"/>
        <w:ind w:firstLine="0"/>
        <w:rPr>
          <w:rFonts w:hint="eastAsia" w:ascii="仿宋" w:hAnsi="仿宋" w:eastAsia="仿宋" w:cs="仿宋"/>
          <w:color w:val="auto"/>
          <w:highlight w:val="none"/>
        </w:rPr>
      </w:pPr>
    </w:p>
    <w:p w14:paraId="74794E04">
      <w:pPr>
        <w:rPr>
          <w:rFonts w:hint="eastAsia" w:ascii="仿宋" w:hAnsi="仿宋" w:eastAsia="仿宋" w:cs="仿宋"/>
          <w:color w:val="auto"/>
          <w:highlight w:val="none"/>
        </w:rPr>
      </w:pPr>
    </w:p>
    <w:p w14:paraId="20FFC5CC">
      <w:pPr>
        <w:pStyle w:val="19"/>
        <w:adjustRightInd w:val="0"/>
        <w:snapToGrid w:val="0"/>
        <w:spacing w:line="360" w:lineRule="auto"/>
        <w:ind w:firstLine="0"/>
        <w:rPr>
          <w:rFonts w:hint="eastAsia" w:ascii="仿宋" w:hAnsi="仿宋" w:eastAsia="仿宋" w:cs="仿宋"/>
          <w:color w:val="auto"/>
          <w:highlight w:val="none"/>
        </w:rPr>
      </w:pPr>
    </w:p>
    <w:p w14:paraId="4BE28805">
      <w:pPr>
        <w:pStyle w:val="64"/>
        <w:widowControl w:val="0"/>
        <w:adjustRightInd w:val="0"/>
        <w:snapToGrid w:val="0"/>
        <w:spacing w:line="360" w:lineRule="auto"/>
        <w:ind w:firstLine="0"/>
        <w:jc w:val="center"/>
        <w:rPr>
          <w:rFonts w:hint="eastAsia" w:ascii="仿宋" w:hAnsi="仿宋" w:eastAsia="仿宋" w:cs="仿宋"/>
          <w:color w:val="000000" w:themeColor="text1"/>
          <w:sz w:val="44"/>
          <w:szCs w:val="44"/>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白杨街道凌云未来社区用房</w:t>
      </w:r>
    </w:p>
    <w:p w14:paraId="71968957">
      <w:pPr>
        <w:pStyle w:val="64"/>
        <w:widowControl w:val="0"/>
        <w:adjustRightInd w:val="0"/>
        <w:snapToGrid w:val="0"/>
        <w:spacing w:line="360" w:lineRule="auto"/>
        <w:ind w:firstLine="0"/>
        <w:jc w:val="center"/>
        <w:rPr>
          <w:rFonts w:hint="eastAsia" w:ascii="仿宋" w:hAnsi="仿宋" w:eastAsia="仿宋" w:cs="仿宋"/>
          <w:color w:val="000000" w:themeColor="text1"/>
          <w:sz w:val="44"/>
          <w:szCs w:val="44"/>
          <w:highlight w:val="none"/>
          <w:lang w:val="en-US"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广告设计制作一体化项目</w:t>
      </w:r>
    </w:p>
    <w:p w14:paraId="488F5156">
      <w:pPr>
        <w:adjustRightInd w:val="0"/>
        <w:snapToGrid w:val="0"/>
        <w:spacing w:line="360" w:lineRule="auto"/>
        <w:jc w:val="center"/>
        <w:rPr>
          <w:rFonts w:hint="eastAsia"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14:paraId="4608023B">
      <w:pPr>
        <w:pStyle w:val="18"/>
        <w:rPr>
          <w:rFonts w:hint="eastAsia" w:ascii="仿宋" w:hAnsi="仿宋" w:eastAsia="仿宋" w:cs="仿宋"/>
          <w:color w:val="auto"/>
          <w:highlight w:val="none"/>
        </w:rPr>
      </w:pPr>
    </w:p>
    <w:p w14:paraId="09DFAD71">
      <w:pPr>
        <w:jc w:val="center"/>
        <w:rPr>
          <w:rFonts w:hint="eastAsia" w:ascii="仿宋" w:hAnsi="仿宋" w:eastAsia="仿宋" w:cs="仿宋"/>
          <w:b/>
          <w:color w:val="auto"/>
          <w:szCs w:val="84"/>
          <w:highlight w:val="none"/>
        </w:rPr>
      </w:pPr>
    </w:p>
    <w:p w14:paraId="213EF1CB">
      <w:pPr>
        <w:jc w:val="center"/>
        <w:rPr>
          <w:rFonts w:hint="eastAsia" w:ascii="仿宋" w:hAnsi="仿宋" w:eastAsia="仿宋" w:cs="仿宋"/>
          <w:b/>
          <w:color w:val="auto"/>
          <w:szCs w:val="84"/>
          <w:highlight w:val="none"/>
        </w:rPr>
      </w:pPr>
    </w:p>
    <w:p w14:paraId="1D808A2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14:paraId="1C22C19B">
      <w:pPr>
        <w:jc w:val="center"/>
        <w:rPr>
          <w:rFonts w:hint="eastAsia" w:ascii="仿宋" w:hAnsi="仿宋" w:eastAsia="仿宋" w:cs="仿宋"/>
          <w:b/>
          <w:color w:val="auto"/>
          <w:szCs w:val="84"/>
          <w:highlight w:val="none"/>
        </w:rPr>
      </w:pPr>
    </w:p>
    <w:p w14:paraId="08D51EDB">
      <w:pPr>
        <w:jc w:val="center"/>
        <w:rPr>
          <w:rFonts w:hint="eastAsia" w:ascii="仿宋" w:hAnsi="仿宋" w:eastAsia="仿宋" w:cs="仿宋"/>
          <w:b/>
          <w:color w:val="auto"/>
          <w:szCs w:val="84"/>
          <w:highlight w:val="none"/>
        </w:rPr>
      </w:pPr>
    </w:p>
    <w:p w14:paraId="41C20BB2">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QTCG-GK-2024-295</w:t>
      </w:r>
    </w:p>
    <w:p w14:paraId="2C96103D">
      <w:pPr>
        <w:pStyle w:val="28"/>
        <w:ind w:left="5250"/>
        <w:rPr>
          <w:rFonts w:hint="eastAsia" w:ascii="仿宋" w:hAnsi="仿宋" w:eastAsia="仿宋" w:cs="仿宋"/>
          <w:b/>
          <w:color w:val="auto"/>
          <w:szCs w:val="28"/>
          <w:highlight w:val="none"/>
        </w:rPr>
      </w:pPr>
    </w:p>
    <w:p w14:paraId="4EFF6CC8">
      <w:pPr>
        <w:rPr>
          <w:rFonts w:hint="eastAsia" w:ascii="仿宋" w:hAnsi="仿宋" w:eastAsia="仿宋" w:cs="仿宋"/>
          <w:b/>
          <w:color w:val="auto"/>
          <w:highlight w:val="none"/>
        </w:rPr>
      </w:pPr>
    </w:p>
    <w:p w14:paraId="1263F14D">
      <w:pPr>
        <w:rPr>
          <w:rFonts w:hint="eastAsia" w:ascii="仿宋" w:hAnsi="仿宋" w:eastAsia="仿宋" w:cs="仿宋"/>
          <w:b/>
          <w:color w:val="auto"/>
          <w:highlight w:val="none"/>
        </w:rPr>
      </w:pPr>
    </w:p>
    <w:p w14:paraId="1E2BD733">
      <w:pPr>
        <w:rPr>
          <w:rFonts w:hint="eastAsia" w:ascii="仿宋" w:hAnsi="仿宋" w:eastAsia="仿宋" w:cs="仿宋"/>
          <w:b/>
          <w:color w:val="auto"/>
          <w:highlight w:val="none"/>
        </w:rPr>
      </w:pPr>
    </w:p>
    <w:p w14:paraId="6A1A012B">
      <w:pPr>
        <w:rPr>
          <w:rFonts w:hint="eastAsia" w:ascii="仿宋" w:hAnsi="仿宋" w:eastAsia="仿宋" w:cs="仿宋"/>
          <w:b/>
          <w:color w:val="auto"/>
          <w:highlight w:val="none"/>
        </w:rPr>
      </w:pPr>
    </w:p>
    <w:p w14:paraId="67114CEA">
      <w:pPr>
        <w:pStyle w:val="61"/>
        <w:rPr>
          <w:rFonts w:hint="eastAsia" w:ascii="仿宋" w:hAnsi="仿宋" w:eastAsia="仿宋" w:cs="仿宋"/>
          <w:color w:val="auto"/>
          <w:highlight w:val="none"/>
        </w:rPr>
      </w:pPr>
    </w:p>
    <w:p w14:paraId="4A9CB8FD">
      <w:pPr>
        <w:rPr>
          <w:rFonts w:hint="eastAsia" w:ascii="仿宋" w:hAnsi="仿宋" w:eastAsia="仿宋" w:cs="仿宋"/>
          <w:b/>
          <w:color w:val="auto"/>
          <w:highlight w:val="none"/>
        </w:rPr>
      </w:pPr>
    </w:p>
    <w:p w14:paraId="53B765F3">
      <w:pPr>
        <w:rPr>
          <w:rFonts w:hint="eastAsia" w:ascii="仿宋" w:hAnsi="仿宋" w:eastAsia="仿宋" w:cs="仿宋"/>
          <w:b/>
          <w:color w:val="auto"/>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2698F8C5">
        <w:tblPrEx>
          <w:tblCellMar>
            <w:top w:w="0" w:type="dxa"/>
            <w:left w:w="108" w:type="dxa"/>
            <w:bottom w:w="0" w:type="dxa"/>
            <w:right w:w="108" w:type="dxa"/>
          </w:tblCellMar>
        </w:tblPrEx>
        <w:trPr>
          <w:trHeight w:val="680" w:hRule="atLeast"/>
          <w:jc w:val="center"/>
        </w:trPr>
        <w:tc>
          <w:tcPr>
            <w:tcW w:w="2160" w:type="dxa"/>
            <w:noWrap/>
            <w:vAlign w:val="center"/>
          </w:tcPr>
          <w:p w14:paraId="3BA2AA5C">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14:paraId="348094BB">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11B6802E">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杭州市钱塘区人民政府</w:t>
            </w:r>
          </w:p>
          <w:p w14:paraId="7B22049C">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白杨街道办事处</w:t>
            </w:r>
          </w:p>
        </w:tc>
      </w:tr>
      <w:tr w14:paraId="74753E61">
        <w:tblPrEx>
          <w:tblCellMar>
            <w:top w:w="0" w:type="dxa"/>
            <w:left w:w="108" w:type="dxa"/>
            <w:bottom w:w="0" w:type="dxa"/>
            <w:right w:w="108" w:type="dxa"/>
          </w:tblCellMar>
        </w:tblPrEx>
        <w:trPr>
          <w:trHeight w:val="297" w:hRule="atLeast"/>
          <w:jc w:val="center"/>
        </w:trPr>
        <w:tc>
          <w:tcPr>
            <w:tcW w:w="2160" w:type="dxa"/>
            <w:noWrap/>
            <w:vAlign w:val="center"/>
          </w:tcPr>
          <w:p w14:paraId="0F38E229">
            <w:pPr>
              <w:snapToGrid w:val="0"/>
              <w:jc w:val="distribute"/>
              <w:rPr>
                <w:rFonts w:hint="eastAsia" w:ascii="仿宋" w:hAnsi="仿宋" w:eastAsia="仿宋" w:cs="仿宋"/>
                <w:b/>
                <w:color w:val="auto"/>
                <w:sz w:val="22"/>
                <w:szCs w:val="22"/>
                <w:highlight w:val="none"/>
              </w:rPr>
            </w:pPr>
          </w:p>
        </w:tc>
        <w:tc>
          <w:tcPr>
            <w:tcW w:w="260" w:type="dxa"/>
            <w:noWrap/>
            <w:vAlign w:val="center"/>
          </w:tcPr>
          <w:p w14:paraId="6899E884">
            <w:pPr>
              <w:snapToGrid w:val="0"/>
              <w:jc w:val="distribute"/>
              <w:rPr>
                <w:rFonts w:hint="eastAsia" w:ascii="仿宋" w:hAnsi="仿宋" w:eastAsia="仿宋" w:cs="仿宋"/>
                <w:b/>
                <w:color w:val="auto"/>
                <w:sz w:val="22"/>
                <w:szCs w:val="22"/>
                <w:highlight w:val="none"/>
              </w:rPr>
            </w:pPr>
          </w:p>
        </w:tc>
        <w:tc>
          <w:tcPr>
            <w:tcW w:w="3824" w:type="dxa"/>
            <w:noWrap/>
            <w:vAlign w:val="center"/>
          </w:tcPr>
          <w:p w14:paraId="426B9FDE">
            <w:pPr>
              <w:snapToGrid w:val="0"/>
              <w:jc w:val="distribute"/>
              <w:rPr>
                <w:rFonts w:hint="eastAsia" w:ascii="仿宋" w:hAnsi="仿宋" w:eastAsia="仿宋" w:cs="仿宋"/>
                <w:b/>
                <w:color w:val="auto"/>
                <w:sz w:val="22"/>
                <w:szCs w:val="22"/>
                <w:highlight w:val="none"/>
              </w:rPr>
            </w:pPr>
          </w:p>
        </w:tc>
      </w:tr>
      <w:tr w14:paraId="3E9989F1">
        <w:tblPrEx>
          <w:tblCellMar>
            <w:top w:w="0" w:type="dxa"/>
            <w:left w:w="108" w:type="dxa"/>
            <w:bottom w:w="0" w:type="dxa"/>
            <w:right w:w="108" w:type="dxa"/>
          </w:tblCellMar>
        </w:tblPrEx>
        <w:trPr>
          <w:trHeight w:val="680" w:hRule="atLeast"/>
          <w:jc w:val="center"/>
        </w:trPr>
        <w:tc>
          <w:tcPr>
            <w:tcW w:w="2160" w:type="dxa"/>
            <w:noWrap/>
            <w:vAlign w:val="center"/>
          </w:tcPr>
          <w:p w14:paraId="4918F31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14:paraId="390BF0C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269359E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000000" w:themeColor="text1"/>
                <w:sz w:val="32"/>
                <w:szCs w:val="32"/>
                <w:highlight w:val="none"/>
                <w14:textFill>
                  <w14:solidFill>
                    <w14:schemeClr w14:val="tx1"/>
                  </w14:solidFill>
                </w14:textFill>
              </w:rPr>
              <w:t>浙江国际招投标有限公司</w:t>
            </w:r>
          </w:p>
        </w:tc>
      </w:tr>
      <w:tr w14:paraId="75EB19BE">
        <w:tblPrEx>
          <w:tblCellMar>
            <w:top w:w="0" w:type="dxa"/>
            <w:left w:w="108" w:type="dxa"/>
            <w:bottom w:w="0" w:type="dxa"/>
            <w:right w:w="108" w:type="dxa"/>
          </w:tblCellMar>
        </w:tblPrEx>
        <w:trPr>
          <w:trHeight w:val="462" w:hRule="atLeast"/>
          <w:jc w:val="center"/>
        </w:trPr>
        <w:tc>
          <w:tcPr>
            <w:tcW w:w="2160" w:type="dxa"/>
            <w:noWrap/>
            <w:vAlign w:val="center"/>
          </w:tcPr>
          <w:p w14:paraId="1D6BAD4C">
            <w:pPr>
              <w:snapToGrid w:val="0"/>
              <w:jc w:val="distribute"/>
              <w:rPr>
                <w:rFonts w:hint="eastAsia" w:ascii="仿宋" w:hAnsi="仿宋" w:eastAsia="仿宋" w:cs="仿宋"/>
                <w:b/>
                <w:color w:val="auto"/>
                <w:sz w:val="30"/>
                <w:szCs w:val="30"/>
                <w:highlight w:val="none"/>
              </w:rPr>
            </w:pPr>
          </w:p>
        </w:tc>
        <w:tc>
          <w:tcPr>
            <w:tcW w:w="260" w:type="dxa"/>
            <w:noWrap/>
            <w:vAlign w:val="center"/>
          </w:tcPr>
          <w:p w14:paraId="67B618EF">
            <w:pPr>
              <w:snapToGrid w:val="0"/>
              <w:jc w:val="distribute"/>
              <w:rPr>
                <w:rFonts w:hint="eastAsia" w:ascii="仿宋" w:hAnsi="仿宋" w:eastAsia="仿宋" w:cs="仿宋"/>
                <w:b/>
                <w:color w:val="auto"/>
                <w:sz w:val="30"/>
                <w:szCs w:val="30"/>
                <w:highlight w:val="none"/>
              </w:rPr>
            </w:pPr>
          </w:p>
        </w:tc>
        <w:tc>
          <w:tcPr>
            <w:tcW w:w="3824" w:type="dxa"/>
            <w:noWrap/>
            <w:vAlign w:val="center"/>
          </w:tcPr>
          <w:p w14:paraId="1082FF47">
            <w:pPr>
              <w:snapToGrid w:val="0"/>
              <w:jc w:val="distribute"/>
              <w:rPr>
                <w:rFonts w:hint="eastAsia" w:ascii="仿宋" w:hAnsi="仿宋" w:eastAsia="仿宋" w:cs="仿宋"/>
                <w:b/>
                <w:color w:val="auto"/>
                <w:sz w:val="30"/>
                <w:szCs w:val="30"/>
                <w:highlight w:val="none"/>
              </w:rPr>
            </w:pPr>
          </w:p>
        </w:tc>
      </w:tr>
      <w:tr w14:paraId="4438D1BA">
        <w:tblPrEx>
          <w:tblCellMar>
            <w:top w:w="0" w:type="dxa"/>
            <w:left w:w="108" w:type="dxa"/>
            <w:bottom w:w="0" w:type="dxa"/>
            <w:right w:w="108" w:type="dxa"/>
          </w:tblCellMar>
        </w:tblPrEx>
        <w:trPr>
          <w:trHeight w:val="680" w:hRule="atLeast"/>
          <w:jc w:val="center"/>
        </w:trPr>
        <w:tc>
          <w:tcPr>
            <w:tcW w:w="6244" w:type="dxa"/>
            <w:gridSpan w:val="3"/>
            <w:noWrap/>
            <w:vAlign w:val="bottom"/>
          </w:tcPr>
          <w:p w14:paraId="5B791192">
            <w:pPr>
              <w:snapToGrid w:val="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p>
        </w:tc>
      </w:tr>
    </w:tbl>
    <w:p w14:paraId="4544EBA5">
      <w:pPr>
        <w:pStyle w:val="26"/>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32"/>
          <w:szCs w:val="32"/>
          <w:highlight w:val="none"/>
        </w:rPr>
        <w:t>目    录</w:t>
      </w:r>
    </w:p>
    <w:p w14:paraId="1B39BEC9">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 w:val="24"/>
          <w:szCs w:val="40"/>
          <w:highlight w:val="none"/>
        </w:rPr>
        <w:t>第一部分  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_Toc13451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p>
    <w:p w14:paraId="08A3B55D">
      <w:pPr>
        <w:pStyle w:val="37"/>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前 附 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p>
    <w:p w14:paraId="61A5F75E">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第二部分  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_Toc28292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p>
    <w:p w14:paraId="0AA2E69E">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_Toc11107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p>
    <w:p w14:paraId="4BF92740">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第四部分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p>
    <w:p w14:paraId="4B6AE201">
      <w:pPr>
        <w:pStyle w:val="37"/>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36"/>
          <w:highlight w:val="none"/>
        </w:rPr>
        <w:t>评标办法前附表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_Toc11969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p>
    <w:p w14:paraId="2585D74F">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第五部分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p>
    <w:p w14:paraId="0E514CA2">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40"/>
          <w:highlight w:val="none"/>
        </w:rPr>
        <w:t>第六部分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_Toc21370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p>
    <w:p w14:paraId="49D5614E">
      <w:pPr>
        <w:pStyle w:val="37"/>
        <w:tabs>
          <w:tab w:val="right" w:leader="dot" w:pos="8306"/>
          <w:tab w:val="clear" w:pos="8720"/>
        </w:tabs>
        <w:rPr>
          <w:rFonts w:hint="eastAsia" w:ascii="仿宋" w:hAnsi="仿宋" w:eastAsia="仿宋" w:cs="仿宋"/>
          <w:color w:val="auto"/>
          <w:highlight w:val="none"/>
        </w:rPr>
      </w:pPr>
    </w:p>
    <w:p w14:paraId="4A88E7DD">
      <w:pPr>
        <w:pStyle w:val="2"/>
        <w:tabs>
          <w:tab w:val="right" w:leader="dot" w:pos="8306"/>
          <w:tab w:val="clear" w:pos="8720"/>
        </w:tabs>
        <w:rPr>
          <w:rFonts w:hint="eastAsia" w:ascii="仿宋" w:hAnsi="仿宋" w:eastAsia="仿宋" w:cs="仿宋"/>
          <w:color w:val="auto"/>
          <w:highlight w:val="none"/>
        </w:rPr>
      </w:pPr>
    </w:p>
    <w:p w14:paraId="2597B8A0">
      <w:pPr>
        <w:jc w:val="center"/>
        <w:rPr>
          <w:rFonts w:hint="eastAsia"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14:paraId="51BFB739">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bookmarkStart w:id="0" w:name="_Toc13451"/>
      <w:bookmarkStart w:id="1" w:name="_Toc21665"/>
      <w:r>
        <w:rPr>
          <w:rFonts w:hint="eastAsia" w:ascii="仿宋" w:hAnsi="仿宋" w:eastAsia="仿宋" w:cs="仿宋"/>
          <w:b/>
          <w:color w:val="auto"/>
          <w:sz w:val="30"/>
          <w:szCs w:val="30"/>
          <w:highlight w:val="none"/>
        </w:rPr>
        <w:t>第一部分  采购公告</w:t>
      </w:r>
      <w:bookmarkEnd w:id="0"/>
      <w:bookmarkEnd w:id="1"/>
    </w:p>
    <w:p w14:paraId="6284EB45">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14:paraId="2C3A755C">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白杨街道凌云未来社区用房广告设计制作一体化项目</w:t>
      </w:r>
      <w:r>
        <w:rPr>
          <w:rFonts w:hint="eastAsia" w:ascii="仿宋" w:hAnsi="仿宋" w:eastAsia="仿宋" w:cs="仿宋"/>
          <w:color w:val="auto"/>
          <w:kern w:val="0"/>
          <w:sz w:val="24"/>
          <w:highlight w:val="none"/>
        </w:rPr>
        <w:t xml:space="preserve">招标项目的潜在投标人应在政采云平台线上获取（下载）招标文件，并于 </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01月03日</w:t>
      </w:r>
      <w:r>
        <w:rPr>
          <w:rFonts w:hint="eastAsia" w:ascii="仿宋" w:hAnsi="仿宋" w:eastAsia="仿宋" w:cs="仿宋"/>
          <w:color w:val="auto"/>
          <w:kern w:val="0"/>
          <w:sz w:val="24"/>
          <w:highlight w:val="none"/>
        </w:rPr>
        <w:t xml:space="preserve"> 09:30（北京时间）前递交（上传）投标文件。      </w:t>
      </w:r>
    </w:p>
    <w:p w14:paraId="1ED53EFD">
      <w:pPr>
        <w:pStyle w:val="41"/>
        <w:adjustRightInd w:val="0"/>
        <w:snapToGrid w:val="0"/>
        <w:spacing w:beforeAutospacing="0" w:afterAutospacing="0" w:line="360" w:lineRule="auto"/>
        <w:jc w:val="both"/>
        <w:rPr>
          <w:rFonts w:hint="eastAsia" w:ascii="仿宋" w:hAnsi="仿宋" w:eastAsia="仿宋" w:cs="仿宋"/>
          <w:color w:val="auto"/>
          <w:sz w:val="24"/>
          <w:szCs w:val="24"/>
          <w:highlight w:val="none"/>
        </w:rPr>
      </w:pPr>
    </w:p>
    <w:p w14:paraId="20EEB42F">
      <w:pPr>
        <w:pStyle w:val="41"/>
        <w:adjustRightInd w:val="0"/>
        <w:snapToGrid w:val="0"/>
        <w:spacing w:beforeAutospacing="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14:paraId="264ABB8E">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QTCG-GK-2024-295</w:t>
      </w:r>
    </w:p>
    <w:p w14:paraId="48C9F5E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白杨街道凌云未来社区用房广告设计制作一体化项目</w:t>
      </w:r>
    </w:p>
    <w:p w14:paraId="6F7D2203">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900000</w:t>
      </w:r>
    </w:p>
    <w:p w14:paraId="016A30FA">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w:t>
      </w:r>
    </w:p>
    <w:p w14:paraId="6D011B39">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14:paraId="081AE0FD">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14:paraId="0CBA4953">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白杨街道凌云未来社区用房广告设计制作一体化项目</w:t>
      </w:r>
    </w:p>
    <w:p w14:paraId="60C330CA">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中小企业政策： 中小企业预留</w:t>
      </w:r>
    </w:p>
    <w:p w14:paraId="60B4EC78">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14:paraId="16933427">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900000</w:t>
      </w:r>
    </w:p>
    <w:p w14:paraId="5B4308B1">
      <w:pPr>
        <w:pStyle w:val="41"/>
        <w:adjustRightInd w:val="0"/>
        <w:snapToGrid w:val="0"/>
        <w:spacing w:beforeAutospacing="0" w:afterAutospacing="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简要规格描述或项目基本概况</w:t>
      </w:r>
      <w:r>
        <w:rPr>
          <w:rFonts w:hint="eastAsia" w:ascii="仿宋" w:hAnsi="仿宋" w:eastAsia="仿宋" w:cs="仿宋"/>
          <w:color w:val="auto"/>
          <w:sz w:val="24"/>
          <w:szCs w:val="24"/>
          <w:highlight w:val="none"/>
          <w:lang w:eastAsia="zh-CN"/>
        </w:rPr>
        <w:t>介绍、用途：根据采购人要求，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白杨街道凌云社区未来社区用房</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进行改造，其中</w:t>
      </w:r>
      <w:r>
        <w:rPr>
          <w:rFonts w:hint="eastAsia" w:ascii="仿宋" w:hAnsi="仿宋" w:eastAsia="仿宋" w:cs="仿宋"/>
          <w:color w:val="000000" w:themeColor="text1"/>
          <w:sz w:val="24"/>
          <w:szCs w:val="24"/>
          <w:highlight w:val="none"/>
          <w:lang w:eastAsia="zh-CN"/>
          <w14:textFill>
            <w14:solidFill>
              <w14:schemeClr w14:val="tx1"/>
            </w14:solidFill>
          </w14:textFill>
        </w:rPr>
        <w:t>一楼拟建成居家养老服务照料中心，二楼拟建成党群服务中心。</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本项目工作包括</w:t>
      </w:r>
      <w:r>
        <w:rPr>
          <w:rFonts w:hint="eastAsia" w:ascii="仿宋" w:hAnsi="仿宋" w:eastAsia="仿宋" w:cs="仿宋"/>
          <w:color w:val="000000" w:themeColor="text1"/>
          <w:sz w:val="24"/>
          <w:szCs w:val="24"/>
          <w:highlight w:val="none"/>
          <w14:textFill>
            <w14:solidFill>
              <w14:schemeClr w14:val="tx1"/>
            </w14:solidFill>
          </w14:textFill>
        </w:rPr>
        <w:t>广告</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或展陈、展示设施等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设计、制作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布置</w:t>
      </w:r>
      <w:r>
        <w:rPr>
          <w:rFonts w:hint="eastAsia" w:ascii="仿宋" w:hAnsi="仿宋" w:eastAsia="仿宋" w:cs="仿宋"/>
          <w:color w:val="000000" w:themeColor="text1"/>
          <w:sz w:val="24"/>
          <w:szCs w:val="24"/>
          <w:highlight w:val="none"/>
          <w14:textFill>
            <w14:solidFill>
              <w14:schemeClr w14:val="tx1"/>
            </w14:solidFill>
          </w14:textFill>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全过程内容</w:t>
      </w:r>
      <w:r>
        <w:rPr>
          <w:rFonts w:hint="eastAsia" w:ascii="仿宋" w:hAnsi="仿宋" w:eastAsia="仿宋" w:cs="仿宋"/>
          <w:color w:val="000000" w:themeColor="text1"/>
          <w:sz w:val="24"/>
          <w:szCs w:val="24"/>
          <w:highlight w:val="none"/>
          <w14:textFill>
            <w14:solidFill>
              <w14:schemeClr w14:val="tx1"/>
            </w14:solidFill>
          </w14:textFill>
        </w:rPr>
        <w:t>。供应商可点击本公告下方“浏览采购文件”查看采购需求。</w:t>
      </w:r>
    </w:p>
    <w:p w14:paraId="436FA85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5B799C6">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14:paraId="45D79685">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000000" w:themeColor="text1"/>
          <w:sz w:val="24"/>
          <w:szCs w:val="24"/>
          <w:highlight w:val="none"/>
          <w14:textFill>
            <w14:solidFill>
              <w14:schemeClr w14:val="tx1"/>
            </w14:solidFill>
          </w14:textFill>
        </w:rPr>
        <w:t>合同签订生效后</w:t>
      </w:r>
      <w:r>
        <w:rPr>
          <w:rFonts w:hint="eastAsia" w:ascii="仿宋" w:hAnsi="仿宋" w:eastAsia="仿宋" w:cs="仿宋"/>
          <w:color w:val="000000" w:themeColor="text1"/>
          <w:sz w:val="24"/>
          <w:szCs w:val="24"/>
          <w:highlight w:val="none"/>
          <w:lang w:val="en-US" w:eastAsia="zh-CN"/>
          <w14:textFill>
            <w14:solidFill>
              <w14:schemeClr w14:val="tx1"/>
            </w14:solidFill>
          </w14:textFill>
        </w:rPr>
        <w:t>90</w:t>
      </w:r>
      <w:r>
        <w:rPr>
          <w:rFonts w:hint="eastAsia" w:ascii="仿宋" w:hAnsi="仿宋" w:eastAsia="仿宋" w:cs="仿宋"/>
          <w:color w:val="000000" w:themeColor="text1"/>
          <w:sz w:val="24"/>
          <w:szCs w:val="24"/>
          <w:highlight w:val="none"/>
          <w14:textFill>
            <w14:solidFill>
              <w14:schemeClr w14:val="tx1"/>
            </w14:solidFill>
          </w14:textFill>
        </w:rPr>
        <w:t>天完成所有内容并通过验收。</w:t>
      </w:r>
      <w:r>
        <w:rPr>
          <w:rFonts w:hint="eastAsia" w:ascii="仿宋" w:hAnsi="仿宋" w:eastAsia="仿宋" w:cs="仿宋"/>
          <w:color w:val="auto"/>
          <w:sz w:val="24"/>
          <w:szCs w:val="24"/>
          <w:highlight w:val="none"/>
        </w:rPr>
        <w:t>具体起止时间按采购人要求。</w:t>
      </w:r>
    </w:p>
    <w:p w14:paraId="21A65592">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14:paraId="4FF14333">
      <w:pPr>
        <w:pStyle w:val="41"/>
        <w:adjustRightInd w:val="0"/>
        <w:snapToGrid w:val="0"/>
        <w:spacing w:beforeAutospacing="0" w:afterAutospacing="0"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7E9635D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ADE33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rPr>
        <w:t>。</w:t>
      </w:r>
    </w:p>
    <w:p w14:paraId="0CB65F4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w:t>
      </w:r>
    </w:p>
    <w:p w14:paraId="2B5FA7C0">
      <w:pPr>
        <w:pStyle w:val="41"/>
        <w:adjustRightInd w:val="0"/>
        <w:snapToGrid w:val="0"/>
        <w:spacing w:beforeAutospacing="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14:paraId="3E88AAD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01月03日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B82B41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color w:val="auto"/>
          <w:sz w:val="24"/>
          <w:highlight w:val="none"/>
        </w:rPr>
        <w:t xml:space="preserve"> </w:t>
      </w:r>
    </w:p>
    <w:p w14:paraId="24444D3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7DF29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6B4221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13371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01月03日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14:paraId="4F96FB2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投标地点（网址）：请登录政采云投标客户端投标</w:t>
      </w:r>
      <w:r>
        <w:rPr>
          <w:rFonts w:hint="eastAsia" w:ascii="仿宋" w:hAnsi="仿宋" w:eastAsia="仿宋" w:cs="仿宋"/>
          <w:color w:val="auto"/>
          <w:sz w:val="24"/>
          <w:highlight w:val="none"/>
        </w:rPr>
        <w:t xml:space="preserve"> </w:t>
      </w:r>
    </w:p>
    <w:p w14:paraId="3142E22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01月03日</w:t>
      </w:r>
      <w:r>
        <w:rPr>
          <w:rFonts w:hint="eastAsia" w:ascii="仿宋" w:hAnsi="仿宋" w:eastAsia="仿宋" w:cs="仿宋"/>
          <w:color w:val="auto"/>
          <w:sz w:val="24"/>
          <w:highlight w:val="none"/>
          <w:u w:val="single"/>
        </w:rPr>
        <w:t>09:30</w:t>
      </w:r>
    </w:p>
    <w:p w14:paraId="3AEBCA3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62074A61">
      <w:pPr>
        <w:spacing w:line="360" w:lineRule="auto"/>
        <w:ind w:firstLine="1446" w:firstLineChars="6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（线下）：</w:t>
      </w:r>
      <w:r>
        <w:rPr>
          <w:rFonts w:hint="eastAsia" w:ascii="仿宋" w:hAnsi="仿宋" w:eastAsia="仿宋" w:cs="仿宋"/>
          <w:color w:val="000000" w:themeColor="text1"/>
          <w:sz w:val="24"/>
          <w:highlight w:val="none"/>
          <w:lang w:val="en-US" w:eastAsia="zh-CN"/>
          <w14:textFill>
            <w14:solidFill>
              <w14:schemeClr w14:val="tx1"/>
            </w14:solidFill>
          </w14:textFill>
        </w:rPr>
        <w:t>杭州市钱塘区金沙大道600号东楼6楼5号开标室</w:t>
      </w:r>
    </w:p>
    <w:p w14:paraId="4255F33F">
      <w:pPr>
        <w:numPr>
          <w:ilvl w:val="0"/>
          <w:numId w:val="1"/>
        </w:num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采购意向公开链接</w:t>
      </w:r>
    </w:p>
    <w:p w14:paraId="15758AB2">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https://zfcg.czt.zj.gov.cn/luban/detail?parentId=600007&amp;articleId=9F9cam1rnBnKy8VsHMkM7A==&amp;utm=web-micro-app-back-front.124d4c4f.0.0.dad3494065e911efa726c53912cad112</w:t>
      </w:r>
    </w:p>
    <w:p w14:paraId="714B084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六、公告期限 </w:t>
      </w:r>
    </w:p>
    <w:p w14:paraId="430A49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ECCDF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5E639C4">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920F74C">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8B96F7">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62B61A">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422B1571">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4970C3A9">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C31854C">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14:paraId="7568DB41">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3706E695">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14:paraId="28CB9DD8">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w:t>
      </w:r>
      <w:r>
        <w:rPr>
          <w:rFonts w:hint="eastAsia" w:ascii="仿宋" w:hAnsi="仿宋" w:eastAsia="仿宋" w:cs="仿宋"/>
          <w:color w:val="auto"/>
          <w:sz w:val="24"/>
          <w:szCs w:val="24"/>
          <w:highlight w:val="none"/>
          <w:lang w:val="en-US" w:eastAsia="zh-CN"/>
        </w:rPr>
        <w:t>登陆</w:t>
      </w:r>
      <w:r>
        <w:rPr>
          <w:rFonts w:hint="eastAsia" w:ascii="仿宋" w:hAnsi="仿宋" w:eastAsia="仿宋" w:cs="仿宋"/>
          <w:color w:val="auto"/>
          <w:sz w:val="24"/>
          <w:szCs w:val="24"/>
          <w:highlight w:val="none"/>
        </w:rPr>
        <w:t>杭州钱塘区管理委员会官网（http://qt.hangzhou.gov.cn） “公告公示”专栏，可查看信用融资政策文件及各相关银行服务方案。</w:t>
      </w:r>
    </w:p>
    <w:p w14:paraId="75B34EB8">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25143468">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DE6411">
      <w:pPr>
        <w:pStyle w:val="41"/>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（5）本项目采购文件公告期限为本公告发布之日起5个工作日。</w:t>
      </w:r>
    </w:p>
    <w:p w14:paraId="28332586">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14:paraId="06B73228">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FC4F795">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w:t>
      </w:r>
      <w:r>
        <w:rPr>
          <w:rFonts w:hint="eastAsia" w:ascii="仿宋" w:hAnsi="仿宋" w:eastAsia="仿宋" w:cs="仿宋"/>
          <w:color w:val="auto"/>
          <w:sz w:val="24"/>
          <w:szCs w:val="24"/>
          <w:highlight w:val="none"/>
          <w:lang w:eastAsia="zh-CN"/>
        </w:rPr>
        <w:t>杭州市钱塘区人民政府白杨街道办事处</w:t>
      </w:r>
      <w:r>
        <w:rPr>
          <w:rFonts w:hint="eastAsia" w:ascii="仿宋" w:hAnsi="仿宋" w:eastAsia="仿宋" w:cs="仿宋"/>
          <w:color w:val="auto"/>
          <w:sz w:val="24"/>
          <w:szCs w:val="24"/>
          <w:highlight w:val="none"/>
        </w:rPr>
        <w:t>　　　　　　　　　</w:t>
      </w:r>
    </w:p>
    <w:p w14:paraId="6652A121">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地址：</w:t>
      </w:r>
      <w:r>
        <w:rPr>
          <w:rFonts w:hint="eastAsia" w:ascii="仿宋" w:hAnsi="仿宋" w:eastAsia="仿宋" w:cs="仿宋"/>
          <w:color w:val="auto"/>
          <w:sz w:val="24"/>
          <w:szCs w:val="24"/>
          <w:highlight w:val="none"/>
          <w:lang w:val="en-US" w:eastAsia="zh-CN"/>
        </w:rPr>
        <w:t>杭州市钱塘区4号大街17-6号</w:t>
      </w:r>
    </w:p>
    <w:p w14:paraId="37C901C3">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6B4F62B1">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钟工 </w:t>
      </w:r>
      <w:r>
        <w:rPr>
          <w:rFonts w:hint="eastAsia" w:ascii="仿宋" w:hAnsi="仿宋" w:eastAsia="仿宋" w:cs="仿宋"/>
          <w:color w:val="auto"/>
          <w:sz w:val="24"/>
          <w:szCs w:val="24"/>
          <w:highlight w:val="none"/>
        </w:rPr>
        <w:t>　　　　　　　</w:t>
      </w:r>
    </w:p>
    <w:p w14:paraId="2C4857F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 xml:space="preserve">问）：0571-86802219 </w:t>
      </w:r>
    </w:p>
    <w:p w14:paraId="400BF5F9">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丁工</w:t>
      </w:r>
    </w:p>
    <w:p w14:paraId="6E65983D">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 xml:space="preserve">：0571-86062787 </w:t>
      </w:r>
      <w:r>
        <w:rPr>
          <w:rFonts w:hint="eastAsia" w:ascii="仿宋" w:hAnsi="仿宋" w:eastAsia="仿宋" w:cs="仿宋"/>
          <w:color w:val="auto"/>
          <w:sz w:val="24"/>
          <w:szCs w:val="24"/>
          <w:highlight w:val="none"/>
        </w:rPr>
        <w:t>（请通过以下路径在线提起质疑：政采云-项目采购-询问质疑投诉-质疑列表）　　　</w:t>
      </w:r>
    </w:p>
    <w:p w14:paraId="0E02817C">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F6E06F7">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14:paraId="3327A252">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14:paraId="05F55DAF">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14:paraId="7B283D64">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14:paraId="6807FDFF">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14:paraId="4C7525B2">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14:paraId="4115E09C">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质疑联系方式：0571-81061819（请通过以下路径在线提起质疑：政采云-项目采购-询问质疑投诉-质疑列表）　</w:t>
      </w:r>
    </w:p>
    <w:p w14:paraId="5BE29300">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14:paraId="3FEE7FC9">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名称：杭州市钱塘区财政局、浙江省政府采购行政裁决服务中心 (杭州)</w:t>
      </w:r>
    </w:p>
    <w:p w14:paraId="4AF76FDA">
      <w:pPr>
        <w:pStyle w:val="41"/>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杭州市上城区清泰街549号城建综合大楼11楼</w:t>
      </w:r>
      <w:r>
        <w:rPr>
          <w:rFonts w:hint="eastAsia" w:ascii="仿宋" w:hAnsi="仿宋" w:eastAsia="仿宋" w:cs="仿宋"/>
          <w:color w:val="auto"/>
          <w:sz w:val="24"/>
          <w:szCs w:val="24"/>
          <w:highlight w:val="none"/>
        </w:rPr>
        <w:t xml:space="preserve"> (快递仅限ems或顺丰)             </w:t>
      </w:r>
    </w:p>
    <w:p w14:paraId="3DAAB3EA">
      <w:pPr>
        <w:pStyle w:val="41"/>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14:paraId="1DB26A5B">
      <w:pPr>
        <w:pStyle w:val="41"/>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人：朱女士、王女士</w:t>
      </w:r>
    </w:p>
    <w:p w14:paraId="6284DC21">
      <w:pPr>
        <w:pStyle w:val="41"/>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监督投诉电话：0571-87800218,0571-87227671  （仅限投诉事项）</w:t>
      </w:r>
    </w:p>
    <w:p w14:paraId="0DD23C91">
      <w:pPr>
        <w:pStyle w:val="41"/>
        <w:adjustRightInd w:val="0"/>
        <w:snapToGrid w:val="0"/>
        <w:spacing w:beforeAutospacing="0" w:afterAutospacing="0" w:line="360" w:lineRule="auto"/>
        <w:rPr>
          <w:rFonts w:hint="eastAsia" w:ascii="仿宋" w:hAnsi="仿宋" w:eastAsia="仿宋" w:cs="仿宋"/>
          <w:color w:val="auto"/>
          <w:sz w:val="24"/>
          <w:szCs w:val="24"/>
          <w:highlight w:val="none"/>
        </w:rPr>
      </w:pPr>
    </w:p>
    <w:p w14:paraId="48AFC3D9">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49326849">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14:paraId="2743C546">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014"/>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E8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14:paraId="1544BED2">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30087018">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25819E7">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505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64889680">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C912A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EC1E23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服务类</w:t>
            </w:r>
          </w:p>
        </w:tc>
      </w:tr>
      <w:tr w14:paraId="0A908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14:paraId="699A18E9">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14:paraId="255C47C7">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BAF2E2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color w:val="auto"/>
                <w:kern w:val="0"/>
                <w:sz w:val="24"/>
                <w:highlight w:val="none"/>
              </w:rPr>
            </w:pPr>
            <w:r>
              <w:rPr>
                <w:rFonts w:hint="eastAsia" w:ascii="仿宋" w:hAnsi="仿宋" w:eastAsia="仿宋" w:cs="仿宋"/>
                <w:b/>
                <w:bCs/>
                <w:color w:val="auto"/>
                <w:kern w:val="0"/>
                <w:sz w:val="24"/>
                <w:szCs w:val="24"/>
                <w:highlight w:val="none"/>
              </w:rPr>
              <w:t>标的</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lang w:val="en-US" w:eastAsia="zh-CN"/>
              </w:rPr>
              <w:t xml:space="preserve">白杨街道凌云未来社区用房广告设计制作一体化项目 </w:t>
            </w:r>
            <w:r>
              <w:rPr>
                <w:rFonts w:hint="eastAsia" w:ascii="仿宋" w:hAnsi="仿宋" w:eastAsia="仿宋" w:cs="仿宋"/>
                <w:b/>
                <w:bCs/>
                <w:color w:val="auto"/>
                <w:kern w:val="0"/>
                <w:sz w:val="24"/>
                <w:szCs w:val="24"/>
                <w:highlight w:val="none"/>
              </w:rPr>
              <w:t>，属于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 xml:space="preserve">其他未列明行业 </w:t>
            </w:r>
          </w:p>
        </w:tc>
      </w:tr>
      <w:tr w14:paraId="2F2CA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14:paraId="40DFC0E8">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14:paraId="0F88B952">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29F1B8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其他未列明行业中，从业人员300人以下的为中小微型企业。其中，从业人员100人及以上的为中型企业；从业人员10人及以上的为小型企业；从业人员10人以下的为微型企业。</w:t>
            </w:r>
          </w:p>
        </w:tc>
      </w:tr>
      <w:tr w14:paraId="7078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14:paraId="7052CDB3">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14:paraId="005B8FF0">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5E836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（1）投标人填写中小企业声明函时，标的为</w:t>
            </w:r>
            <w:r>
              <w:rPr>
                <w:rFonts w:hint="eastAsia" w:ascii="仿宋" w:hAnsi="仿宋" w:eastAsia="仿宋" w:cs="仿宋"/>
                <w:b w:val="0"/>
                <w:bCs w:val="0"/>
                <w:color w:val="auto"/>
                <w:kern w:val="0"/>
                <w:sz w:val="24"/>
                <w:szCs w:val="24"/>
                <w:highlight w:val="none"/>
                <w:u w:val="single"/>
                <w:lang w:val="en-US" w:eastAsia="zh-CN"/>
              </w:rPr>
              <w:t>白杨街道凌云未来社区用房广告设计制作一体化项目</w:t>
            </w:r>
            <w:r>
              <w:rPr>
                <w:rFonts w:hint="eastAsia" w:ascii="仿宋" w:hAnsi="仿宋" w:eastAsia="仿宋" w:cs="仿宋"/>
                <w:b w:val="0"/>
                <w:bCs w:val="0"/>
                <w:color w:val="auto"/>
                <w:kern w:val="0"/>
                <w:sz w:val="24"/>
                <w:szCs w:val="24"/>
                <w:highlight w:val="none"/>
                <w:lang w:val="en-US" w:eastAsia="zh-CN"/>
              </w:rPr>
              <w:t>，所属行业为</w:t>
            </w:r>
            <w:r>
              <w:rPr>
                <w:rFonts w:hint="eastAsia" w:ascii="仿宋" w:hAnsi="仿宋" w:eastAsia="仿宋" w:cs="仿宋"/>
                <w:b w:val="0"/>
                <w:bCs w:val="0"/>
                <w:color w:val="auto"/>
                <w:kern w:val="0"/>
                <w:sz w:val="24"/>
                <w:szCs w:val="24"/>
                <w:highlight w:val="none"/>
                <w:u w:val="single"/>
                <w:lang w:val="en-US" w:eastAsia="zh-CN"/>
              </w:rPr>
              <w:t>其他未列明行业</w:t>
            </w:r>
            <w:r>
              <w:rPr>
                <w:rFonts w:hint="eastAsia" w:ascii="仿宋" w:hAnsi="仿宋" w:eastAsia="仿宋" w:cs="仿宋"/>
                <w:b w:val="0"/>
                <w:bCs w:val="0"/>
                <w:color w:val="auto"/>
                <w:kern w:val="0"/>
                <w:sz w:val="24"/>
                <w:szCs w:val="24"/>
                <w:highlight w:val="none"/>
                <w:lang w:val="en-US" w:eastAsia="zh-CN"/>
              </w:rPr>
              <w:t>；</w:t>
            </w:r>
          </w:p>
          <w:p w14:paraId="0B665B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val="0"/>
                <w:bCs w:val="0"/>
                <w:color w:val="auto"/>
                <w:kern w:val="0"/>
                <w:sz w:val="24"/>
                <w:szCs w:val="24"/>
                <w:highlight w:val="none"/>
                <w:lang w:eastAsia="zh-CN"/>
              </w:rPr>
              <w:t>；</w:t>
            </w:r>
          </w:p>
          <w:p w14:paraId="6BF334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中型企业、小型企业、微型企业等3种</w:t>
            </w:r>
            <w:r>
              <w:rPr>
                <w:rFonts w:hint="eastAsia" w:ascii="仿宋" w:hAnsi="仿宋" w:eastAsia="仿宋" w:cs="仿宋"/>
                <w:b w:val="0"/>
                <w:bCs w:val="0"/>
                <w:color w:val="auto"/>
                <w:kern w:val="0"/>
                <w:sz w:val="24"/>
                <w:szCs w:val="24"/>
                <w:highlight w:val="none"/>
              </w:rPr>
              <w:t>企业类型，结合以上数据，依据《中小企业划型标准规定》（工信部联企业〔2011〕300号）确定</w:t>
            </w:r>
            <w:r>
              <w:rPr>
                <w:rFonts w:hint="eastAsia" w:ascii="仿宋" w:hAnsi="仿宋" w:eastAsia="仿宋" w:cs="仿宋"/>
                <w:b w:val="0"/>
                <w:bCs w:val="0"/>
                <w:color w:val="auto"/>
                <w:kern w:val="0"/>
                <w:sz w:val="24"/>
                <w:szCs w:val="24"/>
                <w:highlight w:val="none"/>
                <w:lang w:val="en-US" w:eastAsia="zh-CN"/>
              </w:rPr>
              <w:t>的</w:t>
            </w:r>
            <w:r>
              <w:rPr>
                <w:rFonts w:hint="eastAsia" w:ascii="仿宋" w:hAnsi="仿宋" w:eastAsia="仿宋" w:cs="仿宋"/>
                <w:b w:val="0"/>
                <w:bCs w:val="0"/>
                <w:color w:val="auto"/>
                <w:kern w:val="0"/>
                <w:sz w:val="24"/>
                <w:szCs w:val="24"/>
                <w:highlight w:val="none"/>
                <w:u w:val="single"/>
                <w:lang w:val="en-US" w:eastAsia="zh-CN"/>
              </w:rPr>
              <w:t>其他未列明行业</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strike w:val="0"/>
                <w:dstrike w:val="0"/>
                <w:color w:val="auto"/>
                <w:kern w:val="0"/>
                <w:sz w:val="24"/>
                <w:szCs w:val="24"/>
                <w:highlight w:val="none"/>
                <w:u w:val="single"/>
              </w:rPr>
              <w:t>填写时应明确是中型或小型或微型</w:t>
            </w:r>
            <w:r>
              <w:rPr>
                <w:rFonts w:hint="eastAsia" w:ascii="仿宋" w:hAnsi="仿宋" w:eastAsia="仿宋" w:cs="仿宋"/>
                <w:b w:val="0"/>
                <w:bCs w:val="0"/>
                <w:color w:val="auto"/>
                <w:kern w:val="0"/>
                <w:sz w:val="24"/>
                <w:szCs w:val="24"/>
                <w:highlight w:val="none"/>
                <w:lang w:eastAsia="zh-CN"/>
              </w:rPr>
              <w:t>。</w:t>
            </w:r>
          </w:p>
        </w:tc>
      </w:tr>
      <w:tr w14:paraId="26E7B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AE809FF">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7CE72E8">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51D930A">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14:paraId="1F5C4CED">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F8A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F0822CF">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11A96486">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CE9FB35">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84F220A">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同意向小微企业合理分包。</w:t>
            </w:r>
          </w:p>
          <w:p w14:paraId="1E001739">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C</w:t>
            </w:r>
            <w:r>
              <w:rPr>
                <w:rFonts w:hint="eastAsia" w:ascii="仿宋" w:hAnsi="仿宋" w:eastAsia="仿宋" w:cs="仿宋"/>
                <w:color w:val="auto"/>
                <w:sz w:val="24"/>
                <w:highlight w:val="none"/>
              </w:rPr>
              <w:t>不同意分包。</w:t>
            </w:r>
          </w:p>
        </w:tc>
      </w:tr>
      <w:tr w14:paraId="596E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F94C3CE">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0F58EC6">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BE34A64">
            <w:pPr>
              <w:adjustRightInd/>
              <w:snapToGrid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84C9FC2">
            <w:pPr>
              <w:adjustRightInd/>
              <w:snapToGrid w:val="0"/>
              <w:spacing w:line="24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szCs w:val="20"/>
                <w:highlight w:val="none"/>
                <w14:textFill>
                  <w14:solidFill>
                    <w14:schemeClr w14:val="tx1"/>
                  </w14:solidFill>
                </w14:textFill>
              </w:rPr>
              <w:t>。</w:t>
            </w:r>
          </w:p>
          <w:p w14:paraId="659B8C65">
            <w:pPr>
              <w:snapToGrid w:val="0"/>
              <w:rPr>
                <w:rFonts w:hint="eastAsia"/>
                <w:color w:val="000000" w:themeColor="text1"/>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0"/>
                <w:sz w:val="24"/>
                <w:highlight w:val="none"/>
                <w:lang w:val="en-US" w:eastAsia="zh-CN"/>
                <w14:textFill>
                  <w14:solidFill>
                    <w14:schemeClr w14:val="tx1"/>
                  </w14:solidFill>
                </w14:textFill>
              </w:rPr>
              <w:t>白杨街道凌云社区</w:t>
            </w:r>
            <w:r>
              <w:rPr>
                <w:rFonts w:hint="eastAsia" w:ascii="仿宋" w:hAnsi="仿宋" w:eastAsia="仿宋" w:cs="仿宋"/>
                <w:color w:val="000000" w:themeColor="text1"/>
                <w:kern w:val="0"/>
                <w:sz w:val="24"/>
                <w:highlight w:val="none"/>
                <w14:textFill>
                  <w14:solidFill>
                    <w14:schemeClr w14:val="tx1"/>
                  </w14:solidFill>
                </w14:textFill>
              </w:rPr>
              <w:t xml:space="preserve"> ，联系人：</w:t>
            </w:r>
            <w:r>
              <w:rPr>
                <w:rFonts w:hint="eastAsia" w:ascii="仿宋" w:hAnsi="仿宋" w:eastAsia="仿宋" w:cs="仿宋"/>
                <w:color w:val="000000" w:themeColor="text1"/>
                <w:kern w:val="0"/>
                <w:sz w:val="24"/>
                <w:highlight w:val="none"/>
                <w:lang w:val="en-US" w:eastAsia="zh-CN"/>
                <w14:textFill>
                  <w14:solidFill>
                    <w14:schemeClr w14:val="tx1"/>
                  </w14:solidFill>
                </w14:textFill>
              </w:rPr>
              <w:t>钟工</w:t>
            </w:r>
            <w:r>
              <w:rPr>
                <w:rFonts w:hint="eastAsia" w:ascii="仿宋" w:hAnsi="仿宋" w:eastAsia="仿宋" w:cs="仿宋"/>
                <w:color w:val="000000" w:themeColor="text1"/>
                <w:kern w:val="0"/>
                <w:sz w:val="24"/>
                <w:highlight w:val="none"/>
                <w14:textFill>
                  <w14:solidFill>
                    <w14:schemeClr w14:val="tx1"/>
                  </w14:solidFill>
                </w14:textFill>
              </w:rPr>
              <w:t xml:space="preserve"> ，联系方式：</w:t>
            </w:r>
            <w:r>
              <w:rPr>
                <w:rFonts w:hint="eastAsia" w:ascii="仿宋" w:hAnsi="仿宋" w:eastAsia="仿宋" w:cs="仿宋"/>
                <w:color w:val="000000" w:themeColor="text1"/>
                <w:kern w:val="0"/>
                <w:sz w:val="24"/>
                <w:highlight w:val="none"/>
                <w:lang w:val="en-US" w:eastAsia="zh-CN"/>
                <w14:textFill>
                  <w14:solidFill>
                    <w14:schemeClr w14:val="tx1"/>
                  </w14:solidFill>
                </w14:textFill>
              </w:rPr>
              <w:t>0571-86062787</w:t>
            </w:r>
            <w:r>
              <w:rPr>
                <w:rFonts w:hint="eastAsia" w:ascii="仿宋" w:hAnsi="仿宋" w:eastAsia="仿宋" w:cs="仿宋"/>
                <w:color w:val="000000" w:themeColor="text1"/>
                <w:kern w:val="0"/>
                <w:sz w:val="24"/>
                <w:highlight w:val="none"/>
                <w14:textFill>
                  <w14:solidFill>
                    <w14:schemeClr w14:val="tx1"/>
                  </w14:solidFill>
                </w14:textFill>
              </w:rPr>
              <w:t xml:space="preserve"> 。</w:t>
            </w:r>
          </w:p>
        </w:tc>
      </w:tr>
      <w:tr w14:paraId="70B6B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CE2DAE7">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35E9545D">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C94E4A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1A71EC2">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14:paraId="37766BD6">
            <w:pPr>
              <w:numPr>
                <w:ilvl w:val="0"/>
                <w:numId w:val="2"/>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snapToGrid w:val="0"/>
                <w:color w:val="auto"/>
                <w:kern w:val="28"/>
                <w:sz w:val="24"/>
                <w:highlight w:val="none"/>
              </w:rPr>
              <w:t>；</w:t>
            </w:r>
          </w:p>
          <w:p w14:paraId="40A0057C">
            <w:pPr>
              <w:numPr>
                <w:ilvl w:val="0"/>
                <w:numId w:val="2"/>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62C7A05D">
            <w:pPr>
              <w:numPr>
                <w:ilvl w:val="0"/>
                <w:numId w:val="2"/>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7CCD97FC">
            <w:pPr>
              <w:numPr>
                <w:ilvl w:val="0"/>
                <w:numId w:val="2"/>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70290969">
            <w:pPr>
              <w:numPr>
                <w:ilvl w:val="0"/>
                <w:numId w:val="2"/>
              </w:num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44A89F9">
            <w:pPr>
              <w:numPr>
                <w:ilvl w:val="0"/>
                <w:numId w:val="2"/>
              </w:num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1B2EFEF">
            <w:pPr>
              <w:numPr>
                <w:ilvl w:val="0"/>
                <w:numId w:val="2"/>
              </w:numPr>
              <w:adjustRightInd w:val="0"/>
              <w:snapToGrid w:val="0"/>
              <w:spacing w:line="400" w:lineRule="exact"/>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44845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75F4FCE">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52EDFE04">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543D8E4">
            <w:pPr>
              <w:adjustRightInd w:val="0"/>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3A77FFE2">
            <w:pPr>
              <w:adjustRightInd w:val="0"/>
              <w:snapToGrid w:val="0"/>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B组织。</w:t>
            </w:r>
          </w:p>
          <w:p w14:paraId="7FB148E6">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14:paraId="5F18009A">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（2）方案讲解演示可选择以下其中一种方式：</w:t>
            </w:r>
          </w:p>
          <w:p w14:paraId="4142BB5B">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方式一：政采云平台在线讲解演示。政采云平台在线讲解需投标人根据政采云平台操作要求做好准备工作，提前完善软硬件配置环境。</w:t>
            </w:r>
          </w:p>
          <w:p w14:paraId="6C0BF399">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14:paraId="1BA7B9F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258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14:paraId="72134C12">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14:paraId="377AA8FC">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14:paraId="17952FE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7B8B77D">
            <w:pPr>
              <w:adjustRightInd w:val="0"/>
              <w:snapToGrid w:val="0"/>
              <w:spacing w:line="400" w:lineRule="exac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D97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14:paraId="5779E74C">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4745308B">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14:paraId="7FF5D1B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7D5B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14:paraId="1C2BBA85">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14:paraId="3389EBFA">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14:paraId="0B9212DB">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48E21021">
            <w:pPr>
              <w:pStyle w:val="1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14:paraId="71A95F57">
            <w:pPr>
              <w:pStyle w:val="18"/>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14:paraId="054D7784">
            <w:pPr>
              <w:pStyle w:val="1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p>
          <w:p w14:paraId="06B57431">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5C58388E">
            <w:pPr>
              <w:pStyle w:val="18"/>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14:paraId="5D7B1DDE">
            <w:pPr>
              <w:pStyle w:val="1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31875302">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4A07FEA3">
            <w:pPr>
              <w:pStyle w:val="1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14:paraId="5C407F72">
            <w:pPr>
              <w:pStyle w:val="1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03EBE152">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075DA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098C78E9">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645A981">
            <w:pPr>
              <w:adjustRightInd w:val="0"/>
              <w:snapToGrid w:val="0"/>
              <w:spacing w:line="400" w:lineRule="exact"/>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下有</w:t>
            </w:r>
            <w:r>
              <w:rPr>
                <w:rFonts w:hint="eastAsia" w:ascii="仿宋" w:hAnsi="仿宋" w:eastAsia="仿宋" w:cs="仿宋"/>
                <w:b/>
                <w:color w:val="000000" w:themeColor="text1"/>
                <w:sz w:val="24"/>
                <w:highlight w:val="none"/>
                <w:lang w:eastAsia="zh-CN"/>
                <w14:textFill>
                  <w14:solidFill>
                    <w14:schemeClr w14:val="tx1"/>
                  </w14:solidFill>
                </w14:textFill>
              </w:rPr>
              <w:t>）</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E245015">
            <w:pPr>
              <w:keepNext w:val="0"/>
              <w:keepLines w:val="0"/>
              <w:pageBreakBefore w:val="0"/>
              <w:widowControl w:val="0"/>
              <w:tabs>
                <w:tab w:val="left" w:pos="3570"/>
              </w:tabs>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4436876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4FDD080A">
            <w:pPr>
              <w:numPr>
                <w:ilvl w:val="0"/>
                <w:numId w:val="3"/>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3FBCA1E8">
            <w:pPr>
              <w:numPr>
                <w:ilvl w:val="0"/>
                <w:numId w:val="3"/>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3F34763E">
            <w:pPr>
              <w:numPr>
                <w:ilvl w:val="0"/>
                <w:numId w:val="3"/>
              </w:numPr>
              <w:adjustRightInd w:val="0"/>
              <w:snapToGrid w:val="0"/>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50BB0192">
            <w:pPr>
              <w:numPr>
                <w:ilvl w:val="0"/>
                <w:numId w:val="3"/>
              </w:numPr>
              <w:adjustRightInd w:val="0"/>
              <w:snapToGrid w:val="0"/>
              <w:spacing w:line="400" w:lineRule="exact"/>
              <w:ind w:left="425" w:leftChars="0" w:hanging="425" w:firstLineChars="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2D2D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14:paraId="7962B357">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14:paraId="5920167C">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78ED119">
            <w:p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14:paraId="0D657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14:paraId="240D273E">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25E94112">
            <w:pPr>
              <w:adjustRightInd w:val="0"/>
              <w:snapToGrid w:val="0"/>
              <w:spacing w:line="400" w:lineRule="exact"/>
              <w:ind w:firstLine="482" w:firstLineChars="200"/>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3D9B31C">
            <w:p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761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1B446D3D">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CD1A28E">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510DC8A">
            <w:pPr>
              <w:pStyle w:val="26"/>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14:paraId="158F3D26">
            <w:pPr>
              <w:pStyle w:val="26"/>
              <w:adjustRightInd w:val="0"/>
              <w:snapToGrid w:val="0"/>
              <w:spacing w:line="400" w:lineRule="exact"/>
              <w:rPr>
                <w:rFonts w:hint="eastAsia" w:ascii="仿宋" w:hAnsi="仿宋" w:eastAsia="仿宋" w:cs="仿宋"/>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因开标地点与代理机构办公地点不在同一处，备份文件如开标当天送出或可以收到的，</w:t>
            </w:r>
            <w:r>
              <w:rPr>
                <w:rFonts w:hint="eastAsia" w:ascii="仿宋" w:hAnsi="仿宋" w:eastAsia="仿宋" w:cs="仿宋"/>
                <w:color w:val="auto"/>
                <w:kern w:val="28"/>
                <w:sz w:val="24"/>
                <w:szCs w:val="24"/>
                <w:highlight w:val="none"/>
                <w:lang w:val="en-US" w:eastAsia="zh-CN"/>
              </w:rPr>
              <w:t>请在投标截止时间之前，送至</w:t>
            </w:r>
            <w:r>
              <w:rPr>
                <w:rFonts w:hint="eastAsia" w:ascii="仿宋" w:hAnsi="仿宋" w:eastAsia="仿宋" w:cs="仿宋"/>
                <w:color w:val="auto"/>
                <w:sz w:val="24"/>
                <w:highlight w:val="none"/>
                <w:u w:val="single"/>
                <w:lang w:val="en-US" w:eastAsia="zh-CN"/>
              </w:rPr>
              <w:t>杭州市钱塘区金沙大道600号东楼6楼5号开标室</w:t>
            </w:r>
            <w:r>
              <w:rPr>
                <w:rFonts w:hint="eastAsia" w:ascii="仿宋" w:hAnsi="仿宋" w:eastAsia="仿宋" w:cs="仿宋"/>
                <w:color w:val="auto"/>
                <w:sz w:val="24"/>
                <w:highlight w:val="none"/>
                <w:lang w:val="en-US" w:eastAsia="zh-CN"/>
              </w:rPr>
              <w:t>。</w:t>
            </w:r>
          </w:p>
          <w:p w14:paraId="0B22940F">
            <w:pPr>
              <w:pStyle w:val="26"/>
              <w:adjustRightInd w:val="0"/>
              <w:snapToGrid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14:paraId="6C2E25EB">
            <w:pPr>
              <w:pStyle w:val="26"/>
              <w:adjustRightInd w:val="0"/>
              <w:snapToGrid w:val="0"/>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szCs w:val="24"/>
                <w:highlight w:val="none"/>
              </w:rPr>
              <w:t>采购人、采购机构不强制或变相强制投标人提交备份投标文件。</w:t>
            </w:r>
          </w:p>
        </w:tc>
      </w:tr>
      <w:tr w14:paraId="02180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1A727534">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62AC258">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B25BF3C">
            <w:pPr>
              <w:pStyle w:val="26"/>
              <w:adjustRightInd w:val="0"/>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1.本项目的采购代理费由中标人支付；以</w:t>
            </w:r>
            <w:r>
              <w:rPr>
                <w:rFonts w:hint="eastAsia" w:ascii="仿宋" w:hAnsi="仿宋" w:eastAsia="仿宋" w:cs="仿宋"/>
                <w:color w:val="auto"/>
                <w:sz w:val="24"/>
                <w:highlight w:val="none"/>
                <w:lang w:val="en-US" w:eastAsia="zh-CN"/>
              </w:rPr>
              <w:t>中标金额</w:t>
            </w:r>
            <w:r>
              <w:rPr>
                <w:rFonts w:hint="eastAsia" w:ascii="仿宋" w:hAnsi="仿宋" w:eastAsia="仿宋" w:cs="仿宋"/>
                <w:color w:val="auto"/>
                <w:sz w:val="24"/>
                <w:highlight w:val="none"/>
              </w:rPr>
              <w:t>为计费基准，计费标准按《计价格［2002］1980号》及《发改办价格［2003］857号》文件中服务类收费标准</w:t>
            </w:r>
            <w:r>
              <w:rPr>
                <w:rFonts w:hint="eastAsia" w:ascii="仿宋" w:hAnsi="仿宋" w:eastAsia="仿宋" w:cs="仿宋"/>
                <w:color w:val="auto"/>
                <w:sz w:val="24"/>
                <w:highlight w:val="none"/>
                <w:lang w:val="en-US" w:eastAsia="zh-CN"/>
              </w:rPr>
              <w:t>的80%</w:t>
            </w:r>
            <w:r>
              <w:rPr>
                <w:rFonts w:hint="eastAsia" w:ascii="仿宋" w:hAnsi="仿宋" w:eastAsia="仿宋" w:cs="仿宋"/>
                <w:color w:val="auto"/>
                <w:sz w:val="24"/>
                <w:highlight w:val="none"/>
              </w:rPr>
              <w:t>计算；</w:t>
            </w:r>
            <w:r>
              <w:rPr>
                <w:rFonts w:hint="eastAsia" w:ascii="仿宋" w:hAnsi="仿宋" w:eastAsia="仿宋" w:cs="仿宋"/>
                <w:color w:val="auto"/>
                <w:sz w:val="24"/>
                <w:highlight w:val="none"/>
                <w:lang w:val="en-US" w:eastAsia="zh-CN"/>
              </w:rPr>
              <w:t>服务类收费标准如下（差额累计法）：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7416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4ECEF3AF">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中标金额</w:t>
                  </w:r>
                </w:p>
              </w:tc>
              <w:tc>
                <w:tcPr>
                  <w:tcW w:w="1288" w:type="dxa"/>
                  <w:noWrap w:val="0"/>
                  <w:vAlign w:val="top"/>
                </w:tcPr>
                <w:p w14:paraId="14CD8E06">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标准费率</w:t>
                  </w:r>
                </w:p>
              </w:tc>
              <w:tc>
                <w:tcPr>
                  <w:tcW w:w="1925" w:type="dxa"/>
                  <w:noWrap w:val="0"/>
                  <w:vAlign w:val="top"/>
                </w:tcPr>
                <w:p w14:paraId="3CB37164">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八折费率</w:t>
                  </w:r>
                </w:p>
              </w:tc>
            </w:tr>
            <w:tr w14:paraId="0284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76A1F287">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w:t>
                  </w:r>
                </w:p>
              </w:tc>
              <w:tc>
                <w:tcPr>
                  <w:tcW w:w="1288" w:type="dxa"/>
                  <w:noWrap w:val="0"/>
                  <w:vAlign w:val="top"/>
                </w:tcPr>
                <w:p w14:paraId="45C9ED33">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25" w:type="dxa"/>
                  <w:noWrap w:val="0"/>
                  <w:vAlign w:val="center"/>
                </w:tcPr>
                <w:p w14:paraId="270EF0D6">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r>
            <w:tr w14:paraId="431B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4C153518">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1288" w:type="dxa"/>
                  <w:noWrap w:val="0"/>
                  <w:vAlign w:val="top"/>
                </w:tcPr>
                <w:p w14:paraId="22851D7E">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925" w:type="dxa"/>
                  <w:noWrap w:val="0"/>
                  <w:vAlign w:val="center"/>
                </w:tcPr>
                <w:p w14:paraId="0656AF6D">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0.64%</w:t>
                  </w:r>
                </w:p>
              </w:tc>
            </w:tr>
            <w:tr w14:paraId="2068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14:paraId="1B67A567">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1288" w:type="dxa"/>
                  <w:noWrap w:val="0"/>
                  <w:vAlign w:val="top"/>
                </w:tcPr>
                <w:p w14:paraId="4D638739">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925" w:type="dxa"/>
                  <w:noWrap w:val="0"/>
                  <w:vAlign w:val="center"/>
                </w:tcPr>
                <w:p w14:paraId="66BC4B24">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0.36%</w:t>
                  </w:r>
                </w:p>
              </w:tc>
            </w:tr>
          </w:tbl>
          <w:p w14:paraId="6F7C7142">
            <w:pPr>
              <w:pStyle w:val="26"/>
              <w:adjustRightInd w:val="0"/>
              <w:snapToGrid w:val="0"/>
              <w:rPr>
                <w:rFonts w:hint="eastAsia" w:ascii="仿宋" w:hAnsi="仿宋" w:eastAsia="仿宋" w:cs="仿宋"/>
                <w:color w:val="auto"/>
                <w:sz w:val="24"/>
                <w:highlight w:val="none"/>
              </w:rPr>
            </w:pPr>
          </w:p>
          <w:p w14:paraId="08E7E0FE">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2.结算方式及时间为：在</w:t>
            </w:r>
            <w:r>
              <w:rPr>
                <w:rFonts w:hint="eastAsia" w:ascii="仿宋" w:hAnsi="仿宋" w:eastAsia="仿宋" w:cs="仿宋"/>
                <w:color w:val="auto"/>
                <w:sz w:val="24"/>
                <w:highlight w:val="none"/>
                <w:lang w:val="en-US" w:eastAsia="zh-CN"/>
              </w:rPr>
              <w:t>结果公告发布5个工作日内</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人一次性向采购代理机构付清。</w:t>
            </w:r>
          </w:p>
          <w:p w14:paraId="33AE172B">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3.代理机构账号信息：</w:t>
            </w:r>
          </w:p>
          <w:p w14:paraId="49D5BFDB">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（1）收款人（全称）：浙江国际招投标有限公司</w:t>
            </w:r>
          </w:p>
          <w:p w14:paraId="364218FF">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（2）开户银行：中国工商银行杭州武林支行</w:t>
            </w:r>
          </w:p>
          <w:p w14:paraId="35B76C86">
            <w:pPr>
              <w:pStyle w:val="26"/>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（3）帐    号：1202 0212 0990 6782 015</w:t>
            </w:r>
          </w:p>
          <w:p w14:paraId="3BF79C53">
            <w:pPr>
              <w:pStyle w:val="26"/>
              <w:adjustRightInd w:val="0"/>
              <w:snapToGrid w:val="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4、中标、成交供应商放弃中标、成交资格导致重新采购的，应当承担支付代理费和专家评审费等费用在内的赔偿责任。</w:t>
            </w:r>
          </w:p>
        </w:tc>
      </w:tr>
      <w:tr w14:paraId="785F0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14:paraId="4AA233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14:paraId="2F9FCBFE">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14:paraId="68CFDEE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14:paraId="6ECE7E05">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6CF3D6B">
            <w:pPr>
              <w:pStyle w:val="26"/>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以联合体形式参与投标的，</w:t>
            </w:r>
            <w:r>
              <w:rPr>
                <w:rFonts w:hint="eastAsia" w:ascii="仿宋" w:hAnsi="仿宋" w:eastAsia="仿宋" w:cs="仿宋"/>
                <w:color w:val="auto"/>
                <w:kern w:val="28"/>
                <w:sz w:val="24"/>
                <w:szCs w:val="24"/>
                <w:highlight w:val="none"/>
              </w:rPr>
              <w:t>资格文件中：</w:t>
            </w:r>
          </w:p>
          <w:p w14:paraId="0C81E6D2">
            <w:pPr>
              <w:pStyle w:val="26"/>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1、联合体各方均应提供“符合参加采购活动应当具备的一般条件的承诺函”，否则资格审查不通过。（承诺函格式见采购文件第六</w:t>
            </w:r>
            <w:r>
              <w:rPr>
                <w:rFonts w:hint="eastAsia" w:ascii="仿宋" w:hAnsi="仿宋" w:eastAsia="仿宋" w:cs="仿宋"/>
                <w:color w:val="auto"/>
                <w:kern w:val="28"/>
                <w:sz w:val="24"/>
                <w:szCs w:val="24"/>
                <w:highlight w:val="none"/>
                <w:lang w:val="en-US" w:eastAsia="zh-CN"/>
              </w:rPr>
              <w:t>部分</w:t>
            </w:r>
            <w:r>
              <w:rPr>
                <w:rFonts w:hint="eastAsia" w:ascii="仿宋" w:hAnsi="仿宋" w:eastAsia="仿宋" w:cs="仿宋"/>
                <w:color w:val="auto"/>
                <w:kern w:val="28"/>
                <w:sz w:val="24"/>
                <w:szCs w:val="24"/>
                <w:highlight w:val="none"/>
              </w:rPr>
              <w:t>）</w:t>
            </w:r>
          </w:p>
          <w:p w14:paraId="0DF50F49">
            <w:pPr>
              <w:pStyle w:val="26"/>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rPr>
              <w:t>2、资格文件中必须提供联合协议</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否则资格审查不通过。（联合协议格式见采购文件第六</w:t>
            </w:r>
            <w:r>
              <w:rPr>
                <w:rFonts w:hint="eastAsia" w:ascii="仿宋" w:hAnsi="仿宋" w:eastAsia="仿宋" w:cs="仿宋"/>
                <w:color w:val="auto"/>
                <w:kern w:val="28"/>
                <w:sz w:val="24"/>
                <w:szCs w:val="24"/>
                <w:highlight w:val="none"/>
                <w:lang w:val="en-US" w:eastAsia="zh-CN"/>
              </w:rPr>
              <w:t>部分</w:t>
            </w:r>
            <w:r>
              <w:rPr>
                <w:rFonts w:hint="eastAsia" w:ascii="仿宋" w:hAnsi="仿宋" w:eastAsia="仿宋" w:cs="仿宋"/>
                <w:color w:val="auto"/>
                <w:kern w:val="28"/>
                <w:sz w:val="24"/>
                <w:szCs w:val="24"/>
                <w:highlight w:val="none"/>
              </w:rPr>
              <w:t>）</w:t>
            </w:r>
          </w:p>
        </w:tc>
      </w:tr>
      <w:tr w14:paraId="506F7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left w:val="single" w:color="000000" w:sz="8" w:space="0"/>
              <w:right w:val="single" w:color="000000" w:sz="2" w:space="0"/>
            </w:tcBorders>
            <w:noWrap/>
            <w:vAlign w:val="center"/>
          </w:tcPr>
          <w:p w14:paraId="4CA08670">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14:paraId="380DC11D">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45A1D05">
            <w:pPr>
              <w:pStyle w:val="26"/>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6688682A">
            <w:pPr>
              <w:pStyle w:val="26"/>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719DEDCF">
            <w:pPr>
              <w:pStyle w:val="26"/>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联合体投标的，由联合体牵头方出具相应的业绩证明材料。</w:t>
            </w:r>
          </w:p>
          <w:p w14:paraId="133F4F6F">
            <w:pPr>
              <w:pStyle w:val="26"/>
              <w:adjustRightInd w:val="0"/>
              <w:snapToGrid w:val="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          </w:t>
            </w:r>
          </w:p>
        </w:tc>
      </w:tr>
      <w:tr w14:paraId="6668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14:paraId="4183172F">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14:paraId="1825192E">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99A01C9">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6A09FA04">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08A25F79">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A8"/>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3A7661A4">
            <w:pPr>
              <w:pStyle w:val="26"/>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14:paraId="59409706">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37BD171B">
      <w:pPr>
        <w:rPr>
          <w:rFonts w:hint="eastAsia" w:ascii="仿宋" w:hAnsi="仿宋" w:eastAsia="仿宋" w:cs="仿宋"/>
          <w:color w:val="auto"/>
          <w:szCs w:val="21"/>
          <w:highlight w:val="none"/>
        </w:rPr>
      </w:pPr>
    </w:p>
    <w:p w14:paraId="1C002A1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14:paraId="477F2205">
      <w:pPr>
        <w:adjustRightInd w:val="0"/>
        <w:snapToGrid w:val="0"/>
        <w:spacing w:before="120" w:beforeLines="50" w:after="120" w:afterLines="50" w:line="360" w:lineRule="auto"/>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28292"/>
      <w:r>
        <w:rPr>
          <w:rFonts w:hint="eastAsia" w:ascii="仿宋" w:hAnsi="仿宋" w:eastAsia="仿宋" w:cs="仿宋"/>
          <w:b/>
          <w:color w:val="auto"/>
          <w:sz w:val="30"/>
          <w:szCs w:val="30"/>
          <w:highlight w:val="none"/>
        </w:rPr>
        <w:t>第二部分  投标须知</w:t>
      </w:r>
      <w:bookmarkEnd w:id="3"/>
      <w:bookmarkEnd w:id="4"/>
      <w:bookmarkEnd w:id="5"/>
      <w:bookmarkEnd w:id="6"/>
    </w:p>
    <w:p w14:paraId="1878887C">
      <w:pPr>
        <w:adjustRightInd/>
        <w:spacing w:line="360" w:lineRule="auto"/>
        <w:jc w:val="center"/>
        <w:outlineLvl w:val="1"/>
        <w:rPr>
          <w:rFonts w:hint="eastAsia" w:ascii="仿宋" w:hAnsi="仿宋" w:eastAsia="仿宋" w:cs="仿宋"/>
          <w:b/>
          <w:color w:val="auto"/>
          <w:sz w:val="32"/>
          <w:szCs w:val="20"/>
          <w:highlight w:val="none"/>
        </w:rPr>
      </w:pPr>
      <w:bookmarkStart w:id="7" w:name="_Toc5875"/>
      <w:bookmarkStart w:id="8" w:name="_Toc29733"/>
      <w:bookmarkStart w:id="9" w:name="_Toc3612"/>
      <w:r>
        <w:rPr>
          <w:rFonts w:hint="eastAsia" w:ascii="仿宋" w:hAnsi="仿宋" w:eastAsia="仿宋" w:cs="仿宋"/>
          <w:b/>
          <w:color w:val="auto"/>
          <w:sz w:val="32"/>
          <w:szCs w:val="20"/>
          <w:highlight w:val="none"/>
          <w:lang w:val="en-US" w:eastAsia="zh-CN"/>
        </w:rPr>
        <w:t>一、总则</w:t>
      </w:r>
      <w:bookmarkEnd w:id="7"/>
      <w:bookmarkEnd w:id="8"/>
      <w:bookmarkEnd w:id="9"/>
    </w:p>
    <w:p w14:paraId="14666E2E">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适用范围</w:t>
      </w:r>
    </w:p>
    <w:p w14:paraId="4D18FB23">
      <w:pPr>
        <w:snapToGrid w:val="0"/>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F0BF7E">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0F7B989B">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14:paraId="2EE17410">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14:paraId="7E78AA2C">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14:paraId="0516117B">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1AD0B43A">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AC0075">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14:paraId="3DA869C1">
      <w:pPr>
        <w:numPr>
          <w:ilvl w:val="1"/>
          <w:numId w:val="4"/>
        </w:num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系指实质性要求条款，“★”系关键技术指标，“</w:t>
      </w:r>
      <w:r>
        <w:rPr>
          <w:rFonts w:hint="eastAsia" w:ascii="仿宋" w:hAnsi="仿宋" w:eastAsia="仿宋" w:cs="仿宋"/>
          <w:color w:val="auto"/>
          <w:kern w:val="28"/>
          <w:sz w:val="24"/>
          <w:highlight w:val="none"/>
        </w:rPr>
        <w:sym w:font="Wingdings" w:char="00FE"/>
      </w:r>
      <w:r>
        <w:rPr>
          <w:rFonts w:hint="eastAsia" w:ascii="仿宋" w:hAnsi="仿宋" w:eastAsia="仿宋" w:cs="仿宋"/>
          <w:color w:val="auto"/>
          <w:sz w:val="24"/>
          <w:highlight w:val="none"/>
        </w:rPr>
        <w:t>” 系指适用本项目的要求，“☐” 系指不适用本项目的要求。</w:t>
      </w:r>
    </w:p>
    <w:p w14:paraId="19DAAAC0">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14:paraId="23DF520A">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EC9194A">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支持绿色发展</w:t>
      </w:r>
    </w:p>
    <w:p w14:paraId="430C9D8A">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687A5B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542EA01">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5ACA6328">
      <w:pPr>
        <w:numPr>
          <w:ilvl w:val="2"/>
          <w:numId w:val="4"/>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59FB76">
      <w:pPr>
        <w:numPr>
          <w:ilvl w:val="2"/>
          <w:numId w:val="4"/>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6C32BA">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14:paraId="03D6059E">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98CEA34">
      <w:pPr>
        <w:spacing w:line="360" w:lineRule="auto"/>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2C2E928">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CD6663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EB64AA9">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73E80390">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5853CE20">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）规定的监狱企业并提供由省级以上监狱管理局、戒毒管理局（含新疆生产建设兵团）出具的属于监狱企业证明文件的，视同为小型、微型企业。</w:t>
      </w:r>
    </w:p>
    <w:p w14:paraId="2C0EA36B">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CBA744">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6F55E2D8">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支持创新发展</w:t>
      </w:r>
    </w:p>
    <w:p w14:paraId="68BF6819">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14:paraId="1E4FCF97">
      <w:pPr>
        <w:numPr>
          <w:ilvl w:val="2"/>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0B2D94">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14:paraId="30E3B4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5852897">
      <w:pPr>
        <w:numPr>
          <w:ilvl w:val="1"/>
          <w:numId w:val="4"/>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中小企业信用融资：为支持和促进中小企业发展，进一步发挥政府采购政策功能，</w:t>
      </w: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B944A36">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14:paraId="6C7E6547">
      <w:pPr>
        <w:numPr>
          <w:ilvl w:val="1"/>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E85D4">
      <w:pPr>
        <w:numPr>
          <w:ilvl w:val="1"/>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14:paraId="0E22FA0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BF1561">
      <w:pPr>
        <w:numPr>
          <w:ilvl w:val="1"/>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14:paraId="1D8B993C">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提出质疑的供应商应当是参与所质疑项目采购活动的供应商。潜在供应商已依法获取其可质疑的招标文件的，可以对该文件提出质疑。</w:t>
      </w:r>
    </w:p>
    <w:p w14:paraId="10229BF3">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BF7DF9">
      <w:pPr>
        <w:numPr>
          <w:ilvl w:val="3"/>
          <w:numId w:val="4"/>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14:paraId="73282141">
      <w:pPr>
        <w:numPr>
          <w:ilvl w:val="3"/>
          <w:numId w:val="4"/>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14:paraId="34A7BF6F">
      <w:pPr>
        <w:numPr>
          <w:ilvl w:val="3"/>
          <w:numId w:val="4"/>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14:paraId="60155235">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14:paraId="4C8673E0">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14:paraId="319B5915">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14:paraId="2C72A3D5">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14:paraId="3588A1C2">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14:paraId="6CBCF5E9">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14:paraId="67E6AF70">
      <w:pPr>
        <w:numPr>
          <w:ilvl w:val="3"/>
          <w:numId w:val="4"/>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14:paraId="0F2BBA82">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F08F43A">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14:paraId="56EBF5E8">
      <w:pPr>
        <w:numPr>
          <w:ilvl w:val="2"/>
          <w:numId w:val="4"/>
        </w:numPr>
        <w:tabs>
          <w:tab w:val="left" w:pos="210"/>
          <w:tab w:val="left" w:pos="84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14:paraId="09551962">
      <w:pPr>
        <w:keepNext w:val="0"/>
        <w:keepLines w:val="0"/>
        <w:pageBreakBefore w:val="0"/>
        <w:widowControl w:val="0"/>
        <w:numPr>
          <w:ilvl w:val="2"/>
          <w:numId w:val="4"/>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14:paraId="6AB88A72">
      <w:pPr>
        <w:keepNext w:val="0"/>
        <w:keepLines w:val="0"/>
        <w:pageBreakBefore w:val="0"/>
        <w:widowControl w:val="0"/>
        <w:numPr>
          <w:ilvl w:val="2"/>
          <w:numId w:val="4"/>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采购人或者</w:t>
      </w:r>
      <w:r>
        <w:rPr>
          <w:rFonts w:hint="eastAsia" w:ascii="仿宋" w:hAnsi="仿宋" w:eastAsia="仿宋" w:cs="仿宋"/>
          <w:b w:val="0"/>
          <w:bCs/>
          <w:color w:val="auto"/>
          <w:sz w:val="24"/>
          <w:highlight w:val="none"/>
          <w:lang w:val="zh-CN" w:eastAsia="zh-CN"/>
        </w:rPr>
        <w:t>采购代理机构</w:t>
      </w:r>
      <w:r>
        <w:rPr>
          <w:rFonts w:hint="eastAsia" w:ascii="仿宋" w:hAnsi="仿宋" w:eastAsia="仿宋" w:cs="仿宋"/>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b w:val="0"/>
          <w:bCs/>
          <w:color w:val="auto"/>
          <w:sz w:val="24"/>
          <w:highlight w:val="none"/>
          <w:lang w:val="zh-CN" w:eastAsia="zh-CN"/>
        </w:rPr>
        <w:t>采购代理机构</w:t>
      </w:r>
      <w:r>
        <w:rPr>
          <w:rFonts w:hint="eastAsia" w:ascii="仿宋" w:hAnsi="仿宋" w:eastAsia="仿宋" w:cs="仿宋"/>
          <w:b w:val="0"/>
          <w:bCs/>
          <w:color w:val="auto"/>
          <w:sz w:val="24"/>
          <w:highlight w:val="none"/>
          <w:lang w:val="zh-CN"/>
        </w:rPr>
        <w:t>在质疑回复后5个工作日内，在浙江政府采购网的“其他公告”栏目公开质疑答复，答复内容应当完整。质疑函作为附件上传。</w:t>
      </w:r>
    </w:p>
    <w:p w14:paraId="07C84238">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询问或者质疑事项可能影响采购结果的，采购人应当暂停签订合同，已经签订合同的，应当中止履行合同。</w:t>
      </w:r>
    </w:p>
    <w:p w14:paraId="11076DC2">
      <w:pPr>
        <w:numPr>
          <w:ilvl w:val="1"/>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14:paraId="20E41F49">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2BAEFA8">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14:paraId="5BB38BDA">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14:paraId="0E314C4F">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14:paraId="2FDF30DF">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政府采购项目投诉材料可寄送浙江省政府采购行政裁决服务中心（杭州），地址：杭州市上城区清泰街549号城建综合大楼11楼，收件人：朱女士、王女士，</w:t>
      </w:r>
      <w:r>
        <w:rPr>
          <w:rFonts w:hint="eastAsia" w:ascii="仿宋" w:hAnsi="仿宋" w:eastAsia="仿宋" w:cs="仿宋"/>
          <w:bCs/>
          <w:color w:val="auto"/>
          <w:sz w:val="24"/>
          <w:highlight w:val="none"/>
          <w:lang w:val="en-US" w:eastAsia="zh-CN"/>
        </w:rPr>
        <w:t>联系</w:t>
      </w:r>
      <w:r>
        <w:rPr>
          <w:rFonts w:hint="eastAsia" w:ascii="仿宋" w:hAnsi="仿宋" w:eastAsia="仿宋" w:cs="仿宋"/>
          <w:bCs/>
          <w:color w:val="auto"/>
          <w:sz w:val="24"/>
          <w:highlight w:val="none"/>
          <w:lang w:val="zh-CN"/>
        </w:rPr>
        <w:t>电话：0571-87800218,0571-87227671。</w:t>
      </w:r>
    </w:p>
    <w:p w14:paraId="7601BB8C">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14:paraId="73A8070B">
      <w:pPr>
        <w:rPr>
          <w:rFonts w:hint="eastAsia" w:ascii="仿宋" w:hAnsi="仿宋" w:eastAsia="仿宋" w:cs="仿宋"/>
          <w:color w:val="auto"/>
          <w:highlight w:val="none"/>
        </w:rPr>
      </w:pPr>
    </w:p>
    <w:p w14:paraId="5D87471C">
      <w:pPr>
        <w:spacing w:line="360" w:lineRule="auto"/>
        <w:jc w:val="center"/>
        <w:outlineLvl w:val="1"/>
        <w:rPr>
          <w:rFonts w:hint="eastAsia" w:ascii="仿宋" w:hAnsi="仿宋" w:eastAsia="仿宋" w:cs="仿宋"/>
          <w:b/>
          <w:color w:val="auto"/>
          <w:sz w:val="32"/>
          <w:szCs w:val="20"/>
          <w:highlight w:val="none"/>
        </w:rPr>
      </w:pPr>
      <w:bookmarkStart w:id="10" w:name="_Toc30065"/>
      <w:bookmarkStart w:id="11" w:name="_Toc5240"/>
      <w:bookmarkStart w:id="12" w:name="_Toc28192"/>
      <w:bookmarkStart w:id="13" w:name="_Toc14473"/>
      <w:bookmarkStart w:id="14" w:name="_Toc27887"/>
      <w:r>
        <w:rPr>
          <w:rFonts w:hint="eastAsia" w:ascii="仿宋" w:hAnsi="仿宋" w:eastAsia="仿宋" w:cs="仿宋"/>
          <w:b/>
          <w:color w:val="auto"/>
          <w:sz w:val="32"/>
          <w:szCs w:val="20"/>
          <w:highlight w:val="none"/>
        </w:rPr>
        <w:t>二、招标文件的构成、澄清、修改</w:t>
      </w:r>
      <w:bookmarkEnd w:id="10"/>
      <w:bookmarkEnd w:id="11"/>
      <w:bookmarkEnd w:id="12"/>
      <w:bookmarkEnd w:id="13"/>
      <w:bookmarkEnd w:id="14"/>
    </w:p>
    <w:p w14:paraId="4BCEA0AA">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14:paraId="7EC3BC1E">
      <w:pPr>
        <w:numPr>
          <w:ilvl w:val="1"/>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14:paraId="26320A52">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14:paraId="3987E3FB">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14:paraId="45B3601C">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14:paraId="1A1D4BE3">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14:paraId="478871E1">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14:paraId="7F03A666">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14:paraId="33BCAF1A">
      <w:pPr>
        <w:numPr>
          <w:ilvl w:val="1"/>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14:paraId="40F1384B">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14:paraId="3009E372">
      <w:pPr>
        <w:numPr>
          <w:ilvl w:val="1"/>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14:paraId="371F5E00">
      <w:pPr>
        <w:numPr>
          <w:ilvl w:val="1"/>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AD5DA2">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2C3D1A">
      <w:pPr>
        <w:spacing w:line="360" w:lineRule="auto"/>
        <w:jc w:val="center"/>
        <w:outlineLvl w:val="1"/>
        <w:rPr>
          <w:rFonts w:hint="eastAsia" w:ascii="仿宋" w:hAnsi="仿宋" w:eastAsia="仿宋" w:cs="仿宋"/>
          <w:b/>
          <w:color w:val="auto"/>
          <w:sz w:val="30"/>
          <w:szCs w:val="20"/>
          <w:highlight w:val="none"/>
        </w:rPr>
      </w:pPr>
      <w:bookmarkStart w:id="15" w:name="_Toc8085"/>
      <w:bookmarkStart w:id="16" w:name="_Toc25644"/>
      <w:bookmarkStart w:id="17" w:name="_Toc484"/>
      <w:bookmarkStart w:id="18" w:name="_Toc10627"/>
      <w:bookmarkStart w:id="19" w:name="_Toc2344"/>
      <w:r>
        <w:rPr>
          <w:rFonts w:hint="eastAsia" w:ascii="仿宋" w:hAnsi="仿宋" w:eastAsia="仿宋" w:cs="仿宋"/>
          <w:b/>
          <w:color w:val="auto"/>
          <w:sz w:val="30"/>
          <w:szCs w:val="20"/>
          <w:highlight w:val="none"/>
        </w:rPr>
        <w:t>三、投标</w:t>
      </w:r>
      <w:bookmarkEnd w:id="15"/>
      <w:bookmarkEnd w:id="16"/>
      <w:bookmarkEnd w:id="17"/>
      <w:bookmarkEnd w:id="18"/>
      <w:bookmarkEnd w:id="19"/>
    </w:p>
    <w:p w14:paraId="73780667">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14:paraId="642DF4F0">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D5E52D3">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5B1CD2BB">
      <w:pPr>
        <w:pStyle w:val="26"/>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D50C574">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48AE1706">
      <w:pPr>
        <w:pStyle w:val="11"/>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94E5350">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3C5A264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C1CACB">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14:paraId="15EEC451">
      <w:pPr>
        <w:numPr>
          <w:ilvl w:val="1"/>
          <w:numId w:val="4"/>
        </w:numPr>
        <w:tabs>
          <w:tab w:val="left" w:pos="210"/>
          <w:tab w:val="left" w:pos="630"/>
          <w:tab w:val="left" w:pos="840"/>
        </w:tabs>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资格文件：</w:t>
      </w:r>
    </w:p>
    <w:p w14:paraId="2309E996">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14:paraId="5DB6D0C4">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14:paraId="6A545E0B">
      <w:pPr>
        <w:numPr>
          <w:ilvl w:val="2"/>
          <w:numId w:val="4"/>
        </w:numPr>
        <w:tabs>
          <w:tab w:val="left" w:pos="210"/>
          <w:tab w:val="left" w:pos="630"/>
          <w:tab w:val="left" w:pos="840"/>
        </w:tabs>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bCs/>
          <w:color w:val="auto"/>
          <w:sz w:val="24"/>
          <w:highlight w:val="none"/>
        </w:rPr>
        <w:t>落实政府采购政策需满足的资格要求；</w:t>
      </w:r>
      <w:r>
        <w:rPr>
          <w:rFonts w:hint="eastAsia" w:ascii="仿宋" w:hAnsi="仿宋" w:eastAsia="仿宋" w:cs="仿宋"/>
          <w:snapToGrid w:val="0"/>
          <w:color w:val="auto"/>
          <w:kern w:val="0"/>
          <w:sz w:val="24"/>
          <w:highlight w:val="none"/>
        </w:rPr>
        <w:t>（本项目专门面向中小企业</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提供中小企业声明函</w:t>
      </w:r>
      <w:r>
        <w:rPr>
          <w:rFonts w:hint="eastAsia" w:ascii="仿宋" w:hAnsi="仿宋" w:eastAsia="仿宋" w:cs="仿宋"/>
          <w:snapToGrid w:val="0"/>
          <w:color w:val="auto"/>
          <w:kern w:val="0"/>
          <w:sz w:val="24"/>
          <w:highlight w:val="none"/>
        </w:rPr>
        <w:t>）</w:t>
      </w:r>
    </w:p>
    <w:p w14:paraId="0319A441">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（提供有效的保安服务许可证扫描件）</w:t>
      </w:r>
    </w:p>
    <w:p w14:paraId="008C2D0D">
      <w:pPr>
        <w:numPr>
          <w:ilvl w:val="1"/>
          <w:numId w:val="4"/>
        </w:numPr>
        <w:tabs>
          <w:tab w:val="left" w:pos="210"/>
          <w:tab w:val="left" w:pos="630"/>
          <w:tab w:val="left" w:pos="840"/>
        </w:tabs>
        <w:snapToGrid w:val="0"/>
        <w:spacing w:line="360" w:lineRule="auto"/>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3E5528BB">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投标函；</w:t>
      </w:r>
      <w:r>
        <w:rPr>
          <w:rFonts w:hint="eastAsia" w:ascii="仿宋" w:hAnsi="仿宋" w:eastAsia="仿宋" w:cs="仿宋"/>
          <w:bCs/>
          <w:color w:val="auto"/>
          <w:sz w:val="24"/>
          <w:highlight w:val="none"/>
          <w:lang w:val="zh-CN"/>
        </w:rPr>
        <w:t xml:space="preserve"> </w:t>
      </w:r>
    </w:p>
    <w:p w14:paraId="40C1B45B">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以及为授权代表缴纳、距投标截止时间3个月内任意时间出具的社保证明材料</w:t>
      </w:r>
      <w:r>
        <w:rPr>
          <w:rFonts w:hint="eastAsia" w:ascii="仿宋" w:hAnsi="仿宋" w:eastAsia="仿宋" w:cs="仿宋"/>
          <w:bCs/>
          <w:color w:val="auto"/>
          <w:sz w:val="24"/>
          <w:highlight w:val="none"/>
        </w:rPr>
        <w:t>；</w:t>
      </w:r>
    </w:p>
    <w:p w14:paraId="70D601D9">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14:paraId="3B96025B">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14:paraId="7BCC6A88">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14:paraId="702DE86B">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14:paraId="78FEC1CF">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14:paraId="0E2A45F3">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14:paraId="4DA955E1">
      <w:pPr>
        <w:numPr>
          <w:ilvl w:val="1"/>
          <w:numId w:val="4"/>
        </w:numPr>
        <w:tabs>
          <w:tab w:val="left" w:pos="210"/>
          <w:tab w:val="left" w:pos="630"/>
          <w:tab w:val="left" w:pos="840"/>
        </w:tabs>
        <w:snapToGrid w:val="0"/>
        <w:spacing w:line="360" w:lineRule="auto"/>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14:paraId="46409D48">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14:paraId="703D4C84">
      <w:pPr>
        <w:numPr>
          <w:ilvl w:val="2"/>
          <w:numId w:val="4"/>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报价明细表</w:t>
      </w:r>
      <w:r>
        <w:rPr>
          <w:rFonts w:hint="eastAsia" w:ascii="仿宋" w:hAnsi="仿宋" w:eastAsia="仿宋" w:cs="仿宋"/>
          <w:bCs/>
          <w:color w:val="auto"/>
          <w:sz w:val="24"/>
          <w:highlight w:val="none"/>
        </w:rPr>
        <w:t>。（自拟）</w:t>
      </w:r>
    </w:p>
    <w:p w14:paraId="30623D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94427D">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投标人提供虚假材料投标的，投标无效</w:t>
      </w:r>
      <w:r>
        <w:rPr>
          <w:rFonts w:hint="eastAsia" w:ascii="仿宋" w:hAnsi="仿宋" w:eastAsia="仿宋" w:cs="仿宋"/>
          <w:b/>
          <w:color w:val="auto"/>
          <w:sz w:val="24"/>
          <w:highlight w:val="none"/>
          <w:lang w:eastAsia="zh-CN"/>
        </w:rPr>
        <w:t>；</w:t>
      </w:r>
    </w:p>
    <w:p w14:paraId="77BF6DCF">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投标人应对投标文件中材料的真实性、合法性负责。</w:t>
      </w:r>
    </w:p>
    <w:p w14:paraId="7F944267">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14:paraId="55F52BB5">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9F013C">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6756B6D">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14:paraId="1156A7B6">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3FECA96">
      <w:pPr>
        <w:numPr>
          <w:ilvl w:val="1"/>
          <w:numId w:val="4"/>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14:paraId="26FD262F">
      <w:pPr>
        <w:pStyle w:val="119"/>
        <w:snapToGrid w:val="0"/>
        <w:spacing w:before="0"/>
        <w:ind w:firstLine="489"/>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4D3F9D5">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1B402594">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14:paraId="05555C0A">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14:paraId="36FA8E0B">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DD8FDAF">
      <w:pPr>
        <w:numPr>
          <w:ilvl w:val="1"/>
          <w:numId w:val="4"/>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68270108">
      <w:pPr>
        <w:numPr>
          <w:ilvl w:val="1"/>
          <w:numId w:val="4"/>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191493CE">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14:paraId="6CCB4850">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14:paraId="580766AB">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14:paraId="26E16A04">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14:paraId="7298316B">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8BEE9DC">
      <w:pPr>
        <w:numPr>
          <w:ilvl w:val="1"/>
          <w:numId w:val="4"/>
        </w:numPr>
        <w:tabs>
          <w:tab w:val="left" w:pos="210"/>
          <w:tab w:val="left" w:pos="640"/>
        </w:tabs>
        <w:snapToGrid w:val="0"/>
        <w:spacing w:line="360" w:lineRule="auto"/>
        <w:ind w:left="629" w:hanging="629"/>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14:paraId="37307073">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14:paraId="6C0C3ABD">
      <w:pPr>
        <w:pStyle w:val="21"/>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4EC6A463">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14:paraId="2959A3D6">
      <w:pPr>
        <w:numPr>
          <w:ilvl w:val="1"/>
          <w:numId w:val="4"/>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14:paraId="2EFF714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CEE418D">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14:paraId="49CB3A94">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16926D97">
      <w:pPr>
        <w:numPr>
          <w:ilvl w:val="1"/>
          <w:numId w:val="4"/>
        </w:numPr>
        <w:tabs>
          <w:tab w:val="left" w:pos="210"/>
          <w:tab w:val="left" w:pos="640"/>
        </w:tabs>
        <w:snapToGrid w:val="0"/>
        <w:spacing w:line="360" w:lineRule="auto"/>
        <w:ind w:left="627" w:leftChars="0" w:hanging="627" w:firstLineChars="0"/>
        <w:jc w:val="left"/>
        <w:outlineLvl w:val="2"/>
        <w:rPr>
          <w:rFonts w:hint="eastAsia" w:ascii="仿宋" w:hAnsi="仿宋" w:eastAsia="仿宋" w:cs="仿宋"/>
          <w:color w:val="auto"/>
          <w:highlight w:val="none"/>
        </w:rPr>
      </w:pPr>
      <w:r>
        <w:rPr>
          <w:rFonts w:hint="eastAsia" w:ascii="仿宋" w:hAnsi="仿宋" w:eastAsia="仿宋" w:cs="仿宋"/>
          <w:b w:val="0"/>
          <w:bCs/>
          <w:color w:val="auto"/>
          <w:sz w:val="24"/>
          <w:highlight w:val="none"/>
          <w:lang w:val="en-US" w:eastAsia="zh-CN"/>
        </w:rPr>
        <w:t>自</w:t>
      </w:r>
      <w:r>
        <w:rPr>
          <w:rFonts w:hint="eastAsia" w:ascii="仿宋" w:hAnsi="仿宋" w:eastAsia="仿宋" w:cs="仿宋"/>
          <w:b w:val="0"/>
          <w:bCs/>
          <w:color w:val="auto"/>
          <w:sz w:val="24"/>
          <w:highlight w:val="none"/>
        </w:rPr>
        <w:t>投标截止时间起至投标有效期届满，供应商投标文件不可撤销。</w:t>
      </w:r>
    </w:p>
    <w:p w14:paraId="18248B84">
      <w:pPr>
        <w:pStyle w:val="119"/>
        <w:spacing w:before="0"/>
        <w:ind w:firstLine="653"/>
        <w:rPr>
          <w:rFonts w:hint="eastAsia" w:ascii="仿宋" w:hAnsi="仿宋" w:eastAsia="仿宋" w:cs="仿宋"/>
          <w:b/>
          <w:color w:val="auto"/>
          <w:sz w:val="32"/>
          <w:highlight w:val="none"/>
        </w:rPr>
      </w:pPr>
    </w:p>
    <w:p w14:paraId="59052E66">
      <w:pPr>
        <w:spacing w:line="360" w:lineRule="auto"/>
        <w:jc w:val="center"/>
        <w:outlineLvl w:val="1"/>
        <w:rPr>
          <w:rFonts w:hint="eastAsia" w:ascii="仿宋" w:hAnsi="仿宋" w:eastAsia="仿宋" w:cs="仿宋"/>
          <w:b/>
          <w:color w:val="auto"/>
          <w:sz w:val="30"/>
          <w:szCs w:val="20"/>
          <w:highlight w:val="none"/>
        </w:rPr>
      </w:pPr>
      <w:bookmarkStart w:id="20" w:name="_Toc3728"/>
      <w:bookmarkStart w:id="21" w:name="_Toc25497"/>
      <w:bookmarkStart w:id="22" w:name="_Toc533"/>
      <w:bookmarkStart w:id="23" w:name="_Toc11837"/>
      <w:bookmarkStart w:id="24" w:name="_Toc16113"/>
      <w:r>
        <w:rPr>
          <w:rFonts w:hint="eastAsia" w:ascii="仿宋" w:hAnsi="仿宋" w:eastAsia="仿宋" w:cs="仿宋"/>
          <w:b/>
          <w:color w:val="auto"/>
          <w:sz w:val="30"/>
          <w:szCs w:val="20"/>
          <w:highlight w:val="none"/>
        </w:rPr>
        <w:t>四、开标、资格审查与信用信息查询</w:t>
      </w:r>
      <w:bookmarkEnd w:id="20"/>
      <w:bookmarkEnd w:id="21"/>
      <w:bookmarkEnd w:id="22"/>
      <w:bookmarkEnd w:id="23"/>
      <w:bookmarkEnd w:id="24"/>
    </w:p>
    <w:p w14:paraId="6E717C23">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14:paraId="65322F89">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14:paraId="22F38CD6">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CF78DD0">
      <w:pPr>
        <w:numPr>
          <w:ilvl w:val="1"/>
          <w:numId w:val="4"/>
        </w:numPr>
        <w:tabs>
          <w:tab w:val="left" w:pos="210"/>
          <w:tab w:val="left" w:pos="640"/>
        </w:tabs>
        <w:snapToGrid w:val="0"/>
        <w:spacing w:line="360" w:lineRule="auto"/>
        <w:ind w:left="629" w:hanging="629"/>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D59E34">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w:t>
      </w:r>
    </w:p>
    <w:p w14:paraId="5B570601">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lang w:eastAsia="zh-CN"/>
        </w:rPr>
        <w:t>开标后，</w:t>
      </w:r>
      <w:r>
        <w:rPr>
          <w:rFonts w:hint="eastAsia" w:ascii="仿宋" w:hAnsi="仿宋" w:eastAsia="仿宋" w:cs="仿宋"/>
          <w:b w:val="0"/>
          <w:bCs/>
          <w:color w:val="auto"/>
          <w:sz w:val="24"/>
          <w:highlight w:val="none"/>
        </w:rPr>
        <w:t>采购人或采购代理机构依据法律法规和招标文件的规定，对投标人的资格进行审查</w:t>
      </w:r>
      <w:r>
        <w:rPr>
          <w:rFonts w:hint="eastAsia" w:ascii="仿宋" w:hAnsi="仿宋" w:eastAsia="仿宋" w:cs="仿宋"/>
          <w:bCs/>
          <w:color w:val="auto"/>
          <w:sz w:val="24"/>
          <w:highlight w:val="none"/>
        </w:rPr>
        <w:t>。</w:t>
      </w:r>
    </w:p>
    <w:p w14:paraId="6CE4A7FF">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采购人或采购代理机构依据法律法规和招标文件的规定，对投标人的基本资格条件、特定资格条件进行审查。</w:t>
      </w:r>
    </w:p>
    <w:p w14:paraId="4E2740EF">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投标人未按照招标文件要求提供与基本资格条件、特定资格条件相应的有效资格证明材料的，视为投标人不具备招标文件中规定的资格要求，其投标无效。</w:t>
      </w:r>
    </w:p>
    <w:p w14:paraId="76260BF4">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14:paraId="789E361C">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14:paraId="18A62807">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14:paraId="5B34E733">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14:paraId="1F6E3C8A">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14:paraId="754DA693">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0D365D89">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7CA601">
      <w:pPr>
        <w:snapToGrid w:val="0"/>
        <w:spacing w:line="360" w:lineRule="auto"/>
        <w:jc w:val="center"/>
        <w:outlineLvl w:val="1"/>
        <w:rPr>
          <w:rFonts w:hint="eastAsia" w:ascii="仿宋" w:hAnsi="仿宋" w:eastAsia="仿宋" w:cs="仿宋"/>
          <w:b/>
          <w:color w:val="auto"/>
          <w:sz w:val="36"/>
          <w:szCs w:val="36"/>
          <w:highlight w:val="none"/>
        </w:rPr>
      </w:pPr>
      <w:bookmarkStart w:id="25" w:name="_Toc24431"/>
      <w:bookmarkStart w:id="26" w:name="_Toc22552"/>
      <w:bookmarkStart w:id="27" w:name="_Toc19433"/>
      <w:bookmarkStart w:id="28" w:name="_Toc9793"/>
      <w:bookmarkStart w:id="29" w:name="_Toc7171"/>
      <w:r>
        <w:rPr>
          <w:rFonts w:hint="eastAsia" w:ascii="仿宋" w:hAnsi="仿宋" w:eastAsia="仿宋" w:cs="仿宋"/>
          <w:b/>
          <w:color w:val="auto"/>
          <w:sz w:val="36"/>
          <w:szCs w:val="36"/>
          <w:highlight w:val="none"/>
        </w:rPr>
        <w:t>五、评标</w:t>
      </w:r>
      <w:bookmarkEnd w:id="25"/>
      <w:bookmarkEnd w:id="26"/>
      <w:bookmarkEnd w:id="27"/>
      <w:bookmarkEnd w:id="28"/>
      <w:bookmarkEnd w:id="29"/>
    </w:p>
    <w:p w14:paraId="197C4AC9">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w:t>
      </w:r>
    </w:p>
    <w:p w14:paraId="72AC98C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6F73471">
      <w:pPr>
        <w:snapToGrid w:val="0"/>
        <w:spacing w:line="360" w:lineRule="auto"/>
        <w:jc w:val="center"/>
        <w:outlineLvl w:val="1"/>
        <w:rPr>
          <w:rFonts w:hint="eastAsia" w:ascii="仿宋" w:hAnsi="仿宋" w:eastAsia="仿宋" w:cs="仿宋"/>
          <w:b/>
          <w:color w:val="auto"/>
          <w:sz w:val="36"/>
          <w:szCs w:val="36"/>
          <w:highlight w:val="none"/>
        </w:rPr>
      </w:pPr>
      <w:bookmarkStart w:id="30" w:name="_Toc31668"/>
      <w:bookmarkStart w:id="31" w:name="_Toc20749"/>
      <w:bookmarkStart w:id="32" w:name="_Toc7518"/>
      <w:bookmarkStart w:id="33" w:name="_Toc30302"/>
      <w:bookmarkStart w:id="34" w:name="_Toc29939"/>
      <w:r>
        <w:rPr>
          <w:rFonts w:hint="eastAsia" w:ascii="仿宋" w:hAnsi="仿宋" w:eastAsia="仿宋" w:cs="仿宋"/>
          <w:b/>
          <w:color w:val="auto"/>
          <w:sz w:val="36"/>
          <w:szCs w:val="36"/>
          <w:highlight w:val="none"/>
        </w:rPr>
        <w:t>六、定 标</w:t>
      </w:r>
      <w:bookmarkEnd w:id="30"/>
      <w:bookmarkEnd w:id="31"/>
      <w:bookmarkEnd w:id="32"/>
      <w:bookmarkEnd w:id="33"/>
      <w:bookmarkEnd w:id="34"/>
    </w:p>
    <w:p w14:paraId="30B0FC49">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14:paraId="0AA7E318">
      <w:pPr>
        <w:pStyle w:val="119"/>
        <w:snapToGrid w:val="0"/>
        <w:spacing w:before="0"/>
        <w:ind w:firstLine="420" w:firstLineChars="175"/>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仿宋" w:hAnsi="仿宋" w:eastAsia="仿宋" w:cs="仿宋"/>
          <w:color w:val="auto"/>
          <w:szCs w:val="24"/>
          <w:highlight w:val="none"/>
          <w:lang w:eastAsia="zh-CN"/>
        </w:rPr>
        <w:t>中标候选人并列的，</w:t>
      </w:r>
      <w:r>
        <w:rPr>
          <w:rFonts w:hint="eastAsia" w:ascii="仿宋" w:hAnsi="仿宋" w:eastAsia="仿宋" w:cs="仿宋"/>
          <w:color w:val="auto"/>
          <w:szCs w:val="24"/>
          <w:highlight w:val="none"/>
        </w:rPr>
        <w:t>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ED03DDB">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14:paraId="3C5166A9">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14:paraId="58E23838">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28241BA">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公告期限为1个工作日。</w:t>
      </w:r>
    </w:p>
    <w:p w14:paraId="37BC0087">
      <w:pPr>
        <w:rPr>
          <w:rFonts w:hint="eastAsia" w:ascii="仿宋" w:hAnsi="仿宋" w:eastAsia="仿宋" w:cs="仿宋"/>
          <w:color w:val="auto"/>
          <w:highlight w:val="none"/>
        </w:rPr>
      </w:pPr>
    </w:p>
    <w:p w14:paraId="1AD596CC">
      <w:pPr>
        <w:snapToGrid w:val="0"/>
        <w:spacing w:line="360" w:lineRule="auto"/>
        <w:jc w:val="center"/>
        <w:outlineLvl w:val="1"/>
        <w:rPr>
          <w:rFonts w:hint="eastAsia" w:ascii="仿宋" w:hAnsi="仿宋" w:eastAsia="仿宋" w:cs="仿宋"/>
          <w:b/>
          <w:color w:val="auto"/>
          <w:sz w:val="36"/>
          <w:szCs w:val="36"/>
          <w:highlight w:val="none"/>
        </w:rPr>
      </w:pPr>
      <w:bookmarkStart w:id="35" w:name="_Toc16906"/>
      <w:bookmarkStart w:id="36" w:name="_Toc5538"/>
      <w:bookmarkStart w:id="37" w:name="_Toc21438"/>
      <w:bookmarkStart w:id="38" w:name="_Toc12684"/>
      <w:r>
        <w:rPr>
          <w:rFonts w:hint="eastAsia" w:ascii="仿宋" w:hAnsi="仿宋" w:eastAsia="仿宋" w:cs="仿宋"/>
          <w:b/>
          <w:color w:val="auto"/>
          <w:sz w:val="36"/>
          <w:szCs w:val="36"/>
          <w:highlight w:val="none"/>
        </w:rPr>
        <w:t>七、合同授予</w:t>
      </w:r>
      <w:bookmarkEnd w:id="35"/>
      <w:bookmarkEnd w:id="36"/>
      <w:bookmarkEnd w:id="37"/>
      <w:bookmarkEnd w:id="38"/>
    </w:p>
    <w:p w14:paraId="1CB0CC10">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合同授予</w:t>
      </w:r>
    </w:p>
    <w:p w14:paraId="1E350B41">
      <w:pPr>
        <w:widowControl/>
        <w:shd w:val="clear" w:color="auto" w:fill="FFFFFF"/>
        <w:spacing w:line="360" w:lineRule="auto"/>
        <w:ind w:firstLine="420"/>
        <w:jc w:val="left"/>
        <w:rPr>
          <w:rFonts w:hint="eastAsia" w:ascii="仿宋" w:hAnsi="仿宋" w:eastAsia="仿宋" w:cs="仿宋"/>
          <w:b/>
          <w:color w:val="auto"/>
          <w:highlight w:val="none"/>
        </w:rPr>
      </w:pPr>
      <w:r>
        <w:rPr>
          <w:rFonts w:hint="eastAsia" w:ascii="仿宋" w:hAnsi="仿宋" w:eastAsia="仿宋" w:cs="仿宋"/>
          <w:color w:val="auto"/>
          <w:sz w:val="24"/>
          <w:highlight w:val="none"/>
        </w:rPr>
        <w:t>合同主要条款详见第五部分拟签订的合同文本。</w:t>
      </w:r>
    </w:p>
    <w:p w14:paraId="4C5A1C8D">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14:paraId="18649DB1">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D79835">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6115ACE">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14:paraId="1D26581D">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3DD6E56F">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14:paraId="320FD57F">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14:paraId="36672B96">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4C97E895">
      <w:pPr>
        <w:numPr>
          <w:ilvl w:val="1"/>
          <w:numId w:val="4"/>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14:paraId="78E5ED16">
      <w:pPr>
        <w:numPr>
          <w:ilvl w:val="2"/>
          <w:numId w:val="4"/>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14:paraId="29C3DE9B">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14:paraId="4EC514A9">
      <w:pPr>
        <w:numPr>
          <w:ilvl w:val="2"/>
          <w:numId w:val="4"/>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14:paraId="30737DC0">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1B08C200">
      <w:pPr>
        <w:tabs>
          <w:tab w:val="left" w:pos="210"/>
          <w:tab w:val="left" w:pos="640"/>
        </w:tabs>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4D90E3">
      <w:pPr>
        <w:snapToGrid w:val="0"/>
        <w:spacing w:line="360" w:lineRule="auto"/>
        <w:ind w:firstLine="3357" w:firstLineChars="1045"/>
        <w:rPr>
          <w:rFonts w:hint="eastAsia" w:ascii="仿宋" w:hAnsi="仿宋" w:eastAsia="仿宋" w:cs="仿宋"/>
          <w:b/>
          <w:color w:val="auto"/>
          <w:sz w:val="32"/>
          <w:highlight w:val="none"/>
        </w:rPr>
      </w:pPr>
    </w:p>
    <w:p w14:paraId="3781F5E6">
      <w:pPr>
        <w:snapToGrid w:val="0"/>
        <w:spacing w:line="360" w:lineRule="auto"/>
        <w:jc w:val="center"/>
        <w:outlineLvl w:val="1"/>
        <w:rPr>
          <w:rFonts w:hint="eastAsia" w:ascii="仿宋" w:hAnsi="仿宋" w:eastAsia="仿宋" w:cs="仿宋"/>
          <w:b/>
          <w:color w:val="auto"/>
          <w:sz w:val="36"/>
          <w:szCs w:val="36"/>
          <w:highlight w:val="none"/>
        </w:rPr>
      </w:pPr>
      <w:bookmarkStart w:id="39" w:name="_Toc24890"/>
      <w:bookmarkStart w:id="40" w:name="_Toc12260"/>
      <w:bookmarkStart w:id="41" w:name="_Toc32079"/>
      <w:r>
        <w:rPr>
          <w:rFonts w:hint="eastAsia" w:ascii="仿宋" w:hAnsi="仿宋" w:eastAsia="仿宋" w:cs="仿宋"/>
          <w:b/>
          <w:color w:val="auto"/>
          <w:sz w:val="36"/>
          <w:szCs w:val="36"/>
          <w:highlight w:val="none"/>
        </w:rPr>
        <w:t>八、电子交易活动的中止</w:t>
      </w:r>
      <w:bookmarkEnd w:id="39"/>
      <w:bookmarkEnd w:id="40"/>
      <w:bookmarkEnd w:id="41"/>
    </w:p>
    <w:p w14:paraId="3692A113">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14:paraId="2E08B223">
      <w:pPr>
        <w:pStyle w:val="1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99FAB37">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14:paraId="0A062CDB">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14:paraId="06F819A2">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14:paraId="6917636F">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14:paraId="54F895EA">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14:paraId="04CEC7A7">
      <w:pPr>
        <w:numPr>
          <w:ilvl w:val="0"/>
          <w:numId w:val="4"/>
        </w:numPr>
        <w:tabs>
          <w:tab w:val="left" w:pos="210"/>
        </w:tabs>
        <w:snapToGrid w:val="0"/>
        <w:spacing w:line="360" w:lineRule="auto"/>
        <w:ind w:left="403" w:hanging="403"/>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7B4E0FE">
      <w:pPr>
        <w:tabs>
          <w:tab w:val="left" w:pos="0"/>
        </w:tabs>
        <w:spacing w:line="360" w:lineRule="auto"/>
        <w:ind w:firstLine="480"/>
        <w:rPr>
          <w:rFonts w:hint="eastAsia" w:ascii="仿宋" w:hAnsi="仿宋" w:eastAsia="仿宋" w:cs="仿宋"/>
          <w:color w:val="auto"/>
          <w:sz w:val="24"/>
          <w:highlight w:val="none"/>
        </w:rPr>
      </w:pPr>
    </w:p>
    <w:p w14:paraId="4EE30627">
      <w:pPr>
        <w:snapToGrid w:val="0"/>
        <w:spacing w:line="360" w:lineRule="auto"/>
        <w:jc w:val="center"/>
        <w:outlineLvl w:val="1"/>
        <w:rPr>
          <w:rFonts w:hint="eastAsia" w:ascii="仿宋" w:hAnsi="仿宋" w:eastAsia="仿宋" w:cs="仿宋"/>
          <w:b/>
          <w:color w:val="auto"/>
          <w:sz w:val="36"/>
          <w:szCs w:val="36"/>
          <w:highlight w:val="none"/>
        </w:rPr>
      </w:pPr>
      <w:bookmarkStart w:id="42" w:name="_Toc24777"/>
      <w:bookmarkStart w:id="43" w:name="_Toc18624"/>
      <w:bookmarkStart w:id="44" w:name="_Toc26192"/>
      <w:r>
        <w:rPr>
          <w:rFonts w:hint="eastAsia" w:ascii="仿宋" w:hAnsi="仿宋" w:eastAsia="仿宋" w:cs="仿宋"/>
          <w:b/>
          <w:color w:val="auto"/>
          <w:sz w:val="36"/>
          <w:szCs w:val="36"/>
          <w:highlight w:val="none"/>
        </w:rPr>
        <w:t>九、验收</w:t>
      </w:r>
      <w:bookmarkEnd w:id="42"/>
      <w:bookmarkEnd w:id="43"/>
      <w:bookmarkEnd w:id="44"/>
    </w:p>
    <w:p w14:paraId="509F5411">
      <w:pPr>
        <w:numPr>
          <w:ilvl w:val="0"/>
          <w:numId w:val="4"/>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验收</w:t>
      </w:r>
    </w:p>
    <w:p w14:paraId="76975789">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093B76">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3D0EA2AC">
      <w:pPr>
        <w:numPr>
          <w:ilvl w:val="1"/>
          <w:numId w:val="4"/>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D8E3B">
      <w:pPr>
        <w:numPr>
          <w:ilvl w:val="1"/>
          <w:numId w:val="4"/>
        </w:numP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375CA5">
      <w:pPr>
        <w:adjustRightInd w:val="0"/>
        <w:snapToGrid w:val="0"/>
        <w:spacing w:before="120" w:beforeLines="50" w:after="120" w:afterLines="50" w:line="360" w:lineRule="auto"/>
        <w:jc w:val="center"/>
        <w:outlineLvl w:val="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bCs/>
          <w:color w:val="auto"/>
          <w:sz w:val="28"/>
          <w:szCs w:val="21"/>
          <w:highlight w:val="none"/>
        </w:rPr>
        <w:br w:type="page"/>
      </w:r>
      <w:bookmarkStart w:id="45" w:name="_Toc31190"/>
      <w:bookmarkStart w:id="46" w:name="_Toc242012796"/>
      <w:bookmarkStart w:id="47" w:name="_Toc83616202"/>
      <w:bookmarkStart w:id="48" w:name="_Toc11107"/>
      <w:r>
        <w:rPr>
          <w:rFonts w:hint="eastAsia" w:ascii="仿宋" w:hAnsi="仿宋" w:eastAsia="仿宋" w:cs="仿宋"/>
          <w:b/>
          <w:color w:val="000000" w:themeColor="text1"/>
          <w:sz w:val="30"/>
          <w:szCs w:val="30"/>
          <w:highlight w:val="none"/>
          <w14:textFill>
            <w14:solidFill>
              <w14:schemeClr w14:val="tx1"/>
            </w14:solidFill>
          </w14:textFill>
        </w:rPr>
        <w:t>第三部分</w:t>
      </w:r>
      <w:bookmarkEnd w:id="45"/>
      <w:bookmarkEnd w:id="46"/>
      <w:bookmarkEnd w:id="47"/>
      <w:r>
        <w:rPr>
          <w:rFonts w:hint="eastAsia" w:ascii="仿宋" w:hAnsi="仿宋" w:eastAsia="仿宋" w:cs="仿宋"/>
          <w:b/>
          <w:color w:val="000000" w:themeColor="text1"/>
          <w:sz w:val="30"/>
          <w:szCs w:val="30"/>
          <w:highlight w:val="none"/>
          <w14:textFill>
            <w14:solidFill>
              <w14:schemeClr w14:val="tx1"/>
            </w14:solidFill>
          </w14:textFill>
        </w:rPr>
        <w:t xml:space="preserve">  采购需求</w:t>
      </w:r>
      <w:bookmarkEnd w:id="48"/>
    </w:p>
    <w:p w14:paraId="7B758EEA">
      <w:pPr>
        <w:pStyle w:val="4"/>
        <w:spacing w:before="120" w:after="120" w:line="360" w:lineRule="auto"/>
        <w:rPr>
          <w:rFonts w:hint="eastAsia" w:ascii="仿宋" w:hAnsi="仿宋" w:eastAsia="仿宋" w:cs="仿宋"/>
          <w:color w:val="auto"/>
          <w:sz w:val="24"/>
          <w:szCs w:val="24"/>
          <w:highlight w:val="none"/>
          <w:lang w:val="en-US" w:eastAsia="zh-CN"/>
        </w:rPr>
      </w:pPr>
      <w:bookmarkStart w:id="49" w:name="_Toc22609"/>
      <w:bookmarkStart w:id="50" w:name="_Toc28332"/>
      <w:bookmarkStart w:id="51" w:name="_Toc418846105"/>
      <w:bookmarkStart w:id="52" w:name="_Toc30857"/>
      <w:bookmarkStart w:id="53" w:name="_Toc18943"/>
      <w:bookmarkStart w:id="54" w:name="_Toc12471"/>
      <w:bookmarkStart w:id="55" w:name="_Toc203558307"/>
      <w:bookmarkStart w:id="56" w:name="_Toc306304665"/>
      <w:bookmarkStart w:id="57" w:name="_Toc194983818"/>
      <w:bookmarkStart w:id="58" w:name="_Toc342633574"/>
      <w:r>
        <w:rPr>
          <w:rFonts w:hint="eastAsia" w:ascii="仿宋" w:hAnsi="仿宋" w:eastAsia="仿宋" w:cs="仿宋"/>
          <w:color w:val="auto"/>
          <w:sz w:val="24"/>
          <w:szCs w:val="24"/>
          <w:highlight w:val="none"/>
        </w:rPr>
        <w:t>一、</w:t>
      </w:r>
      <w:bookmarkEnd w:id="49"/>
      <w:bookmarkEnd w:id="50"/>
      <w:bookmarkEnd w:id="51"/>
      <w:bookmarkEnd w:id="52"/>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概况</w:t>
      </w:r>
      <w:bookmarkEnd w:id="53"/>
      <w:bookmarkStart w:id="59" w:name="_Toc418846106"/>
    </w:p>
    <w:p w14:paraId="37CE5E2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名称：</w:t>
      </w:r>
      <w:r>
        <w:rPr>
          <w:rFonts w:hint="eastAsia" w:ascii="仿宋" w:hAnsi="仿宋" w:eastAsia="仿宋" w:cs="仿宋"/>
          <w:color w:val="auto"/>
          <w:sz w:val="24"/>
          <w:szCs w:val="24"/>
          <w:highlight w:val="none"/>
          <w:lang w:eastAsia="zh-CN"/>
        </w:rPr>
        <w:t>白杨街道凌云未来社区用房广告设计制作一体化项目</w:t>
      </w:r>
      <w:r>
        <w:rPr>
          <w:rFonts w:hint="eastAsia" w:ascii="仿宋" w:hAnsi="仿宋" w:eastAsia="仿宋" w:cs="仿宋"/>
          <w:color w:val="auto"/>
          <w:sz w:val="24"/>
          <w:highlight w:val="none"/>
        </w:rPr>
        <w:t>。</w:t>
      </w:r>
    </w:p>
    <w:p w14:paraId="5415E7C4">
      <w:pPr>
        <w:tabs>
          <w:tab w:val="left" w:pos="0"/>
        </w:tabs>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2、项目内容：</w:t>
      </w:r>
      <w:r>
        <w:rPr>
          <w:rFonts w:hint="eastAsia" w:ascii="仿宋" w:hAnsi="仿宋" w:eastAsia="仿宋" w:cs="仿宋"/>
          <w:color w:val="000000" w:themeColor="text1"/>
          <w:sz w:val="24"/>
          <w:szCs w:val="24"/>
          <w:highlight w:val="none"/>
          <w:lang w:eastAsia="zh-CN"/>
          <w14:textFill>
            <w14:solidFill>
              <w14:schemeClr w14:val="tx1"/>
            </w14:solidFill>
          </w14:textFill>
        </w:rPr>
        <w:t>根据采购人要求，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白杨街道凌云社区未来社区用房</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进行改造，其中</w:t>
      </w:r>
      <w:r>
        <w:rPr>
          <w:rFonts w:hint="eastAsia" w:ascii="仿宋" w:hAnsi="仿宋" w:eastAsia="仿宋" w:cs="仿宋"/>
          <w:color w:val="000000" w:themeColor="text1"/>
          <w:sz w:val="24"/>
          <w:szCs w:val="24"/>
          <w:highlight w:val="none"/>
          <w:lang w:eastAsia="zh-CN"/>
          <w14:textFill>
            <w14:solidFill>
              <w14:schemeClr w14:val="tx1"/>
            </w14:solidFill>
          </w14:textFill>
        </w:rPr>
        <w:t>一楼拟建成居家养老服务照料中心，二楼拟建成党群服务中心。</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s="仿宋"/>
          <w:color w:val="000000" w:themeColor="text1"/>
          <w:sz w:val="24"/>
          <w:szCs w:val="24"/>
          <w:highlight w:val="none"/>
          <w:lang w:eastAsia="zh-CN"/>
          <w14:textFill>
            <w14:solidFill>
              <w14:schemeClr w14:val="tx1"/>
            </w14:solidFill>
          </w14:textFill>
        </w:rPr>
        <w:t>广告设计制作一体化</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14:textFill>
            <w14:solidFill>
              <w14:schemeClr w14:val="tx1"/>
            </w14:solidFill>
          </w14:textFill>
        </w:rPr>
        <w:t>广告</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或展陈、展示设施等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设计、制作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布置</w:t>
      </w:r>
      <w:r>
        <w:rPr>
          <w:rFonts w:hint="eastAsia" w:ascii="仿宋" w:hAnsi="仿宋" w:eastAsia="仿宋" w:cs="仿宋"/>
          <w:color w:val="000000" w:themeColor="text1"/>
          <w:sz w:val="24"/>
          <w:szCs w:val="24"/>
          <w:highlight w:val="none"/>
          <w14:textFill>
            <w14:solidFill>
              <w14:schemeClr w14:val="tx1"/>
            </w14:solidFill>
          </w14:textFill>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全过程内容</w:t>
      </w:r>
      <w:r>
        <w:rPr>
          <w:rFonts w:hint="eastAsia" w:ascii="仿宋" w:hAnsi="仿宋" w:eastAsia="仿宋" w:cs="仿宋"/>
          <w:color w:val="000000" w:themeColor="text1"/>
          <w:sz w:val="24"/>
          <w:szCs w:val="24"/>
          <w:highlight w:val="none"/>
          <w14:textFill>
            <w14:solidFill>
              <w14:schemeClr w14:val="tx1"/>
            </w14:solidFill>
          </w14:textFill>
        </w:rPr>
        <w:t>。</w:t>
      </w:r>
    </w:p>
    <w:p w14:paraId="791900FB">
      <w:pPr>
        <w:tabs>
          <w:tab w:val="left" w:pos="0"/>
        </w:tabs>
        <w:adjustRightInd w:val="0"/>
        <w:snapToGrid w:val="0"/>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3、项目地点：</w:t>
      </w:r>
      <w:r>
        <w:rPr>
          <w:rFonts w:hint="eastAsia" w:ascii="仿宋" w:hAnsi="仿宋" w:eastAsia="仿宋" w:cs="仿宋"/>
          <w:color w:val="000000" w:themeColor="text1"/>
          <w:sz w:val="24"/>
          <w:szCs w:val="24"/>
          <w:highlight w:val="none"/>
          <w:lang w:eastAsia="zh-CN"/>
          <w14:textFill>
            <w14:solidFill>
              <w14:schemeClr w14:val="tx1"/>
            </w14:solidFill>
          </w14:textFill>
        </w:rPr>
        <w:t>白杨街道凌云社区未来社区用房</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09A0F87">
      <w:pPr>
        <w:tabs>
          <w:tab w:val="left" w:pos="0"/>
        </w:tabs>
        <w:adjustRightInd w:val="0"/>
        <w:snapToGrid w:val="0"/>
        <w:spacing w:line="360" w:lineRule="auto"/>
        <w:ind w:firstLine="480" w:firstLineChars="200"/>
        <w:rPr>
          <w:rFonts w:hint="default" w:ascii="仿宋" w:hAnsi="仿宋" w:eastAsia="宋体" w:cs="仿宋"/>
          <w:color w:val="auto"/>
          <w:sz w:val="24"/>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4、项目规模：实施面积约</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1500</w:t>
      </w:r>
      <w:r>
        <w:rPr>
          <w:rFonts w:hint="eastAsia" w:ascii="仿宋" w:hAnsi="仿宋" w:eastAsia="仿宋" w:cs="仿宋"/>
          <w:color w:val="000000" w:themeColor="text1"/>
          <w:sz w:val="24"/>
          <w:highlight w:val="none"/>
          <w14:textFill>
            <w14:solidFill>
              <w14:schemeClr w14:val="tx1"/>
            </w14:solidFill>
          </w14:textFill>
        </w:rPr>
        <w:t>平方米</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其中一楼拟建成居家养老服务照料中心，二楼拟建成党群服务中心</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平面图见采购文件附件CAD电</w:t>
      </w:r>
      <w:r>
        <w:rPr>
          <w:rFonts w:hint="eastAsia" w:ascii="仿宋" w:hAnsi="仿宋" w:eastAsia="仿宋" w:cs="仿宋"/>
          <w:color w:val="auto"/>
          <w:sz w:val="24"/>
          <w:highlight w:val="none"/>
          <w:lang w:val="en-US" w:eastAsia="zh-CN"/>
        </w:rPr>
        <w:t>子档。</w:t>
      </w:r>
    </w:p>
    <w:bookmarkEnd w:id="59"/>
    <w:p w14:paraId="50327B2C">
      <w:pPr>
        <w:snapToGrid w:val="0"/>
        <w:spacing w:before="120" w:beforeLines="50" w:after="120" w:afterLines="50" w:line="312" w:lineRule="auto"/>
        <w:outlineLvl w:val="1"/>
        <w:rPr>
          <w:rFonts w:ascii="仿宋" w:hAnsi="仿宋" w:eastAsia="仿宋" w:cs="仿宋"/>
          <w:b/>
          <w:color w:val="000000" w:themeColor="text1"/>
          <w:sz w:val="24"/>
          <w14:textFill>
            <w14:solidFill>
              <w14:schemeClr w14:val="tx1"/>
            </w14:solidFill>
          </w14:textFill>
        </w:rPr>
      </w:pPr>
      <w:bookmarkStart w:id="60" w:name="_Toc31089"/>
      <w:bookmarkStart w:id="61" w:name="_Toc331971533"/>
      <w:bookmarkStart w:id="62" w:name="_Toc453947198"/>
      <w:bookmarkStart w:id="63" w:name="_Toc417054472"/>
      <w:bookmarkStart w:id="64" w:name="_Toc419104917"/>
      <w:bookmarkStart w:id="65" w:name="_Toc417054389"/>
      <w:r>
        <w:rPr>
          <w:rFonts w:hint="eastAsia" w:ascii="仿宋" w:hAnsi="仿宋" w:eastAsia="仿宋" w:cs="仿宋"/>
          <w:b/>
          <w:sz w:val="24"/>
        </w:rPr>
        <w:t>二、</w:t>
      </w:r>
      <w:r>
        <w:rPr>
          <w:rFonts w:hint="eastAsia" w:ascii="仿宋" w:hAnsi="仿宋" w:eastAsia="仿宋" w:cs="仿宋"/>
          <w:b/>
          <w:color w:val="000000" w:themeColor="text1"/>
          <w:sz w:val="24"/>
          <w14:textFill>
            <w14:solidFill>
              <w14:schemeClr w14:val="tx1"/>
            </w14:solidFill>
          </w14:textFill>
        </w:rPr>
        <w:t>广告</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或展陈、展示设施等</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设计要求</w:t>
      </w:r>
      <w:bookmarkEnd w:id="60"/>
    </w:p>
    <w:p w14:paraId="18064755">
      <w:pPr>
        <w:widowControl/>
        <w:snapToGrid w:val="0"/>
        <w:spacing w:line="360" w:lineRule="auto"/>
        <w:ind w:firstLine="480" w:firstLineChars="200"/>
        <w:jc w:val="left"/>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（一）</w:t>
      </w:r>
      <w:r>
        <w:rPr>
          <w:rFonts w:hint="eastAsia" w:ascii="仿宋" w:hAnsi="仿宋" w:eastAsia="仿宋" w:cs="仿宋"/>
          <w:snapToGrid w:val="0"/>
          <w:color w:val="000000" w:themeColor="text1"/>
          <w:kern w:val="0"/>
          <w:sz w:val="24"/>
          <w:lang w:val="en-US" w:eastAsia="zh-CN"/>
          <w14:textFill>
            <w14:solidFill>
              <w14:schemeClr w14:val="tx1"/>
            </w14:solidFill>
          </w14:textFill>
        </w:rPr>
        <w:t>主题及定位等整体要求</w:t>
      </w:r>
    </w:p>
    <w:p w14:paraId="2339F7DC">
      <w:pPr>
        <w:widowControl/>
        <w:snapToGrid w:val="0"/>
        <w:spacing w:line="360" w:lineRule="auto"/>
        <w:ind w:firstLine="480" w:firstLineChars="200"/>
        <w:jc w:val="left"/>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1.项目定位：聚焦社区居住人口的生活痛点，关注“党建引领”和考虑“一老一小”，通过“未来邻里”、“未来健康”、“未来教育”、“未来治理”，打造凌云社区新的未来模式。</w:t>
      </w:r>
    </w:p>
    <w:p w14:paraId="2CBD0E3C">
      <w:pPr>
        <w:widowControl/>
        <w:snapToGrid w:val="0"/>
        <w:spacing w:line="360" w:lineRule="auto"/>
        <w:ind w:firstLine="480" w:firstLineChars="200"/>
        <w:jc w:val="left"/>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2.发展目标：重塑生活空间，鼓励邻里互动，提升居民幸福，带动社区活力。</w:t>
      </w:r>
    </w:p>
    <w:p w14:paraId="36A51004">
      <w:pPr>
        <w:widowControl/>
        <w:snapToGrid w:val="0"/>
        <w:spacing w:line="360" w:lineRule="auto"/>
        <w:ind w:firstLine="480" w:firstLineChars="200"/>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（二）策展原则</w:t>
      </w:r>
    </w:p>
    <w:p w14:paraId="0374876C">
      <w:pPr>
        <w:widowControl/>
        <w:snapToGrid w:val="0"/>
        <w:spacing w:line="360" w:lineRule="auto"/>
        <w:ind w:firstLine="480" w:firstLineChars="200"/>
        <w:jc w:val="left"/>
        <w:rPr>
          <w:rFonts w:hint="eastAsia"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根据现有场地样式，需满足相应的居家养老服务照料中心、党群服务中心的使用要求，进行合理区域规划设计、以改善和相融整体风格为出发点，主题与中心性质、区位匹配，同时达到美观、大方、融合的综合性特点。</w:t>
      </w:r>
      <w:r>
        <w:rPr>
          <w:rFonts w:hint="eastAsia" w:ascii="仿宋" w:hAnsi="仿宋" w:eastAsia="仿宋" w:cs="仿宋"/>
          <w:snapToGrid w:val="0"/>
          <w:color w:val="000000" w:themeColor="text1"/>
          <w:kern w:val="0"/>
          <w:sz w:val="24"/>
          <w14:textFill>
            <w14:solidFill>
              <w14:schemeClr w14:val="tx1"/>
            </w14:solidFill>
          </w14:textFill>
        </w:rPr>
        <w:t>同时，合理设计凌云社区党建文化品牌。</w:t>
      </w:r>
    </w:p>
    <w:p w14:paraId="32F2530F">
      <w:pPr>
        <w:widowControl/>
        <w:snapToGrid w:val="0"/>
        <w:spacing w:line="360" w:lineRule="auto"/>
        <w:ind w:firstLine="480" w:firstLineChars="200"/>
        <w:jc w:val="left"/>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2.广告（或展陈、展示设施等均可；因项目设计方案由供应商提供，具体内容不做强制要求。后同）主题及内容应体现钱塘区、凌云未来社区特色，并且满足展示需要，设计方案应美观大方，设计必须忠实于展示的主题和内容，必须是对展示内容准确和完整的表达。形式设计要做到“版面展示立体化，展示手段科学化”，将展示内容的丰富性与展示方式的多样化、现代化和技术化有机地结合起来，形象深刻地表达展示主题和内涵，增强生动性，观赏性。</w:t>
      </w:r>
    </w:p>
    <w:p w14:paraId="3824D231">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（三）展示需求</w:t>
      </w:r>
    </w:p>
    <w:p w14:paraId="4A4AE7C6">
      <w:pPr>
        <w:widowControl/>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合同履行阶段设计部分的工作主要分为：策展、展项设计、空间设计、展陈设计、平面设计、投资估算、文字服务、</w:t>
      </w:r>
      <w:r>
        <w:rPr>
          <w:rFonts w:hint="eastAsia" w:ascii="仿宋" w:hAnsi="仿宋" w:eastAsia="仿宋" w:cs="仿宋"/>
          <w:snapToGrid w:val="0"/>
          <w:kern w:val="0"/>
          <w:sz w:val="24"/>
          <w:lang w:val="en-US" w:eastAsia="zh-CN"/>
        </w:rPr>
        <w:t>展示</w:t>
      </w:r>
      <w:r>
        <w:rPr>
          <w:rFonts w:hint="eastAsia" w:ascii="仿宋" w:hAnsi="仿宋" w:eastAsia="仿宋" w:cs="仿宋"/>
          <w:snapToGrid w:val="0"/>
          <w:kern w:val="0"/>
          <w:sz w:val="24"/>
        </w:rPr>
        <w:t>效果监督、配合深化交底、执行配合等方面。</w:t>
      </w:r>
      <w:r>
        <w:rPr>
          <w:rFonts w:hint="eastAsia" w:ascii="仿宋" w:hAnsi="仿宋" w:eastAsia="仿宋" w:cs="仿宋"/>
          <w:snapToGrid w:val="0"/>
          <w:kern w:val="0"/>
          <w:sz w:val="24"/>
          <w:lang w:val="en-US" w:eastAsia="zh-CN"/>
        </w:rPr>
        <w:t>因项目设计方案由供应商提供，涉及到的广告VI、展示设施、展陈、艺术装置、文化墙等均可，具体内容不做强制要求。</w:t>
      </w:r>
    </w:p>
    <w:p w14:paraId="7A072F3C">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内容包括：</w:t>
      </w:r>
    </w:p>
    <w:p w14:paraId="00C9F6F6">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1.策展，主要包括但不限于：实地考察走访，对该项目需求进行有深度的研究，制定总体策展策略、规划和时间进度安排表；基本素材收集与整理；确定核心概念、建构主题，生成策展和设计的核心论述、展览叙事与展览结构；结合主要概念进行空间规划和章节叙事；从基本素材与核心概念出发，逐步完善展览方案，包含展项、展示互动创意与说明性文字的内容策划，以及空间板块划分、面积配比、展项安排、观展动线与停留时间等策划；展项展品的内容分类和概念定位。</w:t>
      </w:r>
    </w:p>
    <w:p w14:paraId="19160CA6">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2.展项设计，主要包括但不限于：各展项内容、主题及核心创意设计，主要包括但不限于：静态展项、展品设计，含绘画、摄影、装置、文献展项创意设计和图像转化设计；交互装置或影像、动画、声音等互动展项创意设计；多媒介构筑、沉浸式展项创意设计等。</w:t>
      </w:r>
    </w:p>
    <w:p w14:paraId="64591326">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3.空间设计，主要包括但不限于：展厅测量、展厅基础建模、空间概念设计、整体规划、空间区块划分、动线设计、作品初步摆放、室内相应装饰设计；制作图纸，包含效果图、整体平面图和立面图。</w:t>
      </w:r>
    </w:p>
    <w:p w14:paraId="460C580A">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4.展陈设计，主要包括但不限于：根据平面、实物、多媒体互动视频等展示内容，定制设计相匹配的展墙展柜等展示方式和灯光及音响系统设计；制作图纸，包含效果图、整体平面图和立面图。</w:t>
      </w:r>
    </w:p>
    <w:p w14:paraId="2D433153">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5.平面设计，主要包括但不限于：展厅的核心主视觉及相关子视觉应用设计；图文展板、展签等平面展示内容排版设计。</w:t>
      </w:r>
    </w:p>
    <w:p w14:paraId="7EB28907">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6.造价，根据采购人最终确定的设计方案，提供工程整体造价。</w:t>
      </w:r>
    </w:p>
    <w:p w14:paraId="6BDF03AC">
      <w:pPr>
        <w:spacing w:line="360" w:lineRule="auto"/>
        <w:ind w:firstLine="480" w:firstLineChars="200"/>
        <w:rPr>
          <w:rFonts w:ascii="仿宋" w:hAnsi="仿宋" w:eastAsia="仿宋" w:cs="仿宋"/>
          <w:sz w:val="24"/>
        </w:rPr>
      </w:pPr>
      <w:r>
        <w:rPr>
          <w:rFonts w:hint="eastAsia" w:ascii="仿宋" w:hAnsi="仿宋" w:eastAsia="仿宋" w:cs="仿宋"/>
          <w:sz w:val="24"/>
        </w:rPr>
        <w:t>7.文字服务（文案），主要包括但不限于：展厅展板、展签内容研究、提炼、编辑写作等。</w:t>
      </w:r>
    </w:p>
    <w:p w14:paraId="2157A5BA">
      <w:pPr>
        <w:spacing w:line="360" w:lineRule="auto"/>
        <w:ind w:firstLine="480" w:firstLineChars="200"/>
        <w:rPr>
          <w:rFonts w:ascii="仿宋" w:hAnsi="仿宋" w:eastAsia="仿宋" w:cs="仿宋"/>
          <w:sz w:val="24"/>
        </w:rPr>
      </w:pPr>
      <w:r>
        <w:rPr>
          <w:rFonts w:hint="eastAsia" w:ascii="仿宋" w:hAnsi="仿宋" w:eastAsia="仿宋" w:cs="仿宋"/>
          <w:sz w:val="24"/>
        </w:rPr>
        <w:t>8.执行配合服务，主要包括但不限于：配合采购人在设计各阶段的报批、评审工作，协助相关项目的招标等工作。（如需）</w:t>
      </w:r>
    </w:p>
    <w:p w14:paraId="39DF68A9">
      <w:pPr>
        <w:spacing w:line="360" w:lineRule="auto"/>
        <w:ind w:firstLine="480" w:firstLineChars="200"/>
        <w:rPr>
          <w:rFonts w:ascii="仿宋" w:hAnsi="仿宋" w:eastAsia="仿宋" w:cs="仿宋"/>
          <w:sz w:val="24"/>
        </w:rPr>
      </w:pPr>
      <w:r>
        <w:rPr>
          <w:rFonts w:hint="eastAsia" w:ascii="仿宋" w:hAnsi="仿宋" w:eastAsia="仿宋" w:cs="仿宋"/>
          <w:sz w:val="24"/>
        </w:rPr>
        <w:t>供应商可根据自身设计情况，完善、深化上述工作内容，但最终实现的效果应能满足采购人要求。</w:t>
      </w:r>
    </w:p>
    <w:p w14:paraId="621AD3EF">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（四）设计成果</w:t>
      </w:r>
    </w:p>
    <w:p w14:paraId="7D50D503">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1.采购人</w:t>
      </w:r>
      <w:r>
        <w:rPr>
          <w:rFonts w:hint="eastAsia" w:ascii="仿宋" w:hAnsi="仿宋" w:eastAsia="仿宋" w:cs="仿宋"/>
          <w:color w:val="000000" w:themeColor="text1"/>
          <w:sz w:val="24"/>
          <w:highlight w:val="none"/>
          <w:lang w:val="en-US" w:eastAsia="zh-CN"/>
          <w14:textFill>
            <w14:solidFill>
              <w14:schemeClr w14:val="tx1"/>
            </w14:solidFill>
          </w14:textFill>
        </w:rPr>
        <w:t>设定的初步设计内容及要求如下</w:t>
      </w:r>
    </w:p>
    <w:p w14:paraId="70E96E6D">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1.1主入口门头及警务室门头；</w:t>
      </w:r>
    </w:p>
    <w:p w14:paraId="48ADC489">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1.2户外景观小品；</w:t>
      </w:r>
    </w:p>
    <w:p w14:paraId="4A851742">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1.3一楼：</w:t>
      </w:r>
    </w:p>
    <w:p w14:paraId="3A1AE9B4">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（1）前厅；</w:t>
      </w:r>
    </w:p>
    <w:p w14:paraId="657E502E">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（2）休闲阅读区；。</w:t>
      </w:r>
    </w:p>
    <w:p w14:paraId="56AC9E69">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（3）大厅（多功能区）；</w:t>
      </w:r>
    </w:p>
    <w:p w14:paraId="0872E506">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（4）备餐间；</w:t>
      </w:r>
    </w:p>
    <w:p w14:paraId="0EAD07C4">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（5）康复训练区；</w:t>
      </w:r>
    </w:p>
    <w:p w14:paraId="37879E39">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（6）看护中心；</w:t>
      </w:r>
    </w:p>
    <w:p w14:paraId="5299A44E">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（7）健身房；</w:t>
      </w:r>
    </w:p>
    <w:p w14:paraId="7CEA73BE">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（8）舞蹈室；</w:t>
      </w:r>
    </w:p>
    <w:p w14:paraId="085770AD">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（9）调解室；</w:t>
      </w:r>
    </w:p>
    <w:p w14:paraId="0566B4DA">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（10）警务室；</w:t>
      </w:r>
    </w:p>
    <w:p w14:paraId="1F1FD745">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（11）无障碍卫生间；</w:t>
      </w:r>
    </w:p>
    <w:p w14:paraId="3D5752D3">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（12）淋浴间；</w:t>
      </w:r>
    </w:p>
    <w:p w14:paraId="13A9C359">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（13）储物室及其余功能区；</w:t>
      </w:r>
    </w:p>
    <w:p w14:paraId="1B7E2319">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1.4二楼：</w:t>
      </w:r>
    </w:p>
    <w:p w14:paraId="5D9DE77F">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（1）多媒体会议室</w:t>
      </w:r>
    </w:p>
    <w:p w14:paraId="1AD2E475">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（2）党建文化及展示厅</w:t>
      </w:r>
    </w:p>
    <w:p w14:paraId="1449F02C">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（3）小会议室</w:t>
      </w:r>
    </w:p>
    <w:p w14:paraId="7F944A34">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（4）办公室</w:t>
      </w:r>
    </w:p>
    <w:p w14:paraId="6BF27D8A">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（5）办公区域</w:t>
      </w:r>
    </w:p>
    <w:p w14:paraId="496EB54E">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（6）洽谈区域</w:t>
      </w:r>
    </w:p>
    <w:p w14:paraId="44208D17">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（7）走廊过道及两个楼梯间</w:t>
      </w:r>
    </w:p>
    <w:p w14:paraId="2E7C2E17">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（8）科室牌</w:t>
      </w:r>
    </w:p>
    <w:p w14:paraId="69C92530">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（9）茶水间及其余功能区</w:t>
      </w:r>
    </w:p>
    <w:p w14:paraId="430AB920">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1.5其他（包括但不限于品牌文化策划、文化创意展陈设计、施工中的修补、网线电线等辅材的包干）。</w:t>
      </w:r>
    </w:p>
    <w:p w14:paraId="40EB8D9F">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阶段成果如下（在</w:t>
      </w:r>
      <w:r>
        <w:rPr>
          <w:rFonts w:hint="eastAsia" w:ascii="仿宋" w:hAnsi="仿宋" w:eastAsia="仿宋" w:cs="仿宋"/>
          <w:color w:val="000000" w:themeColor="text1"/>
          <w:sz w:val="24"/>
          <w:lang w:eastAsia="zh-CN"/>
          <w14:textFill>
            <w14:solidFill>
              <w14:schemeClr w14:val="tx1"/>
            </w14:solidFill>
          </w14:textFill>
        </w:rPr>
        <w:t>投标文件</w:t>
      </w:r>
      <w:r>
        <w:rPr>
          <w:rFonts w:hint="eastAsia" w:ascii="仿宋" w:hAnsi="仿宋" w:eastAsia="仿宋" w:cs="仿宋"/>
          <w:color w:val="000000" w:themeColor="text1"/>
          <w:sz w:val="24"/>
          <w14:textFill>
            <w14:solidFill>
              <w14:schemeClr w14:val="tx1"/>
            </w14:solidFill>
          </w14:textFill>
        </w:rPr>
        <w:t xml:space="preserve">中提供初步设计方案，包括如下内容） </w:t>
      </w:r>
    </w:p>
    <w:p w14:paraId="0051E8DE">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（1）设计说明书：设计主题提炼，设计理念解读，特色图解，项目受众分析，文案等等。 </w:t>
      </w:r>
    </w:p>
    <w:p w14:paraId="577719F2">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空间布置</w:t>
      </w:r>
      <w:r>
        <w:rPr>
          <w:rFonts w:hint="eastAsia" w:ascii="仿宋" w:hAnsi="仿宋" w:eastAsia="仿宋" w:cs="仿宋"/>
          <w:color w:val="000000" w:themeColor="text1"/>
          <w:sz w:val="24"/>
          <w14:textFill>
            <w14:solidFill>
              <w14:schemeClr w14:val="tx1"/>
            </w14:solidFill>
          </w14:textFill>
        </w:rPr>
        <w:t>：例如</w:t>
      </w:r>
      <w:r>
        <w:rPr>
          <w:rFonts w:hint="eastAsia" w:ascii="仿宋" w:hAnsi="仿宋" w:eastAsia="仿宋" w:cs="仿宋"/>
          <w:color w:val="000000" w:themeColor="text1"/>
          <w:sz w:val="24"/>
          <w:lang w:val="en-US" w:eastAsia="zh-CN"/>
          <w14:textFill>
            <w14:solidFill>
              <w14:schemeClr w14:val="tx1"/>
            </w14:solidFill>
          </w14:textFill>
        </w:rPr>
        <w:t>空间总体规划、</w:t>
      </w:r>
      <w:r>
        <w:rPr>
          <w:rFonts w:hint="eastAsia" w:ascii="仿宋" w:hAnsi="仿宋" w:eastAsia="仿宋" w:cs="仿宋"/>
          <w:color w:val="000000" w:themeColor="text1"/>
          <w:sz w:val="24"/>
          <w14:textFill>
            <w14:solidFill>
              <w14:schemeClr w14:val="tx1"/>
            </w14:solidFill>
          </w14:textFill>
        </w:rPr>
        <w:t>各功能区平面布局图、色彩分析、功能分区、设计流线、视觉元素运用、重要场景设计效果图等。</w:t>
      </w:r>
    </w:p>
    <w:p w14:paraId="4A72787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（3）主要设备和材料、主要展项等。</w:t>
      </w:r>
    </w:p>
    <w:p w14:paraId="54D0979F">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（4）主要公共空间的水、电、风、灯光、AV等配套系统进行概念规划，对建筑系统的特殊要求应予以说明。</w:t>
      </w:r>
    </w:p>
    <w:p w14:paraId="206CE73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（5）对多媒体展项策划及脚本内容，交互体验设备等进行初步设计，</w:t>
      </w:r>
      <w:r>
        <w:rPr>
          <w:rFonts w:hint="eastAsia" w:ascii="仿宋" w:hAnsi="仿宋" w:eastAsia="仿宋" w:cs="仿宋"/>
          <w:color w:val="000000" w:themeColor="text1"/>
          <w:sz w:val="24"/>
          <w:lang w:eastAsia="zh-Hans"/>
          <w14:textFill>
            <w14:solidFill>
              <w14:schemeClr w14:val="tx1"/>
            </w14:solidFill>
          </w14:textFill>
        </w:rPr>
        <w:t>根据展品内容合理展开，体现科技性、</w:t>
      </w:r>
      <w:r>
        <w:rPr>
          <w:rFonts w:hint="eastAsia" w:ascii="仿宋" w:hAnsi="仿宋" w:eastAsia="仿宋" w:cs="仿宋"/>
          <w:color w:val="000000" w:themeColor="text1"/>
          <w:sz w:val="24"/>
          <w14:textFill>
            <w14:solidFill>
              <w14:schemeClr w14:val="tx1"/>
            </w14:solidFill>
          </w14:textFill>
        </w:rPr>
        <w:t>互动性、</w:t>
      </w:r>
      <w:r>
        <w:rPr>
          <w:rFonts w:hint="eastAsia" w:ascii="仿宋" w:hAnsi="仿宋" w:eastAsia="仿宋" w:cs="仿宋"/>
          <w:color w:val="000000" w:themeColor="text1"/>
          <w:sz w:val="24"/>
          <w:lang w:eastAsia="zh-Hans"/>
          <w14:textFill>
            <w14:solidFill>
              <w14:schemeClr w14:val="tx1"/>
            </w14:solidFill>
          </w14:textFill>
        </w:rPr>
        <w:t>创造性</w:t>
      </w:r>
      <w:r>
        <w:rPr>
          <w:rFonts w:hint="eastAsia" w:ascii="仿宋" w:hAnsi="仿宋" w:eastAsia="仿宋" w:cs="仿宋"/>
          <w:color w:val="000000" w:themeColor="text1"/>
          <w:sz w:val="24"/>
          <w14:textFill>
            <w14:solidFill>
              <w14:schemeClr w14:val="tx1"/>
            </w14:solidFill>
          </w14:textFill>
        </w:rPr>
        <w:t>。</w:t>
      </w:r>
    </w:p>
    <w:p w14:paraId="008127C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（6）供应商认为其他应该说明的内容。 </w:t>
      </w:r>
    </w:p>
    <w:p w14:paraId="63E76AC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3.方案深化、优化</w:t>
      </w:r>
      <w:r>
        <w:rPr>
          <w:rFonts w:hint="eastAsia" w:ascii="仿宋" w:hAnsi="仿宋" w:eastAsia="仿宋" w:cs="仿宋"/>
          <w:color w:val="000000" w:themeColor="text1"/>
          <w:sz w:val="24"/>
          <w14:textFill>
            <w14:solidFill>
              <w14:schemeClr w14:val="tx1"/>
            </w14:solidFill>
          </w14:textFill>
        </w:rPr>
        <w:t>阶段</w:t>
      </w:r>
    </w:p>
    <w:p w14:paraId="45234D9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中标后</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中标人</w:t>
      </w:r>
      <w:r>
        <w:rPr>
          <w:rFonts w:hint="eastAsia" w:ascii="仿宋" w:hAnsi="仿宋" w:eastAsia="仿宋" w:cs="仿宋"/>
          <w:color w:val="000000" w:themeColor="text1"/>
          <w:sz w:val="24"/>
          <w14:textFill>
            <w14:solidFill>
              <w14:schemeClr w14:val="tx1"/>
            </w14:solidFill>
          </w14:textFill>
        </w:rPr>
        <w:t>应根据采购人</w:t>
      </w:r>
      <w:r>
        <w:rPr>
          <w:rFonts w:hint="eastAsia" w:ascii="仿宋" w:hAnsi="仿宋" w:eastAsia="仿宋" w:cs="仿宋"/>
          <w:color w:val="000000" w:themeColor="text1"/>
          <w:sz w:val="24"/>
          <w:lang w:val="en-US" w:eastAsia="zh-CN"/>
          <w14:textFill>
            <w14:solidFill>
              <w14:schemeClr w14:val="tx1"/>
            </w14:solidFill>
          </w14:textFill>
        </w:rPr>
        <w:t>要求进一步对方案进行</w:t>
      </w:r>
      <w:r>
        <w:rPr>
          <w:rFonts w:hint="eastAsia" w:ascii="仿宋" w:hAnsi="仿宋" w:eastAsia="仿宋" w:cs="仿宋"/>
          <w:color w:val="000000" w:themeColor="text1"/>
          <w:sz w:val="24"/>
          <w14:textFill>
            <w14:solidFill>
              <w14:schemeClr w14:val="tx1"/>
            </w14:solidFill>
          </w14:textFill>
        </w:rPr>
        <w:t>深化</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优化，最终</w:t>
      </w:r>
      <w:r>
        <w:rPr>
          <w:rFonts w:hint="eastAsia" w:ascii="仿宋" w:hAnsi="仿宋" w:eastAsia="仿宋" w:cs="仿宋"/>
          <w:color w:val="000000" w:themeColor="text1"/>
          <w:sz w:val="24"/>
          <w14:textFill>
            <w14:solidFill>
              <w14:schemeClr w14:val="tx1"/>
            </w14:solidFill>
          </w14:textFill>
        </w:rPr>
        <w:t>提供符合实施、安装的</w:t>
      </w:r>
      <w:r>
        <w:rPr>
          <w:rFonts w:hint="eastAsia" w:ascii="仿宋" w:hAnsi="仿宋" w:eastAsia="仿宋" w:cs="仿宋"/>
          <w:color w:val="000000" w:themeColor="text1"/>
          <w:sz w:val="24"/>
          <w:lang w:val="en-US" w:eastAsia="zh-CN"/>
          <w14:textFill>
            <w14:solidFill>
              <w14:schemeClr w14:val="tx1"/>
            </w14:solidFill>
          </w14:textFill>
        </w:rPr>
        <w:t>图纸（或/及</w:t>
      </w:r>
      <w:r>
        <w:rPr>
          <w:rFonts w:hint="eastAsia" w:ascii="仿宋" w:hAnsi="仿宋" w:eastAsia="仿宋" w:cs="仿宋"/>
          <w:color w:val="000000" w:themeColor="text1"/>
          <w:sz w:val="24"/>
          <w14:textFill>
            <w14:solidFill>
              <w14:schemeClr w14:val="tx1"/>
            </w14:solidFill>
          </w14:textFill>
        </w:rPr>
        <w:t>矢量文件和清单</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经采购人审核通过后方可实施</w:t>
      </w:r>
      <w:r>
        <w:rPr>
          <w:rFonts w:hint="eastAsia" w:ascii="仿宋" w:hAnsi="仿宋" w:eastAsia="仿宋" w:cs="仿宋"/>
          <w:color w:val="000000" w:themeColor="text1"/>
          <w:sz w:val="24"/>
          <w14:textFill>
            <w14:solidFill>
              <w14:schemeClr w14:val="tx1"/>
            </w14:solidFill>
          </w14:textFill>
        </w:rPr>
        <w:t>。</w:t>
      </w:r>
    </w:p>
    <w:p w14:paraId="3A441993">
      <w:pPr>
        <w:widowControl/>
        <w:snapToGrid w:val="0"/>
        <w:spacing w:line="360" w:lineRule="auto"/>
        <w:ind w:firstLine="480" w:firstLineChars="200"/>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（五）供应商注意事项</w:t>
      </w:r>
    </w:p>
    <w:p w14:paraId="6121FF73">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color w:val="000000" w:themeColor="text1"/>
          <w:kern w:val="0"/>
          <w:sz w:val="24"/>
          <w14:textFill>
            <w14:solidFill>
              <w14:schemeClr w14:val="tx1"/>
            </w14:solidFill>
          </w14:textFill>
        </w:rPr>
        <w:t>1、在项目预算经费限度内，以提高标的设计美感、</w:t>
      </w:r>
      <w:r>
        <w:rPr>
          <w:rFonts w:hint="eastAsia" w:ascii="仿宋" w:hAnsi="仿宋" w:eastAsia="仿宋" w:cs="仿宋"/>
          <w:snapToGrid w:val="0"/>
          <w:color w:val="000000" w:themeColor="text1"/>
          <w:kern w:val="0"/>
          <w:sz w:val="24"/>
          <w:lang w:val="en-US" w:eastAsia="zh-CN"/>
          <w14:textFill>
            <w14:solidFill>
              <w14:schemeClr w14:val="tx1"/>
            </w14:solidFill>
          </w14:textFill>
        </w:rPr>
        <w:t>项目实施</w:t>
      </w:r>
      <w:r>
        <w:rPr>
          <w:rFonts w:hint="eastAsia" w:ascii="仿宋" w:hAnsi="仿宋" w:eastAsia="仿宋" w:cs="仿宋"/>
          <w:snapToGrid w:val="0"/>
          <w:color w:val="000000" w:themeColor="text1"/>
          <w:kern w:val="0"/>
          <w:sz w:val="24"/>
          <w14:textFill>
            <w14:solidFill>
              <w14:schemeClr w14:val="tx1"/>
            </w14:solidFill>
          </w14:textFill>
        </w:rPr>
        <w:t>质量、追求</w:t>
      </w:r>
      <w:r>
        <w:rPr>
          <w:rFonts w:hint="eastAsia" w:ascii="仿宋" w:hAnsi="仿宋" w:eastAsia="仿宋" w:cs="仿宋"/>
          <w:snapToGrid w:val="0"/>
          <w:color w:val="000000" w:themeColor="text1"/>
          <w:kern w:val="0"/>
          <w:sz w:val="24"/>
          <w:lang w:val="en-US" w:eastAsia="zh-CN"/>
          <w14:textFill>
            <w14:solidFill>
              <w14:schemeClr w14:val="tx1"/>
            </w14:solidFill>
          </w14:textFill>
        </w:rPr>
        <w:t>最终落地</w:t>
      </w:r>
      <w:r>
        <w:rPr>
          <w:rFonts w:hint="eastAsia" w:ascii="仿宋" w:hAnsi="仿宋" w:eastAsia="仿宋" w:cs="仿宋"/>
          <w:snapToGrid w:val="0"/>
          <w:color w:val="000000" w:themeColor="text1"/>
          <w:kern w:val="0"/>
          <w:sz w:val="24"/>
          <w14:textFill>
            <w14:solidFill>
              <w14:schemeClr w14:val="tx1"/>
            </w14:solidFill>
          </w14:textFill>
        </w:rPr>
        <w:t>效果为宗旨，严肃认识实效要求</w:t>
      </w:r>
      <w:r>
        <w:rPr>
          <w:rFonts w:hint="eastAsia" w:ascii="仿宋" w:hAnsi="仿宋" w:eastAsia="仿宋" w:cs="仿宋"/>
          <w:snapToGrid w:val="0"/>
          <w:kern w:val="0"/>
          <w:sz w:val="24"/>
        </w:rPr>
        <w:t>，保质建设精品</w:t>
      </w:r>
      <w:r>
        <w:rPr>
          <w:rFonts w:hint="eastAsia" w:ascii="仿宋" w:hAnsi="仿宋" w:eastAsia="仿宋" w:cs="仿宋"/>
          <w:snapToGrid w:val="0"/>
          <w:kern w:val="0"/>
          <w:sz w:val="24"/>
          <w:lang w:val="en-US" w:eastAsia="zh-CN"/>
        </w:rPr>
        <w:t>项目</w:t>
      </w:r>
      <w:r>
        <w:rPr>
          <w:rFonts w:hint="eastAsia" w:ascii="仿宋" w:hAnsi="仿宋" w:eastAsia="仿宋" w:cs="仿宋"/>
          <w:snapToGrid w:val="0"/>
          <w:kern w:val="0"/>
          <w:sz w:val="24"/>
        </w:rPr>
        <w:t>，将预算项目经费充分布局、使用好。</w:t>
      </w:r>
    </w:p>
    <w:p w14:paraId="285765A6">
      <w:pPr>
        <w:widowControl/>
        <w:snapToGrid w:val="0"/>
        <w:spacing w:line="360" w:lineRule="auto"/>
        <w:ind w:firstLine="480" w:firstLineChars="200"/>
        <w:jc w:val="left"/>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w:t>
      </w:r>
      <w:r>
        <w:rPr>
          <w:rFonts w:ascii="仿宋" w:hAnsi="仿宋" w:eastAsia="仿宋" w:cs="仿宋"/>
          <w:snapToGrid w:val="0"/>
          <w:kern w:val="0"/>
          <w:sz w:val="24"/>
        </w:rPr>
        <w:t>知识产权</w:t>
      </w:r>
      <w:r>
        <w:rPr>
          <w:rFonts w:hint="eastAsia" w:ascii="仿宋" w:hAnsi="仿宋" w:eastAsia="仿宋" w:cs="仿宋"/>
          <w:snapToGrid w:val="0"/>
          <w:kern w:val="0"/>
          <w:sz w:val="24"/>
        </w:rPr>
        <w:t>：供应商</w:t>
      </w:r>
      <w:r>
        <w:rPr>
          <w:rFonts w:ascii="仿宋" w:hAnsi="仿宋" w:eastAsia="仿宋" w:cs="仿宋"/>
          <w:snapToGrid w:val="0"/>
          <w:kern w:val="0"/>
          <w:sz w:val="24"/>
        </w:rPr>
        <w:t>保证</w:t>
      </w:r>
      <w:r>
        <w:rPr>
          <w:rFonts w:hint="eastAsia" w:ascii="仿宋" w:hAnsi="仿宋" w:eastAsia="仿宋" w:cs="仿宋"/>
          <w:snapToGrid w:val="0"/>
          <w:kern w:val="0"/>
          <w:sz w:val="24"/>
        </w:rPr>
        <w:t>磋商响应相关文件</w:t>
      </w:r>
      <w:r>
        <w:rPr>
          <w:rFonts w:ascii="仿宋" w:hAnsi="仿宋" w:eastAsia="仿宋" w:cs="仿宋"/>
          <w:snapToGrid w:val="0"/>
          <w:kern w:val="0"/>
          <w:sz w:val="24"/>
        </w:rPr>
        <w:t>及资料均未侵犯他人的知识产权，否则必须承担全部责任。若</w:t>
      </w:r>
      <w:r>
        <w:rPr>
          <w:rFonts w:hint="eastAsia" w:ascii="仿宋" w:hAnsi="仿宋" w:eastAsia="仿宋" w:cs="仿宋"/>
          <w:snapToGrid w:val="0"/>
          <w:kern w:val="0"/>
          <w:sz w:val="24"/>
        </w:rPr>
        <w:t>供应商</w:t>
      </w:r>
      <w:r>
        <w:rPr>
          <w:rFonts w:ascii="仿宋" w:hAnsi="仿宋" w:eastAsia="仿宋" w:cs="仿宋"/>
          <w:snapToGrid w:val="0"/>
          <w:kern w:val="0"/>
          <w:sz w:val="24"/>
        </w:rPr>
        <w:t>使用了他人的</w:t>
      </w:r>
      <w:r>
        <w:rPr>
          <w:rFonts w:hint="eastAsia" w:ascii="仿宋" w:hAnsi="仿宋" w:eastAsia="仿宋" w:cs="仿宋"/>
          <w:snapToGrid w:val="0"/>
          <w:kern w:val="0"/>
          <w:sz w:val="24"/>
        </w:rPr>
        <w:t>知识产权、</w:t>
      </w:r>
      <w:r>
        <w:rPr>
          <w:rFonts w:ascii="仿宋" w:hAnsi="仿宋" w:eastAsia="仿宋" w:cs="仿宋"/>
          <w:snapToGrid w:val="0"/>
          <w:kern w:val="0"/>
          <w:sz w:val="24"/>
        </w:rPr>
        <w:t>专利、专有技术，涉及的费用由</w:t>
      </w:r>
      <w:r>
        <w:rPr>
          <w:rFonts w:hint="eastAsia" w:ascii="仿宋" w:hAnsi="仿宋" w:eastAsia="仿宋" w:cs="仿宋"/>
          <w:snapToGrid w:val="0"/>
          <w:kern w:val="0"/>
          <w:sz w:val="24"/>
        </w:rPr>
        <w:t>供应商</w:t>
      </w:r>
      <w:r>
        <w:rPr>
          <w:rFonts w:ascii="仿宋" w:hAnsi="仿宋" w:eastAsia="仿宋" w:cs="仿宋"/>
          <w:snapToGrid w:val="0"/>
          <w:kern w:val="0"/>
          <w:sz w:val="24"/>
        </w:rPr>
        <w:t>自行负责。</w:t>
      </w:r>
    </w:p>
    <w:p w14:paraId="2C6DDCA1">
      <w:pPr>
        <w:snapToGrid w:val="0"/>
        <w:spacing w:before="120" w:beforeLines="50" w:after="120" w:afterLines="50" w:line="312" w:lineRule="auto"/>
        <w:outlineLvl w:val="1"/>
        <w:rPr>
          <w:rFonts w:ascii="仿宋" w:hAnsi="仿宋" w:eastAsia="仿宋" w:cs="仿宋"/>
          <w:b/>
          <w:sz w:val="24"/>
        </w:rPr>
      </w:pPr>
      <w:bookmarkStart w:id="66" w:name="_Toc15085"/>
      <w:r>
        <w:rPr>
          <w:rFonts w:hint="eastAsia" w:ascii="仿宋" w:hAnsi="仿宋" w:eastAsia="仿宋" w:cs="仿宋"/>
          <w:b/>
          <w:sz w:val="24"/>
        </w:rPr>
        <w:t>三、具体实施要求</w:t>
      </w:r>
      <w:bookmarkEnd w:id="66"/>
    </w:p>
    <w:p w14:paraId="1F274B39">
      <w:pPr>
        <w:widowControl/>
        <w:snapToGrid w:val="0"/>
        <w:spacing w:line="360" w:lineRule="auto"/>
        <w:ind w:firstLine="480" w:firstLineChars="200"/>
        <w:jc w:val="left"/>
        <w:rPr>
          <w:rFonts w:ascii="仿宋" w:hAnsi="仿宋" w:eastAsia="仿宋" w:cs="仿宋"/>
          <w:snapToGrid w:val="0"/>
          <w:kern w:val="0"/>
          <w:sz w:val="24"/>
        </w:rPr>
      </w:pPr>
      <w:r>
        <w:rPr>
          <w:rFonts w:hint="eastAsia" w:ascii="仿宋" w:hAnsi="仿宋" w:eastAsia="仿宋" w:cs="仿宋"/>
          <w:snapToGrid w:val="0"/>
          <w:kern w:val="0"/>
          <w:sz w:val="24"/>
        </w:rPr>
        <w:t>（一）</w:t>
      </w:r>
      <w:r>
        <w:rPr>
          <w:rFonts w:hint="eastAsia" w:ascii="仿宋" w:hAnsi="仿宋" w:eastAsia="仿宋" w:cs="仿宋"/>
          <w:snapToGrid w:val="0"/>
          <w:kern w:val="0"/>
          <w:sz w:val="24"/>
          <w:lang w:val="en-US" w:eastAsia="zh-CN"/>
        </w:rPr>
        <w:t>设施/设备、器材、</w:t>
      </w:r>
      <w:r>
        <w:rPr>
          <w:rFonts w:hint="eastAsia" w:ascii="仿宋" w:hAnsi="仿宋" w:eastAsia="仿宋" w:cs="仿宋"/>
          <w:snapToGrid w:val="0"/>
          <w:kern w:val="0"/>
          <w:sz w:val="24"/>
        </w:rPr>
        <w:t>材料要求</w:t>
      </w:r>
    </w:p>
    <w:p w14:paraId="0485559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napToGrid w:val="0"/>
          <w:kern w:val="0"/>
          <w:sz w:val="24"/>
          <w:lang w:val="en-US" w:eastAsia="zh-CN"/>
        </w:rPr>
        <w:t>设施/设备、器材、</w:t>
      </w:r>
      <w:r>
        <w:rPr>
          <w:rFonts w:hint="eastAsia" w:ascii="仿宋" w:hAnsi="仿宋" w:eastAsia="仿宋" w:cs="仿宋"/>
          <w:sz w:val="24"/>
        </w:rPr>
        <w:t>材料选择：</w:t>
      </w:r>
    </w:p>
    <w:p w14:paraId="40A3318C">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本项目涉及的设备和材料要求符合环保要求，严禁选择不符合设计要求的材料进行报价及组织施工实施，如有国家强制性认证要求的必须满足。</w:t>
      </w:r>
    </w:p>
    <w:p w14:paraId="36F63B5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2、材料的质量要求：</w:t>
      </w:r>
    </w:p>
    <w:p w14:paraId="7FAF457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（1）在免费保修期内，</w:t>
      </w:r>
      <w:r>
        <w:rPr>
          <w:rFonts w:hint="eastAsia" w:ascii="仿宋" w:hAnsi="仿宋" w:eastAsia="仿宋" w:cs="仿宋"/>
          <w:sz w:val="24"/>
          <w:lang w:val="en-US" w:eastAsia="zh-CN"/>
        </w:rPr>
        <w:t>中标人</w:t>
      </w:r>
      <w:r>
        <w:rPr>
          <w:rFonts w:hint="eastAsia" w:ascii="仿宋" w:hAnsi="仿宋" w:eastAsia="仿宋" w:cs="仿宋"/>
          <w:sz w:val="24"/>
        </w:rPr>
        <w:t>对有缺陷的部位必须无偿地给予修理与更换，并承担一切由此引起的对业主或第三者的直接损失，除非该缺陷是由于人为破坏或合同规定的不可</w:t>
      </w:r>
      <w:r>
        <w:rPr>
          <w:rFonts w:hint="eastAsia" w:ascii="仿宋" w:hAnsi="仿宋" w:eastAsia="仿宋" w:cs="仿宋"/>
          <w:sz w:val="24"/>
          <w:lang w:eastAsia="zh-CN"/>
        </w:rPr>
        <w:t>抗力</w:t>
      </w:r>
      <w:r>
        <w:rPr>
          <w:rFonts w:hint="eastAsia" w:ascii="仿宋" w:hAnsi="仿宋" w:eastAsia="仿宋" w:cs="仿宋"/>
          <w:sz w:val="24"/>
        </w:rPr>
        <w:t>因素造成的损坏。</w:t>
      </w:r>
    </w:p>
    <w:p w14:paraId="17602C0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中标人</w:t>
      </w:r>
      <w:r>
        <w:rPr>
          <w:rFonts w:hint="eastAsia" w:ascii="仿宋" w:hAnsi="仿宋" w:eastAsia="仿宋" w:cs="仿宋"/>
          <w:sz w:val="24"/>
        </w:rPr>
        <w:t>必须对所承包的</w:t>
      </w:r>
      <w:r>
        <w:rPr>
          <w:rFonts w:hint="eastAsia" w:ascii="仿宋" w:hAnsi="仿宋" w:eastAsia="仿宋" w:cs="仿宋"/>
          <w:sz w:val="24"/>
          <w:lang w:val="en-US" w:eastAsia="zh-CN"/>
        </w:rPr>
        <w:t>项目</w:t>
      </w:r>
      <w:r>
        <w:rPr>
          <w:rFonts w:hint="eastAsia" w:ascii="仿宋" w:hAnsi="仿宋" w:eastAsia="仿宋" w:cs="仿宋"/>
          <w:sz w:val="24"/>
        </w:rPr>
        <w:t>质量负全部责任，其责任不因其他材料生产商提供的保证书而减轻或更改。</w:t>
      </w:r>
    </w:p>
    <w:p w14:paraId="5AAFCEB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3、材料供应要求：</w:t>
      </w:r>
    </w:p>
    <w:p w14:paraId="36D283B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）本次承包范围内的材料均由</w:t>
      </w:r>
      <w:r>
        <w:rPr>
          <w:rFonts w:hint="eastAsia" w:ascii="仿宋" w:hAnsi="仿宋" w:eastAsia="仿宋" w:cs="仿宋"/>
          <w:sz w:val="24"/>
          <w:lang w:val="en-US" w:eastAsia="zh-CN"/>
        </w:rPr>
        <w:t>中标人</w:t>
      </w:r>
      <w:r>
        <w:rPr>
          <w:rFonts w:hint="eastAsia" w:ascii="仿宋" w:hAnsi="仿宋" w:eastAsia="仿宋" w:cs="仿宋"/>
          <w:sz w:val="24"/>
        </w:rPr>
        <w:t>根据本采购文件和国家有关规定的具体要求进行采购、运输、检验、保管，但</w:t>
      </w:r>
      <w:r>
        <w:rPr>
          <w:rFonts w:hint="eastAsia" w:ascii="仿宋" w:hAnsi="仿宋" w:eastAsia="仿宋" w:cs="仿宋"/>
          <w:sz w:val="24"/>
          <w:lang w:val="en-US" w:eastAsia="zh-CN"/>
        </w:rPr>
        <w:t>采购人</w:t>
      </w:r>
      <w:r>
        <w:rPr>
          <w:rFonts w:hint="eastAsia" w:ascii="仿宋" w:hAnsi="仿宋" w:eastAsia="仿宋" w:cs="仿宋"/>
          <w:sz w:val="24"/>
        </w:rPr>
        <w:t>保留变更和指定材料的权利；所有材料有产品合格证和质量保证书</w:t>
      </w:r>
      <w:r>
        <w:rPr>
          <w:rFonts w:hint="eastAsia" w:ascii="仿宋" w:hAnsi="仿宋" w:eastAsia="仿宋" w:cs="仿宋"/>
          <w:sz w:val="24"/>
          <w:lang w:eastAsia="zh-CN"/>
        </w:rPr>
        <w:t>（</w:t>
      </w:r>
      <w:r>
        <w:rPr>
          <w:rFonts w:hint="eastAsia" w:ascii="仿宋" w:hAnsi="仿宋" w:eastAsia="仿宋" w:cs="仿宋"/>
          <w:sz w:val="24"/>
          <w:lang w:val="en-US" w:eastAsia="zh-CN"/>
        </w:rPr>
        <w:t>或类似证明</w:t>
      </w:r>
      <w:r>
        <w:rPr>
          <w:rFonts w:hint="eastAsia" w:ascii="仿宋" w:hAnsi="仿宋" w:eastAsia="仿宋" w:cs="仿宋"/>
          <w:sz w:val="24"/>
          <w:lang w:eastAsia="zh-CN"/>
        </w:rPr>
        <w:t>）。</w:t>
      </w:r>
      <w:r>
        <w:rPr>
          <w:rFonts w:hint="eastAsia" w:ascii="仿宋" w:hAnsi="仿宋" w:eastAsia="仿宋" w:cs="仿宋"/>
          <w:sz w:val="24"/>
          <w:lang w:val="en-US" w:eastAsia="zh-CN"/>
        </w:rPr>
        <w:t>如采购人有要求的，中标人</w:t>
      </w:r>
      <w:r>
        <w:rPr>
          <w:rFonts w:hint="eastAsia" w:ascii="仿宋" w:hAnsi="仿宋" w:eastAsia="仿宋" w:cs="仿宋"/>
          <w:sz w:val="24"/>
        </w:rPr>
        <w:t>应先送样品，样品经监理单位（如有）、采购人确认与采购要求、</w:t>
      </w:r>
      <w:r>
        <w:rPr>
          <w:rFonts w:hint="eastAsia" w:ascii="仿宋" w:hAnsi="仿宋" w:eastAsia="仿宋" w:cs="仿宋"/>
          <w:sz w:val="24"/>
          <w:lang w:val="en-US" w:eastAsia="zh-CN"/>
        </w:rPr>
        <w:t>投标</w:t>
      </w:r>
      <w:r>
        <w:rPr>
          <w:rFonts w:hint="eastAsia" w:ascii="仿宋" w:hAnsi="仿宋" w:eastAsia="仿宋" w:cs="仿宋"/>
          <w:sz w:val="24"/>
        </w:rPr>
        <w:t>承诺一致后封存，批量供应时应与样品一致，并经相关部门检验合格后方可使用。</w:t>
      </w:r>
    </w:p>
    <w:p w14:paraId="408B111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）当</w:t>
      </w:r>
      <w:r>
        <w:rPr>
          <w:rFonts w:hint="eastAsia" w:ascii="仿宋" w:hAnsi="仿宋" w:eastAsia="仿宋" w:cs="仿宋"/>
          <w:sz w:val="24"/>
          <w:lang w:val="en-US" w:eastAsia="zh-CN"/>
        </w:rPr>
        <w:t>中标人</w:t>
      </w:r>
      <w:r>
        <w:rPr>
          <w:rFonts w:hint="eastAsia" w:ascii="仿宋" w:hAnsi="仿宋" w:eastAsia="仿宋" w:cs="仿宋"/>
          <w:sz w:val="24"/>
        </w:rPr>
        <w:t>选定的产品质量达不到设计要求和预期质量目标时，采购人保留更换的权利，高于投标价的不调整，低于投标价的按实调整。</w:t>
      </w:r>
    </w:p>
    <w:p w14:paraId="546808CA">
      <w:pPr>
        <w:widowControl/>
        <w:snapToGrid w:val="0"/>
        <w:spacing w:line="360" w:lineRule="auto"/>
        <w:ind w:firstLine="480" w:firstLineChars="200"/>
        <w:jc w:val="left"/>
        <w:rPr>
          <w:rFonts w:ascii="仿宋" w:hAnsi="仿宋" w:eastAsia="仿宋" w:cs="仿宋"/>
          <w:snapToGrid w:val="0"/>
          <w:kern w:val="0"/>
          <w:sz w:val="24"/>
        </w:rPr>
      </w:pPr>
      <w:bookmarkStart w:id="67" w:name="_Toc4227"/>
      <w:bookmarkStart w:id="68" w:name="_Toc15069"/>
      <w:bookmarkStart w:id="69" w:name="_Toc6542"/>
      <w:bookmarkStart w:id="70" w:name="_Toc3315"/>
      <w:bookmarkStart w:id="71" w:name="_Toc10115"/>
      <w:r>
        <w:rPr>
          <w:rFonts w:hint="eastAsia" w:ascii="仿宋" w:hAnsi="仿宋" w:eastAsia="仿宋" w:cs="仿宋"/>
          <w:snapToGrid w:val="0"/>
          <w:kern w:val="0"/>
          <w:sz w:val="24"/>
        </w:rPr>
        <w:t>（二）管理要求</w:t>
      </w:r>
      <w:bookmarkEnd w:id="67"/>
    </w:p>
    <w:p w14:paraId="668911F4">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1、本项目发包范围内的项目，未经采购人同意，不得转包。一经发现立即取消承包资格，作违约处理，并承担由此引起的一切经济损失。</w:t>
      </w:r>
    </w:p>
    <w:p w14:paraId="6CE652FC">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lang w:val="en-US" w:eastAsia="zh-CN"/>
        </w:rPr>
        <w:t>中标人</w:t>
      </w:r>
      <w:r>
        <w:rPr>
          <w:rFonts w:hint="eastAsia" w:ascii="仿宋" w:hAnsi="仿宋" w:eastAsia="仿宋" w:cs="仿宋"/>
          <w:bCs/>
          <w:sz w:val="24"/>
        </w:rPr>
        <w:t>应严格按技术方案组织</w:t>
      </w:r>
      <w:r>
        <w:rPr>
          <w:rFonts w:hint="eastAsia" w:ascii="仿宋" w:hAnsi="仿宋" w:eastAsia="仿宋" w:cs="仿宋"/>
          <w:bCs/>
          <w:sz w:val="24"/>
          <w:lang w:val="en-US" w:eastAsia="zh-CN"/>
        </w:rPr>
        <w:t>现场实施。国家、地区或者行业有相关规范要求的，按最新要求执行</w:t>
      </w:r>
      <w:r>
        <w:rPr>
          <w:rFonts w:hint="eastAsia" w:ascii="仿宋" w:hAnsi="仿宋" w:eastAsia="仿宋" w:cs="仿宋"/>
          <w:bCs/>
          <w:sz w:val="24"/>
          <w:lang w:eastAsia="zh-CN"/>
        </w:rPr>
        <w:t>。</w:t>
      </w:r>
    </w:p>
    <w:p w14:paraId="7AD7C69C">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lang w:val="en-US" w:eastAsia="zh-CN"/>
        </w:rPr>
        <w:t>中标人应自觉</w:t>
      </w:r>
      <w:r>
        <w:rPr>
          <w:rFonts w:hint="eastAsia" w:ascii="仿宋" w:hAnsi="仿宋" w:eastAsia="仿宋" w:cs="仿宋"/>
          <w:bCs/>
          <w:sz w:val="24"/>
        </w:rPr>
        <w:t>接受采购人对</w:t>
      </w:r>
      <w:r>
        <w:rPr>
          <w:rFonts w:hint="eastAsia" w:ascii="仿宋" w:hAnsi="仿宋" w:eastAsia="仿宋" w:cs="仿宋"/>
          <w:bCs/>
          <w:sz w:val="24"/>
          <w:lang w:val="en-US" w:eastAsia="zh-CN"/>
        </w:rPr>
        <w:t>项目实施</w:t>
      </w:r>
      <w:r>
        <w:rPr>
          <w:rFonts w:hint="eastAsia" w:ascii="仿宋" w:hAnsi="仿宋" w:eastAsia="仿宋" w:cs="仿宋"/>
          <w:bCs/>
          <w:sz w:val="24"/>
        </w:rPr>
        <w:t>质量的监督和管理。</w:t>
      </w:r>
    </w:p>
    <w:p w14:paraId="0C32B770">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4、中标人</w:t>
      </w:r>
      <w:r>
        <w:rPr>
          <w:rFonts w:hint="eastAsia" w:ascii="仿宋" w:hAnsi="仿宋" w:eastAsia="仿宋" w:cs="仿宋"/>
          <w:bCs/>
          <w:sz w:val="24"/>
        </w:rPr>
        <w:t>应配备能满足项目顺利实施的项</w:t>
      </w:r>
      <w:r>
        <w:rPr>
          <w:rFonts w:hint="eastAsia" w:ascii="仿宋" w:hAnsi="仿宋" w:eastAsia="仿宋" w:cs="仿宋"/>
          <w:bCs/>
          <w:sz w:val="24"/>
          <w:lang w:eastAsia="zh-CN"/>
        </w:rPr>
        <w:t>目团</w:t>
      </w:r>
      <w:r>
        <w:rPr>
          <w:rFonts w:hint="eastAsia" w:ascii="仿宋" w:hAnsi="仿宋" w:eastAsia="仿宋" w:cs="仿宋"/>
          <w:bCs/>
          <w:sz w:val="24"/>
        </w:rPr>
        <w:t>队和管理班子，人员配置合理、齐全、数量充足，经验丰富。其中项目负责人要求具有中级及以上技术职称。</w:t>
      </w:r>
    </w:p>
    <w:p w14:paraId="148BDE39">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中标人</w:t>
      </w:r>
      <w:r>
        <w:rPr>
          <w:rFonts w:hint="eastAsia" w:ascii="仿宋" w:hAnsi="仿宋" w:eastAsia="仿宋" w:cs="仿宋"/>
          <w:bCs/>
          <w:sz w:val="24"/>
        </w:rPr>
        <w:t>在</w:t>
      </w:r>
      <w:r>
        <w:rPr>
          <w:rFonts w:hint="eastAsia" w:ascii="仿宋" w:hAnsi="仿宋" w:eastAsia="仿宋" w:cs="仿宋"/>
          <w:bCs/>
          <w:sz w:val="24"/>
          <w:lang w:eastAsia="zh-CN"/>
        </w:rPr>
        <w:t>投标文件</w:t>
      </w:r>
      <w:r>
        <w:rPr>
          <w:rFonts w:hint="eastAsia" w:ascii="仿宋" w:hAnsi="仿宋" w:eastAsia="仿宋" w:cs="仿宋"/>
          <w:bCs/>
          <w:sz w:val="24"/>
        </w:rPr>
        <w:t>中承诺的项目负责人及相应资质的专业技术、管理人员未经采购人书面同意，</w:t>
      </w:r>
      <w:r>
        <w:rPr>
          <w:rFonts w:hint="eastAsia" w:ascii="仿宋" w:hAnsi="仿宋" w:eastAsia="仿宋" w:cs="仿宋"/>
          <w:bCs/>
          <w:sz w:val="24"/>
          <w:lang w:val="en-US" w:eastAsia="zh-CN"/>
        </w:rPr>
        <w:t>中标人</w:t>
      </w:r>
      <w:r>
        <w:rPr>
          <w:rFonts w:hint="eastAsia" w:ascii="仿宋" w:hAnsi="仿宋" w:eastAsia="仿宋" w:cs="仿宋"/>
          <w:bCs/>
          <w:sz w:val="24"/>
        </w:rPr>
        <w:t>不得调换和撤离，并按</w:t>
      </w:r>
      <w:r>
        <w:rPr>
          <w:rFonts w:hint="eastAsia" w:ascii="仿宋" w:hAnsi="仿宋" w:eastAsia="仿宋" w:cs="仿宋"/>
          <w:bCs/>
          <w:sz w:val="24"/>
          <w:lang w:val="en-US" w:eastAsia="zh-CN"/>
        </w:rPr>
        <w:t>项目</w:t>
      </w:r>
      <w:r>
        <w:rPr>
          <w:rFonts w:hint="eastAsia" w:ascii="仿宋" w:hAnsi="仿宋" w:eastAsia="仿宋" w:cs="仿宋"/>
          <w:bCs/>
          <w:sz w:val="24"/>
        </w:rPr>
        <w:t>进度及时到位。</w:t>
      </w:r>
    </w:p>
    <w:p w14:paraId="1610CFBF">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采购人有权要求</w:t>
      </w:r>
      <w:r>
        <w:rPr>
          <w:rFonts w:hint="eastAsia" w:ascii="仿宋" w:hAnsi="仿宋" w:eastAsia="仿宋" w:cs="仿宋"/>
          <w:bCs/>
          <w:sz w:val="24"/>
          <w:lang w:val="en-US" w:eastAsia="zh-CN"/>
        </w:rPr>
        <w:t>中标人</w:t>
      </w:r>
      <w:r>
        <w:rPr>
          <w:rFonts w:hint="eastAsia" w:ascii="仿宋" w:hAnsi="仿宋" w:eastAsia="仿宋" w:cs="仿宋"/>
          <w:bCs/>
          <w:sz w:val="24"/>
        </w:rPr>
        <w:t>撤换工作不负责任、管理不力、贻误工期和造成严重安全事故和质量事故、违法乱纪的专业技术、管理人员</w:t>
      </w:r>
      <w:r>
        <w:rPr>
          <w:rFonts w:hint="eastAsia" w:ascii="仿宋" w:hAnsi="仿宋" w:eastAsia="仿宋" w:cs="仿宋"/>
          <w:bCs/>
          <w:sz w:val="24"/>
          <w:lang w:eastAsia="zh-CN"/>
        </w:rPr>
        <w:t>，</w:t>
      </w:r>
      <w:r>
        <w:rPr>
          <w:rFonts w:hint="eastAsia" w:ascii="仿宋" w:hAnsi="仿宋" w:eastAsia="仿宋" w:cs="仿宋"/>
          <w:bCs/>
          <w:sz w:val="24"/>
        </w:rPr>
        <w:t>直至采购人满意为止。</w:t>
      </w:r>
    </w:p>
    <w:p w14:paraId="38B7EBF9">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如项目负责人及相应资质的专业技术人员未按要求到位，视作违约，采购人有权单方面终止合同。项目经理每月到位率不少于22日历天，其它班组成员每月不少于26日历天。</w:t>
      </w:r>
    </w:p>
    <w:p w14:paraId="1B73FC69">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w:t>
      </w:r>
      <w:r>
        <w:rPr>
          <w:rFonts w:hint="eastAsia" w:ascii="仿宋" w:hAnsi="仿宋" w:eastAsia="仿宋" w:cs="仿宋"/>
          <w:bCs/>
          <w:sz w:val="24"/>
          <w:lang w:val="en-US" w:eastAsia="zh-CN"/>
        </w:rPr>
        <w:t>中标人</w:t>
      </w:r>
      <w:r>
        <w:rPr>
          <w:rFonts w:hint="eastAsia" w:ascii="仿宋" w:hAnsi="仿宋" w:eastAsia="仿宋" w:cs="仿宋"/>
          <w:bCs/>
          <w:sz w:val="24"/>
        </w:rPr>
        <w:t>在</w:t>
      </w:r>
      <w:r>
        <w:rPr>
          <w:rFonts w:hint="eastAsia" w:ascii="仿宋" w:hAnsi="仿宋" w:eastAsia="仿宋" w:cs="仿宋"/>
          <w:bCs/>
          <w:sz w:val="24"/>
          <w:lang w:val="en-US" w:eastAsia="zh-CN"/>
        </w:rPr>
        <w:t>项目开展</w:t>
      </w:r>
      <w:r>
        <w:rPr>
          <w:rFonts w:hint="eastAsia" w:ascii="仿宋" w:hAnsi="仿宋" w:eastAsia="仿宋" w:cs="仿宋"/>
          <w:bCs/>
          <w:sz w:val="24"/>
        </w:rPr>
        <w:t>期间，必须对自身及其他项目参建单位的进场材料设备、已完工的工作面进行成品保护，如有损坏，自行妥善处理；自身不能妥善处理、影响任一方进度的，采购人有权作出赔偿决断，费用</w:t>
      </w:r>
      <w:r>
        <w:rPr>
          <w:rFonts w:hint="eastAsia" w:ascii="仿宋" w:hAnsi="仿宋" w:eastAsia="仿宋" w:cs="仿宋"/>
          <w:bCs/>
          <w:sz w:val="24"/>
          <w:lang w:val="en-US" w:eastAsia="zh-CN"/>
        </w:rPr>
        <w:t>相应</w:t>
      </w:r>
      <w:r>
        <w:rPr>
          <w:rFonts w:hint="eastAsia" w:ascii="仿宋" w:hAnsi="仿宋" w:eastAsia="仿宋" w:cs="仿宋"/>
          <w:bCs/>
          <w:sz w:val="24"/>
        </w:rPr>
        <w:t>扣减。</w:t>
      </w:r>
    </w:p>
    <w:p w14:paraId="5050255A">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w:t>
      </w:r>
      <w:r>
        <w:rPr>
          <w:rFonts w:hint="eastAsia" w:ascii="仿宋" w:hAnsi="仿宋" w:eastAsia="仿宋" w:cs="仿宋"/>
          <w:bCs/>
          <w:sz w:val="24"/>
          <w:lang w:val="en-US" w:eastAsia="zh-CN"/>
        </w:rPr>
        <w:t>中标人</w:t>
      </w:r>
      <w:r>
        <w:rPr>
          <w:rFonts w:hint="eastAsia" w:ascii="仿宋" w:hAnsi="仿宋" w:eastAsia="仿宋" w:cs="仿宋"/>
          <w:bCs/>
          <w:sz w:val="24"/>
        </w:rPr>
        <w:t>须做好安全文明措施，要求无重大人员伤亡事故。</w:t>
      </w:r>
      <w:r>
        <w:rPr>
          <w:rFonts w:hint="eastAsia" w:ascii="仿宋" w:hAnsi="仿宋" w:eastAsia="仿宋" w:cs="仿宋"/>
          <w:bCs/>
          <w:sz w:val="24"/>
          <w:lang w:eastAsia="zh-CN"/>
        </w:rPr>
        <w:t>项目开展期间</w:t>
      </w:r>
      <w:r>
        <w:rPr>
          <w:rFonts w:hint="eastAsia" w:ascii="仿宋" w:hAnsi="仿宋" w:eastAsia="仿宋" w:cs="仿宋"/>
          <w:bCs/>
          <w:sz w:val="24"/>
        </w:rPr>
        <w:t>发生的人身伤亡、财产损失及其它一切事故，由</w:t>
      </w:r>
      <w:r>
        <w:rPr>
          <w:rFonts w:hint="eastAsia" w:ascii="仿宋" w:hAnsi="仿宋" w:eastAsia="仿宋" w:cs="仿宋"/>
          <w:bCs/>
          <w:sz w:val="24"/>
          <w:lang w:val="en-US" w:eastAsia="zh-CN"/>
        </w:rPr>
        <w:t>中标人</w:t>
      </w:r>
      <w:r>
        <w:rPr>
          <w:rFonts w:hint="eastAsia" w:ascii="仿宋" w:hAnsi="仿宋" w:eastAsia="仿宋" w:cs="仿宋"/>
          <w:bCs/>
          <w:sz w:val="24"/>
        </w:rPr>
        <w:t>承担由此带来的一切损失和相关处罚。给采购人造成损失的，由</w:t>
      </w:r>
      <w:r>
        <w:rPr>
          <w:rFonts w:hint="eastAsia" w:ascii="仿宋" w:hAnsi="仿宋" w:eastAsia="仿宋" w:cs="仿宋"/>
          <w:bCs/>
          <w:sz w:val="24"/>
          <w:lang w:val="en-US" w:eastAsia="zh-CN"/>
        </w:rPr>
        <w:t>中标人</w:t>
      </w:r>
      <w:r>
        <w:rPr>
          <w:rFonts w:hint="eastAsia" w:ascii="仿宋" w:hAnsi="仿宋" w:eastAsia="仿宋" w:cs="仿宋"/>
          <w:bCs/>
          <w:sz w:val="24"/>
        </w:rPr>
        <w:t>负责赔偿。</w:t>
      </w:r>
      <w:r>
        <w:rPr>
          <w:rFonts w:hint="eastAsia" w:ascii="仿宋" w:hAnsi="仿宋" w:eastAsia="仿宋" w:cs="仿宋"/>
          <w:bCs/>
          <w:sz w:val="24"/>
          <w:lang w:val="en-US" w:eastAsia="zh-CN"/>
        </w:rPr>
        <w:t>中标人</w:t>
      </w:r>
      <w:r>
        <w:rPr>
          <w:rFonts w:hint="eastAsia" w:ascii="仿宋" w:hAnsi="仿宋" w:eastAsia="仿宋" w:cs="仿宋"/>
          <w:bCs/>
          <w:sz w:val="24"/>
        </w:rPr>
        <w:t>商须按有关规定办理各类保险，并自行承担费用。</w:t>
      </w:r>
    </w:p>
    <w:p w14:paraId="1319806A">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lang w:val="en-US" w:eastAsia="zh-CN"/>
        </w:rPr>
        <w:t>中标人</w:t>
      </w:r>
      <w:r>
        <w:rPr>
          <w:rFonts w:hint="eastAsia" w:ascii="仿宋" w:hAnsi="仿宋" w:eastAsia="仿宋" w:cs="仿宋"/>
          <w:bCs/>
          <w:sz w:val="24"/>
        </w:rPr>
        <w:t>须负责现场的消防安全工作，严格落实消防措施。现场及时清除易燃、可燃物品，配置消防器材，落实专人监护，保证现场的消防安全。</w:t>
      </w:r>
    </w:p>
    <w:p w14:paraId="72E673E5">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8、</w:t>
      </w:r>
      <w:r>
        <w:rPr>
          <w:rFonts w:hint="eastAsia" w:ascii="仿宋" w:hAnsi="仿宋" w:eastAsia="仿宋" w:cs="仿宋"/>
          <w:bCs/>
          <w:sz w:val="24"/>
          <w:lang w:val="en-US" w:eastAsia="zh-CN"/>
        </w:rPr>
        <w:t>中标人</w:t>
      </w:r>
      <w:r>
        <w:rPr>
          <w:rFonts w:hint="eastAsia" w:ascii="仿宋" w:hAnsi="仿宋" w:eastAsia="仿宋" w:cs="仿宋"/>
          <w:bCs/>
          <w:sz w:val="24"/>
        </w:rPr>
        <w:t>应采取必要的除尘、降噪措施，且不得影响</w:t>
      </w:r>
      <w:r>
        <w:rPr>
          <w:rFonts w:hint="eastAsia" w:ascii="仿宋" w:hAnsi="仿宋" w:eastAsia="仿宋" w:cs="仿宋"/>
          <w:bCs/>
          <w:sz w:val="24"/>
          <w:lang w:val="en-US" w:eastAsia="zh-CN"/>
        </w:rPr>
        <w:t>场所及其周边</w:t>
      </w:r>
      <w:r>
        <w:rPr>
          <w:rFonts w:hint="eastAsia" w:ascii="仿宋" w:hAnsi="仿宋" w:eastAsia="仿宋" w:cs="仿宋"/>
          <w:bCs/>
          <w:sz w:val="24"/>
        </w:rPr>
        <w:t>其他</w:t>
      </w:r>
      <w:r>
        <w:rPr>
          <w:rFonts w:hint="eastAsia" w:ascii="仿宋" w:hAnsi="仿宋" w:eastAsia="仿宋" w:cs="仿宋"/>
          <w:bCs/>
          <w:sz w:val="24"/>
          <w:lang w:val="en-US" w:eastAsia="zh-CN"/>
        </w:rPr>
        <w:t>人员、</w:t>
      </w:r>
      <w:r>
        <w:rPr>
          <w:rFonts w:hint="eastAsia" w:ascii="仿宋" w:hAnsi="仿宋" w:eastAsia="仿宋" w:cs="仿宋"/>
          <w:bCs/>
          <w:sz w:val="24"/>
        </w:rPr>
        <w:t>设备的正常</w:t>
      </w:r>
      <w:r>
        <w:rPr>
          <w:rFonts w:hint="eastAsia" w:ascii="仿宋" w:hAnsi="仿宋" w:eastAsia="仿宋" w:cs="仿宋"/>
          <w:bCs/>
          <w:sz w:val="24"/>
          <w:lang w:val="en-US" w:eastAsia="zh-CN"/>
        </w:rPr>
        <w:t>工作、</w:t>
      </w:r>
      <w:r>
        <w:rPr>
          <w:rFonts w:hint="eastAsia" w:ascii="仿宋" w:hAnsi="仿宋" w:eastAsia="仿宋" w:cs="仿宋"/>
          <w:bCs/>
          <w:sz w:val="24"/>
        </w:rPr>
        <w:t>运行。</w:t>
      </w:r>
    </w:p>
    <w:p w14:paraId="42044541">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9、建筑垃圾外运必须按施工地点的关于《建筑垃圾处理管理条例》条款的规定定点、定时外运处理。</w:t>
      </w:r>
    </w:p>
    <w:p w14:paraId="4827EA23">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10、</w:t>
      </w:r>
      <w:r>
        <w:rPr>
          <w:rFonts w:hint="eastAsia" w:ascii="仿宋" w:hAnsi="仿宋" w:eastAsia="仿宋" w:cs="仿宋"/>
          <w:bCs/>
          <w:sz w:val="24"/>
          <w:lang w:eastAsia="zh-CN"/>
        </w:rPr>
        <w:t>项目开展期间</w:t>
      </w:r>
      <w:r>
        <w:rPr>
          <w:rFonts w:hint="eastAsia" w:ascii="仿宋" w:hAnsi="仿宋" w:eastAsia="仿宋" w:cs="仿宋"/>
          <w:bCs/>
          <w:sz w:val="24"/>
        </w:rPr>
        <w:t>需要停电的，应提前2天以上告知采购人。如需将该部分内容安排在夜间、假期进行</w:t>
      </w:r>
      <w:r>
        <w:rPr>
          <w:rFonts w:hint="eastAsia" w:ascii="仿宋" w:hAnsi="仿宋" w:eastAsia="仿宋" w:cs="仿宋"/>
          <w:bCs/>
          <w:sz w:val="24"/>
          <w:lang w:val="en-US" w:eastAsia="zh-CN"/>
        </w:rPr>
        <w:t>实施的</w:t>
      </w:r>
      <w:r>
        <w:rPr>
          <w:rFonts w:hint="eastAsia" w:ascii="仿宋" w:hAnsi="仿宋" w:eastAsia="仿宋" w:cs="仿宋"/>
          <w:bCs/>
          <w:sz w:val="24"/>
        </w:rPr>
        <w:t>，由此产生的措施费用考虑在总价内。</w:t>
      </w:r>
    </w:p>
    <w:p w14:paraId="58C714DB">
      <w:pPr>
        <w:snapToGrid w:val="0"/>
        <w:spacing w:before="120" w:beforeLines="50" w:after="120" w:afterLines="50" w:line="312" w:lineRule="auto"/>
        <w:outlineLvl w:val="1"/>
        <w:rPr>
          <w:rFonts w:ascii="仿宋" w:hAnsi="仿宋" w:eastAsia="仿宋" w:cs="仿宋"/>
          <w:b/>
          <w:color w:val="000000" w:themeColor="text1"/>
          <w:sz w:val="24"/>
          <w14:textFill>
            <w14:solidFill>
              <w14:schemeClr w14:val="tx1"/>
            </w14:solidFill>
          </w14:textFill>
        </w:rPr>
      </w:pPr>
      <w:bookmarkStart w:id="72" w:name="_Toc27410"/>
      <w:r>
        <w:rPr>
          <w:rFonts w:hint="eastAsia" w:ascii="仿宋" w:hAnsi="仿宋" w:eastAsia="仿宋" w:cs="仿宋"/>
          <w:b/>
          <w:sz w:val="24"/>
        </w:rPr>
        <w:t>四、</w:t>
      </w:r>
      <w:r>
        <w:rPr>
          <w:rFonts w:hint="eastAsia" w:ascii="仿宋" w:hAnsi="仿宋" w:eastAsia="仿宋" w:cs="仿宋"/>
          <w:b/>
          <w:color w:val="000000" w:themeColor="text1"/>
          <w:sz w:val="24"/>
          <w14:textFill>
            <w14:solidFill>
              <w14:schemeClr w14:val="tx1"/>
            </w14:solidFill>
          </w14:textFill>
        </w:rPr>
        <w:t>商务要求</w:t>
      </w:r>
      <w:bookmarkEnd w:id="68"/>
      <w:bookmarkEnd w:id="69"/>
      <w:bookmarkEnd w:id="70"/>
      <w:bookmarkEnd w:id="71"/>
      <w:bookmarkEnd w:id="72"/>
    </w:p>
    <w:p w14:paraId="68819C92">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1.质保期：自验收合格之日起2年（接受正偏离）。</w:t>
      </w:r>
    </w:p>
    <w:p w14:paraId="119B2F9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2.工期要求：项目整体应在合同签订、从采购人发出指令之日起</w:t>
      </w:r>
      <w:r>
        <w:rPr>
          <w:rFonts w:hint="eastAsia" w:ascii="仿宋" w:hAnsi="仿宋" w:eastAsia="仿宋" w:cs="仿宋"/>
          <w:color w:val="000000" w:themeColor="text1"/>
          <w:sz w:val="24"/>
          <w:lang w:val="en-US" w:eastAsia="zh-CN"/>
          <w14:textFill>
            <w14:solidFill>
              <w14:schemeClr w14:val="tx1"/>
            </w14:solidFill>
          </w14:textFill>
        </w:rPr>
        <w:t>90</w:t>
      </w:r>
      <w:r>
        <w:rPr>
          <w:rFonts w:hint="eastAsia" w:ascii="仿宋" w:hAnsi="仿宋" w:eastAsia="仿宋" w:cs="仿宋"/>
          <w:color w:val="000000" w:themeColor="text1"/>
          <w:sz w:val="24"/>
          <w14:textFill>
            <w14:solidFill>
              <w14:schemeClr w14:val="tx1"/>
            </w14:solidFill>
          </w14:textFill>
        </w:rPr>
        <w:t>个日历日内竣工并通过验收。</w:t>
      </w:r>
    </w:p>
    <w:p w14:paraId="15643D3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3.验收：根据合同</w:t>
      </w:r>
      <w:r>
        <w:rPr>
          <w:rFonts w:hint="eastAsia" w:ascii="仿宋" w:hAnsi="仿宋" w:eastAsia="仿宋" w:cs="仿宋"/>
          <w:color w:val="000000" w:themeColor="text1"/>
          <w:sz w:val="24"/>
          <w:lang w:val="en-US" w:eastAsia="zh-CN"/>
          <w14:textFill>
            <w14:solidFill>
              <w14:schemeClr w14:val="tx1"/>
            </w14:solidFill>
          </w14:textFill>
        </w:rPr>
        <w:t>以及</w:t>
      </w:r>
      <w:r>
        <w:rPr>
          <w:rFonts w:hint="eastAsia" w:ascii="仿宋" w:hAnsi="仿宋" w:eastAsia="仿宋" w:cs="仿宋"/>
          <w:color w:val="000000" w:themeColor="text1"/>
          <w:sz w:val="24"/>
          <w14:textFill>
            <w14:solidFill>
              <w14:schemeClr w14:val="tx1"/>
            </w14:solidFill>
          </w14:textFill>
        </w:rPr>
        <w:t>国家相关标准。</w:t>
      </w:r>
    </w:p>
    <w:p w14:paraId="35250161">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4.报价要求</w:t>
      </w:r>
    </w:p>
    <w:p w14:paraId="57992815">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（1）本项目报价采用总价包干方式</w:t>
      </w:r>
    </w:p>
    <w:p w14:paraId="68FC0DA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此报价应包含完成合同所涉及的全部内容，包含为完成本项目的所有费用，包括设计（含成交后深化设计）、制作、安装、售后服务、利润、税金、采购代理服务费及供应商认为还需发生的其他费用。</w:t>
      </w:r>
    </w:p>
    <w:p w14:paraId="163A8A2D">
      <w:pPr>
        <w:snapToGrid w:val="0"/>
        <w:spacing w:line="360" w:lineRule="auto"/>
        <w:ind w:firstLine="480" w:firstLineChars="200"/>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完成本项目服务所涉及的一切费用由供应商承担。费用清单需详细列明，不详细的部分采购人有权按最好效果、最高标准执行。</w:t>
      </w:r>
    </w:p>
    <w:p w14:paraId="14942D77">
      <w:pPr>
        <w:snapToGrid w:val="0"/>
        <w:spacing w:line="360" w:lineRule="auto"/>
        <w:ind w:firstLine="480" w:firstLineChars="200"/>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（2）供应商应认真计算可能发生的各相关费用并计入报价内，在项目实施过程中不得藉此要求增加任何费用，并不得出现选择性的报价。</w:t>
      </w:r>
    </w:p>
    <w:p w14:paraId="2BFE9A3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低于50%（不含）的，应当在报价文件中出具《报价情况说明》，详细阐述不影响服务质量或者诚信履约的具体理由及依据。经评审小组讨论认为供应商的报价说明不能证明其报价合理性，或有可能影响服务质量，或者影响诚信履约的，评审小组将对其作无效投标处理。</w:t>
      </w:r>
    </w:p>
    <w:p w14:paraId="588E392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5.履约担保：</w:t>
      </w:r>
    </w:p>
    <w:p w14:paraId="6E2CA6BC">
      <w:pPr>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（1）履约保证金递交形式：银行、保险公司出具的保函形式；</w:t>
      </w:r>
    </w:p>
    <w:p w14:paraId="2106BC8C">
      <w:pPr>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（2）金额：合同总价的1%。</w:t>
      </w:r>
    </w:p>
    <w:p w14:paraId="0A032600">
      <w:pPr>
        <w:snapToGrid w:val="0"/>
        <w:spacing w:line="360" w:lineRule="auto"/>
        <w:ind w:firstLine="480" w:firstLineChars="200"/>
        <w:rPr>
          <w:rFonts w:ascii="仿宋" w:hAnsi="仿宋" w:eastAsia="仿宋" w:cs="仿宋"/>
          <w:sz w:val="24"/>
        </w:rPr>
      </w:pPr>
      <w:r>
        <w:rPr>
          <w:rFonts w:hint="eastAsia" w:ascii="仿宋" w:hAnsi="仿宋" w:eastAsia="仿宋" w:cs="仿宋"/>
          <w:color w:val="auto"/>
          <w:sz w:val="24"/>
          <w:highlight w:val="none"/>
          <w:lang w:val="en-US" w:eastAsia="zh-CN"/>
        </w:rPr>
        <w:t>（3）签订合同后15天内，中标人向采购人缴纳履约保证金，在</w:t>
      </w:r>
      <w:r>
        <w:rPr>
          <w:rFonts w:hint="default" w:ascii="仿宋" w:hAnsi="仿宋" w:eastAsia="仿宋" w:cs="仿宋"/>
          <w:color w:val="auto"/>
          <w:sz w:val="24"/>
          <w:highlight w:val="none"/>
          <w:lang w:val="en-US" w:eastAsia="zh-CN"/>
        </w:rPr>
        <w:t>项目完成履约验收后15天</w:t>
      </w:r>
      <w:r>
        <w:rPr>
          <w:rFonts w:hint="eastAsia" w:ascii="仿宋" w:hAnsi="仿宋" w:eastAsia="仿宋" w:cs="仿宋"/>
          <w:color w:val="auto"/>
          <w:sz w:val="24"/>
          <w:highlight w:val="none"/>
          <w:lang w:val="en-US" w:eastAsia="zh-CN"/>
        </w:rPr>
        <w:t xml:space="preserve">如未出现违约责任则予以退还。有违约责任的，从中扣除相应违约款项；不足的，从合同款中扣除。 </w:t>
      </w:r>
    </w:p>
    <w:p w14:paraId="05C26D3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6.预付款及合同款付款条件：</w:t>
      </w:r>
    </w:p>
    <w:p w14:paraId="050D4CCD">
      <w:pPr>
        <w:adjustRightInd w:val="0"/>
        <w:snapToGrid w:val="0"/>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合同生效以及具备实施条件后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采购人支付中标人合同总金额的40%；（在签订合同时，中标人明确表示无需预付款或者主动要求降低预付款比例的，可不适用预付款相关规定；签订合同时，要求提供预付款的，中标人提交等额预付款保函）</w:t>
      </w:r>
    </w:p>
    <w:p w14:paraId="4B18002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服务内容全部完成</w:t>
      </w:r>
      <w:r>
        <w:rPr>
          <w:rFonts w:hint="eastAsia" w:ascii="仿宋" w:hAnsi="仿宋" w:eastAsia="仿宋" w:cs="仿宋"/>
          <w:color w:val="auto"/>
          <w:sz w:val="24"/>
          <w:highlight w:val="none"/>
        </w:rPr>
        <w:t>，采购人支付中标人合同总金额的20%。</w:t>
      </w:r>
    </w:p>
    <w:p w14:paraId="61A2EC31">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履约验收通过满足支付条件5个工作日内，采购人向中标人</w:t>
      </w:r>
      <w:r>
        <w:rPr>
          <w:rFonts w:hint="eastAsia" w:ascii="仿宋" w:hAnsi="仿宋" w:eastAsia="仿宋" w:cs="仿宋"/>
          <w:color w:val="auto"/>
          <w:sz w:val="24"/>
          <w:highlight w:val="none"/>
        </w:rPr>
        <w:t>支付至</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审</w:t>
      </w:r>
      <w:r>
        <w:rPr>
          <w:rFonts w:hint="eastAsia" w:ascii="仿宋" w:hAnsi="仿宋" w:eastAsia="仿宋" w:cs="仿宋"/>
          <w:color w:val="auto"/>
          <w:sz w:val="24"/>
          <w:highlight w:val="none"/>
          <w:lang w:val="en-US" w:eastAsia="zh-CN"/>
        </w:rPr>
        <w:t>定</w:t>
      </w:r>
      <w:r>
        <w:rPr>
          <w:rFonts w:hint="eastAsia" w:ascii="仿宋" w:hAnsi="仿宋" w:eastAsia="仿宋" w:cs="仿宋"/>
          <w:color w:val="auto"/>
          <w:sz w:val="24"/>
          <w:highlight w:val="none"/>
        </w:rPr>
        <w:t>价的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bookmarkEnd w:id="61"/>
    <w:bookmarkEnd w:id="62"/>
    <w:bookmarkEnd w:id="63"/>
    <w:bookmarkEnd w:id="64"/>
    <w:bookmarkEnd w:id="65"/>
    <w:p w14:paraId="4F38A36E">
      <w:pPr>
        <w:pStyle w:val="4"/>
        <w:spacing w:before="120" w:after="120" w:line="360" w:lineRule="auto"/>
        <w:rPr>
          <w:rFonts w:ascii="仿宋" w:hAnsi="仿宋" w:eastAsia="仿宋" w:cs="仿宋"/>
          <w:color w:val="auto"/>
          <w:sz w:val="24"/>
          <w:szCs w:val="24"/>
          <w:highlight w:val="none"/>
        </w:rPr>
      </w:pPr>
      <w:bookmarkStart w:id="73" w:name="_Toc6315"/>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、投标的相关要求</w:t>
      </w:r>
      <w:bookmarkEnd w:id="73"/>
    </w:p>
    <w:p w14:paraId="0D92E5F4">
      <w:pPr>
        <w:pStyle w:val="18"/>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（一）投标人要求</w:t>
      </w:r>
    </w:p>
    <w:p w14:paraId="72938748">
      <w:pPr>
        <w:pStyle w:val="18"/>
        <w:adjustRightInd w:val="0"/>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1、为确保项目的顺利实施，投标人应有</w:t>
      </w:r>
      <w:r>
        <w:rPr>
          <w:rFonts w:hint="eastAsia" w:ascii="仿宋" w:hAnsi="仿宋" w:eastAsia="仿宋" w:cs="仿宋"/>
          <w:bCs/>
          <w:color w:val="auto"/>
          <w:sz w:val="24"/>
          <w:highlight w:val="none"/>
          <w:lang w:val="en-US" w:eastAsia="zh-CN"/>
        </w:rPr>
        <w:t>类似</w:t>
      </w:r>
      <w:r>
        <w:rPr>
          <w:rFonts w:hint="eastAsia" w:ascii="仿宋" w:hAnsi="仿宋" w:eastAsia="仿宋" w:cs="仿宋"/>
          <w:bCs/>
          <w:color w:val="auto"/>
          <w:sz w:val="24"/>
          <w:highlight w:val="none"/>
        </w:rPr>
        <w:t>项目业绩经验。</w:t>
      </w:r>
      <w:r>
        <w:rPr>
          <w:rFonts w:hint="eastAsia" w:ascii="仿宋" w:hAnsi="仿宋" w:eastAsia="仿宋" w:cs="仿宋"/>
          <w:bCs/>
          <w:color w:val="auto"/>
          <w:sz w:val="24"/>
          <w:highlight w:val="none"/>
          <w:lang w:val="en-US" w:eastAsia="zh-CN"/>
        </w:rPr>
        <w:t>本项目中，类似项目系指</w:t>
      </w:r>
      <w:r>
        <w:rPr>
          <w:rFonts w:hint="eastAsia" w:ascii="仿宋" w:hAnsi="仿宋" w:eastAsia="仿宋" w:cs="仿宋"/>
          <w:snapToGrid w:val="0"/>
          <w:kern w:val="0"/>
          <w:sz w:val="24"/>
          <w:lang w:val="en-US" w:eastAsia="zh-CN"/>
        </w:rPr>
        <w:t>居家养老服务照料中心、党群服务中心</w:t>
      </w:r>
      <w:r>
        <w:rPr>
          <w:rFonts w:hint="eastAsia" w:ascii="仿宋" w:hAnsi="仿宋" w:eastAsia="仿宋" w:cs="仿宋"/>
          <w:bCs/>
          <w:color w:val="auto"/>
          <w:sz w:val="24"/>
          <w:highlight w:val="none"/>
          <w:lang w:val="en-US" w:eastAsia="zh-CN"/>
        </w:rPr>
        <w:t>类似设计、制作、布置一体化项目。</w:t>
      </w:r>
    </w:p>
    <w:p w14:paraId="3AD3C7CC">
      <w:pPr>
        <w:pStyle w:val="18"/>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2、投标人应能提供快速的服务响应，具有较强的项目管理、技术服务和组织实施能力。</w:t>
      </w:r>
    </w:p>
    <w:p w14:paraId="66215F88">
      <w:pPr>
        <w:pStyle w:val="18"/>
        <w:adjustRightInd w:val="0"/>
        <w:snapToGrid w:val="0"/>
        <w:spacing w:line="360" w:lineRule="auto"/>
        <w:ind w:firstLine="482" w:firstLineChars="200"/>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（二）项目团队要求</w:t>
      </w:r>
    </w:p>
    <w:p w14:paraId="4D41786B">
      <w:pPr>
        <w:pStyle w:val="1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ascii="仿宋" w:hAnsi="仿宋" w:eastAsia="仿宋" w:cs="仿宋"/>
          <w:color w:val="auto"/>
          <w:sz w:val="24"/>
          <w:highlight w:val="cyan"/>
          <w:lang w:eastAsia="zh-CN"/>
        </w:rPr>
      </w:pPr>
      <w:r>
        <w:rPr>
          <w:rFonts w:hint="eastAsia" w:ascii="仿宋" w:hAnsi="仿宋" w:eastAsia="仿宋" w:cs="仿宋"/>
          <w:color w:val="auto"/>
          <w:sz w:val="24"/>
        </w:rPr>
        <w:t>1、投标人为本项目配备项目团队</w:t>
      </w:r>
      <w:r>
        <w:rPr>
          <w:rFonts w:hint="eastAsia" w:ascii="仿宋" w:hAnsi="仿宋" w:eastAsia="仿宋" w:cs="仿宋"/>
          <w:color w:val="auto"/>
          <w:sz w:val="24"/>
          <w:lang w:eastAsia="zh-CN"/>
        </w:rPr>
        <w:t>。</w:t>
      </w:r>
    </w:p>
    <w:p w14:paraId="11B6DE0D">
      <w:pPr>
        <w:pStyle w:val="21"/>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sz w:val="24"/>
        </w:rPr>
        <w:t>项目实施过程中，</w:t>
      </w:r>
      <w:r>
        <w:rPr>
          <w:rFonts w:hint="eastAsia" w:ascii="仿宋" w:hAnsi="仿宋" w:eastAsia="仿宋" w:cs="仿宋"/>
          <w:color w:val="auto"/>
        </w:rPr>
        <w:t>设项目负责人1名，应具有</w:t>
      </w:r>
      <w:r>
        <w:rPr>
          <w:rFonts w:hint="eastAsia" w:ascii="仿宋" w:hAnsi="仿宋" w:eastAsia="仿宋" w:cs="仿宋"/>
          <w:color w:val="auto"/>
          <w:szCs w:val="24"/>
        </w:rPr>
        <w:t>3年以上同类</w:t>
      </w:r>
      <w:r>
        <w:rPr>
          <w:rFonts w:hint="eastAsia" w:ascii="仿宋" w:hAnsi="仿宋" w:eastAsia="仿宋" w:cs="仿宋"/>
          <w:color w:val="auto"/>
          <w:szCs w:val="24"/>
          <w:lang w:eastAsia="zh-CN"/>
        </w:rPr>
        <w:t>（</w:t>
      </w:r>
      <w:r>
        <w:rPr>
          <w:rFonts w:hint="eastAsia" w:ascii="仿宋" w:hAnsi="仿宋" w:eastAsia="仿宋" w:cs="仿宋"/>
          <w:snapToGrid w:val="0"/>
          <w:kern w:val="0"/>
          <w:sz w:val="24"/>
          <w:lang w:val="en-US" w:eastAsia="zh-CN"/>
        </w:rPr>
        <w:t>居家养老服务照料中心、党群服务中心</w:t>
      </w:r>
      <w:r>
        <w:rPr>
          <w:rFonts w:hint="eastAsia" w:ascii="仿宋" w:hAnsi="仿宋" w:eastAsia="仿宋" w:cs="仿宋"/>
          <w:color w:val="auto"/>
          <w:szCs w:val="24"/>
          <w:lang w:eastAsia="zh-CN"/>
        </w:rPr>
        <w:t>）</w:t>
      </w:r>
      <w:r>
        <w:rPr>
          <w:rFonts w:hint="eastAsia" w:ascii="仿宋" w:hAnsi="仿宋" w:eastAsia="仿宋" w:cs="仿宋"/>
          <w:color w:val="auto"/>
          <w:szCs w:val="24"/>
        </w:rPr>
        <w:t>工作实践经验</w:t>
      </w:r>
      <w:r>
        <w:rPr>
          <w:rFonts w:hint="eastAsia" w:ascii="仿宋" w:hAnsi="仿宋" w:eastAsia="仿宋" w:cs="仿宋"/>
          <w:color w:val="auto"/>
        </w:rPr>
        <w:t>。</w:t>
      </w:r>
    </w:p>
    <w:p w14:paraId="02179F70">
      <w:pPr>
        <w:pStyle w:val="21"/>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auto"/>
        </w:rPr>
      </w:pPr>
      <w:r>
        <w:rPr>
          <w:rFonts w:hint="eastAsia" w:ascii="仿宋" w:hAnsi="仿宋" w:eastAsia="仿宋" w:cs="仿宋"/>
          <w:color w:val="auto"/>
        </w:rPr>
        <w:t>3、除上述人员外，团队成员若干名，应具有相应资质或</w:t>
      </w:r>
      <w:r>
        <w:rPr>
          <w:rFonts w:hint="eastAsia" w:ascii="仿宋" w:hAnsi="仿宋" w:eastAsia="仿宋" w:cs="仿宋"/>
          <w:color w:val="auto"/>
          <w:lang w:eastAsia="zh-CN"/>
        </w:rPr>
        <w:t>经验</w:t>
      </w:r>
      <w:r>
        <w:rPr>
          <w:rFonts w:hint="eastAsia" w:ascii="仿宋" w:hAnsi="仿宋" w:eastAsia="仿宋" w:cs="仿宋"/>
          <w:color w:val="auto"/>
        </w:rPr>
        <w:t>，可以满足项目需求。投标文件中应提供团队成员</w:t>
      </w:r>
      <w:r>
        <w:rPr>
          <w:rFonts w:hint="eastAsia" w:ascii="仿宋" w:hAnsi="仿宋" w:eastAsia="仿宋" w:cs="仿宋"/>
          <w:bCs/>
          <w:color w:val="auto"/>
        </w:rPr>
        <w:t>名单，每个专业人员的情况和数量应该明确表示，明确各阶段投入人数；每个参加项目人员提供履历介绍，主要内容包括学历、工作特长、经验与业绩、资质情况等，该人员参与的时间以及在项目中的责任。</w:t>
      </w:r>
    </w:p>
    <w:p w14:paraId="6B1AB692">
      <w:pPr>
        <w:pStyle w:val="1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rPr>
        <w:t>4、投标文件中明确的人员在项目开展过程中不得擅自更换，如需更换应提前10个工作日以书面形式通知采购人，经采购人同意后方可更换。更换后的人员资质及经验不得低于更换前。</w:t>
      </w:r>
    </w:p>
    <w:p w14:paraId="55566C82">
      <w:pPr>
        <w:pStyle w:val="18"/>
        <w:adjustRightInd w:val="0"/>
        <w:snapToGrid w:val="0"/>
        <w:spacing w:line="360" w:lineRule="auto"/>
        <w:ind w:firstLine="482" w:firstLineChars="200"/>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（三）投标时对方案的要求</w:t>
      </w:r>
    </w:p>
    <w:p w14:paraId="054915A1">
      <w:pPr>
        <w:tabs>
          <w:tab w:val="left" w:pos="0"/>
        </w:tabs>
        <w:adjustRightInd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1、投标人通过自身经验、积累的数据，对本项目应有充分认识，对项目实施过程中的重难点进行分析，为采购人提供参考。</w:t>
      </w:r>
    </w:p>
    <w:p w14:paraId="2B5AFEF4">
      <w:pPr>
        <w:pStyle w:val="2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lang w:eastAsia="zh-CN"/>
        </w:rPr>
      </w:pPr>
      <w:r>
        <w:rPr>
          <w:rFonts w:hint="eastAsia" w:ascii="仿宋" w:hAnsi="仿宋" w:eastAsia="仿宋" w:cs="仿宋"/>
          <w:color w:val="auto"/>
          <w:kern w:val="0"/>
        </w:rPr>
        <w:t>2、</w:t>
      </w:r>
      <w:r>
        <w:rPr>
          <w:rFonts w:hint="eastAsia" w:ascii="仿宋" w:hAnsi="仿宋" w:eastAsia="仿宋" w:cs="仿宋"/>
          <w:color w:val="auto"/>
          <w:kern w:val="0"/>
          <w:sz w:val="24"/>
          <w:lang w:val="en-US" w:eastAsia="zh-CN"/>
        </w:rPr>
        <w:t>投标书内容在涵盖对本项目招标内容及需求中列明全部内容的响应之外，还应包括但不限于以下内容</w:t>
      </w:r>
      <w:r>
        <w:rPr>
          <w:rFonts w:hint="eastAsia" w:ascii="仿宋" w:hAnsi="仿宋" w:eastAsia="仿宋" w:cs="仿宋"/>
          <w:color w:val="auto"/>
          <w:kern w:val="0"/>
          <w:lang w:eastAsia="zh-CN"/>
        </w:rPr>
        <w:t>：</w:t>
      </w:r>
    </w:p>
    <w:p w14:paraId="0D446BEB">
      <w:pPr>
        <w:pStyle w:val="21"/>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00" w:firstLineChars="0"/>
        <w:textAlignment w:val="auto"/>
        <w:outlineLvl w:val="9"/>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材料制作方案、工艺。明确本项目材料生产工艺流程、质量控制措施。</w:t>
      </w:r>
    </w:p>
    <w:p w14:paraId="3D529479">
      <w:pPr>
        <w:pStyle w:val="21"/>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00" w:firstLineChars="0"/>
        <w:textAlignment w:val="auto"/>
        <w:outlineLvl w:val="9"/>
        <w:rPr>
          <w:rFonts w:hint="eastAsia" w:ascii="仿宋" w:hAnsi="仿宋" w:eastAsia="仿宋" w:cs="仿宋"/>
          <w:color w:val="auto"/>
          <w:kern w:val="0"/>
          <w:lang w:val="en-US" w:eastAsia="zh-CN"/>
        </w:rPr>
      </w:pPr>
      <w:r>
        <w:rPr>
          <w:rFonts w:hint="eastAsia" w:ascii="仿宋" w:hAnsi="仿宋" w:eastAsia="仿宋" w:cs="仿宋"/>
          <w:color w:val="auto"/>
          <w:sz w:val="24"/>
          <w:szCs w:val="24"/>
          <w:highlight w:val="none"/>
          <w:lang w:val="en-US" w:eastAsia="zh-CN"/>
        </w:rPr>
        <w:t>针对本项目的需求制定项目进度计划，</w:t>
      </w:r>
      <w:r>
        <w:rPr>
          <w:rFonts w:hint="eastAsia" w:ascii="仿宋" w:hAnsi="仿宋" w:eastAsia="仿宋" w:cs="仿宋"/>
          <w:color w:val="auto"/>
          <w:sz w:val="24"/>
        </w:rPr>
        <w:t>进度计划的时间安排</w:t>
      </w:r>
      <w:r>
        <w:rPr>
          <w:rFonts w:hint="eastAsia" w:ascii="仿宋" w:hAnsi="仿宋" w:eastAsia="仿宋" w:cs="仿宋"/>
          <w:color w:val="auto"/>
          <w:sz w:val="24"/>
          <w:lang w:eastAsia="zh-CN"/>
        </w:rPr>
        <w:t>、</w:t>
      </w:r>
      <w:r>
        <w:rPr>
          <w:rFonts w:hint="eastAsia" w:ascii="仿宋" w:hAnsi="仿宋" w:eastAsia="仿宋" w:cs="仿宋"/>
          <w:color w:val="auto"/>
          <w:sz w:val="24"/>
        </w:rPr>
        <w:t>各阶段工作内容</w:t>
      </w:r>
      <w:r>
        <w:rPr>
          <w:rFonts w:hint="eastAsia" w:ascii="仿宋" w:hAnsi="仿宋" w:eastAsia="仿宋" w:cs="仿宋"/>
          <w:color w:val="auto"/>
          <w:kern w:val="0"/>
          <w:lang w:val="en-US" w:eastAsia="zh-CN"/>
        </w:rPr>
        <w:t>。</w:t>
      </w:r>
    </w:p>
    <w:p w14:paraId="756A61B8">
      <w:pPr>
        <w:pStyle w:val="21"/>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00" w:firstLineChars="0"/>
        <w:textAlignment w:val="auto"/>
        <w:outlineLvl w:val="9"/>
        <w:rPr>
          <w:rFonts w:hint="eastAsia" w:ascii="仿宋" w:hAnsi="仿宋" w:eastAsia="仿宋" w:cs="仿宋"/>
          <w:color w:val="auto"/>
          <w:kern w:val="0"/>
          <w:lang w:val="en-US" w:eastAsia="zh-CN"/>
        </w:rPr>
      </w:pPr>
      <w:r>
        <w:rPr>
          <w:rFonts w:hint="eastAsia" w:ascii="仿宋" w:hAnsi="仿宋" w:eastAsia="仿宋" w:cs="仿宋"/>
          <w:color w:val="auto"/>
          <w:sz w:val="24"/>
          <w:lang w:eastAsia="zh-CN"/>
        </w:rPr>
        <w:t>制定</w:t>
      </w:r>
      <w:r>
        <w:rPr>
          <w:rFonts w:hint="eastAsia" w:ascii="仿宋" w:hAnsi="仿宋" w:eastAsia="仿宋" w:cs="仿宋"/>
          <w:color w:val="auto"/>
          <w:sz w:val="24"/>
        </w:rPr>
        <w:t>售后服务</w:t>
      </w:r>
      <w:r>
        <w:rPr>
          <w:rFonts w:hint="eastAsia" w:ascii="仿宋" w:hAnsi="仿宋" w:eastAsia="仿宋" w:cs="仿宋"/>
          <w:color w:val="auto"/>
          <w:sz w:val="24"/>
          <w:lang w:eastAsia="zh-CN"/>
        </w:rPr>
        <w:t>方案。明确</w:t>
      </w:r>
      <w:r>
        <w:rPr>
          <w:rFonts w:hint="eastAsia" w:ascii="仿宋" w:hAnsi="仿宋" w:eastAsia="仿宋" w:cs="仿宋"/>
          <w:color w:val="auto"/>
          <w:sz w:val="24"/>
        </w:rPr>
        <w:t>质保期限的长短以及服务承诺</w:t>
      </w:r>
      <w:r>
        <w:rPr>
          <w:rFonts w:hint="eastAsia" w:ascii="仿宋" w:hAnsi="仿宋" w:eastAsia="仿宋" w:cs="仿宋"/>
          <w:color w:val="auto"/>
          <w:sz w:val="24"/>
          <w:lang w:eastAsia="zh-CN"/>
        </w:rPr>
        <w:t>、</w:t>
      </w:r>
      <w:r>
        <w:rPr>
          <w:rFonts w:hint="eastAsia" w:ascii="仿宋" w:hAnsi="仿宋" w:eastAsia="仿宋" w:cs="仿宋"/>
          <w:color w:val="auto"/>
          <w:sz w:val="24"/>
        </w:rPr>
        <w:t>服务承诺落实的保障措施，质保期内外的后续技术支持和维护情况。</w:t>
      </w:r>
    </w:p>
    <w:p w14:paraId="1E210D63">
      <w:pPr>
        <w:pStyle w:val="4"/>
        <w:spacing w:before="120" w:after="120" w:line="360" w:lineRule="auto"/>
        <w:rPr>
          <w:rFonts w:ascii="仿宋" w:hAnsi="仿宋" w:eastAsia="仿宋" w:cs="仿宋"/>
          <w:color w:val="auto"/>
          <w:sz w:val="24"/>
          <w:szCs w:val="24"/>
          <w:highlight w:val="none"/>
        </w:rPr>
      </w:pPr>
      <w:bookmarkStart w:id="74" w:name="_Toc18318"/>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、其他说明</w:t>
      </w:r>
      <w:bookmarkEnd w:id="74"/>
    </w:p>
    <w:p w14:paraId="089CE7B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1、投标人提供的服务、证明材料等实际情况与投标文件中所承诺或响应内容不符合，可视为虚假应标及欺诈行为，并追究相应责任。</w:t>
      </w:r>
    </w:p>
    <w:p w14:paraId="06B0527E">
      <w:pPr>
        <w:adjustRightInd w:val="0"/>
        <w:snapToGrid w:val="0"/>
        <w:spacing w:line="360" w:lineRule="auto"/>
        <w:ind w:firstLine="480" w:firstLineChars="200"/>
        <w:rPr>
          <w:rFonts w:hint="eastAsia" w:ascii="仿宋" w:hAnsi="仿宋" w:eastAsia="仿宋" w:cs="仿宋"/>
          <w:bCs/>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未尽事宜可进一步参阅合同条款、</w:t>
      </w:r>
      <w:r>
        <w:rPr>
          <w:rFonts w:hint="eastAsia" w:ascii="仿宋" w:hAnsi="仿宋" w:eastAsia="仿宋" w:cs="仿宋"/>
          <w:color w:val="auto"/>
          <w:sz w:val="24"/>
          <w:highlight w:val="none"/>
        </w:rPr>
        <w:t>招标文件其他内容</w:t>
      </w:r>
      <w:r>
        <w:rPr>
          <w:rFonts w:hint="eastAsia" w:ascii="仿宋" w:hAnsi="仿宋" w:eastAsia="仿宋" w:cs="仿宋"/>
          <w:color w:val="auto"/>
          <w:sz w:val="24"/>
          <w:highlight w:val="none"/>
          <w:lang w:val="zh-CN"/>
        </w:rPr>
        <w:t>。</w:t>
      </w:r>
    </w:p>
    <w:p w14:paraId="65595C25">
      <w:pPr>
        <w:pStyle w:val="21"/>
        <w:rPr>
          <w:rFonts w:hint="eastAsia" w:ascii="仿宋" w:hAnsi="仿宋" w:eastAsia="仿宋" w:cs="仿宋"/>
          <w:color w:val="auto"/>
          <w:highlight w:val="none"/>
        </w:rPr>
      </w:pPr>
    </w:p>
    <w:p w14:paraId="2E5C2DE8">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54"/>
    <w:bookmarkEnd w:id="55"/>
    <w:bookmarkEnd w:id="56"/>
    <w:bookmarkEnd w:id="57"/>
    <w:p w14:paraId="1A74E9B7">
      <w:pPr>
        <w:adjustRightInd w:val="0"/>
        <w:snapToGrid w:val="0"/>
        <w:spacing w:before="120" w:beforeLines="50" w:after="120" w:afterLines="50"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bookmarkStart w:id="75" w:name="_Toc14349"/>
      <w:bookmarkStart w:id="76" w:name="_Toc25398"/>
      <w:r>
        <w:rPr>
          <w:rFonts w:hint="eastAsia" w:ascii="仿宋" w:hAnsi="仿宋" w:eastAsia="仿宋" w:cs="仿宋"/>
          <w:b/>
          <w:color w:val="000000" w:themeColor="text1"/>
          <w:sz w:val="30"/>
          <w:szCs w:val="30"/>
          <w:highlight w:val="none"/>
          <w14:textFill>
            <w14:solidFill>
              <w14:schemeClr w14:val="tx1"/>
            </w14:solidFill>
          </w14:textFill>
        </w:rPr>
        <w:t>第四部分  评标办法</w:t>
      </w:r>
      <w:bookmarkEnd w:id="75"/>
      <w:bookmarkEnd w:id="76"/>
    </w:p>
    <w:p w14:paraId="757FD395">
      <w:pPr>
        <w:pStyle w:val="4"/>
        <w:snapToGrid w:val="0"/>
        <w:spacing w:before="120" w:beforeLines="50" w:after="120" w:afterLines="50" w:line="360" w:lineRule="auto"/>
        <w:rPr>
          <w:rFonts w:hint="eastAsia" w:ascii="仿宋" w:hAnsi="仿宋" w:eastAsia="仿宋" w:cs="仿宋"/>
          <w:color w:val="auto"/>
          <w:sz w:val="24"/>
          <w:szCs w:val="24"/>
          <w:highlight w:val="none"/>
        </w:rPr>
      </w:pPr>
      <w:bookmarkStart w:id="77" w:name="_Toc16598"/>
      <w:bookmarkStart w:id="78" w:name="_Toc11969"/>
      <w:r>
        <w:rPr>
          <w:rFonts w:hint="eastAsia" w:ascii="仿宋" w:hAnsi="仿宋" w:eastAsia="仿宋" w:cs="仿宋"/>
          <w:color w:val="auto"/>
          <w:sz w:val="24"/>
          <w:szCs w:val="24"/>
          <w:highlight w:val="none"/>
        </w:rPr>
        <w:t>评标办法前附表</w:t>
      </w:r>
      <w:bookmarkEnd w:id="77"/>
      <w:bookmarkEnd w:id="78"/>
    </w:p>
    <w:p w14:paraId="6A1FDF80">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p>
    <w:tbl>
      <w:tblPr>
        <w:tblStyle w:val="45"/>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066"/>
        <w:gridCol w:w="715"/>
        <w:gridCol w:w="956"/>
        <w:gridCol w:w="1384"/>
      </w:tblGrid>
      <w:tr w14:paraId="7B41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18" w:type="pct"/>
            <w:vAlign w:val="center"/>
          </w:tcPr>
          <w:p w14:paraId="5D87FDF0">
            <w:pPr>
              <w:snapToGrid w:val="0"/>
              <w:jc w:val="center"/>
              <w:rPr>
                <w:rFonts w:ascii="仿宋" w:hAnsi="仿宋" w:eastAsia="仿宋" w:cs="仿宋"/>
                <w:bCs/>
                <w:sz w:val="24"/>
              </w:rPr>
            </w:pPr>
            <w:bookmarkStart w:id="79" w:name="_Toc25627"/>
            <w:r>
              <w:rPr>
                <w:rFonts w:hint="eastAsia" w:ascii="仿宋" w:hAnsi="仿宋" w:eastAsia="仿宋" w:cs="仿宋"/>
                <w:bCs/>
                <w:sz w:val="24"/>
              </w:rPr>
              <w:t>序号</w:t>
            </w:r>
            <w:bookmarkEnd w:id="79"/>
          </w:p>
        </w:tc>
        <w:tc>
          <w:tcPr>
            <w:tcW w:w="2858" w:type="pct"/>
            <w:vAlign w:val="center"/>
          </w:tcPr>
          <w:p w14:paraId="4132352B">
            <w:pPr>
              <w:snapToGrid w:val="0"/>
              <w:jc w:val="center"/>
              <w:rPr>
                <w:rFonts w:ascii="仿宋" w:hAnsi="仿宋" w:eastAsia="仿宋" w:cs="仿宋"/>
                <w:bCs/>
                <w:sz w:val="24"/>
              </w:rPr>
            </w:pPr>
            <w:bookmarkStart w:id="80" w:name="_Toc6414"/>
            <w:r>
              <w:rPr>
                <w:rFonts w:hint="eastAsia" w:ascii="仿宋" w:hAnsi="仿宋" w:eastAsia="仿宋" w:cs="仿宋"/>
                <w:bCs/>
                <w:sz w:val="24"/>
              </w:rPr>
              <w:t>评标标准</w:t>
            </w:r>
            <w:bookmarkEnd w:id="80"/>
          </w:p>
        </w:tc>
        <w:tc>
          <w:tcPr>
            <w:tcW w:w="403" w:type="pct"/>
            <w:vAlign w:val="center"/>
          </w:tcPr>
          <w:p w14:paraId="472A6F26">
            <w:pPr>
              <w:snapToGrid w:val="0"/>
              <w:jc w:val="center"/>
              <w:rPr>
                <w:rFonts w:ascii="仿宋" w:hAnsi="仿宋" w:eastAsia="仿宋" w:cs="仿宋"/>
                <w:bCs/>
                <w:sz w:val="24"/>
              </w:rPr>
            </w:pPr>
            <w:bookmarkStart w:id="81" w:name="_Toc20897"/>
            <w:r>
              <w:rPr>
                <w:rFonts w:hint="eastAsia" w:ascii="仿宋" w:hAnsi="仿宋" w:eastAsia="仿宋" w:cs="仿宋"/>
                <w:bCs/>
                <w:sz w:val="24"/>
              </w:rPr>
              <w:t>权重</w:t>
            </w:r>
            <w:bookmarkEnd w:id="81"/>
          </w:p>
        </w:tc>
        <w:tc>
          <w:tcPr>
            <w:tcW w:w="539" w:type="pct"/>
            <w:vAlign w:val="center"/>
          </w:tcPr>
          <w:p w14:paraId="19B0BD27">
            <w:pPr>
              <w:snapToGrid w:val="0"/>
              <w:jc w:val="center"/>
              <w:rPr>
                <w:rFonts w:ascii="仿宋" w:hAnsi="仿宋" w:eastAsia="仿宋" w:cs="仿宋"/>
                <w:bCs/>
                <w:sz w:val="24"/>
              </w:rPr>
            </w:pPr>
            <w:bookmarkStart w:id="82" w:name="_Toc21585"/>
            <w:r>
              <w:rPr>
                <w:rFonts w:hint="eastAsia" w:ascii="仿宋" w:hAnsi="仿宋" w:eastAsia="仿宋" w:cs="仿宋"/>
                <w:bCs/>
                <w:sz w:val="24"/>
              </w:rPr>
              <w:t>主观分/客观分属性</w:t>
            </w:r>
            <w:bookmarkEnd w:id="82"/>
          </w:p>
        </w:tc>
        <w:tc>
          <w:tcPr>
            <w:tcW w:w="780" w:type="pct"/>
            <w:vAlign w:val="center"/>
          </w:tcPr>
          <w:p w14:paraId="7EA6DF7C">
            <w:pPr>
              <w:snapToGrid w:val="0"/>
              <w:jc w:val="center"/>
              <w:rPr>
                <w:rFonts w:ascii="仿宋" w:hAnsi="仿宋" w:eastAsia="仿宋" w:cs="仿宋"/>
                <w:bCs/>
                <w:sz w:val="24"/>
              </w:rPr>
            </w:pPr>
            <w:bookmarkStart w:id="83" w:name="_Toc28406"/>
            <w:r>
              <w:rPr>
                <w:rFonts w:hint="eastAsia" w:ascii="仿宋" w:hAnsi="仿宋" w:eastAsia="仿宋" w:cs="仿宋"/>
                <w:bCs/>
                <w:sz w:val="20"/>
                <w:szCs w:val="20"/>
              </w:rPr>
              <w:t>响应文件中评标标准相应的商务技术资料目录</w:t>
            </w:r>
            <w:bookmarkEnd w:id="83"/>
          </w:p>
        </w:tc>
      </w:tr>
      <w:tr w14:paraId="0FAF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8" w:type="pct"/>
            <w:vAlign w:val="center"/>
          </w:tcPr>
          <w:p w14:paraId="46826079">
            <w:pPr>
              <w:snapToGrid w:val="0"/>
              <w:jc w:val="center"/>
              <w:rPr>
                <w:rFonts w:hint="eastAsia" w:ascii="仿宋" w:hAnsi="仿宋" w:eastAsia="仿宋" w:cs="仿宋"/>
                <w:bCs/>
                <w:color w:val="000000" w:themeColor="text1"/>
                <w:sz w:val="24"/>
                <w:lang w:val="en-US" w:eastAsia="zh-CN"/>
                <w14:textFill>
                  <w14:solidFill>
                    <w14:schemeClr w14:val="tx1"/>
                  </w14:solidFill>
                </w14:textFill>
              </w:rPr>
            </w:pPr>
            <w:bookmarkStart w:id="84" w:name="_Toc32537"/>
            <w:r>
              <w:rPr>
                <w:rFonts w:hint="eastAsia" w:ascii="仿宋" w:hAnsi="仿宋" w:eastAsia="仿宋" w:cs="仿宋"/>
                <w:bCs/>
                <w:color w:val="000000" w:themeColor="text1"/>
                <w:sz w:val="24"/>
                <w:lang w:val="en-US" w:eastAsia="zh-CN"/>
                <w14:textFill>
                  <w14:solidFill>
                    <w14:schemeClr w14:val="tx1"/>
                  </w14:solidFill>
                </w14:textFill>
              </w:rPr>
              <w:t>1</w:t>
            </w:r>
          </w:p>
        </w:tc>
        <w:tc>
          <w:tcPr>
            <w:tcW w:w="2858" w:type="pct"/>
            <w:vAlign w:val="center"/>
          </w:tcPr>
          <w:p w14:paraId="459F2998">
            <w:pPr>
              <w:snapToGrid w:val="0"/>
              <w:jc w:val="both"/>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供应商资信评价</w:t>
            </w:r>
          </w:p>
        </w:tc>
        <w:tc>
          <w:tcPr>
            <w:tcW w:w="403" w:type="pct"/>
            <w:vAlign w:val="center"/>
          </w:tcPr>
          <w:p w14:paraId="2B6D686F">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539" w:type="pct"/>
            <w:vAlign w:val="center"/>
          </w:tcPr>
          <w:p w14:paraId="50C34224">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780" w:type="pct"/>
            <w:vAlign w:val="center"/>
          </w:tcPr>
          <w:p w14:paraId="7473B377">
            <w:pPr>
              <w:snapToGrid w:val="0"/>
              <w:jc w:val="center"/>
              <w:rPr>
                <w:rFonts w:hint="eastAsia" w:ascii="仿宋" w:hAnsi="仿宋" w:eastAsia="仿宋" w:cs="仿宋"/>
                <w:bCs/>
                <w:sz w:val="20"/>
                <w:szCs w:val="20"/>
              </w:rPr>
            </w:pPr>
          </w:p>
        </w:tc>
      </w:tr>
      <w:tr w14:paraId="5368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18" w:type="pct"/>
            <w:vAlign w:val="center"/>
          </w:tcPr>
          <w:p w14:paraId="72DE08E6">
            <w:pPr>
              <w:snapToGrid w:val="0"/>
              <w:jc w:val="center"/>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.1</w:t>
            </w:r>
          </w:p>
        </w:tc>
        <w:tc>
          <w:tcPr>
            <w:tcW w:w="2858" w:type="pct"/>
            <w:vAlign w:val="center"/>
          </w:tcPr>
          <w:p w14:paraId="1F6F7C62">
            <w:pPr>
              <w:snapToGrid w:val="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供应商同类业绩：</w:t>
            </w:r>
          </w:p>
          <w:p w14:paraId="5669D1BD">
            <w:pPr>
              <w:snapToGrid w:val="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供应商具备2021年1月1日(以合同签订时间为准)以来</w:t>
            </w:r>
            <w:r>
              <w:rPr>
                <w:rFonts w:hint="eastAsia" w:ascii="仿宋" w:hAnsi="仿宋" w:eastAsia="仿宋" w:cs="仿宋"/>
                <w:color w:val="000000" w:themeColor="text1"/>
                <w:sz w:val="24"/>
                <w:lang w:val="en-US" w:eastAsia="zh-CN"/>
                <w14:textFill>
                  <w14:solidFill>
                    <w14:schemeClr w14:val="tx1"/>
                  </w14:solidFill>
                </w14:textFill>
              </w:rPr>
              <w:t>类似项目</w:t>
            </w:r>
            <w:r>
              <w:rPr>
                <w:rFonts w:hint="eastAsia" w:ascii="仿宋" w:hAnsi="仿宋" w:eastAsia="仿宋" w:cs="仿宋"/>
                <w:color w:val="000000" w:themeColor="text1"/>
                <w:sz w:val="24"/>
                <w:lang w:val="zh-CN"/>
                <w14:textFill>
                  <w14:solidFill>
                    <w14:schemeClr w14:val="tx1"/>
                  </w14:solidFill>
                </w14:textFill>
              </w:rPr>
              <w:t>业绩的，每提供</w:t>
            </w:r>
            <w:r>
              <w:rPr>
                <w:rFonts w:hint="eastAsia" w:ascii="仿宋" w:hAnsi="仿宋" w:eastAsia="仿宋" w:cs="仿宋"/>
                <w:color w:val="000000" w:themeColor="text1"/>
                <w:sz w:val="24"/>
                <w:lang w:val="en-US" w:eastAsia="zh-CN"/>
                <w14:textFill>
                  <w14:solidFill>
                    <w14:schemeClr w14:val="tx1"/>
                  </w14:solidFill>
                </w14:textFill>
              </w:rPr>
              <w:t>一</w:t>
            </w:r>
            <w:r>
              <w:rPr>
                <w:rFonts w:hint="eastAsia" w:ascii="仿宋" w:hAnsi="仿宋" w:eastAsia="仿宋" w:cs="仿宋"/>
                <w:color w:val="000000" w:themeColor="text1"/>
                <w:sz w:val="24"/>
                <w:lang w:val="zh-CN"/>
                <w14:textFill>
                  <w14:solidFill>
                    <w14:schemeClr w14:val="tx1"/>
                  </w14:solidFill>
                </w14:textFill>
              </w:rPr>
              <w:t>个有效合同得0.</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val="zh-CN"/>
                <w14:textFill>
                  <w14:solidFill>
                    <w14:schemeClr w14:val="tx1"/>
                  </w14:solidFill>
                </w14:textFill>
              </w:rPr>
              <w:t>分，最高得</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lang w:val="zh-CN"/>
                <w14:textFill>
                  <w14:solidFill>
                    <w14:schemeClr w14:val="tx1"/>
                  </w14:solidFill>
                </w14:textFill>
              </w:rPr>
              <w:t>分。</w:t>
            </w:r>
          </w:p>
          <w:p w14:paraId="508AA461">
            <w:pPr>
              <w:snapToGrid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zh-CN"/>
                <w14:textFill>
                  <w14:solidFill>
                    <w14:schemeClr w14:val="tx1"/>
                  </w14:solidFill>
                </w14:textFill>
              </w:rPr>
              <w:t>注：</w:t>
            </w:r>
            <w:r>
              <w:rPr>
                <w:rFonts w:hint="eastAsia" w:ascii="仿宋" w:hAnsi="仿宋" w:eastAsia="仿宋" w:cs="仿宋"/>
                <w:b w:val="0"/>
                <w:bCs w:val="0"/>
                <w:color w:val="000000" w:themeColor="text1"/>
                <w:sz w:val="24"/>
                <w:lang w:val="en-US" w:eastAsia="zh-CN"/>
                <w14:textFill>
                  <w14:solidFill>
                    <w14:schemeClr w14:val="tx1"/>
                  </w14:solidFill>
                </w14:textFill>
              </w:rPr>
              <w:t>投标</w:t>
            </w:r>
            <w:r>
              <w:rPr>
                <w:rFonts w:hint="eastAsia" w:ascii="仿宋" w:hAnsi="仿宋" w:eastAsia="仿宋" w:cs="仿宋"/>
                <w:b w:val="0"/>
                <w:bCs w:val="0"/>
                <w:color w:val="000000" w:themeColor="text1"/>
                <w:sz w:val="24"/>
                <w:lang w:val="zh-CN"/>
                <w14:textFill>
                  <w14:solidFill>
                    <w14:schemeClr w14:val="tx1"/>
                  </w14:solidFill>
                </w14:textFill>
              </w:rPr>
              <w:t>文件须提供合同关键页（含签订合同双方的单位名称、合同项目名称与含签订合同双方的落款盖章、签订日期）复印件加盖公章，否则不得分；本项目中类似项目系指</w:t>
            </w:r>
            <w:r>
              <w:rPr>
                <w:rFonts w:hint="eastAsia" w:ascii="仿宋" w:hAnsi="仿宋" w:eastAsia="仿宋" w:cs="仿宋"/>
                <w:b w:val="0"/>
                <w:bCs w:val="0"/>
                <w:snapToGrid w:val="0"/>
                <w:color w:val="000000" w:themeColor="text1"/>
                <w:kern w:val="0"/>
                <w:sz w:val="24"/>
                <w:lang w:val="en-US" w:eastAsia="zh-CN"/>
                <w14:textFill>
                  <w14:solidFill>
                    <w14:schemeClr w14:val="tx1"/>
                  </w14:solidFill>
                </w14:textFill>
              </w:rPr>
              <w:t>居家养老服务照料中心、党群服务中心</w:t>
            </w:r>
            <w:r>
              <w:rPr>
                <w:rFonts w:hint="eastAsia" w:ascii="仿宋" w:hAnsi="仿宋" w:eastAsia="仿宋" w:cs="仿宋"/>
                <w:b w:val="0"/>
                <w:bCs w:val="0"/>
                <w:color w:val="000000" w:themeColor="text1"/>
                <w:sz w:val="24"/>
                <w:lang w:val="zh-CN"/>
                <w14:textFill>
                  <w14:solidFill>
                    <w14:schemeClr w14:val="tx1"/>
                  </w14:solidFill>
                </w14:textFill>
              </w:rPr>
              <w:t>类似设计、制作、布置一体化项目。</w:t>
            </w:r>
          </w:p>
        </w:tc>
        <w:tc>
          <w:tcPr>
            <w:tcW w:w="403" w:type="pct"/>
            <w:vAlign w:val="center"/>
          </w:tcPr>
          <w:p w14:paraId="0A5B6D4E">
            <w:pPr>
              <w:snapToGrid w:val="0"/>
              <w:jc w:val="center"/>
              <w:rPr>
                <w:rFonts w:ascii="仿宋" w:hAnsi="仿宋" w:eastAsia="仿宋" w:cs="仿宋"/>
                <w:bCs/>
                <w:sz w:val="24"/>
              </w:rPr>
            </w:pPr>
            <w:r>
              <w:rPr>
                <w:rFonts w:hint="eastAsia" w:ascii="仿宋" w:hAnsi="仿宋" w:eastAsia="仿宋" w:cs="仿宋"/>
                <w:sz w:val="22"/>
                <w:szCs w:val="22"/>
                <w:lang w:val="en-US" w:eastAsia="zh-CN"/>
              </w:rPr>
              <w:t>1</w:t>
            </w:r>
          </w:p>
        </w:tc>
        <w:tc>
          <w:tcPr>
            <w:tcW w:w="539" w:type="pct"/>
            <w:vAlign w:val="center"/>
          </w:tcPr>
          <w:p w14:paraId="2F0EF316">
            <w:pPr>
              <w:snapToGrid w:val="0"/>
              <w:jc w:val="center"/>
              <w:rPr>
                <w:rFonts w:ascii="仿宋" w:hAnsi="仿宋" w:eastAsia="仿宋" w:cs="仿宋"/>
                <w:bCs/>
                <w:sz w:val="24"/>
              </w:rPr>
            </w:pPr>
            <w:r>
              <w:rPr>
                <w:rFonts w:hint="eastAsia" w:ascii="仿宋" w:hAnsi="仿宋" w:eastAsia="仿宋" w:cs="仿宋"/>
                <w:sz w:val="24"/>
              </w:rPr>
              <w:t>客观分</w:t>
            </w:r>
          </w:p>
        </w:tc>
        <w:tc>
          <w:tcPr>
            <w:tcW w:w="780" w:type="pct"/>
            <w:vAlign w:val="center"/>
          </w:tcPr>
          <w:p w14:paraId="3C0F5A57">
            <w:pPr>
              <w:snapToGrid w:val="0"/>
              <w:jc w:val="center"/>
              <w:rPr>
                <w:rFonts w:ascii="仿宋" w:hAnsi="仿宋" w:eastAsia="仿宋" w:cs="仿宋"/>
                <w:bCs/>
                <w:sz w:val="20"/>
                <w:szCs w:val="20"/>
              </w:rPr>
            </w:pPr>
          </w:p>
        </w:tc>
      </w:tr>
      <w:tr w14:paraId="6079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18" w:type="pct"/>
            <w:vAlign w:val="center"/>
          </w:tcPr>
          <w:p w14:paraId="4D51E16C">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1.2</w:t>
            </w:r>
          </w:p>
        </w:tc>
        <w:tc>
          <w:tcPr>
            <w:tcW w:w="2858" w:type="pct"/>
            <w:vAlign w:val="center"/>
          </w:tcPr>
          <w:p w14:paraId="3BA20E3A">
            <w:pPr>
              <w:snapToGrid w:val="0"/>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供应商具有有效期内的质量管理体系认证证书、环境管理体系认证证书的，每项得1分，本项最多2分，未提供不得分；</w:t>
            </w:r>
          </w:p>
          <w:p w14:paraId="3AAE8774">
            <w:pPr>
              <w:snapToGrid w:val="0"/>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注：提供相关证书复印件加盖公章，否则不得分。（评审当天，在全国认证认可信息公共服务平台查询证书有效性）。</w:t>
            </w:r>
          </w:p>
        </w:tc>
        <w:tc>
          <w:tcPr>
            <w:tcW w:w="403" w:type="pct"/>
            <w:vAlign w:val="center"/>
          </w:tcPr>
          <w:p w14:paraId="7444CCB9">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539" w:type="pct"/>
            <w:vAlign w:val="center"/>
          </w:tcPr>
          <w:p w14:paraId="1646FEB0">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客观分</w:t>
            </w:r>
          </w:p>
        </w:tc>
        <w:tc>
          <w:tcPr>
            <w:tcW w:w="780" w:type="pct"/>
            <w:vAlign w:val="center"/>
          </w:tcPr>
          <w:p w14:paraId="6EFC9535">
            <w:pPr>
              <w:snapToGrid w:val="0"/>
              <w:jc w:val="center"/>
              <w:rPr>
                <w:rFonts w:ascii="仿宋" w:hAnsi="仿宋" w:eastAsia="仿宋" w:cs="仿宋"/>
                <w:bCs/>
                <w:sz w:val="20"/>
                <w:szCs w:val="20"/>
              </w:rPr>
            </w:pPr>
          </w:p>
        </w:tc>
      </w:tr>
      <w:bookmarkEnd w:id="84"/>
      <w:tr w14:paraId="571F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8" w:type="pct"/>
            <w:vAlign w:val="center"/>
          </w:tcPr>
          <w:p w14:paraId="448DB9E7">
            <w:pPr>
              <w:snapToGrid w:val="0"/>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2858" w:type="pct"/>
            <w:vAlign w:val="center"/>
          </w:tcPr>
          <w:p w14:paraId="182DF0CA">
            <w:pPr>
              <w:snapToGrid w:val="0"/>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项目团队人员情况评价，</w:t>
            </w:r>
            <w:r>
              <w:rPr>
                <w:rFonts w:hint="eastAsia" w:ascii="仿宋" w:hAnsi="仿宋" w:eastAsia="仿宋" w:cs="仿宋"/>
                <w:color w:val="000000" w:themeColor="text1"/>
                <w:sz w:val="24"/>
                <w:lang w:val="en-US" w:eastAsia="zh-CN"/>
                <w14:textFill>
                  <w14:solidFill>
                    <w14:schemeClr w14:val="tx1"/>
                  </w14:solidFill>
                </w14:textFill>
              </w:rPr>
              <w:t>根据项目团队人员的资历、经验等进行评分（参考履历表和相关资料等）。</w:t>
            </w:r>
            <w:r>
              <w:rPr>
                <w:rFonts w:hint="eastAsia" w:ascii="仿宋" w:hAnsi="仿宋" w:eastAsia="仿宋" w:cs="仿宋"/>
                <w:color w:val="000000" w:themeColor="text1"/>
                <w:sz w:val="24"/>
                <w:lang w:val="zh-CN" w:eastAsia="zh-CN"/>
                <w14:textFill>
                  <w14:solidFill>
                    <w14:schemeClr w14:val="tx1"/>
                  </w14:solidFill>
                </w14:textFill>
              </w:rPr>
              <w:t>优秀得</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val="zh-CN" w:eastAsia="zh-CN"/>
                <w14:textFill>
                  <w14:solidFill>
                    <w14:schemeClr w14:val="tx1"/>
                  </w14:solidFill>
                </w14:textFill>
              </w:rPr>
              <w:t>分，良好得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val="zh-CN" w:eastAsia="zh-CN"/>
                <w14:textFill>
                  <w14:solidFill>
                    <w14:schemeClr w14:val="tx1"/>
                  </w14:solidFill>
                </w14:textFill>
              </w:rPr>
              <w:t>分，一般得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eastAsia="zh-CN"/>
                <w14:textFill>
                  <w14:solidFill>
                    <w14:schemeClr w14:val="tx1"/>
                  </w14:solidFill>
                </w14:textFill>
              </w:rPr>
              <w:t>分，有</w:t>
            </w:r>
            <w:r>
              <w:rPr>
                <w:rFonts w:hint="eastAsia" w:ascii="仿宋" w:hAnsi="仿宋" w:eastAsia="仿宋" w:cs="仿宋"/>
                <w:color w:val="000000" w:themeColor="text1"/>
                <w:sz w:val="24"/>
                <w:lang w:val="en-US" w:eastAsia="zh-CN"/>
                <w14:textFill>
                  <w14:solidFill>
                    <w14:schemeClr w14:val="tx1"/>
                  </w14:solidFill>
                </w14:textFill>
              </w:rPr>
              <w:t>人员</w:t>
            </w:r>
            <w:r>
              <w:rPr>
                <w:rFonts w:hint="eastAsia" w:ascii="仿宋" w:hAnsi="仿宋" w:eastAsia="仿宋" w:cs="仿宋"/>
                <w:color w:val="000000" w:themeColor="text1"/>
                <w:sz w:val="24"/>
                <w:lang w:val="zh-CN" w:eastAsia="zh-CN"/>
                <w14:textFill>
                  <w14:solidFill>
                    <w14:schemeClr w14:val="tx1"/>
                  </w14:solidFill>
                </w14:textFill>
              </w:rPr>
              <w:t>方案</w:t>
            </w:r>
            <w:r>
              <w:rPr>
                <w:rFonts w:hint="eastAsia" w:ascii="仿宋" w:hAnsi="仿宋" w:eastAsia="仿宋" w:cs="仿宋"/>
                <w:color w:val="000000" w:themeColor="text1"/>
                <w:sz w:val="24"/>
                <w:lang w:val="en-US" w:eastAsia="zh-CN"/>
                <w14:textFill>
                  <w14:solidFill>
                    <w14:schemeClr w14:val="tx1"/>
                  </w14:solidFill>
                </w14:textFill>
              </w:rPr>
              <w:t>但</w:t>
            </w:r>
            <w:r>
              <w:rPr>
                <w:rFonts w:hint="eastAsia" w:ascii="仿宋" w:hAnsi="仿宋" w:eastAsia="仿宋" w:cs="仿宋"/>
                <w:color w:val="000000" w:themeColor="text1"/>
                <w:sz w:val="24"/>
                <w:lang w:val="zh-CN" w:eastAsia="zh-CN"/>
                <w14:textFill>
                  <w14:solidFill>
                    <w14:schemeClr w14:val="tx1"/>
                  </w14:solidFill>
                </w14:textFill>
              </w:rPr>
              <w:t>针对性不佳的</w:t>
            </w:r>
            <w:r>
              <w:rPr>
                <w:rFonts w:hint="eastAsia" w:ascii="仿宋" w:hAnsi="仿宋" w:eastAsia="仿宋" w:cs="仿宋"/>
                <w:color w:val="000000" w:themeColor="text1"/>
                <w:sz w:val="24"/>
                <w:lang w:val="en-US" w:eastAsia="zh-CN"/>
                <w14:textFill>
                  <w14:solidFill>
                    <w14:schemeClr w14:val="tx1"/>
                  </w14:solidFill>
                </w14:textFill>
              </w:rPr>
              <w:t>得2</w:t>
            </w:r>
            <w:r>
              <w:rPr>
                <w:rFonts w:hint="eastAsia" w:ascii="仿宋" w:hAnsi="仿宋" w:eastAsia="仿宋" w:cs="仿宋"/>
                <w:color w:val="000000" w:themeColor="text1"/>
                <w:sz w:val="24"/>
                <w:lang w:val="zh-CN" w:eastAsia="zh-CN"/>
                <w14:textFill>
                  <w14:solidFill>
                    <w14:schemeClr w14:val="tx1"/>
                  </w14:solidFill>
                </w14:textFill>
              </w:rPr>
              <w:t>分，有较大欠缺</w:t>
            </w:r>
            <w:r>
              <w:rPr>
                <w:rFonts w:hint="eastAsia" w:ascii="仿宋" w:hAnsi="仿宋" w:eastAsia="仿宋" w:cs="仿宋"/>
                <w:color w:val="000000" w:themeColor="text1"/>
                <w:sz w:val="24"/>
                <w:lang w:val="en-US" w:eastAsia="zh-CN"/>
                <w14:textFill>
                  <w14:solidFill>
                    <w14:schemeClr w14:val="tx1"/>
                  </w14:solidFill>
                </w14:textFill>
              </w:rPr>
              <w:t>、影响项目开展的</w:t>
            </w:r>
            <w:r>
              <w:rPr>
                <w:rFonts w:hint="eastAsia" w:ascii="仿宋" w:hAnsi="仿宋" w:eastAsia="仿宋" w:cs="仿宋"/>
                <w:color w:val="000000" w:themeColor="text1"/>
                <w:sz w:val="24"/>
                <w:lang w:val="zh-CN" w:eastAsia="zh-CN"/>
                <w14:textFill>
                  <w14:solidFill>
                    <w14:schemeClr w14:val="tx1"/>
                  </w14:solidFill>
                </w14:textFill>
              </w:rPr>
              <w:t>得1分，其余不得分。</w:t>
            </w:r>
          </w:p>
        </w:tc>
        <w:tc>
          <w:tcPr>
            <w:tcW w:w="403" w:type="pct"/>
            <w:vAlign w:val="center"/>
          </w:tcPr>
          <w:p w14:paraId="15249F98">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539" w:type="pct"/>
            <w:vAlign w:val="center"/>
          </w:tcPr>
          <w:p w14:paraId="077E21EC">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主观分</w:t>
            </w:r>
          </w:p>
        </w:tc>
        <w:tc>
          <w:tcPr>
            <w:tcW w:w="780" w:type="pct"/>
            <w:vAlign w:val="center"/>
          </w:tcPr>
          <w:p w14:paraId="3DD4B3DC">
            <w:pPr>
              <w:snapToGrid w:val="0"/>
              <w:rPr>
                <w:rFonts w:ascii="仿宋" w:hAnsi="仿宋" w:eastAsia="仿宋" w:cs="仿宋"/>
                <w:sz w:val="24"/>
              </w:rPr>
            </w:pPr>
          </w:p>
        </w:tc>
      </w:tr>
      <w:tr w14:paraId="60C3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18" w:type="pct"/>
            <w:vAlign w:val="center"/>
          </w:tcPr>
          <w:p w14:paraId="487B82C7">
            <w:pPr>
              <w:snapToGrid w:val="0"/>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p>
        </w:tc>
        <w:tc>
          <w:tcPr>
            <w:tcW w:w="2858" w:type="pct"/>
            <w:vAlign w:val="center"/>
          </w:tcPr>
          <w:p w14:paraId="3547D20A">
            <w:pPr>
              <w:snapToGrid w:val="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项目设计、布展相关方案</w:t>
            </w:r>
          </w:p>
        </w:tc>
        <w:tc>
          <w:tcPr>
            <w:tcW w:w="403" w:type="pct"/>
            <w:vAlign w:val="center"/>
          </w:tcPr>
          <w:p w14:paraId="24B5306B">
            <w:pPr>
              <w:snapToGrid w:val="0"/>
              <w:jc w:val="center"/>
              <w:rPr>
                <w:rFonts w:ascii="仿宋" w:hAnsi="仿宋" w:eastAsia="仿宋" w:cs="仿宋"/>
                <w:sz w:val="24"/>
              </w:rPr>
            </w:pPr>
            <w:r>
              <w:rPr>
                <w:rFonts w:hint="eastAsia" w:ascii="仿宋" w:hAnsi="仿宋" w:eastAsia="仿宋" w:cs="仿宋"/>
                <w:sz w:val="24"/>
              </w:rPr>
              <w:t>/</w:t>
            </w:r>
          </w:p>
        </w:tc>
        <w:tc>
          <w:tcPr>
            <w:tcW w:w="539" w:type="pct"/>
            <w:vAlign w:val="center"/>
          </w:tcPr>
          <w:p w14:paraId="29B94E2F">
            <w:pPr>
              <w:snapToGrid w:val="0"/>
              <w:jc w:val="center"/>
              <w:rPr>
                <w:rFonts w:ascii="仿宋" w:hAnsi="仿宋" w:eastAsia="仿宋" w:cs="仿宋"/>
                <w:sz w:val="24"/>
              </w:rPr>
            </w:pPr>
            <w:r>
              <w:rPr>
                <w:rFonts w:hint="eastAsia" w:ascii="仿宋" w:hAnsi="仿宋" w:eastAsia="仿宋" w:cs="仿宋"/>
                <w:sz w:val="24"/>
              </w:rPr>
              <w:t>/</w:t>
            </w:r>
          </w:p>
        </w:tc>
        <w:tc>
          <w:tcPr>
            <w:tcW w:w="780" w:type="pct"/>
            <w:vAlign w:val="center"/>
          </w:tcPr>
          <w:p w14:paraId="03735427">
            <w:pPr>
              <w:snapToGrid w:val="0"/>
              <w:rPr>
                <w:rFonts w:ascii="仿宋" w:hAnsi="仿宋" w:eastAsia="仿宋" w:cs="仿宋"/>
                <w:sz w:val="24"/>
              </w:rPr>
            </w:pPr>
          </w:p>
        </w:tc>
      </w:tr>
      <w:tr w14:paraId="6D5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4E708D4">
            <w:pPr>
              <w:snapToGrid w:val="0"/>
              <w:jc w:val="center"/>
              <w:rPr>
                <w:rFonts w:ascii="仿宋" w:hAnsi="仿宋" w:eastAsia="仿宋" w:cs="仿宋"/>
                <w:bCs/>
                <w:color w:val="000000" w:themeColor="text1"/>
                <w:sz w:val="24"/>
                <w14:textFill>
                  <w14:solidFill>
                    <w14:schemeClr w14:val="tx1"/>
                  </w14:solidFill>
                </w14:textFill>
              </w:rPr>
            </w:pPr>
            <w:bookmarkStart w:id="85" w:name="_Toc21025"/>
            <w:r>
              <w:rPr>
                <w:rFonts w:hint="eastAsia" w:ascii="仿宋" w:hAnsi="仿宋" w:eastAsia="仿宋" w:cs="仿宋"/>
                <w:bCs/>
                <w:color w:val="000000" w:themeColor="text1"/>
                <w:sz w:val="24"/>
                <w14:textFill>
                  <w14:solidFill>
                    <w14:schemeClr w14:val="tx1"/>
                  </w14:solidFill>
                </w14:textFill>
              </w:rPr>
              <w:t>3.1</w:t>
            </w:r>
          </w:p>
        </w:tc>
        <w:tc>
          <w:tcPr>
            <w:tcW w:w="2858" w:type="pct"/>
            <w:vAlign w:val="center"/>
          </w:tcPr>
          <w:p w14:paraId="2EBDFEF0">
            <w:pPr>
              <w:snapToGrid w:val="0"/>
              <w:rPr>
                <w:rFonts w:ascii="仿宋" w:hAnsi="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党群及养老结合未来社区</w:t>
            </w:r>
            <w:r>
              <w:rPr>
                <w:rFonts w:hint="eastAsia" w:ascii="仿宋" w:hAnsi="仿宋" w:eastAsia="仿宋" w:cs="仿宋"/>
                <w:color w:val="000000" w:themeColor="text1"/>
                <w:sz w:val="24"/>
                <w:lang w:val="zh-CN"/>
                <w14:textFill>
                  <w14:solidFill>
                    <w14:schemeClr w14:val="tx1"/>
                  </w14:solidFill>
                </w14:textFill>
              </w:rPr>
              <w:t>主题提炼、设计定位、受众分析、项目理解匹配</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lang w:val="zh-CN"/>
                <w14:textFill>
                  <w14:solidFill>
                    <w14:schemeClr w14:val="tx1"/>
                  </w14:solidFill>
                </w14:textFill>
              </w:rPr>
              <w:t>要求，</w:t>
            </w:r>
            <w:r>
              <w:rPr>
                <w:rFonts w:hint="eastAsia" w:ascii="仿宋" w:hAnsi="仿宋" w:eastAsia="仿宋" w:cs="仿宋"/>
                <w:color w:val="000000" w:themeColor="text1"/>
                <w:sz w:val="24"/>
                <w14:textFill>
                  <w14:solidFill>
                    <w14:schemeClr w14:val="tx1"/>
                  </w14:solidFill>
                </w14:textFill>
              </w:rPr>
              <w:t>要求</w:t>
            </w:r>
            <w:r>
              <w:rPr>
                <w:rFonts w:hint="eastAsia" w:ascii="仿宋" w:hAnsi="仿宋" w:eastAsia="仿宋" w:cs="仿宋"/>
                <w:color w:val="000000" w:themeColor="text1"/>
                <w:sz w:val="24"/>
                <w:lang w:val="zh-CN"/>
                <w14:textFill>
                  <w14:solidFill>
                    <w14:schemeClr w14:val="tx1"/>
                  </w14:solidFill>
                </w14:textFill>
              </w:rPr>
              <w:t>思路清晰，逻辑有序</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优秀得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分，良好得</w:t>
            </w:r>
            <w:r>
              <w:rPr>
                <w:rFonts w:hint="eastAsia" w:ascii="仿宋" w:hAnsi="仿宋" w:eastAsia="仿宋" w:cs="仿宋"/>
                <w:color w:val="000000" w:themeColor="text1"/>
                <w:sz w:val="24"/>
                <w:lang w:val="en-US" w:eastAsia="zh-CN"/>
                <w14:textFill>
                  <w14:solidFill>
                    <w14:schemeClr w14:val="tx1"/>
                  </w14:solidFill>
                </w14:textFill>
              </w:rPr>
              <w:t>3.5</w:t>
            </w:r>
            <w:bookmarkStart w:id="165" w:name="_GoBack"/>
            <w:bookmarkEnd w:id="165"/>
            <w:r>
              <w:rPr>
                <w:rFonts w:hint="eastAsia" w:ascii="仿宋" w:hAnsi="仿宋" w:eastAsia="仿宋" w:cs="仿宋"/>
                <w:color w:val="000000" w:themeColor="text1"/>
                <w:sz w:val="24"/>
                <w:lang w:val="zh-CN"/>
                <w14:textFill>
                  <w14:solidFill>
                    <w14:schemeClr w14:val="tx1"/>
                  </w14:solidFill>
                </w14:textFill>
              </w:rPr>
              <w:t>分，一般得</w:t>
            </w: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有方案但针对性不佳的2分，有较大欠缺得1分，其余不得分</w:t>
            </w:r>
            <w:r>
              <w:rPr>
                <w:rFonts w:hint="eastAsia" w:ascii="仿宋" w:hAnsi="仿宋" w:eastAsia="仿宋" w:cs="仿宋"/>
                <w:color w:val="000000" w:themeColor="text1"/>
                <w:sz w:val="24"/>
                <w:lang w:val="zh-CN"/>
                <w14:textFill>
                  <w14:solidFill>
                    <w14:schemeClr w14:val="tx1"/>
                  </w14:solidFill>
                </w14:textFill>
              </w:rPr>
              <w:t>。</w:t>
            </w:r>
          </w:p>
        </w:tc>
        <w:tc>
          <w:tcPr>
            <w:tcW w:w="403" w:type="pct"/>
            <w:vAlign w:val="center"/>
          </w:tcPr>
          <w:p w14:paraId="15AC9FF0">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539" w:type="pct"/>
            <w:vAlign w:val="center"/>
          </w:tcPr>
          <w:p w14:paraId="5EC21855">
            <w:pPr>
              <w:snapToGrid w:val="0"/>
              <w:jc w:val="center"/>
              <w:rPr>
                <w:rFonts w:ascii="仿宋" w:hAnsi="仿宋" w:eastAsia="仿宋" w:cs="仿宋"/>
                <w:sz w:val="24"/>
              </w:rPr>
            </w:pPr>
            <w:r>
              <w:rPr>
                <w:rFonts w:hint="eastAsia" w:ascii="仿宋" w:hAnsi="仿宋" w:eastAsia="仿宋" w:cs="仿宋"/>
                <w:sz w:val="24"/>
              </w:rPr>
              <w:t>主观分</w:t>
            </w:r>
          </w:p>
        </w:tc>
        <w:tc>
          <w:tcPr>
            <w:tcW w:w="780" w:type="pct"/>
            <w:vAlign w:val="center"/>
          </w:tcPr>
          <w:p w14:paraId="768D1A41">
            <w:pPr>
              <w:snapToGrid w:val="0"/>
              <w:rPr>
                <w:rFonts w:ascii="仿宋" w:hAnsi="仿宋" w:eastAsia="仿宋" w:cs="仿宋"/>
                <w:sz w:val="24"/>
              </w:rPr>
            </w:pPr>
          </w:p>
        </w:tc>
      </w:tr>
      <w:tr w14:paraId="0B77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18" w:type="pct"/>
            <w:vAlign w:val="center"/>
          </w:tcPr>
          <w:p w14:paraId="59426BAE">
            <w:pPr>
              <w:snapToGrid w:val="0"/>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en-US" w:eastAsia="zh-CN"/>
                <w14:textFill>
                  <w14:solidFill>
                    <w14:schemeClr w14:val="tx1"/>
                  </w14:solidFill>
                </w14:textFill>
              </w:rPr>
              <w:t>2</w:t>
            </w:r>
          </w:p>
        </w:tc>
        <w:tc>
          <w:tcPr>
            <w:tcW w:w="2858" w:type="pct"/>
            <w:vAlign w:val="center"/>
          </w:tcPr>
          <w:p w14:paraId="6107C2CC">
            <w:pPr>
              <w:snapToGrid w:val="0"/>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根据采购人设定的初步设计内容（参照采购需求“设计成果”），考察各功能室、功能区域的设计理念、实施的可行性，展示技术的可靠性以及设计亮点。</w:t>
            </w:r>
          </w:p>
        </w:tc>
        <w:tc>
          <w:tcPr>
            <w:tcW w:w="403" w:type="pct"/>
            <w:vAlign w:val="center"/>
          </w:tcPr>
          <w:p w14:paraId="4178CF5D">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539" w:type="pct"/>
            <w:vAlign w:val="center"/>
          </w:tcPr>
          <w:p w14:paraId="5E5511DE">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780" w:type="pct"/>
            <w:vAlign w:val="center"/>
          </w:tcPr>
          <w:p w14:paraId="6A70C5FD">
            <w:pPr>
              <w:snapToGrid w:val="0"/>
              <w:rPr>
                <w:rFonts w:ascii="仿宋" w:hAnsi="仿宋" w:eastAsia="仿宋" w:cs="仿宋"/>
                <w:sz w:val="24"/>
              </w:rPr>
            </w:pPr>
          </w:p>
        </w:tc>
      </w:tr>
      <w:tr w14:paraId="7958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BA4B08B">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3.2.1</w:t>
            </w:r>
          </w:p>
        </w:tc>
        <w:tc>
          <w:tcPr>
            <w:tcW w:w="2858" w:type="pct"/>
            <w:vAlign w:val="center"/>
          </w:tcPr>
          <w:p w14:paraId="3F4291AE">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主入口门头及警务室门头</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4</w:t>
            </w:r>
            <w:r>
              <w:rPr>
                <w:rFonts w:hint="eastAsia" w:ascii="仿宋" w:hAnsi="仿宋" w:eastAsia="仿宋" w:cs="仿宋"/>
                <w:sz w:val="24"/>
                <w:lang w:val="zh-CN"/>
              </w:rPr>
              <w:t>分，良好得</w:t>
            </w:r>
            <w:r>
              <w:rPr>
                <w:rFonts w:hint="eastAsia" w:ascii="仿宋" w:hAnsi="仿宋" w:eastAsia="仿宋" w:cs="仿宋"/>
                <w:sz w:val="24"/>
                <w:lang w:val="en-US" w:eastAsia="zh-CN"/>
              </w:rPr>
              <w:t>3.5</w:t>
            </w:r>
            <w:r>
              <w:rPr>
                <w:rFonts w:hint="eastAsia" w:ascii="仿宋" w:hAnsi="仿宋" w:eastAsia="仿宋" w:cs="仿宋"/>
                <w:sz w:val="24"/>
                <w:lang w:val="zh-CN"/>
              </w:rPr>
              <w:t>分，一般得</w:t>
            </w:r>
            <w:r>
              <w:rPr>
                <w:rFonts w:hint="eastAsia" w:ascii="仿宋" w:hAnsi="仿宋" w:eastAsia="仿宋" w:cs="仿宋"/>
                <w:sz w:val="24"/>
                <w:lang w:val="en-US" w:eastAsia="zh-CN"/>
              </w:rPr>
              <w:t>3</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2</w:t>
            </w:r>
            <w:r>
              <w:rPr>
                <w:rFonts w:hint="eastAsia" w:ascii="仿宋" w:hAnsi="仿宋" w:eastAsia="仿宋" w:cs="仿宋"/>
                <w:sz w:val="24"/>
              </w:rPr>
              <w:t>分，有较大欠缺得1分，其余不得分</w:t>
            </w:r>
            <w:r>
              <w:rPr>
                <w:rFonts w:hint="eastAsia" w:ascii="仿宋" w:hAnsi="仿宋" w:eastAsia="仿宋" w:cs="仿宋"/>
                <w:sz w:val="24"/>
                <w:lang w:val="zh-CN"/>
              </w:rPr>
              <w:t>。</w:t>
            </w:r>
          </w:p>
        </w:tc>
        <w:tc>
          <w:tcPr>
            <w:tcW w:w="403" w:type="pct"/>
            <w:vAlign w:val="center"/>
          </w:tcPr>
          <w:p w14:paraId="72AD54EC">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539" w:type="pct"/>
            <w:vAlign w:val="center"/>
          </w:tcPr>
          <w:p w14:paraId="20B35886">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5E5C4A70">
            <w:pPr>
              <w:snapToGrid w:val="0"/>
              <w:rPr>
                <w:rFonts w:ascii="仿宋" w:hAnsi="仿宋" w:eastAsia="仿宋" w:cs="仿宋"/>
                <w:sz w:val="24"/>
              </w:rPr>
            </w:pPr>
          </w:p>
        </w:tc>
      </w:tr>
      <w:tr w14:paraId="3F1A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ED2AE94">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3.2.2</w:t>
            </w:r>
          </w:p>
        </w:tc>
        <w:tc>
          <w:tcPr>
            <w:tcW w:w="2858" w:type="pct"/>
            <w:vAlign w:val="center"/>
          </w:tcPr>
          <w:p w14:paraId="0AA47A51">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户外景观小品</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4</w:t>
            </w:r>
            <w:r>
              <w:rPr>
                <w:rFonts w:hint="eastAsia" w:ascii="仿宋" w:hAnsi="仿宋" w:eastAsia="仿宋" w:cs="仿宋"/>
                <w:sz w:val="24"/>
                <w:lang w:val="zh-CN"/>
              </w:rPr>
              <w:t>分，良好得</w:t>
            </w:r>
            <w:r>
              <w:rPr>
                <w:rFonts w:hint="eastAsia" w:ascii="仿宋" w:hAnsi="仿宋" w:eastAsia="仿宋" w:cs="仿宋"/>
                <w:sz w:val="24"/>
                <w:lang w:val="en-US" w:eastAsia="zh-CN"/>
              </w:rPr>
              <w:t>3.5</w:t>
            </w:r>
            <w:r>
              <w:rPr>
                <w:rFonts w:hint="eastAsia" w:ascii="仿宋" w:hAnsi="仿宋" w:eastAsia="仿宋" w:cs="仿宋"/>
                <w:sz w:val="24"/>
                <w:lang w:val="zh-CN"/>
              </w:rPr>
              <w:t>分，一般得</w:t>
            </w:r>
            <w:r>
              <w:rPr>
                <w:rFonts w:hint="eastAsia" w:ascii="仿宋" w:hAnsi="仿宋" w:eastAsia="仿宋" w:cs="仿宋"/>
                <w:sz w:val="24"/>
                <w:lang w:val="en-US" w:eastAsia="zh-CN"/>
              </w:rPr>
              <w:t>3</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2</w:t>
            </w:r>
            <w:r>
              <w:rPr>
                <w:rFonts w:hint="eastAsia" w:ascii="仿宋" w:hAnsi="仿宋" w:eastAsia="仿宋" w:cs="仿宋"/>
                <w:sz w:val="24"/>
              </w:rPr>
              <w:t>分，有较大欠缺得1分，其余不得分</w:t>
            </w:r>
            <w:r>
              <w:rPr>
                <w:rFonts w:hint="eastAsia" w:ascii="仿宋" w:hAnsi="仿宋" w:eastAsia="仿宋" w:cs="仿宋"/>
                <w:sz w:val="24"/>
                <w:lang w:val="zh-CN"/>
              </w:rPr>
              <w:t>。</w:t>
            </w:r>
          </w:p>
        </w:tc>
        <w:tc>
          <w:tcPr>
            <w:tcW w:w="403" w:type="pct"/>
            <w:vAlign w:val="center"/>
          </w:tcPr>
          <w:p w14:paraId="11FF810F">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539" w:type="pct"/>
            <w:vAlign w:val="center"/>
          </w:tcPr>
          <w:p w14:paraId="7F31D1CF">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F65E341">
            <w:pPr>
              <w:snapToGrid w:val="0"/>
              <w:rPr>
                <w:rFonts w:ascii="仿宋" w:hAnsi="仿宋" w:eastAsia="仿宋" w:cs="仿宋"/>
                <w:sz w:val="24"/>
              </w:rPr>
            </w:pPr>
          </w:p>
        </w:tc>
      </w:tr>
      <w:tr w14:paraId="553D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34875534">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3.2.3</w:t>
            </w:r>
          </w:p>
        </w:tc>
        <w:tc>
          <w:tcPr>
            <w:tcW w:w="2858" w:type="pct"/>
            <w:vAlign w:val="center"/>
          </w:tcPr>
          <w:p w14:paraId="21CD5993">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一楼设计</w:t>
            </w:r>
          </w:p>
        </w:tc>
        <w:tc>
          <w:tcPr>
            <w:tcW w:w="403" w:type="pct"/>
            <w:vAlign w:val="center"/>
          </w:tcPr>
          <w:p w14:paraId="634ECA97">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539" w:type="pct"/>
            <w:vAlign w:val="center"/>
          </w:tcPr>
          <w:p w14:paraId="29D4699B">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780" w:type="pct"/>
            <w:vAlign w:val="center"/>
          </w:tcPr>
          <w:p w14:paraId="359491EE">
            <w:pPr>
              <w:snapToGrid w:val="0"/>
              <w:rPr>
                <w:rFonts w:ascii="仿宋" w:hAnsi="仿宋" w:eastAsia="仿宋" w:cs="仿宋"/>
                <w:sz w:val="24"/>
              </w:rPr>
            </w:pPr>
          </w:p>
        </w:tc>
      </w:tr>
      <w:tr w14:paraId="6311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8628073">
            <w:pPr>
              <w:snapToGrid w:val="0"/>
              <w:jc w:val="center"/>
              <w:rPr>
                <w:rFonts w:hint="eastAsia" w:ascii="仿宋" w:hAnsi="仿宋" w:eastAsia="仿宋" w:cs="仿宋"/>
                <w:bCs/>
                <w:sz w:val="24"/>
                <w:lang w:val="en-US" w:eastAsia="zh-CN"/>
              </w:rPr>
            </w:pPr>
          </w:p>
        </w:tc>
        <w:tc>
          <w:tcPr>
            <w:tcW w:w="2858" w:type="pct"/>
            <w:vAlign w:val="center"/>
          </w:tcPr>
          <w:p w14:paraId="21A59DC4">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（1）前厅</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050B7EE0">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05FD8D2C">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102D96A1">
            <w:pPr>
              <w:snapToGrid w:val="0"/>
              <w:rPr>
                <w:rFonts w:ascii="仿宋" w:hAnsi="仿宋" w:eastAsia="仿宋" w:cs="仿宋"/>
                <w:sz w:val="24"/>
              </w:rPr>
            </w:pPr>
          </w:p>
        </w:tc>
      </w:tr>
      <w:tr w14:paraId="7C3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BF1DC81">
            <w:pPr>
              <w:snapToGrid w:val="0"/>
              <w:jc w:val="center"/>
              <w:rPr>
                <w:rFonts w:hint="eastAsia" w:ascii="仿宋" w:hAnsi="仿宋" w:eastAsia="仿宋" w:cs="仿宋"/>
                <w:bCs/>
                <w:sz w:val="24"/>
                <w:lang w:val="en-US" w:eastAsia="zh-CN"/>
              </w:rPr>
            </w:pPr>
          </w:p>
        </w:tc>
        <w:tc>
          <w:tcPr>
            <w:tcW w:w="2858" w:type="pct"/>
            <w:vAlign w:val="center"/>
          </w:tcPr>
          <w:p w14:paraId="01DAE5F7">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（2）休闲阅读区</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3827BD1B">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751D4273">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5B49FA48">
            <w:pPr>
              <w:snapToGrid w:val="0"/>
              <w:rPr>
                <w:rFonts w:ascii="仿宋" w:hAnsi="仿宋" w:eastAsia="仿宋" w:cs="仿宋"/>
                <w:sz w:val="24"/>
              </w:rPr>
            </w:pPr>
          </w:p>
        </w:tc>
      </w:tr>
      <w:tr w14:paraId="19FB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A847271">
            <w:pPr>
              <w:snapToGrid w:val="0"/>
              <w:jc w:val="center"/>
              <w:rPr>
                <w:rFonts w:hint="eastAsia" w:ascii="仿宋" w:hAnsi="仿宋" w:eastAsia="仿宋" w:cs="仿宋"/>
                <w:bCs/>
                <w:sz w:val="24"/>
                <w:lang w:val="en-US" w:eastAsia="zh-CN"/>
              </w:rPr>
            </w:pPr>
          </w:p>
        </w:tc>
        <w:tc>
          <w:tcPr>
            <w:tcW w:w="2858" w:type="pct"/>
            <w:vAlign w:val="center"/>
          </w:tcPr>
          <w:p w14:paraId="0DF33AB5">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（3）大厅（多功能区）</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73BF52AE">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3D4DA221">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50818FBD">
            <w:pPr>
              <w:snapToGrid w:val="0"/>
              <w:rPr>
                <w:rFonts w:ascii="仿宋" w:hAnsi="仿宋" w:eastAsia="仿宋" w:cs="仿宋"/>
                <w:sz w:val="24"/>
              </w:rPr>
            </w:pPr>
          </w:p>
        </w:tc>
      </w:tr>
      <w:tr w14:paraId="1A77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1C5225C">
            <w:pPr>
              <w:snapToGrid w:val="0"/>
              <w:jc w:val="center"/>
              <w:rPr>
                <w:rFonts w:hint="eastAsia" w:ascii="仿宋" w:hAnsi="仿宋" w:eastAsia="仿宋" w:cs="仿宋"/>
                <w:bCs/>
                <w:sz w:val="24"/>
                <w:lang w:val="en-US" w:eastAsia="zh-CN"/>
              </w:rPr>
            </w:pPr>
          </w:p>
        </w:tc>
        <w:tc>
          <w:tcPr>
            <w:tcW w:w="2858" w:type="pct"/>
            <w:vAlign w:val="center"/>
          </w:tcPr>
          <w:p w14:paraId="15BB034C">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（4）备餐间</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4440FE88">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8F16B12">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478F9066">
            <w:pPr>
              <w:snapToGrid w:val="0"/>
              <w:rPr>
                <w:rFonts w:ascii="仿宋" w:hAnsi="仿宋" w:eastAsia="仿宋" w:cs="仿宋"/>
                <w:sz w:val="24"/>
              </w:rPr>
            </w:pPr>
          </w:p>
        </w:tc>
      </w:tr>
      <w:tr w14:paraId="3C13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337FCAC0">
            <w:pPr>
              <w:snapToGrid w:val="0"/>
              <w:jc w:val="center"/>
              <w:rPr>
                <w:rFonts w:hint="eastAsia" w:ascii="仿宋" w:hAnsi="仿宋" w:eastAsia="仿宋" w:cs="仿宋"/>
                <w:bCs/>
                <w:sz w:val="24"/>
                <w:lang w:val="en-US" w:eastAsia="zh-CN"/>
              </w:rPr>
            </w:pPr>
          </w:p>
        </w:tc>
        <w:tc>
          <w:tcPr>
            <w:tcW w:w="2858" w:type="pct"/>
            <w:vAlign w:val="center"/>
          </w:tcPr>
          <w:p w14:paraId="5427988C">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（5）康复训练区</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49F36FF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1D1B362B">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5B307F1E">
            <w:pPr>
              <w:snapToGrid w:val="0"/>
              <w:rPr>
                <w:rFonts w:ascii="仿宋" w:hAnsi="仿宋" w:eastAsia="仿宋" w:cs="仿宋"/>
                <w:sz w:val="24"/>
              </w:rPr>
            </w:pPr>
          </w:p>
        </w:tc>
      </w:tr>
      <w:tr w14:paraId="56F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4C44CCF">
            <w:pPr>
              <w:snapToGrid w:val="0"/>
              <w:jc w:val="center"/>
              <w:rPr>
                <w:rFonts w:hint="eastAsia" w:ascii="仿宋" w:hAnsi="仿宋" w:eastAsia="仿宋" w:cs="仿宋"/>
                <w:bCs/>
                <w:sz w:val="24"/>
                <w:lang w:val="en-US" w:eastAsia="zh-CN"/>
              </w:rPr>
            </w:pPr>
          </w:p>
        </w:tc>
        <w:tc>
          <w:tcPr>
            <w:tcW w:w="2858" w:type="pct"/>
            <w:vAlign w:val="center"/>
          </w:tcPr>
          <w:p w14:paraId="0D48C175">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（6）看护中心</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12C73DD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D151E52">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0D61C68D">
            <w:pPr>
              <w:snapToGrid w:val="0"/>
              <w:rPr>
                <w:rFonts w:ascii="仿宋" w:hAnsi="仿宋" w:eastAsia="仿宋" w:cs="仿宋"/>
                <w:sz w:val="24"/>
              </w:rPr>
            </w:pPr>
          </w:p>
        </w:tc>
      </w:tr>
      <w:tr w14:paraId="0B12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986BF16">
            <w:pPr>
              <w:snapToGrid w:val="0"/>
              <w:jc w:val="center"/>
              <w:rPr>
                <w:rFonts w:hint="eastAsia" w:ascii="仿宋" w:hAnsi="仿宋" w:eastAsia="仿宋" w:cs="仿宋"/>
                <w:bCs/>
                <w:sz w:val="24"/>
                <w:lang w:val="en-US" w:eastAsia="zh-CN"/>
              </w:rPr>
            </w:pPr>
          </w:p>
        </w:tc>
        <w:tc>
          <w:tcPr>
            <w:tcW w:w="2858" w:type="pct"/>
            <w:vAlign w:val="center"/>
          </w:tcPr>
          <w:p w14:paraId="05CEF42B">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（7）健身房</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0D73D2A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C4205B7">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FE3CFDF">
            <w:pPr>
              <w:snapToGrid w:val="0"/>
              <w:rPr>
                <w:rFonts w:ascii="仿宋" w:hAnsi="仿宋" w:eastAsia="仿宋" w:cs="仿宋"/>
                <w:sz w:val="24"/>
              </w:rPr>
            </w:pPr>
          </w:p>
        </w:tc>
      </w:tr>
      <w:tr w14:paraId="0ACD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2F2A5044">
            <w:pPr>
              <w:snapToGrid w:val="0"/>
              <w:jc w:val="center"/>
              <w:rPr>
                <w:rFonts w:hint="eastAsia" w:ascii="仿宋" w:hAnsi="仿宋" w:eastAsia="仿宋" w:cs="仿宋"/>
                <w:bCs/>
                <w:sz w:val="24"/>
                <w:lang w:val="en-US" w:eastAsia="zh-CN"/>
              </w:rPr>
            </w:pPr>
          </w:p>
        </w:tc>
        <w:tc>
          <w:tcPr>
            <w:tcW w:w="2858" w:type="pct"/>
            <w:vAlign w:val="center"/>
          </w:tcPr>
          <w:p w14:paraId="5DEBB3A0">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（8）舞蹈室</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17BEA54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0EE12DCF">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C829BB8">
            <w:pPr>
              <w:snapToGrid w:val="0"/>
              <w:rPr>
                <w:rFonts w:ascii="仿宋" w:hAnsi="仿宋" w:eastAsia="仿宋" w:cs="仿宋"/>
                <w:sz w:val="24"/>
              </w:rPr>
            </w:pPr>
          </w:p>
        </w:tc>
      </w:tr>
      <w:tr w14:paraId="7BF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607B1A2">
            <w:pPr>
              <w:snapToGrid w:val="0"/>
              <w:jc w:val="center"/>
              <w:rPr>
                <w:rFonts w:hint="eastAsia" w:ascii="仿宋" w:hAnsi="仿宋" w:eastAsia="仿宋" w:cs="仿宋"/>
                <w:bCs/>
                <w:sz w:val="24"/>
                <w:lang w:val="en-US" w:eastAsia="zh-CN"/>
              </w:rPr>
            </w:pPr>
          </w:p>
        </w:tc>
        <w:tc>
          <w:tcPr>
            <w:tcW w:w="2858" w:type="pct"/>
            <w:vAlign w:val="center"/>
          </w:tcPr>
          <w:p w14:paraId="2A26A681">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（9）调解室</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3495E4E5">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193635FE">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07106AD4">
            <w:pPr>
              <w:snapToGrid w:val="0"/>
              <w:rPr>
                <w:rFonts w:ascii="仿宋" w:hAnsi="仿宋" w:eastAsia="仿宋" w:cs="仿宋"/>
                <w:sz w:val="24"/>
              </w:rPr>
            </w:pPr>
          </w:p>
        </w:tc>
      </w:tr>
      <w:tr w14:paraId="006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4867066">
            <w:pPr>
              <w:snapToGrid w:val="0"/>
              <w:jc w:val="center"/>
              <w:rPr>
                <w:rFonts w:hint="eastAsia" w:ascii="仿宋" w:hAnsi="仿宋" w:eastAsia="仿宋" w:cs="仿宋"/>
                <w:bCs/>
                <w:sz w:val="24"/>
                <w:lang w:val="en-US" w:eastAsia="zh-CN"/>
              </w:rPr>
            </w:pPr>
          </w:p>
        </w:tc>
        <w:tc>
          <w:tcPr>
            <w:tcW w:w="2858" w:type="pct"/>
            <w:vAlign w:val="center"/>
          </w:tcPr>
          <w:p w14:paraId="23B71E1B">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（10）警务室</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42BBFB9E">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33CE8437">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3FE4E08">
            <w:pPr>
              <w:snapToGrid w:val="0"/>
              <w:rPr>
                <w:rFonts w:ascii="仿宋" w:hAnsi="仿宋" w:eastAsia="仿宋" w:cs="仿宋"/>
                <w:sz w:val="24"/>
              </w:rPr>
            </w:pPr>
          </w:p>
        </w:tc>
      </w:tr>
      <w:tr w14:paraId="2C86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FA48F19">
            <w:pPr>
              <w:snapToGrid w:val="0"/>
              <w:jc w:val="center"/>
              <w:rPr>
                <w:rFonts w:hint="eastAsia" w:ascii="仿宋" w:hAnsi="仿宋" w:eastAsia="仿宋" w:cs="仿宋"/>
                <w:bCs/>
                <w:sz w:val="24"/>
                <w:lang w:val="en-US" w:eastAsia="zh-CN"/>
              </w:rPr>
            </w:pPr>
          </w:p>
        </w:tc>
        <w:tc>
          <w:tcPr>
            <w:tcW w:w="2858" w:type="pct"/>
            <w:vAlign w:val="center"/>
          </w:tcPr>
          <w:p w14:paraId="77A0A131">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（11）无障碍卫生间</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0BA047F6">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C1B0B78">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CD3E43F">
            <w:pPr>
              <w:snapToGrid w:val="0"/>
              <w:rPr>
                <w:rFonts w:ascii="仿宋" w:hAnsi="仿宋" w:eastAsia="仿宋" w:cs="仿宋"/>
                <w:sz w:val="24"/>
              </w:rPr>
            </w:pPr>
          </w:p>
        </w:tc>
      </w:tr>
      <w:tr w14:paraId="6E7E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F0EBB59">
            <w:pPr>
              <w:snapToGrid w:val="0"/>
              <w:jc w:val="center"/>
              <w:rPr>
                <w:rFonts w:hint="eastAsia" w:ascii="仿宋" w:hAnsi="仿宋" w:eastAsia="仿宋" w:cs="仿宋"/>
                <w:bCs/>
                <w:sz w:val="24"/>
                <w:lang w:val="en-US" w:eastAsia="zh-CN"/>
              </w:rPr>
            </w:pPr>
          </w:p>
        </w:tc>
        <w:tc>
          <w:tcPr>
            <w:tcW w:w="2858" w:type="pct"/>
            <w:vAlign w:val="center"/>
          </w:tcPr>
          <w:p w14:paraId="378E3967">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（12）淋浴间</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66BDFE6A">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5E35025">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7C5D7FB8">
            <w:pPr>
              <w:snapToGrid w:val="0"/>
              <w:rPr>
                <w:rFonts w:ascii="仿宋" w:hAnsi="仿宋" w:eastAsia="仿宋" w:cs="仿宋"/>
                <w:sz w:val="24"/>
              </w:rPr>
            </w:pPr>
          </w:p>
        </w:tc>
      </w:tr>
      <w:tr w14:paraId="68A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39C2C6E8">
            <w:pPr>
              <w:snapToGrid w:val="0"/>
              <w:jc w:val="center"/>
              <w:rPr>
                <w:rFonts w:hint="eastAsia" w:ascii="仿宋" w:hAnsi="仿宋" w:eastAsia="仿宋" w:cs="仿宋"/>
                <w:bCs/>
                <w:sz w:val="24"/>
                <w:lang w:val="en-US" w:eastAsia="zh-CN"/>
              </w:rPr>
            </w:pPr>
          </w:p>
        </w:tc>
        <w:tc>
          <w:tcPr>
            <w:tcW w:w="2858" w:type="pct"/>
            <w:vAlign w:val="center"/>
          </w:tcPr>
          <w:p w14:paraId="0246E6DD">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（13）储物室及其余功能区</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5E6F11C6">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8C9B70D">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0443C70E">
            <w:pPr>
              <w:snapToGrid w:val="0"/>
              <w:rPr>
                <w:rFonts w:ascii="仿宋" w:hAnsi="仿宋" w:eastAsia="仿宋" w:cs="仿宋"/>
                <w:sz w:val="24"/>
              </w:rPr>
            </w:pPr>
          </w:p>
        </w:tc>
      </w:tr>
      <w:tr w14:paraId="4260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3345282">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3.2.4</w:t>
            </w:r>
          </w:p>
        </w:tc>
        <w:tc>
          <w:tcPr>
            <w:tcW w:w="2858" w:type="pct"/>
            <w:vAlign w:val="center"/>
          </w:tcPr>
          <w:p w14:paraId="13797474">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二楼设计</w:t>
            </w:r>
          </w:p>
        </w:tc>
        <w:tc>
          <w:tcPr>
            <w:tcW w:w="403" w:type="pct"/>
            <w:vAlign w:val="center"/>
          </w:tcPr>
          <w:p w14:paraId="053C2008">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539" w:type="pct"/>
            <w:vAlign w:val="center"/>
          </w:tcPr>
          <w:p w14:paraId="74F51D1D">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780" w:type="pct"/>
            <w:vAlign w:val="center"/>
          </w:tcPr>
          <w:p w14:paraId="24D1B4C7">
            <w:pPr>
              <w:snapToGrid w:val="0"/>
              <w:rPr>
                <w:rFonts w:ascii="仿宋" w:hAnsi="仿宋" w:eastAsia="仿宋" w:cs="仿宋"/>
                <w:sz w:val="24"/>
              </w:rPr>
            </w:pPr>
          </w:p>
        </w:tc>
      </w:tr>
      <w:tr w14:paraId="2D99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660B658">
            <w:pPr>
              <w:snapToGrid w:val="0"/>
              <w:jc w:val="center"/>
              <w:rPr>
                <w:rFonts w:hint="eastAsia" w:ascii="仿宋" w:hAnsi="仿宋" w:eastAsia="仿宋" w:cs="仿宋"/>
                <w:bCs/>
                <w:sz w:val="24"/>
                <w:lang w:val="en-US" w:eastAsia="zh-CN"/>
              </w:rPr>
            </w:pPr>
          </w:p>
        </w:tc>
        <w:tc>
          <w:tcPr>
            <w:tcW w:w="2858" w:type="pct"/>
            <w:vAlign w:val="center"/>
          </w:tcPr>
          <w:p w14:paraId="254A1AAB">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（1）多媒体会议室</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7A40AE8B">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5E58EB1">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5E487FED">
            <w:pPr>
              <w:snapToGrid w:val="0"/>
              <w:rPr>
                <w:rFonts w:ascii="仿宋" w:hAnsi="仿宋" w:eastAsia="仿宋" w:cs="仿宋"/>
                <w:sz w:val="24"/>
              </w:rPr>
            </w:pPr>
          </w:p>
        </w:tc>
      </w:tr>
      <w:tr w14:paraId="594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8655924">
            <w:pPr>
              <w:snapToGrid w:val="0"/>
              <w:jc w:val="center"/>
              <w:rPr>
                <w:rFonts w:hint="eastAsia" w:ascii="仿宋" w:hAnsi="仿宋" w:eastAsia="仿宋" w:cs="仿宋"/>
                <w:bCs/>
                <w:sz w:val="24"/>
                <w:lang w:val="en-US" w:eastAsia="zh-CN"/>
              </w:rPr>
            </w:pPr>
          </w:p>
        </w:tc>
        <w:tc>
          <w:tcPr>
            <w:tcW w:w="2858" w:type="pct"/>
            <w:vAlign w:val="center"/>
          </w:tcPr>
          <w:p w14:paraId="48F4E328">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（2）党建文化及展示厅</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5A87266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266B9C8">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749D2BB4">
            <w:pPr>
              <w:snapToGrid w:val="0"/>
              <w:rPr>
                <w:rFonts w:ascii="仿宋" w:hAnsi="仿宋" w:eastAsia="仿宋" w:cs="仿宋"/>
                <w:sz w:val="24"/>
              </w:rPr>
            </w:pPr>
          </w:p>
        </w:tc>
      </w:tr>
      <w:tr w14:paraId="7299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55581B05">
            <w:pPr>
              <w:snapToGrid w:val="0"/>
              <w:jc w:val="center"/>
              <w:rPr>
                <w:rFonts w:hint="eastAsia" w:ascii="仿宋" w:hAnsi="仿宋" w:eastAsia="仿宋" w:cs="仿宋"/>
                <w:bCs/>
                <w:sz w:val="24"/>
                <w:lang w:val="en-US" w:eastAsia="zh-CN"/>
              </w:rPr>
            </w:pPr>
          </w:p>
        </w:tc>
        <w:tc>
          <w:tcPr>
            <w:tcW w:w="2858" w:type="pct"/>
            <w:vAlign w:val="center"/>
          </w:tcPr>
          <w:p w14:paraId="7061495F">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（3）小会议室</w:t>
            </w:r>
            <w:r>
              <w:rPr>
                <w:rFonts w:hint="eastAsia" w:ascii="仿宋" w:hAnsi="仿宋" w:eastAsia="仿宋" w:cs="仿宋"/>
                <w:color w:val="auto"/>
                <w:sz w:val="24"/>
                <w:lang w:val="en-US" w:eastAsia="zh-CN"/>
              </w:rPr>
              <w:t>氛围文化展示墙</w:t>
            </w:r>
            <w:r>
              <w:rPr>
                <w:rFonts w:hint="eastAsia" w:ascii="仿宋" w:hAnsi="仿宋" w:eastAsia="仿宋" w:cs="仿宋"/>
                <w:color w:val="auto"/>
                <w:sz w:val="24"/>
                <w:szCs w:val="24"/>
                <w:highlight w:val="none"/>
                <w:lang w:val="en-US" w:eastAsia="zh-CN"/>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40925986">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73D0ED5">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4636C357">
            <w:pPr>
              <w:snapToGrid w:val="0"/>
              <w:rPr>
                <w:rFonts w:ascii="仿宋" w:hAnsi="仿宋" w:eastAsia="仿宋" w:cs="仿宋"/>
                <w:sz w:val="24"/>
              </w:rPr>
            </w:pPr>
          </w:p>
        </w:tc>
      </w:tr>
      <w:tr w14:paraId="1B61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8D5EE9C">
            <w:pPr>
              <w:snapToGrid w:val="0"/>
              <w:jc w:val="center"/>
              <w:rPr>
                <w:rFonts w:hint="eastAsia" w:ascii="仿宋" w:hAnsi="仿宋" w:eastAsia="仿宋" w:cs="仿宋"/>
                <w:bCs/>
                <w:sz w:val="24"/>
                <w:lang w:val="en-US" w:eastAsia="zh-CN"/>
              </w:rPr>
            </w:pPr>
          </w:p>
        </w:tc>
        <w:tc>
          <w:tcPr>
            <w:tcW w:w="2858" w:type="pct"/>
            <w:vAlign w:val="center"/>
          </w:tcPr>
          <w:p w14:paraId="27B75D65">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（4）办公室</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3EE35320">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0C3EBC0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240058D9">
            <w:pPr>
              <w:snapToGrid w:val="0"/>
              <w:rPr>
                <w:rFonts w:ascii="仿宋" w:hAnsi="仿宋" w:eastAsia="仿宋" w:cs="仿宋"/>
                <w:sz w:val="24"/>
              </w:rPr>
            </w:pPr>
          </w:p>
        </w:tc>
      </w:tr>
      <w:tr w14:paraId="654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2772D23">
            <w:pPr>
              <w:snapToGrid w:val="0"/>
              <w:jc w:val="center"/>
              <w:rPr>
                <w:rFonts w:hint="eastAsia" w:ascii="仿宋" w:hAnsi="仿宋" w:eastAsia="仿宋" w:cs="仿宋"/>
                <w:bCs/>
                <w:sz w:val="24"/>
                <w:lang w:val="en-US" w:eastAsia="zh-CN"/>
              </w:rPr>
            </w:pPr>
          </w:p>
        </w:tc>
        <w:tc>
          <w:tcPr>
            <w:tcW w:w="2858" w:type="pct"/>
            <w:vAlign w:val="center"/>
          </w:tcPr>
          <w:p w14:paraId="7CB0DEA0">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（5）办公区域</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314D130B">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9AB407C">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63BFD680">
            <w:pPr>
              <w:snapToGrid w:val="0"/>
              <w:rPr>
                <w:rFonts w:ascii="仿宋" w:hAnsi="仿宋" w:eastAsia="仿宋" w:cs="仿宋"/>
                <w:sz w:val="24"/>
              </w:rPr>
            </w:pPr>
          </w:p>
        </w:tc>
      </w:tr>
      <w:tr w14:paraId="4F82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66425E60">
            <w:pPr>
              <w:snapToGrid w:val="0"/>
              <w:jc w:val="center"/>
              <w:rPr>
                <w:rFonts w:hint="eastAsia" w:ascii="仿宋" w:hAnsi="仿宋" w:eastAsia="仿宋" w:cs="仿宋"/>
                <w:bCs/>
                <w:sz w:val="24"/>
                <w:lang w:val="en-US" w:eastAsia="zh-CN"/>
              </w:rPr>
            </w:pPr>
          </w:p>
        </w:tc>
        <w:tc>
          <w:tcPr>
            <w:tcW w:w="2858" w:type="pct"/>
            <w:vAlign w:val="center"/>
          </w:tcPr>
          <w:p w14:paraId="6D67634D">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（6）洽谈区域</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42F55F24">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0B32CDDE">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7A8D8516">
            <w:pPr>
              <w:snapToGrid w:val="0"/>
              <w:rPr>
                <w:rFonts w:ascii="仿宋" w:hAnsi="仿宋" w:eastAsia="仿宋" w:cs="仿宋"/>
                <w:sz w:val="24"/>
              </w:rPr>
            </w:pPr>
          </w:p>
        </w:tc>
      </w:tr>
      <w:tr w14:paraId="7CE9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27908FE5">
            <w:pPr>
              <w:snapToGrid w:val="0"/>
              <w:jc w:val="center"/>
              <w:rPr>
                <w:rFonts w:hint="eastAsia" w:ascii="仿宋" w:hAnsi="仿宋" w:eastAsia="仿宋" w:cs="仿宋"/>
                <w:bCs/>
                <w:sz w:val="24"/>
                <w:lang w:val="en-US" w:eastAsia="zh-CN"/>
              </w:rPr>
            </w:pPr>
          </w:p>
        </w:tc>
        <w:tc>
          <w:tcPr>
            <w:tcW w:w="2858" w:type="pct"/>
            <w:vAlign w:val="center"/>
          </w:tcPr>
          <w:p w14:paraId="1A8776BA">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（7）走廊过道及两个楼梯间</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0B5DF9BA">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2220FEB1">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15DA8757">
            <w:pPr>
              <w:snapToGrid w:val="0"/>
              <w:rPr>
                <w:rFonts w:ascii="仿宋" w:hAnsi="仿宋" w:eastAsia="仿宋" w:cs="仿宋"/>
                <w:sz w:val="24"/>
              </w:rPr>
            </w:pPr>
          </w:p>
        </w:tc>
      </w:tr>
      <w:tr w14:paraId="5E4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DAFC09C">
            <w:pPr>
              <w:snapToGrid w:val="0"/>
              <w:jc w:val="center"/>
              <w:rPr>
                <w:rFonts w:hint="eastAsia" w:ascii="仿宋" w:hAnsi="仿宋" w:eastAsia="仿宋" w:cs="仿宋"/>
                <w:bCs/>
                <w:sz w:val="24"/>
                <w:lang w:val="en-US" w:eastAsia="zh-CN"/>
              </w:rPr>
            </w:pPr>
          </w:p>
        </w:tc>
        <w:tc>
          <w:tcPr>
            <w:tcW w:w="2858" w:type="pct"/>
            <w:vAlign w:val="center"/>
          </w:tcPr>
          <w:p w14:paraId="3EFEEDF1">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（8）科室牌</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0523FCB6">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CE7BC32">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0AC6DC62">
            <w:pPr>
              <w:snapToGrid w:val="0"/>
              <w:rPr>
                <w:rFonts w:ascii="仿宋" w:hAnsi="仿宋" w:eastAsia="仿宋" w:cs="仿宋"/>
                <w:sz w:val="24"/>
              </w:rPr>
            </w:pPr>
          </w:p>
        </w:tc>
      </w:tr>
      <w:tr w14:paraId="786D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33E40DDB">
            <w:pPr>
              <w:snapToGrid w:val="0"/>
              <w:jc w:val="center"/>
              <w:rPr>
                <w:rFonts w:hint="eastAsia" w:ascii="仿宋" w:hAnsi="仿宋" w:eastAsia="仿宋" w:cs="仿宋"/>
                <w:bCs/>
                <w:sz w:val="24"/>
                <w:lang w:val="en-US" w:eastAsia="zh-CN"/>
              </w:rPr>
            </w:pPr>
          </w:p>
        </w:tc>
        <w:tc>
          <w:tcPr>
            <w:tcW w:w="2858" w:type="pct"/>
            <w:vAlign w:val="center"/>
          </w:tcPr>
          <w:p w14:paraId="645B0309">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（9）茶水间及其余功能区</w:t>
            </w:r>
            <w:r>
              <w:rPr>
                <w:rFonts w:hint="eastAsia" w:ascii="仿宋" w:hAnsi="仿宋" w:eastAsia="仿宋" w:cs="仿宋"/>
                <w:color w:val="auto"/>
                <w:sz w:val="24"/>
              </w:rPr>
              <w:t>设计方案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含用材</w:t>
            </w:r>
            <w:r>
              <w:rPr>
                <w:rFonts w:hint="eastAsia" w:ascii="仿宋" w:hAnsi="仿宋" w:eastAsia="仿宋" w:cs="仿宋"/>
                <w:color w:val="auto"/>
                <w:sz w:val="24"/>
                <w:lang w:eastAsia="zh-CN"/>
              </w:rPr>
              <w:t>）。</w:t>
            </w:r>
            <w:r>
              <w:rPr>
                <w:rFonts w:hint="eastAsia" w:ascii="仿宋" w:hAnsi="仿宋" w:eastAsia="仿宋" w:cs="仿宋"/>
                <w:sz w:val="24"/>
                <w:lang w:val="zh-CN"/>
              </w:rPr>
              <w:t>优秀得</w:t>
            </w:r>
            <w:r>
              <w:rPr>
                <w:rFonts w:hint="eastAsia" w:ascii="仿宋" w:hAnsi="仿宋" w:eastAsia="仿宋" w:cs="仿宋"/>
                <w:sz w:val="24"/>
                <w:lang w:val="en-US" w:eastAsia="zh-CN"/>
              </w:rPr>
              <w:t>2</w:t>
            </w:r>
            <w:r>
              <w:rPr>
                <w:rFonts w:hint="eastAsia" w:ascii="仿宋" w:hAnsi="仿宋" w:eastAsia="仿宋" w:cs="仿宋"/>
                <w:sz w:val="24"/>
                <w:lang w:val="zh-CN"/>
              </w:rPr>
              <w:t>分，良好得</w:t>
            </w:r>
            <w:r>
              <w:rPr>
                <w:rFonts w:hint="eastAsia" w:ascii="仿宋" w:hAnsi="仿宋" w:eastAsia="仿宋" w:cs="仿宋"/>
                <w:sz w:val="24"/>
                <w:lang w:val="en-US" w:eastAsia="zh-CN"/>
              </w:rPr>
              <w:t>1.5</w:t>
            </w:r>
            <w:r>
              <w:rPr>
                <w:rFonts w:hint="eastAsia" w:ascii="仿宋" w:hAnsi="仿宋" w:eastAsia="仿宋" w:cs="仿宋"/>
                <w:sz w:val="24"/>
                <w:lang w:val="zh-CN"/>
              </w:rPr>
              <w:t>分，一般得</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0.5</w:t>
            </w:r>
            <w:r>
              <w:rPr>
                <w:rFonts w:hint="eastAsia" w:ascii="仿宋" w:hAnsi="仿宋" w:eastAsia="仿宋" w:cs="仿宋"/>
                <w:sz w:val="24"/>
              </w:rPr>
              <w:t>分，其余不得分</w:t>
            </w:r>
            <w:r>
              <w:rPr>
                <w:rFonts w:hint="eastAsia" w:ascii="仿宋" w:hAnsi="仿宋" w:eastAsia="仿宋" w:cs="仿宋"/>
                <w:sz w:val="24"/>
                <w:lang w:val="zh-CN"/>
              </w:rPr>
              <w:t>。</w:t>
            </w:r>
          </w:p>
        </w:tc>
        <w:tc>
          <w:tcPr>
            <w:tcW w:w="403" w:type="pct"/>
            <w:vAlign w:val="center"/>
          </w:tcPr>
          <w:p w14:paraId="15F660FA">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39" w:type="pct"/>
            <w:vAlign w:val="center"/>
          </w:tcPr>
          <w:p w14:paraId="594C3E2B">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780" w:type="pct"/>
            <w:vAlign w:val="center"/>
          </w:tcPr>
          <w:p w14:paraId="4F0DECE1">
            <w:pPr>
              <w:snapToGrid w:val="0"/>
              <w:rPr>
                <w:rFonts w:ascii="仿宋" w:hAnsi="仿宋" w:eastAsia="仿宋" w:cs="仿宋"/>
                <w:sz w:val="24"/>
              </w:rPr>
            </w:pPr>
          </w:p>
        </w:tc>
      </w:tr>
      <w:tr w14:paraId="269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18" w:type="pct"/>
            <w:vAlign w:val="center"/>
          </w:tcPr>
          <w:p w14:paraId="23AE9193">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3.3</w:t>
            </w:r>
          </w:p>
        </w:tc>
        <w:tc>
          <w:tcPr>
            <w:tcW w:w="2858" w:type="pct"/>
            <w:vAlign w:val="center"/>
          </w:tcPr>
          <w:p w14:paraId="52DFB4ED">
            <w:pPr>
              <w:snapToGrid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其他类制作设计方案</w:t>
            </w:r>
          </w:p>
        </w:tc>
        <w:tc>
          <w:tcPr>
            <w:tcW w:w="403" w:type="pct"/>
            <w:vAlign w:val="center"/>
          </w:tcPr>
          <w:p w14:paraId="254BEFE4">
            <w:pPr>
              <w:snapToGrid w:val="0"/>
              <w:jc w:val="center"/>
              <w:rPr>
                <w:rFonts w:hint="eastAsia" w:ascii="仿宋" w:hAnsi="仿宋" w:eastAsia="仿宋" w:cs="仿宋"/>
                <w:sz w:val="24"/>
                <w:lang w:val="en-US" w:eastAsia="zh-CN"/>
              </w:rPr>
            </w:pPr>
          </w:p>
        </w:tc>
        <w:tc>
          <w:tcPr>
            <w:tcW w:w="539" w:type="pct"/>
            <w:vAlign w:val="center"/>
          </w:tcPr>
          <w:p w14:paraId="54C84EFB">
            <w:pPr>
              <w:snapToGrid w:val="0"/>
              <w:jc w:val="center"/>
              <w:rPr>
                <w:rFonts w:hint="eastAsia" w:ascii="仿宋" w:hAnsi="仿宋" w:eastAsia="仿宋" w:cs="仿宋"/>
                <w:sz w:val="24"/>
                <w:lang w:val="en-US" w:eastAsia="zh-CN"/>
              </w:rPr>
            </w:pPr>
          </w:p>
        </w:tc>
        <w:tc>
          <w:tcPr>
            <w:tcW w:w="780" w:type="pct"/>
            <w:vAlign w:val="center"/>
          </w:tcPr>
          <w:p w14:paraId="38AFD3B9">
            <w:pPr>
              <w:snapToGrid w:val="0"/>
              <w:rPr>
                <w:rFonts w:ascii="仿宋" w:hAnsi="仿宋" w:eastAsia="仿宋" w:cs="仿宋"/>
                <w:sz w:val="24"/>
              </w:rPr>
            </w:pPr>
          </w:p>
        </w:tc>
      </w:tr>
      <w:tr w14:paraId="1F0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0AD6EAAF">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3.3.1</w:t>
            </w:r>
          </w:p>
        </w:tc>
        <w:tc>
          <w:tcPr>
            <w:tcW w:w="2858" w:type="pct"/>
            <w:vAlign w:val="center"/>
          </w:tcPr>
          <w:p w14:paraId="76771FD2">
            <w:pPr>
              <w:snapToGrid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文案策划设计方案，包括综合调研（背景调研、背景分析、需求分析、目标解读）；展陈规划主题。根据内容完整性、文案生动性、与展示主题及定位匹配性进行打分。内容完整、文案内容生动扎实、展示主题及定位匹配性好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分；内容基本完整、文案基本可行、展示主题及定位匹配性较好得</w:t>
            </w:r>
            <w:r>
              <w:rPr>
                <w:rFonts w:hint="eastAsia" w:ascii="仿宋" w:hAnsi="仿宋" w:eastAsia="仿宋" w:cs="仿宋"/>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分；文案方案一般得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分；有方案但针对性不佳的</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分，有较大欠缺得1分，其余不得分</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其余不得分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403" w:type="pct"/>
            <w:vAlign w:val="center"/>
          </w:tcPr>
          <w:p w14:paraId="341148B3">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539" w:type="pct"/>
            <w:vAlign w:val="center"/>
          </w:tcPr>
          <w:p w14:paraId="56745097">
            <w:pPr>
              <w:snapToGrid w:val="0"/>
              <w:jc w:val="center"/>
              <w:rPr>
                <w:rFonts w:hint="eastAsia" w:ascii="仿宋" w:hAnsi="仿宋" w:eastAsia="仿宋" w:cs="仿宋"/>
                <w:sz w:val="24"/>
                <w:lang w:val="en-US" w:eastAsia="zh-CN"/>
              </w:rPr>
            </w:pPr>
            <w:r>
              <w:rPr>
                <w:rFonts w:hint="eastAsia" w:ascii="仿宋" w:hAnsi="仿宋" w:eastAsia="仿宋" w:cs="仿宋"/>
                <w:sz w:val="24"/>
              </w:rPr>
              <w:t>主观分</w:t>
            </w:r>
          </w:p>
        </w:tc>
        <w:tc>
          <w:tcPr>
            <w:tcW w:w="780" w:type="pct"/>
            <w:vAlign w:val="center"/>
          </w:tcPr>
          <w:p w14:paraId="7F147523">
            <w:pPr>
              <w:snapToGrid w:val="0"/>
              <w:rPr>
                <w:rFonts w:ascii="仿宋" w:hAnsi="仿宋" w:eastAsia="仿宋" w:cs="仿宋"/>
                <w:sz w:val="24"/>
              </w:rPr>
            </w:pPr>
          </w:p>
        </w:tc>
      </w:tr>
      <w:tr w14:paraId="59B5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8AB6AB1">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3.3.2</w:t>
            </w:r>
          </w:p>
        </w:tc>
        <w:tc>
          <w:tcPr>
            <w:tcW w:w="2858" w:type="pct"/>
            <w:vAlign w:val="center"/>
          </w:tcPr>
          <w:p w14:paraId="5D74722A">
            <w:pPr>
              <w:snapToGrid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文化创意展陈设计方案：根据展陈内容与采购人的文化特色、理念以及与整体设计建设风格相呼应情况进行评分。展示主题及定位匹配性好的得</w:t>
            </w:r>
            <w:r>
              <w:rPr>
                <w:rFonts w:hint="eastAsia" w:ascii="仿宋" w:hAnsi="仿宋" w:eastAsia="仿宋" w:cs="仿宋"/>
                <w:bCs/>
                <w:color w:val="000000" w:themeColor="text1"/>
                <w:sz w:val="24"/>
                <w:lang w:val="en-US" w:eastAsia="zh-CN"/>
                <w14:textFill>
                  <w14:solidFill>
                    <w14:schemeClr w14:val="tx1"/>
                  </w14:solidFill>
                </w14:textFill>
              </w:rPr>
              <w:t>4</w:t>
            </w:r>
            <w:r>
              <w:rPr>
                <w:rFonts w:hint="eastAsia" w:ascii="仿宋" w:hAnsi="仿宋" w:eastAsia="仿宋" w:cs="仿宋"/>
                <w:bCs/>
                <w:color w:val="000000" w:themeColor="text1"/>
                <w:sz w:val="24"/>
                <w14:textFill>
                  <w14:solidFill>
                    <w14:schemeClr w14:val="tx1"/>
                  </w14:solidFill>
                </w14:textFill>
              </w:rPr>
              <w:t>分；展示主题及定位匹配性好较好得</w:t>
            </w:r>
            <w:r>
              <w:rPr>
                <w:rFonts w:hint="eastAsia" w:ascii="仿宋" w:hAnsi="仿宋" w:eastAsia="仿宋" w:cs="仿宋"/>
                <w:bCs/>
                <w:color w:val="000000" w:themeColor="text1"/>
                <w:sz w:val="24"/>
                <w:lang w:val="en-US" w:eastAsia="zh-CN"/>
                <w14:textFill>
                  <w14:solidFill>
                    <w14:schemeClr w14:val="tx1"/>
                  </w14:solidFill>
                </w14:textFill>
              </w:rPr>
              <w:t>3.5</w:t>
            </w:r>
            <w:r>
              <w:rPr>
                <w:rFonts w:hint="eastAsia" w:ascii="仿宋" w:hAnsi="仿宋" w:eastAsia="仿宋" w:cs="仿宋"/>
                <w:bCs/>
                <w:color w:val="000000" w:themeColor="text1"/>
                <w:sz w:val="24"/>
                <w14:textFill>
                  <w14:solidFill>
                    <w14:schemeClr w14:val="tx1"/>
                  </w14:solidFill>
                </w14:textFill>
              </w:rPr>
              <w:t>分；方案一般得</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有方案但针对性不佳的</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分，有较大欠缺得1分，其余不得分</w:t>
            </w:r>
            <w:r>
              <w:rPr>
                <w:rFonts w:hint="eastAsia" w:ascii="仿宋" w:hAnsi="仿宋" w:eastAsia="仿宋" w:cs="仿宋"/>
                <w:color w:val="000000" w:themeColor="text1"/>
                <w:sz w:val="24"/>
                <w:lang w:val="zh-CN"/>
                <w14:textFill>
                  <w14:solidFill>
                    <w14:schemeClr w14:val="tx1"/>
                  </w14:solidFill>
                </w14:textFill>
              </w:rPr>
              <w:t>。</w:t>
            </w:r>
          </w:p>
        </w:tc>
        <w:tc>
          <w:tcPr>
            <w:tcW w:w="403" w:type="pct"/>
            <w:vAlign w:val="center"/>
          </w:tcPr>
          <w:p w14:paraId="7C3AC4FD">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539" w:type="pct"/>
            <w:vAlign w:val="center"/>
          </w:tcPr>
          <w:p w14:paraId="61C639C1">
            <w:pPr>
              <w:snapToGrid w:val="0"/>
              <w:jc w:val="center"/>
              <w:rPr>
                <w:rFonts w:hint="eastAsia" w:ascii="仿宋" w:hAnsi="仿宋" w:eastAsia="仿宋" w:cs="仿宋"/>
                <w:sz w:val="24"/>
                <w:lang w:val="en-US" w:eastAsia="zh-CN"/>
              </w:rPr>
            </w:pPr>
            <w:r>
              <w:rPr>
                <w:rFonts w:hint="eastAsia" w:ascii="仿宋" w:hAnsi="仿宋" w:eastAsia="仿宋" w:cs="仿宋"/>
                <w:sz w:val="24"/>
              </w:rPr>
              <w:t>主观分</w:t>
            </w:r>
          </w:p>
        </w:tc>
        <w:tc>
          <w:tcPr>
            <w:tcW w:w="780" w:type="pct"/>
            <w:vAlign w:val="center"/>
          </w:tcPr>
          <w:p w14:paraId="0C2D053E">
            <w:pPr>
              <w:snapToGrid w:val="0"/>
              <w:rPr>
                <w:rFonts w:ascii="仿宋" w:hAnsi="仿宋" w:eastAsia="仿宋" w:cs="仿宋"/>
                <w:sz w:val="24"/>
              </w:rPr>
            </w:pPr>
          </w:p>
        </w:tc>
      </w:tr>
      <w:tr w14:paraId="1489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18" w:type="pct"/>
            <w:vAlign w:val="center"/>
          </w:tcPr>
          <w:p w14:paraId="5D12907F">
            <w:pPr>
              <w:snapToGrid w:val="0"/>
              <w:jc w:val="center"/>
              <w:rPr>
                <w:rFonts w:ascii="仿宋" w:hAnsi="仿宋" w:eastAsia="仿宋" w:cs="仿宋"/>
                <w:bCs/>
                <w:sz w:val="24"/>
              </w:rPr>
            </w:pPr>
            <w:r>
              <w:rPr>
                <w:rFonts w:hint="eastAsia" w:ascii="仿宋" w:hAnsi="仿宋" w:eastAsia="仿宋" w:cs="仿宋"/>
                <w:bCs/>
                <w:color w:val="000000" w:themeColor="text1"/>
                <w:sz w:val="24"/>
                <w14:textFill>
                  <w14:solidFill>
                    <w14:schemeClr w14:val="tx1"/>
                  </w14:solidFill>
                </w14:textFill>
              </w:rPr>
              <w:t>4</w:t>
            </w:r>
          </w:p>
        </w:tc>
        <w:tc>
          <w:tcPr>
            <w:tcW w:w="2858" w:type="pct"/>
            <w:vAlign w:val="center"/>
          </w:tcPr>
          <w:p w14:paraId="51EABBD1">
            <w:pPr>
              <w:snapToGrid w:val="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施工</w:t>
            </w:r>
            <w:r>
              <w:rPr>
                <w:rFonts w:hint="eastAsia" w:ascii="仿宋" w:hAnsi="仿宋" w:eastAsia="仿宋" w:cs="仿宋"/>
                <w:color w:val="000000" w:themeColor="text1"/>
                <w:sz w:val="24"/>
                <w:lang w:val="en-US" w:eastAsia="zh-CN"/>
                <w14:textFill>
                  <w14:solidFill>
                    <w14:schemeClr w14:val="tx1"/>
                  </w14:solidFill>
                </w14:textFill>
              </w:rPr>
              <w:t>计划</w:t>
            </w:r>
            <w:r>
              <w:rPr>
                <w:rFonts w:hint="eastAsia" w:ascii="仿宋" w:hAnsi="仿宋" w:eastAsia="仿宋" w:cs="仿宋"/>
                <w:color w:val="000000" w:themeColor="text1"/>
                <w:sz w:val="24"/>
                <w14:textFill>
                  <w14:solidFill>
                    <w14:schemeClr w14:val="tx1"/>
                  </w14:solidFill>
                </w14:textFill>
              </w:rPr>
              <w:t>、实施方案</w:t>
            </w:r>
            <w:r>
              <w:rPr>
                <w:rFonts w:hint="eastAsia" w:ascii="仿宋" w:hAnsi="仿宋" w:eastAsia="仿宋" w:cs="仿宋"/>
                <w:color w:val="000000" w:themeColor="text1"/>
                <w:sz w:val="24"/>
                <w:lang w:val="en-US" w:eastAsia="zh-CN"/>
                <w14:textFill>
                  <w14:solidFill>
                    <w14:schemeClr w14:val="tx1"/>
                  </w14:solidFill>
                </w14:textFill>
              </w:rPr>
              <w:t>、售后</w:t>
            </w:r>
          </w:p>
        </w:tc>
        <w:tc>
          <w:tcPr>
            <w:tcW w:w="403" w:type="pct"/>
            <w:vAlign w:val="center"/>
          </w:tcPr>
          <w:p w14:paraId="5D0D4D07">
            <w:pPr>
              <w:snapToGrid w:val="0"/>
              <w:jc w:val="center"/>
              <w:rPr>
                <w:rFonts w:ascii="仿宋" w:hAnsi="仿宋" w:eastAsia="仿宋" w:cs="仿宋"/>
                <w:sz w:val="24"/>
              </w:rPr>
            </w:pPr>
            <w:r>
              <w:rPr>
                <w:rFonts w:hint="eastAsia" w:ascii="仿宋" w:hAnsi="仿宋" w:eastAsia="仿宋" w:cs="仿宋"/>
                <w:sz w:val="24"/>
              </w:rPr>
              <w:t>/</w:t>
            </w:r>
          </w:p>
        </w:tc>
        <w:tc>
          <w:tcPr>
            <w:tcW w:w="539" w:type="pct"/>
            <w:vAlign w:val="center"/>
          </w:tcPr>
          <w:p w14:paraId="4A57969E">
            <w:pPr>
              <w:snapToGrid w:val="0"/>
              <w:jc w:val="center"/>
              <w:rPr>
                <w:rFonts w:ascii="仿宋" w:hAnsi="仿宋" w:eastAsia="仿宋" w:cs="仿宋"/>
                <w:sz w:val="24"/>
              </w:rPr>
            </w:pPr>
            <w:r>
              <w:rPr>
                <w:rFonts w:hint="eastAsia" w:ascii="仿宋" w:hAnsi="仿宋" w:eastAsia="仿宋" w:cs="仿宋"/>
                <w:sz w:val="24"/>
              </w:rPr>
              <w:t>/</w:t>
            </w:r>
          </w:p>
        </w:tc>
        <w:tc>
          <w:tcPr>
            <w:tcW w:w="780" w:type="pct"/>
            <w:vAlign w:val="center"/>
          </w:tcPr>
          <w:p w14:paraId="6D914FC0">
            <w:pPr>
              <w:snapToGrid w:val="0"/>
              <w:rPr>
                <w:rFonts w:ascii="仿宋" w:hAnsi="仿宋" w:eastAsia="仿宋" w:cs="仿宋"/>
                <w:sz w:val="24"/>
              </w:rPr>
            </w:pPr>
          </w:p>
        </w:tc>
      </w:tr>
      <w:tr w14:paraId="591C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492395AC">
            <w:pPr>
              <w:snapToGrid w:val="0"/>
              <w:jc w:val="center"/>
              <w:rPr>
                <w:rFonts w:ascii="仿宋" w:hAnsi="仿宋" w:eastAsia="仿宋" w:cs="仿宋"/>
                <w:bCs/>
                <w:sz w:val="24"/>
              </w:rPr>
            </w:pPr>
            <w:r>
              <w:rPr>
                <w:rFonts w:hint="eastAsia" w:ascii="仿宋" w:hAnsi="仿宋" w:eastAsia="仿宋" w:cs="仿宋"/>
                <w:bCs/>
                <w:sz w:val="24"/>
              </w:rPr>
              <w:t>4.1</w:t>
            </w:r>
          </w:p>
        </w:tc>
        <w:tc>
          <w:tcPr>
            <w:tcW w:w="2858" w:type="pct"/>
            <w:vAlign w:val="center"/>
          </w:tcPr>
          <w:p w14:paraId="674D2B3D">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施工组织设计内容全面性、合理</w:t>
            </w:r>
            <w:r>
              <w:rPr>
                <w:rFonts w:hint="eastAsia" w:ascii="仿宋" w:hAnsi="仿宋" w:eastAsia="仿宋" w:cs="仿宋"/>
                <w:color w:val="000000" w:themeColor="text1"/>
                <w:sz w:val="24"/>
                <w:lang w:val="en-US" w:eastAsia="zh-CN"/>
                <w14:textFill>
                  <w14:solidFill>
                    <w14:schemeClr w14:val="tx1"/>
                  </w14:solidFill>
                </w14:textFill>
              </w:rPr>
              <w:t>性</w:t>
            </w:r>
            <w:r>
              <w:rPr>
                <w:rFonts w:hint="eastAsia" w:ascii="仿宋" w:hAnsi="仿宋" w:eastAsia="仿宋" w:cs="仿宋"/>
                <w:color w:val="000000" w:themeColor="text1"/>
                <w:sz w:val="24"/>
                <w:lang w:val="zh-CN"/>
                <w14:textFill>
                  <w14:solidFill>
                    <w14:schemeClr w14:val="tx1"/>
                  </w14:solidFill>
                </w14:textFill>
              </w:rPr>
              <w:t>，具有明确的针对性及可操作性，各项施工措施明确、到位。优秀得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分，良好得</w:t>
            </w:r>
            <w:r>
              <w:rPr>
                <w:rFonts w:hint="eastAsia" w:ascii="仿宋" w:hAnsi="仿宋" w:eastAsia="仿宋" w:cs="仿宋"/>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lang w:val="zh-CN"/>
                <w14:textFill>
                  <w14:solidFill>
                    <w14:schemeClr w14:val="tx1"/>
                  </w14:solidFill>
                </w14:textFill>
              </w:rPr>
              <w:t>分，一般得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有方案但针对性不佳的</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分，有较大欠缺得1分，其余不得分</w:t>
            </w:r>
            <w:r>
              <w:rPr>
                <w:rFonts w:hint="eastAsia" w:ascii="仿宋" w:hAnsi="仿宋" w:eastAsia="仿宋" w:cs="仿宋"/>
                <w:color w:val="000000" w:themeColor="text1"/>
                <w:sz w:val="24"/>
                <w:lang w:val="zh-CN"/>
                <w14:textFill>
                  <w14:solidFill>
                    <w14:schemeClr w14:val="tx1"/>
                  </w14:solidFill>
                </w14:textFill>
              </w:rPr>
              <w:t>。</w:t>
            </w:r>
          </w:p>
        </w:tc>
        <w:tc>
          <w:tcPr>
            <w:tcW w:w="403" w:type="pct"/>
            <w:vAlign w:val="center"/>
          </w:tcPr>
          <w:p w14:paraId="663136E2">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539" w:type="pct"/>
            <w:vAlign w:val="center"/>
          </w:tcPr>
          <w:p w14:paraId="75C6DE9F">
            <w:pPr>
              <w:snapToGrid w:val="0"/>
              <w:jc w:val="center"/>
              <w:rPr>
                <w:rFonts w:ascii="仿宋" w:hAnsi="仿宋" w:eastAsia="仿宋" w:cs="仿宋"/>
                <w:sz w:val="24"/>
              </w:rPr>
            </w:pPr>
            <w:r>
              <w:rPr>
                <w:rFonts w:hint="eastAsia" w:ascii="仿宋" w:hAnsi="仿宋" w:eastAsia="仿宋" w:cs="仿宋"/>
                <w:sz w:val="24"/>
              </w:rPr>
              <w:t>主观分</w:t>
            </w:r>
          </w:p>
        </w:tc>
        <w:tc>
          <w:tcPr>
            <w:tcW w:w="780" w:type="pct"/>
            <w:vAlign w:val="center"/>
          </w:tcPr>
          <w:p w14:paraId="052A53FD">
            <w:pPr>
              <w:snapToGrid w:val="0"/>
              <w:rPr>
                <w:rFonts w:ascii="仿宋" w:hAnsi="仿宋" w:eastAsia="仿宋" w:cs="仿宋"/>
                <w:sz w:val="24"/>
              </w:rPr>
            </w:pPr>
          </w:p>
        </w:tc>
      </w:tr>
      <w:bookmarkEnd w:id="85"/>
      <w:tr w14:paraId="659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7ADE235A">
            <w:pPr>
              <w:snapToGrid w:val="0"/>
              <w:jc w:val="center"/>
              <w:rPr>
                <w:rFonts w:ascii="仿宋" w:hAnsi="仿宋" w:eastAsia="仿宋" w:cs="仿宋"/>
                <w:bCs/>
                <w:sz w:val="24"/>
              </w:rPr>
            </w:pPr>
            <w:r>
              <w:rPr>
                <w:rFonts w:hint="eastAsia" w:ascii="仿宋" w:hAnsi="仿宋" w:eastAsia="仿宋" w:cs="仿宋"/>
                <w:bCs/>
                <w:sz w:val="24"/>
              </w:rPr>
              <w:t>4.2</w:t>
            </w:r>
          </w:p>
        </w:tc>
        <w:tc>
          <w:tcPr>
            <w:tcW w:w="2858" w:type="pct"/>
            <w:vAlign w:val="center"/>
          </w:tcPr>
          <w:p w14:paraId="7B637172">
            <w:pPr>
              <w:snapToGrid w:val="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项目进度计划。根据各投标人制定的进度计划的时间安排满足采购需求程度、进度计划中各阶段工作内容明确情况进行评分。方案详细、合理、满足采购需求的得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分；方案可行、基本满足采购需求的得</w:t>
            </w:r>
            <w:r>
              <w:rPr>
                <w:rFonts w:hint="eastAsia" w:ascii="仿宋" w:hAnsi="仿宋" w:eastAsia="仿宋" w:cs="仿宋"/>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分；方案一般、部分满足得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分，有方案但针对性不佳的</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分，有较大欠缺得1分，其余不得分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403" w:type="pct"/>
            <w:vAlign w:val="center"/>
          </w:tcPr>
          <w:p w14:paraId="30B9A37D">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539" w:type="pct"/>
            <w:vAlign w:val="center"/>
          </w:tcPr>
          <w:p w14:paraId="368BB63C">
            <w:pPr>
              <w:snapToGrid w:val="0"/>
              <w:jc w:val="center"/>
              <w:rPr>
                <w:rFonts w:ascii="仿宋" w:hAnsi="仿宋" w:eastAsia="仿宋" w:cs="仿宋"/>
                <w:sz w:val="24"/>
              </w:rPr>
            </w:pPr>
            <w:r>
              <w:rPr>
                <w:rFonts w:hint="eastAsia" w:ascii="仿宋" w:hAnsi="仿宋" w:eastAsia="仿宋" w:cs="仿宋"/>
                <w:sz w:val="24"/>
              </w:rPr>
              <w:t>主观分</w:t>
            </w:r>
          </w:p>
        </w:tc>
        <w:tc>
          <w:tcPr>
            <w:tcW w:w="780" w:type="pct"/>
            <w:vAlign w:val="center"/>
          </w:tcPr>
          <w:p w14:paraId="3E88EFA3">
            <w:pPr>
              <w:snapToGrid w:val="0"/>
              <w:rPr>
                <w:rFonts w:ascii="仿宋" w:hAnsi="仿宋" w:eastAsia="仿宋" w:cs="仿宋"/>
                <w:sz w:val="24"/>
              </w:rPr>
            </w:pPr>
          </w:p>
        </w:tc>
      </w:tr>
      <w:tr w14:paraId="364F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36D997CA">
            <w:pPr>
              <w:snapToGrid w:val="0"/>
              <w:jc w:val="center"/>
              <w:rPr>
                <w:rFonts w:ascii="仿宋" w:hAnsi="仿宋" w:eastAsia="仿宋" w:cs="仿宋"/>
                <w:bCs/>
                <w:sz w:val="24"/>
              </w:rPr>
            </w:pPr>
            <w:r>
              <w:rPr>
                <w:rFonts w:hint="eastAsia" w:ascii="仿宋" w:hAnsi="仿宋" w:eastAsia="仿宋" w:cs="仿宋"/>
                <w:bCs/>
                <w:sz w:val="24"/>
              </w:rPr>
              <w:t>4.3</w:t>
            </w:r>
          </w:p>
        </w:tc>
        <w:tc>
          <w:tcPr>
            <w:tcW w:w="2858" w:type="pct"/>
            <w:vAlign w:val="center"/>
          </w:tcPr>
          <w:p w14:paraId="1804DF9F">
            <w:pPr>
              <w:snapToGrid w:val="0"/>
              <w:rPr>
                <w:rFonts w:hint="eastAsia" w:ascii="仿宋" w:hAnsi="仿宋" w:eastAsia="仿宋" w:cs="仿宋"/>
                <w:sz w:val="24"/>
                <w:lang w:eastAsia="zh-CN"/>
              </w:rPr>
            </w:pPr>
            <w:r>
              <w:rPr>
                <w:rFonts w:hint="eastAsia" w:ascii="仿宋" w:hAnsi="仿宋" w:eastAsia="仿宋" w:cs="仿宋"/>
                <w:color w:val="000000" w:themeColor="text1"/>
                <w:sz w:val="24"/>
                <w14:textFill>
                  <w14:solidFill>
                    <w14:schemeClr w14:val="tx1"/>
                  </w14:solidFill>
                </w14:textFill>
              </w:rPr>
              <w:t>售后服务方案。根据投标人提供的售后服务方案（质保期限的长</w:t>
            </w:r>
            <w:r>
              <w:rPr>
                <w:rFonts w:hint="eastAsia" w:ascii="仿宋" w:hAnsi="仿宋" w:eastAsia="仿宋" w:cs="仿宋"/>
                <w:color w:val="auto"/>
                <w:sz w:val="24"/>
              </w:rPr>
              <w:t>短以及服务承诺的可行性、完整性以及服务承诺落实的保障措施，质保期内外的后续技术支持和维护能力情况等）进行评分。方案详细、合理、满足采购需求的得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分；方案可行、基本满足采购需求的得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分；方案一般、部分满足得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sz w:val="24"/>
              </w:rPr>
              <w:t>有方案但针对性不佳的</w:t>
            </w:r>
            <w:r>
              <w:rPr>
                <w:rFonts w:hint="eastAsia" w:ascii="仿宋" w:hAnsi="仿宋" w:eastAsia="仿宋" w:cs="仿宋"/>
                <w:sz w:val="24"/>
                <w:lang w:val="en-US" w:eastAsia="zh-CN"/>
              </w:rPr>
              <w:t>2</w:t>
            </w:r>
            <w:r>
              <w:rPr>
                <w:rFonts w:hint="eastAsia" w:ascii="仿宋" w:hAnsi="仿宋" w:eastAsia="仿宋" w:cs="仿宋"/>
                <w:sz w:val="24"/>
              </w:rPr>
              <w:t>分，有较大欠缺得1分，其余不得分</w:t>
            </w:r>
            <w:r>
              <w:rPr>
                <w:rFonts w:hint="eastAsia" w:ascii="仿宋" w:hAnsi="仿宋" w:eastAsia="仿宋" w:cs="仿宋"/>
                <w:sz w:val="24"/>
                <w:lang w:eastAsia="zh-CN"/>
              </w:rPr>
              <w:t>。</w:t>
            </w:r>
          </w:p>
        </w:tc>
        <w:tc>
          <w:tcPr>
            <w:tcW w:w="403" w:type="pct"/>
            <w:vAlign w:val="center"/>
          </w:tcPr>
          <w:p w14:paraId="11938979">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539" w:type="pct"/>
            <w:vAlign w:val="center"/>
          </w:tcPr>
          <w:p w14:paraId="6A6C0435">
            <w:pPr>
              <w:snapToGrid w:val="0"/>
              <w:jc w:val="center"/>
              <w:rPr>
                <w:rFonts w:ascii="仿宋" w:hAnsi="仿宋" w:eastAsia="仿宋" w:cs="仿宋"/>
                <w:sz w:val="24"/>
              </w:rPr>
            </w:pPr>
            <w:r>
              <w:rPr>
                <w:rFonts w:hint="eastAsia" w:ascii="仿宋" w:hAnsi="仿宋" w:eastAsia="仿宋" w:cs="仿宋"/>
                <w:sz w:val="24"/>
              </w:rPr>
              <w:t>主观分</w:t>
            </w:r>
          </w:p>
        </w:tc>
        <w:tc>
          <w:tcPr>
            <w:tcW w:w="780" w:type="pct"/>
            <w:vAlign w:val="center"/>
          </w:tcPr>
          <w:p w14:paraId="715496C0">
            <w:pPr>
              <w:snapToGrid w:val="0"/>
              <w:rPr>
                <w:rFonts w:ascii="仿宋" w:hAnsi="仿宋" w:eastAsia="仿宋" w:cs="仿宋"/>
                <w:sz w:val="24"/>
              </w:rPr>
            </w:pPr>
          </w:p>
        </w:tc>
      </w:tr>
      <w:tr w14:paraId="0AB6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8" w:type="pct"/>
            <w:vAlign w:val="center"/>
          </w:tcPr>
          <w:p w14:paraId="14B78BB7">
            <w:pPr>
              <w:snapToGrid w:val="0"/>
              <w:jc w:val="center"/>
              <w:rPr>
                <w:rFonts w:hint="eastAsia" w:ascii="仿宋" w:hAnsi="仿宋" w:eastAsia="仿宋" w:cs="仿宋"/>
                <w:bCs/>
                <w:sz w:val="24"/>
                <w:lang w:eastAsia="zh-CN"/>
              </w:rPr>
            </w:pPr>
            <w:bookmarkStart w:id="86" w:name="_Toc14724"/>
            <w:r>
              <w:rPr>
                <w:rFonts w:hint="eastAsia" w:ascii="仿宋" w:hAnsi="仿宋" w:eastAsia="仿宋" w:cs="仿宋"/>
                <w:bCs/>
                <w:sz w:val="24"/>
                <w:lang w:val="en-US" w:eastAsia="zh-CN"/>
              </w:rPr>
              <w:t>5</w:t>
            </w:r>
          </w:p>
        </w:tc>
        <w:tc>
          <w:tcPr>
            <w:tcW w:w="2858" w:type="pct"/>
            <w:vAlign w:val="center"/>
          </w:tcPr>
          <w:p w14:paraId="47F253A5">
            <w:pPr>
              <w:snapToGrid w:val="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缺陷责任期内具备完善的售后技术支持和服务体系，服务时限、服务内容满足采购需求。优秀得</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val="zh-CN"/>
                <w14:textFill>
                  <w14:solidFill>
                    <w14:schemeClr w14:val="tx1"/>
                  </w14:solidFill>
                </w14:textFill>
              </w:rPr>
              <w:t>分，良好得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分，一般得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有方案但针对性不佳的</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分，有较大欠缺得1分，其余不得分</w:t>
            </w:r>
            <w:r>
              <w:rPr>
                <w:rFonts w:hint="eastAsia" w:ascii="仿宋" w:hAnsi="仿宋" w:eastAsia="仿宋" w:cs="仿宋"/>
                <w:color w:val="000000" w:themeColor="text1"/>
                <w:sz w:val="24"/>
                <w:lang w:val="zh-CN"/>
                <w14:textFill>
                  <w14:solidFill>
                    <w14:schemeClr w14:val="tx1"/>
                  </w14:solidFill>
                </w14:textFill>
              </w:rPr>
              <w:t>。</w:t>
            </w:r>
          </w:p>
        </w:tc>
        <w:tc>
          <w:tcPr>
            <w:tcW w:w="403" w:type="pct"/>
            <w:vAlign w:val="center"/>
          </w:tcPr>
          <w:p w14:paraId="70713FEF">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539" w:type="pct"/>
            <w:vAlign w:val="center"/>
          </w:tcPr>
          <w:p w14:paraId="5397EECC">
            <w:pPr>
              <w:snapToGrid w:val="0"/>
              <w:jc w:val="center"/>
              <w:rPr>
                <w:rFonts w:ascii="仿宋" w:hAnsi="仿宋" w:eastAsia="仿宋" w:cs="仿宋"/>
                <w:sz w:val="24"/>
              </w:rPr>
            </w:pPr>
            <w:r>
              <w:rPr>
                <w:rFonts w:hint="eastAsia" w:ascii="仿宋" w:hAnsi="仿宋" w:eastAsia="仿宋" w:cs="仿宋"/>
                <w:sz w:val="24"/>
              </w:rPr>
              <w:t>主观分</w:t>
            </w:r>
          </w:p>
        </w:tc>
        <w:tc>
          <w:tcPr>
            <w:tcW w:w="780" w:type="pct"/>
            <w:vAlign w:val="center"/>
          </w:tcPr>
          <w:p w14:paraId="64EB94DD">
            <w:pPr>
              <w:snapToGrid w:val="0"/>
              <w:rPr>
                <w:rFonts w:ascii="仿宋" w:hAnsi="仿宋" w:eastAsia="仿宋" w:cs="仿宋"/>
                <w:sz w:val="24"/>
              </w:rPr>
            </w:pPr>
          </w:p>
        </w:tc>
      </w:tr>
      <w:bookmarkEnd w:id="86"/>
    </w:tbl>
    <w:p w14:paraId="7A176920">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p>
    <w:p w14:paraId="4703B1CB">
      <w:pPr>
        <w:snapToGrid w:val="0"/>
        <w:spacing w:line="360" w:lineRule="auto"/>
        <w:rPr>
          <w:rFonts w:hint="eastAsia" w:ascii="仿宋" w:hAnsi="仿宋" w:eastAsia="仿宋" w:cs="仿宋"/>
          <w:color w:val="auto"/>
          <w:sz w:val="24"/>
          <w:highlight w:val="none"/>
        </w:rPr>
      </w:pPr>
    </w:p>
    <w:p w14:paraId="05C3964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报价部分（权重为</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w:t>
      </w:r>
    </w:p>
    <w:p w14:paraId="4784EE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w:t>
      </w:r>
      <w:r>
        <w:rPr>
          <w:rFonts w:hint="eastAsia" w:ascii="仿宋" w:hAnsi="仿宋" w:eastAsia="仿宋" w:cs="仿宋"/>
          <w:color w:val="auto"/>
          <w:sz w:val="24"/>
          <w:highlight w:val="none"/>
        </w:rPr>
        <w:t>价得分=（评标基准价/投标报价）*权重］的计算公式计算。</w:t>
      </w:r>
    </w:p>
    <w:p w14:paraId="135B1D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3F93DB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p w14:paraId="017716DB">
      <w:pPr>
        <w:pStyle w:val="21"/>
        <w:rPr>
          <w:rFonts w:hint="eastAsia" w:ascii="仿宋" w:hAnsi="仿宋" w:eastAsia="仿宋" w:cs="仿宋"/>
          <w:color w:val="auto"/>
          <w:highlight w:val="none"/>
        </w:rPr>
      </w:pPr>
    </w:p>
    <w:p w14:paraId="00EFA6FA">
      <w:pPr>
        <w:pStyle w:val="18"/>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C02616F">
      <w:pPr>
        <w:rPr>
          <w:rFonts w:hint="eastAsia" w:ascii="仿宋" w:hAnsi="仿宋" w:eastAsia="仿宋" w:cs="仿宋"/>
          <w:b/>
          <w:color w:val="auto"/>
          <w:sz w:val="32"/>
          <w:highlight w:val="none"/>
        </w:rPr>
      </w:pPr>
    </w:p>
    <w:p w14:paraId="0DE73CE4">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bookmarkStart w:id="87" w:name="_Toc9192"/>
      <w:r>
        <w:rPr>
          <w:rFonts w:hint="eastAsia" w:ascii="仿宋" w:hAnsi="仿宋" w:eastAsia="仿宋" w:cs="仿宋"/>
          <w:color w:val="auto"/>
          <w:sz w:val="24"/>
          <w:szCs w:val="24"/>
          <w:highlight w:val="none"/>
        </w:rPr>
        <w:br w:type="page"/>
      </w:r>
      <w:bookmarkEnd w:id="87"/>
      <w:bookmarkStart w:id="88" w:name="_Toc28508"/>
      <w:bookmarkStart w:id="89" w:name="_Toc19686"/>
      <w:bookmarkStart w:id="90" w:name="_Toc14163"/>
      <w:r>
        <w:rPr>
          <w:rFonts w:hint="eastAsia" w:ascii="仿宋" w:hAnsi="仿宋" w:eastAsia="仿宋" w:cs="仿宋"/>
          <w:b/>
          <w:color w:val="auto"/>
          <w:sz w:val="28"/>
          <w:szCs w:val="28"/>
          <w:highlight w:val="none"/>
        </w:rPr>
        <w:t>评标方法</w:t>
      </w:r>
      <w:bookmarkEnd w:id="88"/>
      <w:bookmarkEnd w:id="89"/>
      <w:bookmarkEnd w:id="90"/>
    </w:p>
    <w:p w14:paraId="7A0E1DB6">
      <w:pPr>
        <w:numPr>
          <w:ilvl w:val="0"/>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w:t>
      </w:r>
      <w:r>
        <w:rPr>
          <w:rFonts w:hint="eastAsia" w:ascii="仿宋" w:hAnsi="仿宋" w:eastAsia="仿宋" w:cs="仿宋"/>
          <w:color w:val="auto"/>
          <w:kern w:val="0"/>
          <w:sz w:val="24"/>
          <w:highlight w:val="none"/>
        </w:rPr>
        <w:t>满足招标文件全部实质性要求，且按照评审因素的量化指标评审得分最高的投标人为中标候选人的评标方法。</w:t>
      </w:r>
    </w:p>
    <w:p w14:paraId="46343379">
      <w:pPr>
        <w:numPr>
          <w:ilvl w:val="0"/>
          <w:numId w:val="6"/>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91" w:name="_Toc9220"/>
      <w:bookmarkStart w:id="92" w:name="_Toc5897"/>
      <w:bookmarkStart w:id="93" w:name="_Toc19233"/>
      <w:bookmarkStart w:id="94" w:name="_Toc25354"/>
      <w:bookmarkStart w:id="95" w:name="_Toc9518"/>
      <w:r>
        <w:rPr>
          <w:rFonts w:hint="eastAsia" w:ascii="仿宋" w:hAnsi="仿宋" w:eastAsia="仿宋" w:cs="仿宋"/>
          <w:b/>
          <w:color w:val="auto"/>
          <w:sz w:val="28"/>
          <w:szCs w:val="28"/>
          <w:highlight w:val="none"/>
        </w:rPr>
        <w:t>评标标准</w:t>
      </w:r>
      <w:bookmarkEnd w:id="91"/>
      <w:bookmarkEnd w:id="92"/>
      <w:bookmarkEnd w:id="93"/>
      <w:bookmarkEnd w:id="94"/>
      <w:bookmarkEnd w:id="95"/>
    </w:p>
    <w:p w14:paraId="0953FC13">
      <w:pPr>
        <w:numPr>
          <w:ilvl w:val="0"/>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14:paraId="406EB72B">
      <w:pPr>
        <w:numPr>
          <w:ilvl w:val="0"/>
          <w:numId w:val="6"/>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96" w:name="_Toc1897"/>
      <w:bookmarkStart w:id="97" w:name="_Toc26738"/>
      <w:bookmarkStart w:id="98" w:name="_Toc4050"/>
      <w:bookmarkStart w:id="99" w:name="_Toc17122"/>
      <w:bookmarkStart w:id="100" w:name="_Toc10741"/>
      <w:r>
        <w:rPr>
          <w:rFonts w:hint="eastAsia" w:ascii="仿宋" w:hAnsi="仿宋" w:eastAsia="仿宋" w:cs="仿宋"/>
          <w:b/>
          <w:color w:val="auto"/>
          <w:sz w:val="28"/>
          <w:szCs w:val="28"/>
          <w:highlight w:val="none"/>
        </w:rPr>
        <w:t>评标程序</w:t>
      </w:r>
      <w:bookmarkEnd w:id="96"/>
      <w:bookmarkEnd w:id="97"/>
      <w:bookmarkEnd w:id="98"/>
      <w:bookmarkEnd w:id="99"/>
      <w:bookmarkEnd w:id="100"/>
    </w:p>
    <w:p w14:paraId="4158849E">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289999">
      <w:pPr>
        <w:numPr>
          <w:ilvl w:val="1"/>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B5D5DAA">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62A3D8B">
      <w:pPr>
        <w:tabs>
          <w:tab w:val="left" w:pos="210"/>
        </w:tabs>
        <w:spacing w:line="360" w:lineRule="auto"/>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9CB499C">
      <w:pPr>
        <w:numPr>
          <w:ilvl w:val="1"/>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14:paraId="1D331C74">
      <w:pPr>
        <w:numPr>
          <w:ilvl w:val="2"/>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14:paraId="0D163CCB">
      <w:pPr>
        <w:numPr>
          <w:ilvl w:val="3"/>
          <w:numId w:val="8"/>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14:paraId="391B12F1">
      <w:pPr>
        <w:numPr>
          <w:ilvl w:val="3"/>
          <w:numId w:val="8"/>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14:paraId="5A1BD62D">
      <w:pPr>
        <w:numPr>
          <w:ilvl w:val="3"/>
          <w:numId w:val="8"/>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14:paraId="70B13C4F">
      <w:pPr>
        <w:numPr>
          <w:ilvl w:val="3"/>
          <w:numId w:val="8"/>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14:paraId="60131A1D">
      <w:pPr>
        <w:numPr>
          <w:ilvl w:val="3"/>
          <w:numId w:val="8"/>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1201FBB">
      <w:pPr>
        <w:numPr>
          <w:ilvl w:val="2"/>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14:paraId="450CE59E">
      <w:pPr>
        <w:numPr>
          <w:ilvl w:val="2"/>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14:paraId="14CEB14A">
      <w:pPr>
        <w:numPr>
          <w:ilvl w:val="2"/>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E99E34">
      <w:pPr>
        <w:numPr>
          <w:ilvl w:val="2"/>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3CDFA7A1">
      <w:pPr>
        <w:numPr>
          <w:ilvl w:val="1"/>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排序与推荐。</w:t>
      </w:r>
    </w:p>
    <w:p w14:paraId="51275B5B">
      <w:pPr>
        <w:adjustRightInd w:val="0"/>
        <w:snapToGrid w:val="0"/>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389CF2">
      <w:pPr>
        <w:adjustRightInd w:val="0"/>
        <w:snapToGrid w:val="0"/>
        <w:spacing w:line="360" w:lineRule="auto"/>
        <w:ind w:firstLine="482" w:firstLineChars="20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color w:val="auto"/>
          <w:kern w:val="0"/>
          <w:sz w:val="24"/>
          <w:highlight w:val="none"/>
          <w:lang w:val="en-US" w:eastAsia="zh-CN"/>
        </w:rPr>
        <w:t>注：</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p>
    <w:p w14:paraId="6E4A1ED3">
      <w:pPr>
        <w:numPr>
          <w:ilvl w:val="1"/>
          <w:numId w:val="8"/>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评分时保留小数点后1位小数</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客观分有2位小数的可保留2位</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，计算评分值时保留小数点后2位小数。</w:t>
      </w:r>
    </w:p>
    <w:p w14:paraId="52AC2297">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CB5B72">
      <w:pPr>
        <w:numPr>
          <w:ilvl w:val="0"/>
          <w:numId w:val="6"/>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101" w:name="_Toc6871"/>
      <w:bookmarkStart w:id="102" w:name="_Toc14486"/>
      <w:bookmarkStart w:id="103" w:name="_Toc25049"/>
      <w:bookmarkStart w:id="104" w:name="_Toc16391"/>
      <w:bookmarkStart w:id="105" w:name="_Toc5821"/>
      <w:r>
        <w:rPr>
          <w:rFonts w:hint="eastAsia" w:ascii="仿宋" w:hAnsi="仿宋" w:eastAsia="仿宋" w:cs="仿宋"/>
          <w:b/>
          <w:color w:val="auto"/>
          <w:sz w:val="28"/>
          <w:szCs w:val="28"/>
          <w:highlight w:val="none"/>
        </w:rPr>
        <w:t>评标中的其他事项</w:t>
      </w:r>
      <w:bookmarkEnd w:id="101"/>
      <w:bookmarkEnd w:id="102"/>
      <w:bookmarkEnd w:id="103"/>
      <w:bookmarkEnd w:id="104"/>
      <w:bookmarkEnd w:id="105"/>
    </w:p>
    <w:p w14:paraId="6B8BFDDF">
      <w:pPr>
        <w:numPr>
          <w:ilvl w:val="1"/>
          <w:numId w:val="9"/>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5BCA09">
      <w:pPr>
        <w:numPr>
          <w:ilvl w:val="1"/>
          <w:numId w:val="9"/>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14:paraId="3B625494">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投标人不具备招标文件中规定的资格要求的（投标人未提供有效的资格文件的，视为投标人不具备招标文件中规定的资格要求）；</w:t>
      </w:r>
    </w:p>
    <w:p w14:paraId="727A6D49">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投标文件未按照招标文件要求签署、盖章的；</w:t>
      </w:r>
    </w:p>
    <w:p w14:paraId="3A7D3DB9">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479AC1FF">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投标文件含有采购人不能接受的附加条件的；</w:t>
      </w:r>
    </w:p>
    <w:p w14:paraId="1563C505">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投标文件中承诺的投标有效期少于招标文件中载明的投标有效期的；</w:t>
      </w:r>
    </w:p>
    <w:p w14:paraId="684CDC29">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w:t>
      </w:r>
    </w:p>
    <w:p w14:paraId="72D03C4B">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w:t>
      </w:r>
    </w:p>
    <w:p w14:paraId="5215AA09">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《中小企业声明函》填写企业类型错误或者未填写企业类型的，投标无效；</w:t>
      </w:r>
    </w:p>
    <w:p w14:paraId="1F8F0D5D">
      <w:pPr>
        <w:numPr>
          <w:ilvl w:val="2"/>
          <w:numId w:val="9"/>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投标人对根据修正原则修正后的报价不确认的；</w:t>
      </w:r>
    </w:p>
    <w:p w14:paraId="0E509659">
      <w:pPr>
        <w:numPr>
          <w:ilvl w:val="2"/>
          <w:numId w:val="9"/>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投标人提供虚假材料投标的；</w:t>
      </w:r>
    </w:p>
    <w:p w14:paraId="193EECA2">
      <w:pPr>
        <w:numPr>
          <w:ilvl w:val="2"/>
          <w:numId w:val="9"/>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投标人有恶意串通、妨碍其他投标人的竞争行为、损害采购人或者其他投标人的合法权益情形的；</w:t>
      </w:r>
    </w:p>
    <w:p w14:paraId="4454804A">
      <w:pPr>
        <w:numPr>
          <w:ilvl w:val="2"/>
          <w:numId w:val="9"/>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0D94406">
      <w:pPr>
        <w:numPr>
          <w:ilvl w:val="2"/>
          <w:numId w:val="9"/>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投标人仅提交备份投标文件，没有在电子交易平台传输递交投标文件的，投标无效；</w:t>
      </w:r>
    </w:p>
    <w:p w14:paraId="04917373">
      <w:pPr>
        <w:numPr>
          <w:ilvl w:val="2"/>
          <w:numId w:val="9"/>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投标文件不满足招标文件的其它实质性要求的；</w:t>
      </w:r>
    </w:p>
    <w:p w14:paraId="50A1BC17">
      <w:pPr>
        <w:numPr>
          <w:ilvl w:val="2"/>
          <w:numId w:val="9"/>
        </w:numPr>
        <w:tabs>
          <w:tab w:val="left" w:pos="210"/>
          <w:tab w:val="left" w:pos="840"/>
          <w:tab w:val="left" w:pos="1050"/>
          <w:tab w:val="left" w:pos="1260"/>
        </w:tabs>
        <w:spacing w:line="360" w:lineRule="auto"/>
        <w:ind w:left="1049" w:hanging="1049"/>
        <w:rPr>
          <w:rFonts w:hint="eastAsia" w:ascii="仿宋" w:hAnsi="仿宋" w:eastAsia="仿宋" w:cs="仿宋"/>
          <w:b/>
          <w:bCs/>
          <w:color w:val="auto"/>
          <w:kern w:val="0"/>
          <w:sz w:val="24"/>
          <w:highlight w:val="none"/>
        </w:rPr>
      </w:pPr>
      <w:r>
        <w:rPr>
          <w:rFonts w:hint="eastAsia" w:ascii="仿宋" w:hAnsi="仿宋" w:eastAsia="仿宋" w:cs="仿宋"/>
          <w:b/>
          <w:bCs/>
          <w:kern w:val="0"/>
          <w:sz w:val="24"/>
          <w:highlight w:val="none"/>
        </w:rPr>
        <w:t>法律、法规、规章（适用本市的）及省级以上规范性文件（适用本市的）规定的其他无效情形</w:t>
      </w:r>
      <w:r>
        <w:rPr>
          <w:rFonts w:hint="eastAsia" w:ascii="仿宋" w:hAnsi="仿宋" w:eastAsia="仿宋" w:cs="仿宋"/>
          <w:b/>
          <w:bCs/>
          <w:color w:val="auto"/>
          <w:kern w:val="0"/>
          <w:sz w:val="24"/>
          <w:highlight w:val="none"/>
        </w:rPr>
        <w:t>。</w:t>
      </w:r>
    </w:p>
    <w:p w14:paraId="29100B47">
      <w:pPr>
        <w:numPr>
          <w:ilvl w:val="0"/>
          <w:numId w:val="9"/>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51509A4B">
      <w:pPr>
        <w:numPr>
          <w:ilvl w:val="1"/>
          <w:numId w:val="9"/>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14:paraId="032B2A9F">
      <w:pPr>
        <w:numPr>
          <w:ilvl w:val="1"/>
          <w:numId w:val="9"/>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14:paraId="3EF4AD26">
      <w:pPr>
        <w:numPr>
          <w:ilvl w:val="1"/>
          <w:numId w:val="9"/>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14:paraId="33787D60">
      <w:pPr>
        <w:numPr>
          <w:ilvl w:val="1"/>
          <w:numId w:val="9"/>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14:paraId="668E43EA">
      <w:pPr>
        <w:pStyle w:val="21"/>
        <w:snapToGrid w:val="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C8BF5D">
      <w:pPr>
        <w:numPr>
          <w:ilvl w:val="0"/>
          <w:numId w:val="9"/>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9A00D6">
      <w:pPr>
        <w:numPr>
          <w:ilvl w:val="0"/>
          <w:numId w:val="9"/>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14:paraId="66FD100B">
      <w:pPr>
        <w:numPr>
          <w:ilvl w:val="1"/>
          <w:numId w:val="10"/>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14:paraId="47DC0993">
      <w:pPr>
        <w:numPr>
          <w:ilvl w:val="1"/>
          <w:numId w:val="10"/>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627D66E">
      <w:pPr>
        <w:numPr>
          <w:ilvl w:val="1"/>
          <w:numId w:val="10"/>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1396C4DA">
      <w:pPr>
        <w:numPr>
          <w:ilvl w:val="1"/>
          <w:numId w:val="10"/>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14:paraId="54FCBB57">
      <w:pPr>
        <w:numPr>
          <w:ilvl w:val="1"/>
          <w:numId w:val="10"/>
        </w:numPr>
        <w:tabs>
          <w:tab w:val="left" w:pos="210"/>
        </w:tabs>
        <w:adjustRightInd/>
        <w:spacing w:line="360" w:lineRule="auto"/>
        <w:ind w:left="567" w:leftChars="0" w:hanging="567" w:firstLineChars="0"/>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b w:val="0"/>
          <w:bCs w:val="0"/>
          <w:color w:val="auto"/>
          <w:kern w:val="0"/>
          <w:sz w:val="24"/>
          <w:highlight w:val="none"/>
        </w:rPr>
        <w:t>。</w:t>
      </w:r>
    </w:p>
    <w:p w14:paraId="51A63CF3">
      <w:pP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br w:type="page"/>
      </w:r>
    </w:p>
    <w:bookmarkEnd w:id="58"/>
    <w:p w14:paraId="57FCDD53">
      <w:pPr>
        <w:adjustRightInd w:val="0"/>
        <w:snapToGrid w:val="0"/>
        <w:spacing w:before="120" w:beforeLines="50" w:after="120" w:afterLines="50" w:line="360" w:lineRule="auto"/>
        <w:jc w:val="center"/>
        <w:outlineLvl w:val="0"/>
        <w:rPr>
          <w:rFonts w:hint="eastAsia" w:ascii="仿宋" w:hAnsi="仿宋" w:eastAsia="仿宋" w:cs="仿宋"/>
          <w:color w:val="auto"/>
          <w:sz w:val="36"/>
          <w:highlight w:val="none"/>
        </w:rPr>
      </w:pPr>
      <w:bookmarkStart w:id="106" w:name="_Toc19650"/>
      <w:bookmarkStart w:id="107" w:name="_Toc2880"/>
      <w:bookmarkStart w:id="108" w:name="_Toc242012824"/>
      <w:r>
        <w:rPr>
          <w:rFonts w:hint="eastAsia" w:ascii="仿宋" w:hAnsi="仿宋" w:eastAsia="仿宋" w:cs="仿宋"/>
          <w:b/>
          <w:color w:val="auto"/>
          <w:sz w:val="30"/>
          <w:szCs w:val="30"/>
          <w:highlight w:val="none"/>
        </w:rPr>
        <w:t>第五部分  合同条款</w:t>
      </w:r>
      <w:bookmarkEnd w:id="106"/>
      <w:bookmarkEnd w:id="107"/>
      <w:bookmarkEnd w:id="108"/>
    </w:p>
    <w:p w14:paraId="58FFB14D">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bookmarkStart w:id="109" w:name="_Toc249760790"/>
      <w:bookmarkStart w:id="110" w:name="_Hlk534720381"/>
      <w:bookmarkStart w:id="111" w:name="_Toc25156666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杭州市钱塘区人民政府白杨街道办事处</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5D8F2C60">
      <w:pPr>
        <w:snapToGrid w:val="0"/>
        <w:spacing w:before="120" w:beforeLines="50" w:after="120" w:afterLines="50"/>
        <w:jc w:val="center"/>
        <w:rPr>
          <w:rFonts w:hint="eastAsia" w:ascii="仿宋" w:hAnsi="仿宋" w:eastAsia="仿宋" w:cs="仿宋"/>
          <w:color w:val="auto"/>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109"/>
    <w:bookmarkEnd w:id="110"/>
    <w:bookmarkEnd w:id="111"/>
    <w:p w14:paraId="3DD62892">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bookmarkStart w:id="112" w:name="_Toc251566662"/>
      <w:bookmarkStart w:id="113" w:name="_Toc249760791"/>
      <w:bookmarkStart w:id="114" w:name="_Toc367274988"/>
      <w:bookmarkStart w:id="115" w:name="_Toc295465366"/>
      <w:bookmarkStart w:id="116" w:name="_Toc415814139"/>
      <w:r>
        <w:rPr>
          <w:rFonts w:hint="eastAsia" w:ascii="仿宋" w:hAnsi="仿宋" w:eastAsia="仿宋" w:cs="仿宋"/>
          <w:b/>
          <w:bCs/>
          <w:color w:val="auto"/>
          <w:sz w:val="24"/>
          <w:highlight w:val="none"/>
          <w:lang w:val="en-US" w:eastAsia="zh-CN"/>
        </w:rPr>
        <w:t>合同参考格式</w:t>
      </w:r>
    </w:p>
    <w:p w14:paraId="2C3C62AB">
      <w:pPr>
        <w:snapToGrid w:val="0"/>
        <w:spacing w:before="120" w:beforeLines="50" w:after="120" w:afterLines="50"/>
        <w:jc w:val="center"/>
        <w:rPr>
          <w:rFonts w:hint="eastAsia" w:ascii="仿宋" w:hAnsi="仿宋" w:eastAsia="仿宋" w:cs="仿宋"/>
          <w:b/>
          <w:color w:val="000000" w:themeColor="text1"/>
          <w:sz w:val="32"/>
          <w:szCs w:val="32"/>
          <w:highlight w:val="none"/>
          <w:lang w:val="zh-CN"/>
          <w14:textFill>
            <w14:solidFill>
              <w14:schemeClr w14:val="tx1"/>
            </w14:solidFill>
          </w14:textFill>
        </w:rPr>
      </w:pPr>
    </w:p>
    <w:p w14:paraId="7C4128A7">
      <w:pPr>
        <w:snapToGrid w:val="0"/>
        <w:spacing w:before="120" w:beforeLines="50" w:after="120" w:afterLines="50"/>
        <w:jc w:val="center"/>
        <w:rPr>
          <w:rFonts w:hint="eastAsia"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lang w:val="zh-CN" w:eastAsia="zh-CN"/>
          <w14:textFill>
            <w14:solidFill>
              <w14:schemeClr w14:val="tx1"/>
            </w14:solidFill>
          </w14:textFill>
        </w:rPr>
        <w:t>白杨街道凌云未来社区用房广告设计制作一体化项目</w:t>
      </w:r>
      <w:r>
        <w:rPr>
          <w:rFonts w:hint="eastAsia" w:ascii="仿宋" w:hAnsi="仿宋" w:eastAsia="仿宋" w:cs="仿宋"/>
          <w:b/>
          <w:color w:val="000000" w:themeColor="text1"/>
          <w:sz w:val="32"/>
          <w:szCs w:val="32"/>
          <w:highlight w:val="none"/>
          <w:lang w:val="zh-CN"/>
          <w14:textFill>
            <w14:solidFill>
              <w14:schemeClr w14:val="tx1"/>
            </w14:solidFill>
          </w14:textFill>
        </w:rPr>
        <w:t>合同</w:t>
      </w:r>
    </w:p>
    <w:p w14:paraId="6D6EEC0A">
      <w:pPr>
        <w:adjustRightInd w:val="0"/>
        <w:snapToGrid w:val="0"/>
        <w:spacing w:line="360" w:lineRule="auto"/>
        <w:ind w:firstLine="422" w:firstLineChars="200"/>
        <w:rPr>
          <w:rFonts w:hint="eastAsia" w:ascii="仿宋" w:hAnsi="仿宋" w:eastAsia="仿宋" w:cs="仿宋"/>
          <w:b/>
          <w:color w:val="auto"/>
          <w:szCs w:val="21"/>
          <w:highlight w:val="none"/>
        </w:rPr>
      </w:pPr>
    </w:p>
    <w:p w14:paraId="45D4B2F1">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杭州市钱塘区人民政府白杨街道办事处</w:t>
      </w:r>
    </w:p>
    <w:p w14:paraId="49A0FA0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580BC7F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609FF14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C4930C1">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highlight w:val="none"/>
        </w:rPr>
      </w:pPr>
    </w:p>
    <w:p w14:paraId="714FEED7">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w:t>
      </w:r>
    </w:p>
    <w:p w14:paraId="63B6AEA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2F1010F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423CD25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1736354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14:paraId="7720E5D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17B2446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028A62C">
      <w:pPr>
        <w:adjustRightInd w:val="0"/>
        <w:snapToGrid w:val="0"/>
        <w:spacing w:line="360" w:lineRule="auto"/>
        <w:ind w:firstLine="480" w:firstLineChars="200"/>
        <w:rPr>
          <w:rFonts w:hint="eastAsia" w:ascii="仿宋" w:hAnsi="仿宋" w:eastAsia="仿宋" w:cs="仿宋"/>
          <w:color w:val="auto"/>
          <w:sz w:val="24"/>
          <w:highlight w:val="none"/>
        </w:rPr>
      </w:pPr>
    </w:p>
    <w:p w14:paraId="2CB2C667">
      <w:pPr>
        <w:pStyle w:val="14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白杨街道凌云未来社区用房广告设计制作一体化项目</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QTCG-GK-2024-295</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14:paraId="3B227ABD">
      <w:pPr>
        <w:pStyle w:val="14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szCs w:val="24"/>
          <w:highlight w:val="none"/>
        </w:rPr>
      </w:pPr>
    </w:p>
    <w:p w14:paraId="72AF2B3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合同</w:t>
      </w:r>
      <w:r>
        <w:rPr>
          <w:rFonts w:hint="eastAsia" w:ascii="仿宋" w:hAnsi="仿宋" w:eastAsia="仿宋" w:cs="仿宋"/>
          <w:b/>
          <w:color w:val="auto"/>
          <w:sz w:val="24"/>
          <w:szCs w:val="24"/>
          <w:highlight w:val="none"/>
        </w:rPr>
        <w:t>内容</w:t>
      </w:r>
    </w:p>
    <w:p w14:paraId="26D34C29">
      <w:pPr>
        <w:keepNext w:val="0"/>
        <w:keepLines w:val="0"/>
        <w:pageBreakBefore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甲方委托乙方</w:t>
      </w:r>
      <w:r>
        <w:rPr>
          <w:rFonts w:hint="eastAsia" w:ascii="仿宋" w:hAnsi="仿宋" w:eastAsia="仿宋" w:cs="仿宋"/>
          <w:color w:val="auto"/>
          <w:sz w:val="24"/>
          <w:szCs w:val="24"/>
          <w:highlight w:val="none"/>
          <w:lang w:val="en-US" w:eastAsia="zh-CN"/>
        </w:rPr>
        <w:t>负责</w:t>
      </w:r>
      <w:r>
        <w:rPr>
          <w:rFonts w:hint="eastAsia" w:ascii="仿宋" w:hAnsi="仿宋" w:eastAsia="仿宋" w:cs="仿宋"/>
          <w:color w:val="auto"/>
          <w:sz w:val="24"/>
          <w:szCs w:val="24"/>
          <w:highlight w:val="none"/>
          <w:u w:val="single"/>
          <w:lang w:val="en-US" w:eastAsia="zh-CN" w:bidi="zh-CN"/>
        </w:rPr>
        <w:t>白杨街道凌云未来社区用房广告设计制作一体化项目</w:t>
      </w:r>
      <w:r>
        <w:rPr>
          <w:rFonts w:hint="eastAsia" w:ascii="仿宋" w:hAnsi="仿宋" w:eastAsia="仿宋" w:cs="仿宋"/>
          <w:color w:val="auto"/>
          <w:sz w:val="24"/>
          <w:szCs w:val="24"/>
          <w:highlight w:val="none"/>
          <w:u w:val="single"/>
          <w:lang w:bidi="zh-CN"/>
        </w:rPr>
        <w:t>及相关服务</w:t>
      </w:r>
      <w:r>
        <w:rPr>
          <w:rFonts w:hint="eastAsia" w:ascii="仿宋" w:hAnsi="仿宋" w:eastAsia="仿宋" w:cs="仿宋"/>
          <w:color w:val="auto"/>
          <w:sz w:val="24"/>
          <w:szCs w:val="24"/>
          <w:highlight w:val="none"/>
        </w:rPr>
        <w:t>，乙方接受甲方委托。乙方提供服务的具体内容及要求等为：</w:t>
      </w:r>
      <w:r>
        <w:rPr>
          <w:rFonts w:hint="eastAsia" w:ascii="仿宋" w:hAnsi="仿宋" w:eastAsia="仿宋" w:cs="仿宋"/>
          <w:color w:val="auto"/>
          <w:sz w:val="24"/>
          <w:szCs w:val="24"/>
          <w:highlight w:val="none"/>
          <w:u w:val="single"/>
        </w:rPr>
        <w:t>（详见招标文件</w:t>
      </w:r>
      <w:r>
        <w:rPr>
          <w:rFonts w:hint="eastAsia" w:ascii="仿宋" w:hAnsi="仿宋" w:eastAsia="仿宋" w:cs="仿宋"/>
          <w:color w:val="auto"/>
          <w:sz w:val="24"/>
          <w:szCs w:val="24"/>
          <w:highlight w:val="none"/>
          <w:u w:val="single"/>
          <w:lang w:val="en-US" w:eastAsia="zh-CN"/>
        </w:rPr>
        <w:t>用户需求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6BEA81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深化设计方案、物料清单可以以附件形式提供。</w:t>
      </w:r>
    </w:p>
    <w:p w14:paraId="1A961F3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、服务期（最终根据甲方要求双方协商确定）</w:t>
      </w:r>
    </w:p>
    <w:p w14:paraId="3BB9BB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1.时间：合同签订后</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天按</w:t>
      </w:r>
      <w:r>
        <w:rPr>
          <w:rFonts w:hint="eastAsia" w:ascii="仿宋" w:hAnsi="仿宋" w:eastAsia="仿宋" w:cs="仿宋"/>
          <w:color w:val="000000" w:themeColor="text1"/>
          <w:sz w:val="24"/>
          <w:szCs w:val="24"/>
          <w:lang w:val="en-US" w:eastAsia="zh-CN"/>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要求完成方案深化设计，达到实施深度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整体上合同签订后</w:t>
      </w:r>
      <w:r>
        <w:rPr>
          <w:rFonts w:hint="eastAsia" w:ascii="仿宋" w:hAnsi="仿宋" w:eastAsia="仿宋" w:cs="仿宋"/>
          <w:color w:val="000000" w:themeColor="text1"/>
          <w:sz w:val="24"/>
          <w:szCs w:val="24"/>
          <w:lang w:val="en-US" w:eastAsia="zh-CN"/>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天内完成全部内容通过验收。</w:t>
      </w:r>
    </w:p>
    <w:p w14:paraId="74E693C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2.如因乙方管理不力、计划不周、投入不足造成工期延误的，均由乙方负责。</w:t>
      </w:r>
    </w:p>
    <w:p w14:paraId="4CA14B4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三、合同总价</w:t>
      </w:r>
    </w:p>
    <w:p w14:paraId="03B11CD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1.本项目合同总价为____________万元，大写_____________。</w:t>
      </w:r>
    </w:p>
    <w:p w14:paraId="1CD6241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2.该承包价格是按照合同条款的规定和要求，完成从开工至项目完工、交工验收和保修期服务等承包内容的全部费用。</w:t>
      </w:r>
    </w:p>
    <w:p w14:paraId="0983EE8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3.甲方保留调整方案及设施的权利。发生时，对调整部分的合同款价做相应调整，乙方应无条件接受。</w:t>
      </w:r>
    </w:p>
    <w:p w14:paraId="5DC1581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4.双方约定合同价款的其他调整因素：</w:t>
      </w:r>
    </w:p>
    <w:p w14:paraId="028CD7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（1）人力不可抗拒的特大自然灾害造成承包方的直接经济损失，根据实际情况调整。</w:t>
      </w:r>
    </w:p>
    <w:p w14:paraId="0E1808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（2）因设计变更引起工程量变化（乙方必须无条件执行）。</w:t>
      </w:r>
    </w:p>
    <w:p w14:paraId="0AA331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（3）设计变更引起造价增减，按下列原则确定：</w:t>
      </w:r>
    </w:p>
    <w:p w14:paraId="32EAB01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a、设备材料清单或合同中已有适用于变更工程的价格，按已有的价格计算，对工程变更价款有约定的，按约定组价。</w:t>
      </w:r>
    </w:p>
    <w:p w14:paraId="682735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b、设备材料清单或合同中只有类似于变更工程的价格，可以参照类似价格确定。</w:t>
      </w:r>
    </w:p>
    <w:p w14:paraId="047B647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c、设备材料清单或合同中没有类似工程项目单价的，则由双方协商确定。</w:t>
      </w:r>
    </w:p>
    <w:p w14:paraId="43F45EF3">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14:textFill>
            <w14:solidFill>
              <w14:schemeClr w14:val="tx1"/>
            </w14:solidFill>
          </w14:textFill>
        </w:rPr>
      </w:pPr>
      <w:bookmarkStart w:id="117" w:name="_Toc120437450"/>
      <w:r>
        <w:rPr>
          <w:rFonts w:hint="eastAsia" w:ascii="仿宋" w:hAnsi="仿宋" w:eastAsia="仿宋" w:cs="仿宋"/>
          <w:b/>
          <w:color w:val="auto"/>
          <w:sz w:val="24"/>
          <w:szCs w:val="24"/>
        </w:rPr>
        <w:t>四、</w:t>
      </w:r>
      <w:r>
        <w:rPr>
          <w:rFonts w:hint="eastAsia" w:ascii="仿宋" w:hAnsi="仿宋" w:eastAsia="仿宋" w:cs="仿宋"/>
          <w:b/>
          <w:color w:val="000000" w:themeColor="text1"/>
          <w:sz w:val="24"/>
          <w:szCs w:val="24"/>
          <w14:textFill>
            <w14:solidFill>
              <w14:schemeClr w14:val="tx1"/>
            </w14:solidFill>
          </w14:textFill>
        </w:rPr>
        <w:t>履约保证金</w:t>
      </w:r>
    </w:p>
    <w:p w14:paraId="089F6A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1.履约保证金递交形式：银行、保险公司出具的保函形式；</w:t>
      </w:r>
    </w:p>
    <w:p w14:paraId="4B3F8A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2.金额：合同总价的1%。</w:t>
      </w:r>
    </w:p>
    <w:p w14:paraId="605CD0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3.签订合同后15天内，乙方向甲方缴纳履约保证金；在</w:t>
      </w:r>
      <w:r>
        <w:rPr>
          <w:rFonts w:hint="default" w:ascii="仿宋" w:hAnsi="仿宋" w:eastAsia="仿宋" w:cs="仿宋"/>
          <w:color w:val="000000" w:themeColor="text1"/>
          <w:sz w:val="24"/>
          <w:highlight w:val="none"/>
          <w:lang w:val="en-US" w:eastAsia="zh-CN"/>
          <w14:textFill>
            <w14:solidFill>
              <w14:schemeClr w14:val="tx1"/>
            </w14:solidFill>
          </w14:textFill>
        </w:rPr>
        <w:t>项目完成履约验收后15天</w:t>
      </w:r>
      <w:r>
        <w:rPr>
          <w:rFonts w:hint="eastAsia" w:ascii="仿宋" w:hAnsi="仿宋" w:eastAsia="仿宋" w:cs="仿宋"/>
          <w:color w:val="000000" w:themeColor="text1"/>
          <w:sz w:val="24"/>
          <w:highlight w:val="none"/>
          <w:lang w:val="en-US" w:eastAsia="zh-CN"/>
          <w14:textFill>
            <w14:solidFill>
              <w14:schemeClr w14:val="tx1"/>
            </w14:solidFill>
          </w14:textFill>
        </w:rPr>
        <w:t>内如未出现违约责任则予以退还。有违约责任的，从中扣除相应违约款项；不足的，从合同款中扣除。</w:t>
      </w:r>
    </w:p>
    <w:p w14:paraId="0B83AEC5">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五、合同支付与结算</w:t>
      </w:r>
      <w:bookmarkEnd w:id="117"/>
    </w:p>
    <w:p w14:paraId="3EE45E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bookmarkStart w:id="118" w:name="_Toc120437443"/>
      <w:bookmarkStart w:id="119" w:name="_Toc120437447"/>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合同生效以及具备实施条件后5个工作日内，</w:t>
      </w:r>
      <w:r>
        <w:rPr>
          <w:rFonts w:hint="eastAsia" w:ascii="仿宋" w:hAnsi="仿宋" w:eastAsia="仿宋" w:cs="仿宋"/>
          <w:color w:val="000000" w:themeColor="text1"/>
          <w:sz w:val="24"/>
          <w:highlight w:val="none"/>
          <w:lang w:val="en-US" w:eastAsia="zh-CN"/>
          <w14:textFill>
            <w14:solidFill>
              <w14:schemeClr w14:val="tx1"/>
            </w14:solidFill>
          </w14:textFill>
        </w:rPr>
        <w:t>甲方向乙方支付</w:t>
      </w:r>
      <w:r>
        <w:rPr>
          <w:rFonts w:hint="eastAsia" w:ascii="仿宋" w:hAnsi="仿宋" w:eastAsia="仿宋" w:cs="仿宋"/>
          <w:color w:val="000000" w:themeColor="text1"/>
          <w:sz w:val="24"/>
          <w:highlight w:val="none"/>
          <w14:textFill>
            <w14:solidFill>
              <w14:schemeClr w14:val="tx1"/>
            </w14:solidFill>
          </w14:textFill>
        </w:rPr>
        <w:t>合同总金额的40%；（在签订合同时，</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明确表示无需预付款或者主动要求降低预付款比例的，可不适用预付款相关规定；签订合同时，要求提供预付款的，</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提交等额预付款保函）</w:t>
      </w:r>
    </w:p>
    <w:p w14:paraId="7D4FFD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2、服务内容全部完成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甲方向乙方支付</w:t>
      </w:r>
      <w:r>
        <w:rPr>
          <w:rFonts w:hint="eastAsia" w:ascii="仿宋" w:hAnsi="仿宋" w:eastAsia="仿宋" w:cs="仿宋"/>
          <w:color w:val="000000" w:themeColor="text1"/>
          <w:sz w:val="24"/>
          <w:highlight w:val="none"/>
          <w14:textFill>
            <w14:solidFill>
              <w14:schemeClr w14:val="tx1"/>
            </w14:solidFill>
          </w14:textFill>
        </w:rPr>
        <w:t>合同总金额的40%；</w:t>
      </w:r>
    </w:p>
    <w:p w14:paraId="3B7D083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3、履约验收通过满足支付条件5个工作日内</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甲方向乙方</w:t>
      </w:r>
      <w:r>
        <w:rPr>
          <w:rFonts w:hint="eastAsia" w:ascii="仿宋" w:hAnsi="仿宋" w:eastAsia="仿宋" w:cs="仿宋"/>
          <w:color w:val="000000" w:themeColor="text1"/>
          <w:sz w:val="24"/>
          <w:highlight w:val="none"/>
          <w14:textFill>
            <w14:solidFill>
              <w14:schemeClr w14:val="tx1"/>
            </w14:solidFill>
          </w14:textFill>
        </w:rPr>
        <w:t>支付至</w:t>
      </w:r>
      <w:r>
        <w:rPr>
          <w:rFonts w:hint="eastAsia" w:ascii="仿宋" w:hAnsi="仿宋" w:eastAsia="仿宋" w:cs="仿宋"/>
          <w:color w:val="000000" w:themeColor="text1"/>
          <w:sz w:val="24"/>
          <w:highlight w:val="none"/>
          <w:lang w:val="en-US" w:eastAsia="zh-CN"/>
          <w14:textFill>
            <w14:solidFill>
              <w14:schemeClr w14:val="tx1"/>
            </w14:solidFill>
          </w14:textFill>
        </w:rPr>
        <w:t>本项目</w:t>
      </w:r>
      <w:r>
        <w:rPr>
          <w:rFonts w:hint="eastAsia" w:ascii="仿宋" w:hAnsi="仿宋" w:eastAsia="仿宋" w:cs="仿宋"/>
          <w:color w:val="000000" w:themeColor="text1"/>
          <w:sz w:val="24"/>
          <w:highlight w:val="none"/>
          <w14:textFill>
            <w14:solidFill>
              <w14:schemeClr w14:val="tx1"/>
            </w14:solidFill>
          </w14:textFill>
        </w:rPr>
        <w:t>审</w:t>
      </w:r>
      <w:r>
        <w:rPr>
          <w:rFonts w:hint="eastAsia" w:ascii="仿宋" w:hAnsi="仿宋" w:eastAsia="仿宋" w:cs="仿宋"/>
          <w:color w:val="000000" w:themeColor="text1"/>
          <w:sz w:val="24"/>
          <w:highlight w:val="none"/>
          <w:lang w:val="en-US" w:eastAsia="zh-CN"/>
          <w14:textFill>
            <w14:solidFill>
              <w14:schemeClr w14:val="tx1"/>
            </w14:solidFill>
          </w14:textFill>
        </w:rPr>
        <w:t>定</w:t>
      </w:r>
      <w:r>
        <w:rPr>
          <w:rFonts w:hint="eastAsia" w:ascii="仿宋" w:hAnsi="仿宋" w:eastAsia="仿宋" w:cs="仿宋"/>
          <w:color w:val="000000" w:themeColor="text1"/>
          <w:sz w:val="24"/>
          <w:highlight w:val="none"/>
          <w14:textFill>
            <w14:solidFill>
              <w14:schemeClr w14:val="tx1"/>
            </w14:solidFill>
          </w14:textFill>
        </w:rPr>
        <w:t>价的</w:t>
      </w:r>
      <w:r>
        <w:rPr>
          <w:rFonts w:hint="eastAsia" w:ascii="仿宋" w:hAnsi="仿宋" w:eastAsia="仿宋" w:cs="仿宋"/>
          <w:color w:val="000000" w:themeColor="text1"/>
          <w:sz w:val="24"/>
          <w:highlight w:val="none"/>
          <w:lang w:val="en-US" w:eastAsia="zh-CN"/>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下审计</w:t>
      </w:r>
      <w:r>
        <w:rPr>
          <w:rFonts w:hint="eastAsia" w:ascii="仿宋" w:hAnsi="仿宋" w:eastAsia="仿宋" w:cs="仿宋"/>
          <w:color w:val="000000" w:themeColor="text1"/>
          <w:sz w:val="24"/>
          <w:highlight w:val="none"/>
          <w:lang w:eastAsia="zh-CN"/>
          <w14:textFill>
            <w14:solidFill>
              <w14:schemeClr w14:val="tx1"/>
            </w14:solidFill>
          </w14:textFill>
        </w:rPr>
        <w:t>）</w:t>
      </w:r>
    </w:p>
    <w:p w14:paraId="7E9AB01A">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乙方必须提供给甲方相应款项</w:t>
      </w:r>
      <w:r>
        <w:rPr>
          <w:rFonts w:hint="eastAsia" w:ascii="仿宋" w:hAnsi="仿宋" w:eastAsia="仿宋" w:cs="仿宋"/>
          <w:color w:val="auto"/>
          <w:sz w:val="24"/>
          <w:highlight w:val="none"/>
          <w:lang w:val="en-US" w:eastAsia="zh-CN"/>
        </w:rPr>
        <w:t>一致的全额、正规、合法、有效的发票，否则甲方有权延期付款</w:t>
      </w:r>
      <w:r>
        <w:rPr>
          <w:rFonts w:hint="eastAsia" w:ascii="仿宋" w:hAnsi="仿宋" w:eastAsia="仿宋" w:cs="仿宋"/>
          <w:color w:val="auto"/>
          <w:sz w:val="24"/>
          <w:highlight w:val="none"/>
        </w:rPr>
        <w:t>。</w:t>
      </w:r>
    </w:p>
    <w:p w14:paraId="40FFC6D8">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六、实施人员</w:t>
      </w:r>
      <w:bookmarkEnd w:id="118"/>
    </w:p>
    <w:p w14:paraId="1713D6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1.乙方投入本项目实施人员的素质、能力、力量和机械等必须符合投标文件的承诺和满足项目的实际需要。</w:t>
      </w:r>
    </w:p>
    <w:p w14:paraId="3BB8289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2.如项目现场管理混乱，项目质量和进度明显达不到合同要求时，甲方有权要求其加强管理，调整和充实力量，乙方必须接受，当上述措施仍无效时，甲方可终止合同，并追究乙方的经济责任。</w:t>
      </w:r>
    </w:p>
    <w:p w14:paraId="2D5DB2AB">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七、设备、材料供应</w:t>
      </w:r>
      <w:bookmarkEnd w:id="119"/>
      <w:r>
        <w:rPr>
          <w:rFonts w:hint="eastAsia" w:ascii="仿宋" w:hAnsi="仿宋" w:eastAsia="仿宋" w:cs="仿宋"/>
          <w:b/>
          <w:color w:val="auto"/>
          <w:sz w:val="24"/>
          <w:szCs w:val="24"/>
        </w:rPr>
        <w:t xml:space="preserve"> </w:t>
      </w:r>
    </w:p>
    <w:p w14:paraId="552AD6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1、本项目中所用的全部设施、材料由乙方自行采购、保管（费用由乙方自理），但必须接受甲方的检查监督。</w:t>
      </w:r>
    </w:p>
    <w:p w14:paraId="16056FF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采购供应的设施、材料均需附合格证、质保书等必要资料，保证按ISO9000系列标准（如果已经执行）或相应的质量管理和质量保证体系，对所供设施进行严格的质量管理和质量控制。经双方检验，甲方确认后，方可交付使用。任何一方对材料的质量有疑问时，有权要求复验。如复验合格，其复验费用由提出复验方负责。如复验不合格，复验费用以及相应的经济损失由材料采购供应方承担。</w:t>
      </w:r>
    </w:p>
    <w:p w14:paraId="16209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3、乙方必须保证所提供的设施是全新的、未使用过的。</w:t>
      </w:r>
    </w:p>
    <w:p w14:paraId="39A6CF08">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八、专利权</w:t>
      </w:r>
    </w:p>
    <w:p w14:paraId="208E860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乙方对一切可能的侵权指控负责，并承担由此而引起的一切费用和甲方的损失。</w:t>
      </w:r>
    </w:p>
    <w:p w14:paraId="36838ABB">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九、技术支持</w:t>
      </w:r>
    </w:p>
    <w:p w14:paraId="2BC72B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安装、装饰装修按照有关标准执行。</w:t>
      </w:r>
    </w:p>
    <w:p w14:paraId="5631AB98">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十、项目界面</w:t>
      </w:r>
    </w:p>
    <w:p w14:paraId="4FFDA88F">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乙方所实施的内容包括：方案深化设计、图纸深化设计及所有设施的制作、供货、安装与调试，并对技术方案中所提及的全部功能及技术指标、服务承诺等负责。</w:t>
      </w:r>
    </w:p>
    <w:p w14:paraId="43C1A385">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十一、项目质量</w:t>
      </w:r>
    </w:p>
    <w:p w14:paraId="06EAE8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1．甲方派专人对项目的现场管理、实施质量和进度进行监督、检查和管理。</w:t>
      </w:r>
    </w:p>
    <w:p w14:paraId="0314FB6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甲方代表如发现制作安装工艺质量不符合要求者，有权通知乙方进行整改、停工或返工，乙方必须接受。且由此发生的费用和工期损失均由乙方承担。甲方有权对项目所有部位以及任何工艺、设施和材料进行检查和检验。乙方应为甲方的工作提供一切方便并提供必要的数据。</w:t>
      </w:r>
    </w:p>
    <w:p w14:paraId="1C08DAE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3．乙方保证设施在正常使用和维护保养的情况下，具有使甲方满意的使用性能和使用寿命。</w:t>
      </w:r>
    </w:p>
    <w:p w14:paraId="0CD94A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4．乙方应按照有关规定，及时如实整理项目进度记录和技术资料，完工后及时书面通知甲方组织验收。</w:t>
      </w:r>
    </w:p>
    <w:p w14:paraId="09992C1B">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lang w:eastAsia="zh-CN"/>
        </w:rPr>
      </w:pPr>
      <w:bookmarkStart w:id="120" w:name="_Toc120437451"/>
      <w:r>
        <w:rPr>
          <w:rFonts w:hint="eastAsia" w:ascii="仿宋" w:hAnsi="仿宋" w:eastAsia="仿宋" w:cs="仿宋"/>
          <w:b/>
          <w:color w:val="auto"/>
          <w:sz w:val="24"/>
          <w:szCs w:val="24"/>
          <w:lang w:eastAsia="zh-CN"/>
        </w:rPr>
        <w:t>十二、验收</w:t>
      </w:r>
    </w:p>
    <w:p w14:paraId="0B5C5B7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1.甲方在乙方提供服务的过程中，有权不定期对服务内容和质量进行考核。乙方应当配合进行。</w:t>
      </w:r>
    </w:p>
    <w:p w14:paraId="09291A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auto"/>
          <w:sz w:val="24"/>
          <w:szCs w:val="24"/>
          <w:lang w:val="en-US" w:eastAsia="zh-CN"/>
        </w:rPr>
        <w:t>2.</w:t>
      </w:r>
      <w:r>
        <w:rPr>
          <w:rFonts w:hint="eastAsia" w:ascii="仿宋" w:hAnsi="仿宋" w:eastAsia="仿宋" w:cs="仿宋"/>
          <w:color w:val="000000" w:themeColor="text1"/>
          <w:sz w:val="24"/>
          <w14:textFill>
            <w14:solidFill>
              <w14:schemeClr w14:val="tx1"/>
            </w14:solidFill>
          </w14:textFill>
        </w:rPr>
        <w:t>经甲方委托的审计单位审计完成</w:t>
      </w:r>
      <w:r>
        <w:rPr>
          <w:rFonts w:hint="eastAsia" w:ascii="仿宋" w:hAnsi="仿宋" w:eastAsia="仿宋" w:cs="仿宋"/>
          <w:color w:val="000000" w:themeColor="text1"/>
          <w:sz w:val="24"/>
          <w:lang w:val="en-US" w:eastAsia="zh-CN"/>
          <w14:textFill>
            <w14:solidFill>
              <w14:schemeClr w14:val="tx1"/>
            </w14:solidFill>
          </w14:textFill>
        </w:rPr>
        <w:t>后，乙方将项目相关</w:t>
      </w:r>
      <w:r>
        <w:rPr>
          <w:rFonts w:hint="eastAsia" w:ascii="仿宋" w:hAnsi="仿宋" w:eastAsia="仿宋" w:cs="仿宋"/>
          <w:color w:val="000000" w:themeColor="text1"/>
          <w:sz w:val="24"/>
          <w14:textFill>
            <w14:solidFill>
              <w14:schemeClr w14:val="tx1"/>
            </w14:solidFill>
          </w14:textFill>
        </w:rPr>
        <w:t>资料归档</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lang w:val="en-US" w:eastAsia="zh-CN"/>
          <w14:textFill>
            <w14:solidFill>
              <w14:schemeClr w14:val="tx1"/>
            </w14:solidFill>
          </w14:textFill>
        </w:rPr>
        <w:t>组织履约验收。</w:t>
      </w:r>
    </w:p>
    <w:p w14:paraId="5AA027E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验收内容：乙方实际完成的情况是否符合</w:t>
      </w:r>
      <w:r>
        <w:rPr>
          <w:rFonts w:hint="eastAsia" w:ascii="仿宋" w:hAnsi="仿宋" w:eastAsia="仿宋" w:cs="仿宋"/>
          <w:color w:val="000000" w:themeColor="text1"/>
          <w:sz w:val="24"/>
          <w:szCs w:val="24"/>
          <w:lang w:val="en-US" w:eastAsia="zh-CN"/>
          <w14:textFill>
            <w14:solidFill>
              <w14:schemeClr w14:val="tx1"/>
            </w14:solidFill>
          </w14:textFill>
        </w:rPr>
        <w:t>招标</w:t>
      </w:r>
      <w:r>
        <w:rPr>
          <w:rFonts w:hint="eastAsia" w:ascii="仿宋" w:hAnsi="仿宋" w:eastAsia="仿宋" w:cs="仿宋"/>
          <w:color w:val="000000" w:themeColor="text1"/>
          <w:sz w:val="24"/>
          <w:szCs w:val="24"/>
          <w:lang w:eastAsia="zh-CN"/>
          <w14:textFill>
            <w14:solidFill>
              <w14:schemeClr w14:val="tx1"/>
            </w14:solidFill>
          </w14:textFill>
        </w:rPr>
        <w:t>文件要求和乙方在投标响应文件中的商务、技术承诺。</w:t>
      </w:r>
    </w:p>
    <w:p w14:paraId="24946C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.验收时乙方应在现场，验收完毕后作出验收结果报告；验收产生的费用，由乙方承担。</w:t>
      </w:r>
    </w:p>
    <w:p w14:paraId="759604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0802BBF3">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w:t>
      </w:r>
      <w:r>
        <w:rPr>
          <w:rFonts w:hint="eastAsia" w:ascii="仿宋" w:hAnsi="仿宋" w:eastAsia="仿宋" w:cs="仿宋"/>
          <w:b/>
          <w:color w:val="000000" w:themeColor="text1"/>
          <w:sz w:val="24"/>
          <w:szCs w:val="24"/>
          <w:lang w:eastAsia="zh-CN"/>
          <w14:textFill>
            <w14:solidFill>
              <w14:schemeClr w14:val="tx1"/>
            </w14:solidFill>
          </w14:textFill>
        </w:rPr>
        <w:t>三</w:t>
      </w:r>
      <w:r>
        <w:rPr>
          <w:rFonts w:hint="eastAsia" w:ascii="仿宋" w:hAnsi="仿宋" w:eastAsia="仿宋" w:cs="仿宋"/>
          <w:b/>
          <w:color w:val="000000" w:themeColor="text1"/>
          <w:sz w:val="24"/>
          <w:szCs w:val="24"/>
          <w14:textFill>
            <w14:solidFill>
              <w14:schemeClr w14:val="tx1"/>
            </w14:solidFill>
          </w14:textFill>
        </w:rPr>
        <w:t>、保修</w:t>
      </w:r>
      <w:bookmarkEnd w:id="120"/>
    </w:p>
    <w:p w14:paraId="0F286CBD">
      <w:pPr>
        <w:pStyle w:val="26"/>
        <w:keepNext w:val="0"/>
        <w:keepLines w:val="0"/>
        <w:pageBreakBefore w:val="0"/>
        <w:tabs>
          <w:tab w:val="left" w:pos="1086"/>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1.质量保修期：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（根据乙方投标文件响应内容；不得低于24个月）</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1228A39">
      <w:pPr>
        <w:pStyle w:val="26"/>
        <w:keepNext w:val="0"/>
        <w:keepLines w:val="0"/>
        <w:pageBreakBefore w:val="0"/>
        <w:tabs>
          <w:tab w:val="left" w:pos="1086"/>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2.在保修期内，一旦发生故障，而甲方无法自行排除时，在接到甲方通知后，乙方应立即派人前往甲方现场处理并及时提供备品、备件。</w:t>
      </w:r>
    </w:p>
    <w:p w14:paraId="5C5D61FF">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bookmarkStart w:id="121" w:name="_Toc120437452"/>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、违约责任和争议</w:t>
      </w:r>
      <w:bookmarkEnd w:id="121"/>
    </w:p>
    <w:p w14:paraId="0EDC09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1．甲乙双方必须严格执行本合同的各项条款与规定，如不执行或执行不力给项目造成损失的，应承担相应的技术或经济责任。</w:t>
      </w:r>
    </w:p>
    <w:p w14:paraId="20F02F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2．任何一方未按合同履行义务，经双方协商未果，可要求有关主管部门调解。如其中一方不愿调解或调解不成时，可</w:t>
      </w:r>
      <w:r>
        <w:rPr>
          <w:rFonts w:hint="eastAsia" w:ascii="仿宋" w:hAnsi="仿宋" w:eastAsia="仿宋" w:cs="仿宋"/>
          <w:color w:val="auto"/>
          <w:sz w:val="24"/>
          <w:szCs w:val="24"/>
          <w:lang w:val="en-US" w:eastAsia="zh-CN"/>
        </w:rPr>
        <w:t>向甲方所在地法院起诉</w:t>
      </w:r>
      <w:r>
        <w:rPr>
          <w:rFonts w:hint="eastAsia" w:ascii="仿宋" w:hAnsi="仿宋" w:eastAsia="仿宋" w:cs="仿宋"/>
          <w:color w:val="auto"/>
          <w:sz w:val="24"/>
          <w:szCs w:val="24"/>
        </w:rPr>
        <w:t>。</w:t>
      </w:r>
    </w:p>
    <w:p w14:paraId="1F4740E8">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bookmarkStart w:id="122" w:name="_Toc120437453"/>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、合同生效</w:t>
      </w:r>
      <w:bookmarkEnd w:id="122"/>
    </w:p>
    <w:p w14:paraId="74F4E9D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本合同经双方加盖单位印章和法定代表人或其授权代表签字（盖章）后生效。</w:t>
      </w:r>
    </w:p>
    <w:p w14:paraId="3B7883A8">
      <w:pPr>
        <w:keepNext w:val="0"/>
        <w:keepLines w:val="0"/>
        <w:pageBreakBefore w:val="0"/>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rPr>
      </w:pPr>
      <w:bookmarkStart w:id="123" w:name="_Toc120437455"/>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、其它</w:t>
      </w:r>
      <w:bookmarkEnd w:id="123"/>
    </w:p>
    <w:p w14:paraId="1AAF27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1.本合同未尽事</w:t>
      </w:r>
      <w:r>
        <w:rPr>
          <w:rFonts w:hint="eastAsia" w:ascii="仿宋" w:hAnsi="仿宋" w:eastAsia="仿宋" w:cs="仿宋"/>
          <w:color w:val="auto"/>
          <w:sz w:val="24"/>
          <w:szCs w:val="24"/>
          <w:lang w:eastAsia="zh-CN"/>
        </w:rPr>
        <w:t>宜，</w:t>
      </w:r>
      <w:r>
        <w:rPr>
          <w:rFonts w:hint="eastAsia" w:ascii="仿宋" w:hAnsi="仿宋" w:eastAsia="仿宋" w:cs="仿宋"/>
          <w:color w:val="auto"/>
          <w:sz w:val="24"/>
          <w:szCs w:val="24"/>
        </w:rPr>
        <w:t>双方应本着友好协商的精神根据国家的有关法律、法规、规定和项目实际对合同条款进行补充或修改。</w:t>
      </w:r>
    </w:p>
    <w:p w14:paraId="3D394E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2.经补充或修改后的合同条款所形成的合同补充协议书是合同的组成部分，对甲乙双方具有约束力。</w:t>
      </w:r>
    </w:p>
    <w:p w14:paraId="68DB961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3．本合同一式</w:t>
      </w:r>
      <w:r>
        <w:rPr>
          <w:rFonts w:hint="eastAsia" w:ascii="仿宋" w:hAnsi="仿宋" w:eastAsia="仿宋" w:cs="仿宋"/>
          <w:snapToGrid w:val="0"/>
          <w:color w:val="auto"/>
          <w:kern w:val="0"/>
          <w:sz w:val="24"/>
          <w:szCs w:val="24"/>
          <w:u w:val="single"/>
          <w:lang w:val="en-US" w:eastAsia="zh-CN"/>
        </w:rPr>
        <w:t xml:space="preserve"> 陆 </w:t>
      </w:r>
      <w:r>
        <w:rPr>
          <w:rFonts w:hint="eastAsia" w:ascii="仿宋" w:hAnsi="仿宋" w:eastAsia="仿宋" w:cs="仿宋"/>
          <w:snapToGrid w:val="0"/>
          <w:color w:val="auto"/>
          <w:kern w:val="0"/>
          <w:sz w:val="24"/>
          <w:szCs w:val="24"/>
        </w:rPr>
        <w:t>份，甲</w:t>
      </w:r>
      <w:r>
        <w:rPr>
          <w:rFonts w:hint="eastAsia" w:ascii="仿宋" w:hAnsi="仿宋" w:eastAsia="仿宋" w:cs="仿宋"/>
          <w:snapToGrid w:val="0"/>
          <w:color w:val="auto"/>
          <w:kern w:val="0"/>
          <w:sz w:val="24"/>
          <w:szCs w:val="24"/>
          <w:lang w:val="en-US" w:eastAsia="zh-CN"/>
        </w:rPr>
        <w:t>方执</w:t>
      </w:r>
      <w:r>
        <w:rPr>
          <w:rFonts w:hint="eastAsia" w:ascii="仿宋" w:hAnsi="仿宋" w:eastAsia="仿宋" w:cs="仿宋"/>
          <w:snapToGrid w:val="0"/>
          <w:color w:val="auto"/>
          <w:kern w:val="0"/>
          <w:sz w:val="24"/>
          <w:szCs w:val="24"/>
          <w:u w:val="single"/>
          <w:lang w:val="en-US" w:eastAsia="zh-CN"/>
        </w:rPr>
        <w:t xml:space="preserve"> 伍 </w:t>
      </w:r>
      <w:r>
        <w:rPr>
          <w:rFonts w:hint="eastAsia" w:ascii="仿宋" w:hAnsi="仿宋" w:eastAsia="仿宋" w:cs="仿宋"/>
          <w:snapToGrid w:val="0"/>
          <w:color w:val="auto"/>
          <w:kern w:val="0"/>
          <w:sz w:val="24"/>
          <w:szCs w:val="24"/>
          <w:lang w:val="en-US" w:eastAsia="zh-CN"/>
        </w:rPr>
        <w:t>份，乙方</w:t>
      </w:r>
      <w:r>
        <w:rPr>
          <w:rFonts w:hint="eastAsia" w:ascii="仿宋" w:hAnsi="仿宋" w:eastAsia="仿宋" w:cs="仿宋"/>
          <w:snapToGrid w:val="0"/>
          <w:color w:val="auto"/>
          <w:kern w:val="0"/>
          <w:sz w:val="24"/>
          <w:szCs w:val="24"/>
        </w:rPr>
        <w:t>执</w:t>
      </w:r>
      <w:r>
        <w:rPr>
          <w:rFonts w:hint="eastAsia" w:ascii="仿宋" w:hAnsi="仿宋" w:eastAsia="仿宋" w:cs="仿宋"/>
          <w:snapToGrid w:val="0"/>
          <w:color w:val="auto"/>
          <w:kern w:val="0"/>
          <w:sz w:val="24"/>
          <w:szCs w:val="24"/>
          <w:u w:val="single"/>
          <w:lang w:val="en-US" w:eastAsia="zh-CN"/>
        </w:rPr>
        <w:t xml:space="preserve"> 壹 </w:t>
      </w:r>
      <w:r>
        <w:rPr>
          <w:rFonts w:hint="eastAsia" w:ascii="仿宋" w:hAnsi="仿宋" w:eastAsia="仿宋" w:cs="仿宋"/>
          <w:snapToGrid w:val="0"/>
          <w:color w:val="auto"/>
          <w:kern w:val="0"/>
          <w:sz w:val="24"/>
          <w:szCs w:val="24"/>
        </w:rPr>
        <w:t>份，同等有效。</w:t>
      </w:r>
    </w:p>
    <w:p w14:paraId="6B58054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4. 附件。本协议附件包括：</w:t>
      </w:r>
      <w:r>
        <w:rPr>
          <w:rFonts w:hint="eastAsia" w:ascii="仿宋" w:hAnsi="仿宋" w:eastAsia="仿宋" w:cs="仿宋"/>
          <w:snapToGrid w:val="0"/>
          <w:color w:val="auto"/>
          <w:kern w:val="0"/>
          <w:sz w:val="24"/>
          <w:szCs w:val="24"/>
          <w:lang w:val="en-US" w:eastAsia="zh-CN"/>
        </w:rPr>
        <w:t>招标</w:t>
      </w:r>
      <w:r>
        <w:rPr>
          <w:rFonts w:hint="eastAsia" w:ascii="仿宋" w:hAnsi="仿宋" w:eastAsia="仿宋" w:cs="仿宋"/>
          <w:snapToGrid w:val="0"/>
          <w:color w:val="auto"/>
          <w:kern w:val="0"/>
          <w:sz w:val="24"/>
          <w:szCs w:val="24"/>
        </w:rPr>
        <w:t>文件、补充文件（如有）、投标文件、询标纪要及承诺（如有）、中标通知书、合同协议特定条款等均作为本合同的组成部分。附件是本协议不可分割的组成部分，以签署时间在后的优先。</w:t>
      </w:r>
    </w:p>
    <w:p w14:paraId="74D12247">
      <w:pPr>
        <w:adjustRightInd w:val="0"/>
        <w:snapToGrid w:val="0"/>
        <w:spacing w:line="360" w:lineRule="auto"/>
        <w:ind w:firstLine="482" w:firstLineChars="200"/>
        <w:rPr>
          <w:rFonts w:hint="eastAsia" w:ascii="仿宋" w:hAnsi="仿宋" w:eastAsia="仿宋" w:cs="仿宋"/>
          <w:b/>
          <w:i/>
          <w:color w:val="auto"/>
          <w:sz w:val="24"/>
          <w:szCs w:val="24"/>
          <w:highlight w:val="none"/>
        </w:rPr>
      </w:pPr>
    </w:p>
    <w:p w14:paraId="202C7D13">
      <w:pPr>
        <w:adjustRightInd w:val="0"/>
        <w:snapToGrid w:val="0"/>
        <w:spacing w:line="360" w:lineRule="auto"/>
        <w:ind w:firstLine="482" w:firstLineChars="200"/>
        <w:rPr>
          <w:rFonts w:hint="eastAsia" w:ascii="仿宋" w:hAnsi="仿宋" w:eastAsia="仿宋" w:cs="仿宋"/>
          <w:b/>
          <w:i/>
          <w:color w:val="auto"/>
          <w:sz w:val="24"/>
          <w:szCs w:val="24"/>
          <w:highlight w:val="none"/>
        </w:rPr>
      </w:pPr>
      <w:r>
        <w:rPr>
          <w:rFonts w:hint="eastAsia" w:ascii="仿宋" w:hAnsi="仿宋" w:eastAsia="仿宋" w:cs="仿宋"/>
          <w:b/>
          <w:i/>
          <w:color w:val="auto"/>
          <w:sz w:val="24"/>
          <w:szCs w:val="24"/>
          <w:highlight w:val="none"/>
        </w:rPr>
        <w:t>（本页无正文，为本合同签署页）注：如另起签署页的，需保留该内容。</w:t>
      </w:r>
    </w:p>
    <w:p w14:paraId="052FB53E">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14:paraId="6C474137">
        <w:tblPrEx>
          <w:tblCellMar>
            <w:top w:w="0" w:type="dxa"/>
            <w:left w:w="0" w:type="dxa"/>
            <w:bottom w:w="0" w:type="dxa"/>
            <w:right w:w="0" w:type="dxa"/>
          </w:tblCellMar>
        </w:tblPrEx>
        <w:trPr>
          <w:trHeight w:val="600" w:hRule="atLeast"/>
          <w:tblCellSpacing w:w="0" w:type="dxa"/>
        </w:trPr>
        <w:tc>
          <w:tcPr>
            <w:tcW w:w="5160" w:type="dxa"/>
            <w:noWrap w:val="0"/>
            <w:vAlign w:val="center"/>
          </w:tcPr>
          <w:p w14:paraId="35284E42">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甲方（采购单位）（盖章）： </w:t>
            </w:r>
          </w:p>
        </w:tc>
        <w:tc>
          <w:tcPr>
            <w:tcW w:w="3735" w:type="dxa"/>
            <w:noWrap w:val="0"/>
            <w:vAlign w:val="center"/>
          </w:tcPr>
          <w:p w14:paraId="36B95CDE">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乙方（供应商）（盖章）： </w:t>
            </w:r>
          </w:p>
        </w:tc>
      </w:tr>
      <w:tr w14:paraId="4EC91C36">
        <w:tblPrEx>
          <w:tblCellMar>
            <w:top w:w="0" w:type="dxa"/>
            <w:left w:w="0" w:type="dxa"/>
            <w:bottom w:w="0" w:type="dxa"/>
            <w:right w:w="0" w:type="dxa"/>
          </w:tblCellMar>
        </w:tblPrEx>
        <w:trPr>
          <w:trHeight w:val="705" w:hRule="atLeast"/>
          <w:tblCellSpacing w:w="0" w:type="dxa"/>
        </w:trPr>
        <w:tc>
          <w:tcPr>
            <w:tcW w:w="5160" w:type="dxa"/>
            <w:noWrap w:val="0"/>
            <w:vAlign w:val="center"/>
          </w:tcPr>
          <w:p w14:paraId="2450B30A">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p w14:paraId="74BEFC09">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c>
          <w:tcPr>
            <w:tcW w:w="3735" w:type="dxa"/>
            <w:noWrap w:val="0"/>
            <w:vAlign w:val="center"/>
          </w:tcPr>
          <w:p w14:paraId="73A9FB12">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p w14:paraId="64A0674B">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r>
      <w:tr w14:paraId="5F206F4F">
        <w:tblPrEx>
          <w:tblCellMar>
            <w:top w:w="0" w:type="dxa"/>
            <w:left w:w="0" w:type="dxa"/>
            <w:bottom w:w="0" w:type="dxa"/>
            <w:right w:w="0" w:type="dxa"/>
          </w:tblCellMar>
        </w:tblPrEx>
        <w:trPr>
          <w:trHeight w:val="600" w:hRule="atLeast"/>
          <w:tblCellSpacing w:w="0" w:type="dxa"/>
        </w:trPr>
        <w:tc>
          <w:tcPr>
            <w:tcW w:w="5160" w:type="dxa"/>
            <w:noWrap w:val="0"/>
            <w:vAlign w:val="center"/>
          </w:tcPr>
          <w:p w14:paraId="1C23FFDC">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c>
          <w:tcPr>
            <w:tcW w:w="3735" w:type="dxa"/>
            <w:noWrap w:val="0"/>
            <w:vAlign w:val="center"/>
          </w:tcPr>
          <w:p w14:paraId="4CCA251C">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r>
      <w:tr w14:paraId="41A29E8F">
        <w:tblPrEx>
          <w:tblCellMar>
            <w:top w:w="0" w:type="dxa"/>
            <w:left w:w="0" w:type="dxa"/>
            <w:bottom w:w="0" w:type="dxa"/>
            <w:right w:w="0" w:type="dxa"/>
          </w:tblCellMar>
        </w:tblPrEx>
        <w:trPr>
          <w:trHeight w:val="600" w:hRule="atLeast"/>
          <w:tblCellSpacing w:w="0" w:type="dxa"/>
        </w:trPr>
        <w:tc>
          <w:tcPr>
            <w:tcW w:w="5160" w:type="dxa"/>
            <w:noWrap w:val="0"/>
            <w:vAlign w:val="center"/>
          </w:tcPr>
          <w:p w14:paraId="422A4EA1">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c>
          <w:tcPr>
            <w:tcW w:w="3735" w:type="dxa"/>
            <w:noWrap w:val="0"/>
            <w:vAlign w:val="center"/>
          </w:tcPr>
          <w:p w14:paraId="3B7387B6">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r>
      <w:tr w14:paraId="60F088DA">
        <w:tblPrEx>
          <w:tblCellMar>
            <w:top w:w="0" w:type="dxa"/>
            <w:left w:w="0" w:type="dxa"/>
            <w:bottom w:w="0" w:type="dxa"/>
            <w:right w:w="0" w:type="dxa"/>
          </w:tblCellMar>
        </w:tblPrEx>
        <w:trPr>
          <w:trHeight w:val="600" w:hRule="atLeast"/>
          <w:tblCellSpacing w:w="0" w:type="dxa"/>
        </w:trPr>
        <w:tc>
          <w:tcPr>
            <w:tcW w:w="5160" w:type="dxa"/>
            <w:noWrap w:val="0"/>
            <w:vAlign w:val="center"/>
          </w:tcPr>
          <w:p w14:paraId="30F7AC11">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tc>
        <w:tc>
          <w:tcPr>
            <w:tcW w:w="3735" w:type="dxa"/>
            <w:noWrap w:val="0"/>
            <w:vAlign w:val="center"/>
          </w:tcPr>
          <w:p w14:paraId="6C4E79B7">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邮编： </w:t>
            </w:r>
          </w:p>
        </w:tc>
      </w:tr>
      <w:tr w14:paraId="09EC52B5">
        <w:tblPrEx>
          <w:tblCellMar>
            <w:top w:w="0" w:type="dxa"/>
            <w:left w:w="0" w:type="dxa"/>
            <w:bottom w:w="0" w:type="dxa"/>
            <w:right w:w="0" w:type="dxa"/>
          </w:tblCellMar>
        </w:tblPrEx>
        <w:trPr>
          <w:trHeight w:val="600" w:hRule="atLeast"/>
          <w:tblCellSpacing w:w="0" w:type="dxa"/>
        </w:trPr>
        <w:tc>
          <w:tcPr>
            <w:tcW w:w="5160" w:type="dxa"/>
            <w:noWrap w:val="0"/>
            <w:vAlign w:val="center"/>
          </w:tcPr>
          <w:p w14:paraId="71C43E26">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tc>
        <w:tc>
          <w:tcPr>
            <w:tcW w:w="3735" w:type="dxa"/>
            <w:noWrap w:val="0"/>
            <w:vAlign w:val="center"/>
          </w:tcPr>
          <w:p w14:paraId="15087C4E">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p>
        </w:tc>
      </w:tr>
      <w:tr w14:paraId="66435D6A">
        <w:tblPrEx>
          <w:tblCellMar>
            <w:top w:w="0" w:type="dxa"/>
            <w:left w:w="0" w:type="dxa"/>
            <w:bottom w:w="0" w:type="dxa"/>
            <w:right w:w="0" w:type="dxa"/>
          </w:tblCellMar>
        </w:tblPrEx>
        <w:trPr>
          <w:trHeight w:val="600" w:hRule="atLeast"/>
          <w:tblCellSpacing w:w="0" w:type="dxa"/>
        </w:trPr>
        <w:tc>
          <w:tcPr>
            <w:tcW w:w="5160" w:type="dxa"/>
            <w:noWrap w:val="0"/>
            <w:vAlign w:val="center"/>
          </w:tcPr>
          <w:p w14:paraId="1808A271">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c>
          <w:tcPr>
            <w:tcW w:w="3735" w:type="dxa"/>
            <w:noWrap w:val="0"/>
            <w:vAlign w:val="center"/>
          </w:tcPr>
          <w:p w14:paraId="08683817">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r>
      <w:tr w14:paraId="2C0F979D">
        <w:tblPrEx>
          <w:tblCellMar>
            <w:top w:w="0" w:type="dxa"/>
            <w:left w:w="0" w:type="dxa"/>
            <w:bottom w:w="0" w:type="dxa"/>
            <w:right w:w="0" w:type="dxa"/>
          </w:tblCellMar>
        </w:tblPrEx>
        <w:trPr>
          <w:trHeight w:val="600" w:hRule="atLeast"/>
          <w:tblCellSpacing w:w="0" w:type="dxa"/>
        </w:trPr>
        <w:tc>
          <w:tcPr>
            <w:tcW w:w="5160" w:type="dxa"/>
            <w:noWrap w:val="0"/>
            <w:vAlign w:val="center"/>
          </w:tcPr>
          <w:p w14:paraId="242ECAE2">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c>
          <w:tcPr>
            <w:tcW w:w="3735" w:type="dxa"/>
            <w:noWrap w:val="0"/>
            <w:vAlign w:val="center"/>
          </w:tcPr>
          <w:p w14:paraId="19C7E7CE">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r>
      <w:tr w14:paraId="59525007">
        <w:tblPrEx>
          <w:tblCellMar>
            <w:top w:w="0" w:type="dxa"/>
            <w:left w:w="0" w:type="dxa"/>
            <w:bottom w:w="0" w:type="dxa"/>
            <w:right w:w="0" w:type="dxa"/>
          </w:tblCellMar>
        </w:tblPrEx>
        <w:trPr>
          <w:trHeight w:val="600" w:hRule="atLeast"/>
          <w:tblCellSpacing w:w="0" w:type="dxa"/>
        </w:trPr>
        <w:tc>
          <w:tcPr>
            <w:tcW w:w="5160" w:type="dxa"/>
            <w:noWrap w:val="0"/>
            <w:vAlign w:val="center"/>
          </w:tcPr>
          <w:p w14:paraId="4C5F07FD">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银行账号</w:t>
            </w:r>
            <w:r>
              <w:rPr>
                <w:rFonts w:hint="eastAsia" w:ascii="仿宋" w:hAnsi="仿宋" w:eastAsia="仿宋" w:cs="仿宋"/>
                <w:color w:val="auto"/>
                <w:kern w:val="0"/>
                <w:sz w:val="24"/>
                <w:szCs w:val="24"/>
                <w:highlight w:val="none"/>
              </w:rPr>
              <w:t xml:space="preserve"> ： </w:t>
            </w:r>
          </w:p>
        </w:tc>
        <w:tc>
          <w:tcPr>
            <w:tcW w:w="3735" w:type="dxa"/>
            <w:noWrap w:val="0"/>
            <w:vAlign w:val="center"/>
          </w:tcPr>
          <w:p w14:paraId="68CAAB6F">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银行账号</w:t>
            </w:r>
            <w:r>
              <w:rPr>
                <w:rFonts w:hint="eastAsia" w:ascii="仿宋" w:hAnsi="仿宋" w:eastAsia="仿宋" w:cs="仿宋"/>
                <w:color w:val="auto"/>
                <w:kern w:val="0"/>
                <w:sz w:val="24"/>
                <w:szCs w:val="24"/>
                <w:highlight w:val="none"/>
              </w:rPr>
              <w:t xml:space="preserve"> ： </w:t>
            </w:r>
          </w:p>
        </w:tc>
      </w:tr>
    </w:tbl>
    <w:p w14:paraId="774F6639">
      <w:pPr>
        <w:adjustRightInd w:val="0"/>
        <w:snapToGrid w:val="0"/>
        <w:spacing w:line="360" w:lineRule="auto"/>
        <w:rPr>
          <w:rFonts w:hint="eastAsia" w:ascii="宋体" w:hAnsi="宋体" w:eastAsia="宋体" w:cs="宋体"/>
          <w:color w:val="auto"/>
          <w:kern w:val="0"/>
          <w:sz w:val="24"/>
          <w:szCs w:val="24"/>
          <w:highlight w:val="none"/>
        </w:rPr>
      </w:pPr>
    </w:p>
    <w:p w14:paraId="447AFC4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1F82DEF4">
      <w:pPr>
        <w:adjustRightInd w:val="0"/>
        <w:snapToGrid w:val="0"/>
        <w:spacing w:line="360" w:lineRule="auto"/>
        <w:rPr>
          <w:rFonts w:hint="eastAsia" w:ascii="仿宋" w:hAnsi="仿宋" w:eastAsia="仿宋" w:cs="仿宋"/>
          <w:color w:val="auto"/>
          <w:kern w:val="0"/>
          <w:sz w:val="24"/>
          <w:highlight w:val="none"/>
        </w:rPr>
      </w:pPr>
    </w:p>
    <w:p w14:paraId="1C58E22B">
      <w:pPr>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br w:type="page"/>
      </w:r>
    </w:p>
    <w:bookmarkEnd w:id="112"/>
    <w:bookmarkEnd w:id="113"/>
    <w:bookmarkEnd w:id="114"/>
    <w:bookmarkEnd w:id="115"/>
    <w:bookmarkEnd w:id="116"/>
    <w:p w14:paraId="497C0A34">
      <w:pPr>
        <w:adjustRightInd w:val="0"/>
        <w:snapToGrid w:val="0"/>
        <w:spacing w:before="120" w:beforeLines="50" w:after="120" w:afterLines="50" w:line="360" w:lineRule="auto"/>
        <w:jc w:val="center"/>
        <w:outlineLvl w:val="0"/>
        <w:rPr>
          <w:rFonts w:hint="eastAsia" w:ascii="仿宋" w:hAnsi="仿宋" w:eastAsia="仿宋" w:cs="仿宋"/>
          <w:b/>
          <w:bCs/>
          <w:color w:val="auto"/>
          <w:sz w:val="32"/>
          <w:szCs w:val="32"/>
          <w:highlight w:val="none"/>
        </w:rPr>
      </w:pPr>
      <w:bookmarkStart w:id="124" w:name="_Toc21370"/>
      <w:bookmarkStart w:id="125" w:name="_Toc1306"/>
      <w:bookmarkStart w:id="126" w:name="_Toc249760797"/>
      <w:bookmarkStart w:id="127" w:name="_Toc234764855"/>
      <w:bookmarkStart w:id="128" w:name="_Toc251566668"/>
      <w:r>
        <w:rPr>
          <w:rFonts w:hint="eastAsia" w:ascii="仿宋" w:hAnsi="仿宋" w:eastAsia="仿宋" w:cs="仿宋"/>
          <w:b/>
          <w:color w:val="auto"/>
          <w:sz w:val="30"/>
          <w:szCs w:val="30"/>
          <w:highlight w:val="none"/>
        </w:rPr>
        <w:t>第六部分  投标文件格式</w:t>
      </w:r>
      <w:bookmarkEnd w:id="124"/>
      <w:bookmarkEnd w:id="125"/>
      <w:bookmarkEnd w:id="126"/>
      <w:bookmarkEnd w:id="127"/>
      <w:bookmarkEnd w:id="128"/>
    </w:p>
    <w:p w14:paraId="2C136434">
      <w:pPr>
        <w:autoSpaceDE w:val="0"/>
        <w:autoSpaceDN w:val="0"/>
        <w:adjustRightInd w:val="0"/>
        <w:spacing w:line="360" w:lineRule="auto"/>
        <w:ind w:firstLine="480"/>
        <w:rPr>
          <w:rFonts w:hint="eastAsia" w:ascii="仿宋" w:hAnsi="仿宋" w:eastAsia="仿宋" w:cs="仿宋"/>
          <w:color w:val="auto"/>
          <w:sz w:val="24"/>
          <w:highlight w:val="none"/>
        </w:rPr>
      </w:pPr>
    </w:p>
    <w:p w14:paraId="7FB27E05">
      <w:pPr>
        <w:spacing w:line="360" w:lineRule="auto"/>
        <w:jc w:val="center"/>
        <w:outlineLvl w:val="1"/>
        <w:rPr>
          <w:rFonts w:hint="eastAsia" w:ascii="仿宋" w:hAnsi="仿宋" w:eastAsia="仿宋" w:cs="仿宋"/>
          <w:b/>
          <w:color w:val="auto"/>
          <w:kern w:val="0"/>
          <w:sz w:val="36"/>
          <w:szCs w:val="36"/>
          <w:highlight w:val="none"/>
        </w:rPr>
      </w:pPr>
      <w:bookmarkStart w:id="129" w:name="_Toc23772"/>
      <w:bookmarkStart w:id="130" w:name="_Toc23013"/>
      <w:bookmarkStart w:id="131" w:name="_Toc18065"/>
      <w:bookmarkStart w:id="132" w:name="_Toc25507"/>
      <w:r>
        <w:rPr>
          <w:rFonts w:hint="eastAsia" w:ascii="仿宋" w:hAnsi="仿宋" w:eastAsia="仿宋" w:cs="仿宋"/>
          <w:b/>
          <w:color w:val="auto"/>
          <w:kern w:val="0"/>
          <w:sz w:val="36"/>
          <w:szCs w:val="36"/>
          <w:highlight w:val="none"/>
        </w:rPr>
        <w:t>资格文件部分</w:t>
      </w:r>
      <w:bookmarkEnd w:id="129"/>
      <w:bookmarkEnd w:id="130"/>
      <w:bookmarkEnd w:id="131"/>
      <w:bookmarkEnd w:id="132"/>
    </w:p>
    <w:p w14:paraId="71419EA3">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51E7DC0">
      <w:pPr>
        <w:spacing w:line="360" w:lineRule="auto"/>
        <w:jc w:val="center"/>
        <w:rPr>
          <w:rFonts w:hint="eastAsia" w:ascii="仿宋" w:hAnsi="仿宋" w:eastAsia="仿宋" w:cs="仿宋"/>
          <w:b/>
          <w:color w:val="auto"/>
          <w:kern w:val="0"/>
          <w:sz w:val="36"/>
          <w:szCs w:val="36"/>
          <w:highlight w:val="none"/>
        </w:rPr>
      </w:pPr>
    </w:p>
    <w:p w14:paraId="15F34B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181DAF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14:paraId="7F6AFC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517CD4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6E75AF28">
      <w:pPr>
        <w:snapToGrid w:val="0"/>
        <w:spacing w:line="360" w:lineRule="auto"/>
        <w:ind w:firstLine="480" w:firstLineChars="200"/>
        <w:rPr>
          <w:rFonts w:hint="eastAsia" w:ascii="仿宋" w:hAnsi="仿宋" w:eastAsia="仿宋" w:cs="仿宋"/>
          <w:color w:val="auto"/>
          <w:sz w:val="24"/>
          <w:highlight w:val="none"/>
        </w:rPr>
      </w:pPr>
    </w:p>
    <w:p w14:paraId="30E0AEF9">
      <w:pPr>
        <w:spacing w:line="360" w:lineRule="auto"/>
        <w:ind w:firstLine="480" w:firstLineChars="200"/>
        <w:rPr>
          <w:rFonts w:hint="eastAsia" w:ascii="仿宋" w:hAnsi="仿宋" w:eastAsia="仿宋" w:cs="仿宋"/>
          <w:color w:val="auto"/>
          <w:sz w:val="24"/>
          <w:highlight w:val="none"/>
        </w:rPr>
      </w:pPr>
    </w:p>
    <w:p w14:paraId="1608FF88">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3D53D0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3FA2465">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191F7F3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0F119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7FAC6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3AEB4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C1A9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CBB44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7EB9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42CA9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1DCD80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3006F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A69B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8F716AA">
      <w:pPr>
        <w:pStyle w:val="21"/>
        <w:rPr>
          <w:rFonts w:hint="eastAsia" w:ascii="仿宋" w:hAnsi="仿宋" w:eastAsia="仿宋" w:cs="仿宋"/>
          <w:color w:val="auto"/>
          <w:sz w:val="24"/>
          <w:highlight w:val="none"/>
        </w:rPr>
      </w:pPr>
    </w:p>
    <w:p w14:paraId="2D2F0FA0">
      <w:pPr>
        <w:rPr>
          <w:rFonts w:hint="eastAsia" w:ascii="仿宋" w:hAnsi="仿宋" w:eastAsia="仿宋" w:cs="仿宋"/>
          <w:color w:val="auto"/>
          <w:highlight w:val="none"/>
        </w:rPr>
      </w:pPr>
    </w:p>
    <w:p w14:paraId="28AC47D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DFFE5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14:paraId="708C5E29">
      <w:pPr>
        <w:snapToGrid w:val="0"/>
        <w:spacing w:line="360" w:lineRule="auto"/>
        <w:ind w:right="480"/>
        <w:jc w:val="center"/>
        <w:rPr>
          <w:rFonts w:hint="eastAsia" w:ascii="仿宋" w:hAnsi="仿宋" w:eastAsia="仿宋" w:cs="仿宋"/>
          <w:b/>
          <w:color w:val="auto"/>
          <w:kern w:val="0"/>
          <w:sz w:val="32"/>
          <w:szCs w:val="32"/>
          <w:highlight w:val="none"/>
        </w:rPr>
      </w:pPr>
    </w:p>
    <w:p w14:paraId="149A5FD5">
      <w:pPr>
        <w:snapToGrid w:val="0"/>
        <w:spacing w:line="360" w:lineRule="auto"/>
        <w:ind w:right="480"/>
        <w:jc w:val="center"/>
        <w:rPr>
          <w:rFonts w:hint="eastAsia" w:ascii="仿宋" w:hAnsi="仿宋" w:eastAsia="仿宋" w:cs="仿宋"/>
          <w:b/>
          <w:color w:val="auto"/>
          <w:kern w:val="0"/>
          <w:sz w:val="32"/>
          <w:szCs w:val="32"/>
          <w:highlight w:val="none"/>
        </w:rPr>
      </w:pPr>
    </w:p>
    <w:p w14:paraId="2B0E6CAC">
      <w:pPr>
        <w:rPr>
          <w:rFonts w:hint="eastAsia" w:ascii="仿宋" w:hAnsi="仿宋" w:eastAsia="仿宋" w:cs="仿宋"/>
          <w:color w:val="auto"/>
          <w:highlight w:val="none"/>
        </w:rPr>
      </w:pPr>
    </w:p>
    <w:p w14:paraId="497E2CF4">
      <w:pPr>
        <w:snapToGrid w:val="0"/>
        <w:spacing w:line="360" w:lineRule="auto"/>
        <w:ind w:right="480"/>
        <w:jc w:val="center"/>
        <w:rPr>
          <w:rFonts w:hint="eastAsia" w:ascii="仿宋" w:hAnsi="仿宋" w:eastAsia="仿宋" w:cs="仿宋"/>
          <w:b/>
          <w:color w:val="auto"/>
          <w:kern w:val="0"/>
          <w:sz w:val="32"/>
          <w:szCs w:val="32"/>
          <w:highlight w:val="none"/>
        </w:rPr>
      </w:pPr>
    </w:p>
    <w:p w14:paraId="3514C832">
      <w:pPr>
        <w:snapToGrid w:val="0"/>
        <w:spacing w:line="360" w:lineRule="auto"/>
        <w:ind w:right="480"/>
        <w:jc w:val="center"/>
        <w:rPr>
          <w:rFonts w:hint="eastAsia" w:ascii="仿宋" w:hAnsi="仿宋" w:eastAsia="仿宋" w:cs="仿宋"/>
          <w:b/>
          <w:color w:val="auto"/>
          <w:kern w:val="0"/>
          <w:sz w:val="32"/>
          <w:szCs w:val="32"/>
          <w:highlight w:val="none"/>
        </w:rPr>
      </w:pPr>
    </w:p>
    <w:p w14:paraId="701190B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521671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41D3A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5313D2FA">
      <w:pPr>
        <w:snapToGrid w:val="0"/>
        <w:spacing w:line="360" w:lineRule="auto"/>
        <w:ind w:right="480"/>
        <w:jc w:val="center"/>
        <w:rPr>
          <w:rFonts w:hint="eastAsia" w:ascii="仿宋" w:hAnsi="仿宋" w:eastAsia="仿宋" w:cs="仿宋"/>
          <w:b/>
          <w:color w:val="auto"/>
          <w:kern w:val="0"/>
          <w:sz w:val="32"/>
          <w:szCs w:val="32"/>
          <w:highlight w:val="none"/>
        </w:rPr>
      </w:pPr>
    </w:p>
    <w:p w14:paraId="4AFBB7EE">
      <w:pPr>
        <w:snapToGrid w:val="0"/>
        <w:spacing w:line="360" w:lineRule="auto"/>
        <w:ind w:right="480"/>
        <w:jc w:val="center"/>
        <w:rPr>
          <w:rFonts w:hint="eastAsia" w:ascii="仿宋" w:hAnsi="仿宋" w:eastAsia="仿宋" w:cs="仿宋"/>
          <w:b/>
          <w:color w:val="auto"/>
          <w:kern w:val="0"/>
          <w:sz w:val="32"/>
          <w:szCs w:val="32"/>
          <w:highlight w:val="none"/>
        </w:rPr>
      </w:pPr>
    </w:p>
    <w:p w14:paraId="5B2BEE3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3EDD2A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6541AB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DA0865C">
      <w:pPr>
        <w:widowControl/>
        <w:spacing w:line="360" w:lineRule="auto"/>
        <w:ind w:firstLine="480"/>
        <w:jc w:val="left"/>
        <w:rPr>
          <w:rFonts w:hint="eastAsia" w:ascii="仿宋" w:hAnsi="仿宋" w:eastAsia="仿宋" w:cs="仿宋"/>
          <w:color w:val="auto"/>
          <w:sz w:val="24"/>
          <w:highlight w:val="none"/>
        </w:rPr>
      </w:pPr>
    </w:p>
    <w:p w14:paraId="4E7BBCC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E566F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C1E0333">
      <w:pPr>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9844A0A">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FC39121">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zh-CN"/>
        </w:rPr>
      </w:pPr>
    </w:p>
    <w:p w14:paraId="3871A4A2">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本项目专门面向中小企业，中小企业声明函示范格式如下：</w:t>
      </w:r>
    </w:p>
    <w:p w14:paraId="2DE1403C">
      <w:pPr>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4B78C08">
      <w:pPr>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highlight w:val="none"/>
        </w:rPr>
      </w:pPr>
    </w:p>
    <w:p w14:paraId="37887348">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杭州市钱塘区人民政府白杨街道办事处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白杨街道凌云未来社区用房广告设计制作一体化项目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83755A5">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u w:val="single"/>
          <w:lang w:val="en-US" w:eastAsia="zh-CN"/>
        </w:rPr>
        <w:t xml:space="preserve"> 白杨街道凌云未来社区用房广告设计制作一体化项目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其他未列明行业 </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043D46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p>
    <w:p w14:paraId="6590F515">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04127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18160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1434E25">
      <w:pPr>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E9DE7F4">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21EFA0">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zh-CN"/>
        </w:rPr>
      </w:pPr>
    </w:p>
    <w:p w14:paraId="59D537B5">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b/>
          <w:bCs/>
          <w:color w:val="FF0000"/>
          <w:sz w:val="21"/>
          <w:szCs w:val="21"/>
          <w:highlight w:val="none"/>
          <w:lang w:val="en-US" w:eastAsia="zh-CN"/>
        </w:rPr>
      </w:pPr>
    </w:p>
    <w:p w14:paraId="33569687">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注：</w:t>
      </w:r>
      <w:r>
        <w:rPr>
          <w:rFonts w:hint="eastAsia" w:ascii="仿宋" w:hAnsi="仿宋" w:eastAsia="仿宋" w:cs="仿宋"/>
          <w:b/>
          <w:bCs/>
          <w:color w:val="000000" w:themeColor="text1"/>
          <w:sz w:val="21"/>
          <w:szCs w:val="21"/>
          <w:highlight w:val="none"/>
          <w:lang w:eastAsia="zh-CN"/>
          <w14:textFill>
            <w14:solidFill>
              <w14:schemeClr w14:val="tx1"/>
            </w14:solidFill>
          </w14:textFill>
        </w:rPr>
        <w:t>①</w:t>
      </w:r>
      <w:r>
        <w:rPr>
          <w:rFonts w:hint="eastAsia" w:ascii="仿宋" w:hAnsi="仿宋" w:eastAsia="仿宋" w:cs="仿宋"/>
          <w:b/>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b/>
          <w:bCs/>
          <w:color w:val="000000" w:themeColor="text1"/>
          <w:sz w:val="21"/>
          <w:szCs w:val="21"/>
          <w:highlight w:val="none"/>
          <w:lang w:eastAsia="zh-CN"/>
          <w14:textFill>
            <w14:solidFill>
              <w14:schemeClr w14:val="tx1"/>
            </w14:solidFill>
          </w14:textFill>
        </w:rPr>
        <w:t>。②</w:t>
      </w:r>
      <w:r>
        <w:rPr>
          <w:rFonts w:hint="eastAsia" w:ascii="仿宋" w:hAnsi="仿宋" w:eastAsia="仿宋" w:cs="仿宋"/>
          <w:b/>
          <w:bCs/>
          <w:color w:val="000000" w:themeColor="text1"/>
          <w:sz w:val="21"/>
          <w:szCs w:val="21"/>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仿宋"/>
          <w:b/>
          <w:bCs/>
          <w:color w:val="000000" w:themeColor="text1"/>
          <w:sz w:val="21"/>
          <w:szCs w:val="21"/>
          <w:highlight w:val="none"/>
          <w:lang w:eastAsia="zh-CN"/>
          <w14:textFill>
            <w14:solidFill>
              <w14:schemeClr w14:val="tx1"/>
            </w14:solidFill>
          </w14:textFill>
        </w:rPr>
        <w:t>③</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《中小企业声明函》填写企业类型错误或者未填写企业类型的，投标无效。</w:t>
      </w:r>
    </w:p>
    <w:p w14:paraId="6099D42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C0BAA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36E302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E6792B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337CCAD">
      <w:pPr>
        <w:spacing w:line="360" w:lineRule="auto"/>
        <w:ind w:right="420"/>
        <w:jc w:val="center"/>
        <w:outlineLvl w:val="1"/>
        <w:rPr>
          <w:rFonts w:hint="eastAsia" w:ascii="仿宋" w:hAnsi="仿宋" w:eastAsia="仿宋" w:cs="仿宋"/>
          <w:b/>
          <w:color w:val="auto"/>
          <w:kern w:val="0"/>
          <w:sz w:val="36"/>
          <w:szCs w:val="36"/>
          <w:highlight w:val="none"/>
        </w:rPr>
      </w:pPr>
      <w:bookmarkStart w:id="133" w:name="_Toc28076"/>
      <w:bookmarkStart w:id="134" w:name="_Toc3036"/>
      <w:bookmarkStart w:id="135" w:name="_Toc4272"/>
      <w:bookmarkStart w:id="136" w:name="_Toc23502"/>
      <w:r>
        <w:rPr>
          <w:rFonts w:hint="eastAsia" w:ascii="仿宋" w:hAnsi="仿宋" w:eastAsia="仿宋" w:cs="仿宋"/>
          <w:b/>
          <w:color w:val="auto"/>
          <w:kern w:val="0"/>
          <w:sz w:val="36"/>
          <w:szCs w:val="36"/>
          <w:highlight w:val="none"/>
        </w:rPr>
        <w:t>商务技术文件部分</w:t>
      </w:r>
      <w:bookmarkEnd w:id="133"/>
      <w:bookmarkEnd w:id="134"/>
      <w:bookmarkEnd w:id="135"/>
      <w:bookmarkEnd w:id="136"/>
    </w:p>
    <w:p w14:paraId="6C6508A8">
      <w:pPr>
        <w:spacing w:line="360" w:lineRule="auto"/>
        <w:jc w:val="center"/>
        <w:rPr>
          <w:rFonts w:hint="eastAsia" w:ascii="仿宋" w:hAnsi="仿宋" w:eastAsia="仿宋" w:cs="仿宋"/>
          <w:b/>
          <w:color w:val="auto"/>
          <w:kern w:val="0"/>
          <w:sz w:val="24"/>
          <w:highlight w:val="none"/>
        </w:rPr>
      </w:pPr>
    </w:p>
    <w:p w14:paraId="6F10E361">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12249B5E">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6D3F923C">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3ACEEB4D">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4F31FC28">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10D276F2">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3A404C19">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3FEA94F3">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6C78E8F1">
      <w:pPr>
        <w:numPr>
          <w:ilvl w:val="0"/>
          <w:numId w:val="13"/>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4C0D4597">
      <w:pPr>
        <w:bidi w:val="0"/>
        <w:rPr>
          <w:rFonts w:hint="eastAsia" w:ascii="仿宋" w:hAnsi="仿宋" w:eastAsia="仿宋" w:cs="仿宋"/>
          <w:color w:val="auto"/>
          <w:highlight w:val="none"/>
          <w:lang w:val="zh-CN"/>
        </w:rPr>
      </w:pPr>
    </w:p>
    <w:p w14:paraId="0629D81B">
      <w:pPr>
        <w:bidi w:val="0"/>
        <w:rPr>
          <w:rFonts w:hint="eastAsia" w:ascii="仿宋" w:hAnsi="仿宋" w:eastAsia="仿宋" w:cs="仿宋"/>
          <w:color w:val="auto"/>
          <w:highlight w:val="none"/>
          <w:lang w:val="zh-CN"/>
        </w:rPr>
      </w:pPr>
    </w:p>
    <w:p w14:paraId="5A31FEFF">
      <w:pPr>
        <w:bidi w:val="0"/>
        <w:rPr>
          <w:rFonts w:hint="eastAsia" w:ascii="仿宋" w:hAnsi="仿宋" w:eastAsia="仿宋" w:cs="仿宋"/>
          <w:color w:val="auto"/>
          <w:highlight w:val="none"/>
          <w:lang w:val="zh-CN"/>
        </w:rPr>
      </w:pPr>
    </w:p>
    <w:p w14:paraId="3CBFA762">
      <w:pPr>
        <w:bidi w:val="0"/>
        <w:rPr>
          <w:rFonts w:hint="eastAsia" w:ascii="仿宋" w:hAnsi="仿宋" w:eastAsia="仿宋" w:cs="仿宋"/>
          <w:color w:val="auto"/>
          <w:highlight w:val="none"/>
          <w:lang w:val="zh-CN"/>
        </w:rPr>
      </w:pPr>
    </w:p>
    <w:p w14:paraId="3131EFD3">
      <w:pPr>
        <w:bidi w:val="0"/>
        <w:rPr>
          <w:rFonts w:hint="eastAsia" w:ascii="仿宋" w:hAnsi="仿宋" w:eastAsia="仿宋" w:cs="仿宋"/>
          <w:color w:val="auto"/>
          <w:highlight w:val="none"/>
          <w:lang w:val="zh-CN"/>
        </w:rPr>
      </w:pPr>
    </w:p>
    <w:p w14:paraId="24F525FC">
      <w:pPr>
        <w:bidi w:val="0"/>
        <w:rPr>
          <w:rFonts w:hint="eastAsia" w:ascii="仿宋" w:hAnsi="仿宋" w:eastAsia="仿宋" w:cs="仿宋"/>
          <w:color w:val="auto"/>
          <w:highlight w:val="none"/>
        </w:rPr>
      </w:pPr>
    </w:p>
    <w:p w14:paraId="07DD1F7D">
      <w:pPr>
        <w:bidi w:val="0"/>
        <w:rPr>
          <w:rFonts w:hint="eastAsia" w:ascii="仿宋" w:hAnsi="仿宋" w:eastAsia="仿宋" w:cs="仿宋"/>
          <w:color w:val="auto"/>
          <w:highlight w:val="none"/>
        </w:rPr>
      </w:pPr>
    </w:p>
    <w:p w14:paraId="5B335FDB">
      <w:pPr>
        <w:bidi w:val="0"/>
        <w:rPr>
          <w:rFonts w:hint="eastAsia" w:ascii="仿宋" w:hAnsi="仿宋" w:eastAsia="仿宋" w:cs="仿宋"/>
          <w:color w:val="auto"/>
          <w:highlight w:val="none"/>
        </w:rPr>
      </w:pPr>
    </w:p>
    <w:p w14:paraId="76166A7C">
      <w:pPr>
        <w:bidi w:val="0"/>
        <w:rPr>
          <w:rFonts w:hint="eastAsia" w:ascii="仿宋" w:hAnsi="仿宋" w:eastAsia="仿宋" w:cs="仿宋"/>
          <w:color w:val="auto"/>
          <w:highlight w:val="none"/>
        </w:rPr>
      </w:pPr>
    </w:p>
    <w:p w14:paraId="2FA31D69">
      <w:pPr>
        <w:bidi w:val="0"/>
        <w:rPr>
          <w:rFonts w:hint="eastAsia" w:ascii="仿宋" w:hAnsi="仿宋" w:eastAsia="仿宋" w:cs="仿宋"/>
          <w:color w:val="auto"/>
          <w:highlight w:val="none"/>
        </w:rPr>
      </w:pPr>
    </w:p>
    <w:p w14:paraId="797CC8B1">
      <w:pPr>
        <w:bidi w:val="0"/>
        <w:rPr>
          <w:rFonts w:hint="eastAsia" w:ascii="仿宋" w:hAnsi="仿宋" w:eastAsia="仿宋" w:cs="仿宋"/>
          <w:color w:val="auto"/>
          <w:highlight w:val="none"/>
        </w:rPr>
      </w:pPr>
    </w:p>
    <w:p w14:paraId="100A1CD2">
      <w:pPr>
        <w:bidi w:val="0"/>
        <w:rPr>
          <w:rFonts w:hint="eastAsia" w:ascii="仿宋" w:hAnsi="仿宋" w:eastAsia="仿宋" w:cs="仿宋"/>
          <w:color w:val="auto"/>
          <w:highlight w:val="none"/>
        </w:rPr>
      </w:pPr>
    </w:p>
    <w:p w14:paraId="62D11AAD">
      <w:pPr>
        <w:bidi w:val="0"/>
        <w:rPr>
          <w:rFonts w:hint="eastAsia" w:ascii="仿宋" w:hAnsi="仿宋" w:eastAsia="仿宋" w:cs="仿宋"/>
          <w:color w:val="auto"/>
          <w:highlight w:val="none"/>
        </w:rPr>
      </w:pPr>
    </w:p>
    <w:p w14:paraId="6835C9AD">
      <w:pPr>
        <w:bidi w:val="0"/>
        <w:rPr>
          <w:rFonts w:hint="eastAsia" w:ascii="仿宋" w:hAnsi="仿宋" w:eastAsia="仿宋" w:cs="仿宋"/>
          <w:color w:val="auto"/>
          <w:highlight w:val="none"/>
        </w:rPr>
      </w:pPr>
    </w:p>
    <w:p w14:paraId="62B9DED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6BE0A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A335B4">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51C71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9DFB82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2FDAAC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4D3AE4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FBFC0B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66B416E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40B8E7E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提供中小企业声明函</w:t>
      </w:r>
      <w:r>
        <w:rPr>
          <w:rFonts w:hint="eastAsia" w:ascii="仿宋" w:hAnsi="仿宋" w:eastAsia="仿宋" w:cs="仿宋"/>
          <w:b w:val="0"/>
          <w:bCs/>
          <w:color w:val="auto"/>
          <w:sz w:val="24"/>
          <w:highlight w:val="none"/>
          <w:lang w:eastAsia="zh-CN"/>
        </w:rPr>
        <w:t>）</w:t>
      </w:r>
    </w:p>
    <w:p w14:paraId="49B815A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b w:val="0"/>
          <w:bCs/>
          <w:color w:val="auto"/>
          <w:sz w:val="24"/>
          <w:highlight w:val="none"/>
          <w:lang w:eastAsia="zh-CN"/>
        </w:rPr>
        <w:t>。</w:t>
      </w:r>
    </w:p>
    <w:p w14:paraId="242B8C5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6BBB81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23B12A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以及为授权代表缴纳、距投标截止时间3个月内任意时间出具的社保证明材料</w:t>
      </w:r>
      <w:r>
        <w:rPr>
          <w:rFonts w:hint="eastAsia" w:ascii="仿宋" w:hAnsi="仿宋" w:eastAsia="仿宋" w:cs="仿宋"/>
          <w:color w:val="auto"/>
          <w:sz w:val="24"/>
          <w:highlight w:val="none"/>
        </w:rPr>
        <w:t>；</w:t>
      </w:r>
    </w:p>
    <w:p w14:paraId="5878DF2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2.2.3</w:t>
      </w: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highlight w:val="none"/>
          <w:lang w:eastAsia="zh-CN"/>
        </w:rPr>
        <w:t>如果有</w:t>
      </w:r>
      <w:r>
        <w:rPr>
          <w:rFonts w:hint="eastAsia" w:ascii="仿宋" w:hAnsi="仿宋" w:eastAsia="仿宋" w:cs="仿宋"/>
          <w:color w:val="auto"/>
          <w:sz w:val="24"/>
          <w:highlight w:val="none"/>
          <w:lang w:eastAsia="zh-CN"/>
        </w:rPr>
        <w:t>）</w:t>
      </w:r>
    </w:p>
    <w:p w14:paraId="10AD4E4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081CD98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3A39BAC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14:paraId="0A45DE5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14:paraId="4E86765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20B2F45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A1718BA">
      <w:pPr>
        <w:keepNext w:val="0"/>
        <w:keepLines w:val="0"/>
        <w:pageBreakBefore w:val="0"/>
        <w:kinsoku/>
        <w:wordWrap/>
        <w:overflowPunct/>
        <w:topLinePunct w:val="0"/>
        <w:bidi w:val="0"/>
        <w:adjustRightInd w:val="0"/>
        <w:snapToGrid w:val="0"/>
        <w:spacing w:line="40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DEDBCA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2.3.2报价明细表。（自拟）</w:t>
      </w:r>
    </w:p>
    <w:p w14:paraId="45C2046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C4837A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B43447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C5769D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E9811C5">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E54C37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49748A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678A5C">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 w:hAnsi="仿宋" w:eastAsia="仿宋" w:cs="仿宋"/>
          <w:color w:val="auto"/>
          <w:sz w:val="24"/>
          <w:highlight w:val="none"/>
        </w:rPr>
      </w:pPr>
    </w:p>
    <w:p w14:paraId="3BC1DC47">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E92041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45B4F04">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0D6CD97C">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1CFC137">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61C88B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E2D534A">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FEBDE21">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5E26605">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D4E688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1D0A7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70607A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00E7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5DA657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3B199D1A">
      <w:pPr>
        <w:snapToGrid w:val="0"/>
        <w:spacing w:line="360" w:lineRule="auto"/>
        <w:rPr>
          <w:rFonts w:hint="eastAsia" w:ascii="仿宋" w:hAnsi="仿宋" w:eastAsia="仿宋" w:cs="仿宋"/>
          <w:color w:val="auto"/>
          <w:sz w:val="24"/>
          <w:highlight w:val="none"/>
        </w:rPr>
      </w:pPr>
    </w:p>
    <w:p w14:paraId="202FB49C">
      <w:pPr>
        <w:snapToGrid w:val="0"/>
        <w:spacing w:line="360" w:lineRule="auto"/>
        <w:rPr>
          <w:rFonts w:hint="eastAsia" w:ascii="仿宋" w:hAnsi="仿宋" w:eastAsia="仿宋" w:cs="仿宋"/>
          <w:color w:val="auto"/>
          <w:sz w:val="24"/>
          <w:highlight w:val="none"/>
        </w:rPr>
      </w:pPr>
    </w:p>
    <w:p w14:paraId="6AADD9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BD75A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66EE4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EB13E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委托期限：</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77D1D7E4">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7FE4A24">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6E1AEC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DDAAB22">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rPr>
      </w:pPr>
    </w:p>
    <w:p w14:paraId="16F2F2BD">
      <w:pPr>
        <w:keepNext w:val="0"/>
        <w:keepLines w:val="0"/>
        <w:pageBreakBefore w:val="0"/>
        <w:kinsoku/>
        <w:wordWrap/>
        <w:overflowPunct/>
        <w:topLinePunct w:val="0"/>
        <w:bidi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23F5386">
      <w:pPr>
        <w:keepNext w:val="0"/>
        <w:keepLines w:val="0"/>
        <w:pageBreakBefore w:val="0"/>
        <w:kinsoku/>
        <w:wordWrap/>
        <w:overflowPunct/>
        <w:topLinePunct w:val="0"/>
        <w:bidi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02441D">
      <w:pPr>
        <w:keepNext w:val="0"/>
        <w:keepLines w:val="0"/>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26D5D63">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0E56026">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D1E1274">
      <w:pPr>
        <w:keepNext w:val="0"/>
        <w:keepLines w:val="0"/>
        <w:pageBreakBefore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4CBF443">
      <w:pPr>
        <w:pStyle w:val="19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0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1148FB4E">
            <w:pPr>
              <w:pStyle w:val="19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D279F7B">
            <w:pPr>
              <w:pStyle w:val="196"/>
              <w:adjustRightInd w:val="0"/>
              <w:spacing w:line="360" w:lineRule="auto"/>
              <w:rPr>
                <w:rFonts w:hint="eastAsia" w:ascii="仿宋" w:hAnsi="仿宋" w:eastAsia="仿宋" w:cs="仿宋"/>
                <w:bCs/>
                <w:color w:val="auto"/>
                <w:sz w:val="24"/>
                <w:highlight w:val="none"/>
              </w:rPr>
            </w:pPr>
          </w:p>
        </w:tc>
      </w:tr>
    </w:tbl>
    <w:p w14:paraId="50FD513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4DD25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9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0F51C14E">
            <w:pPr>
              <w:pStyle w:val="196"/>
              <w:adjustRightInd w:val="0"/>
              <w:spacing w:line="360" w:lineRule="auto"/>
              <w:rPr>
                <w:rFonts w:hint="eastAsia" w:ascii="仿宋" w:hAnsi="仿宋" w:eastAsia="仿宋" w:cs="仿宋"/>
                <w:bCs/>
                <w:color w:val="auto"/>
                <w:sz w:val="24"/>
                <w:highlight w:val="none"/>
              </w:rPr>
            </w:pPr>
          </w:p>
        </w:tc>
      </w:tr>
    </w:tbl>
    <w:p w14:paraId="592EC5BE">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31D161">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EA2AE64">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1942E8D5">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F9EFF0A">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087309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0805A4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EE0E5FA">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FEB80E1">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14:paraId="343811E9">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p>
    <w:p w14:paraId="3F31B02B">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CC64C5">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14:paraId="67FCD860">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50F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CC3C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1C371B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68521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6F3B83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D6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4303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0D518B0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ED8432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4A03441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p w14:paraId="63AF466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1FCA0A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D28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FEC3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44E342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760FBE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4B97269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597EB1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32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B7F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4E15A6E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CCCF57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14:paraId="66398EA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p>
        </w:tc>
      </w:tr>
      <w:tr w14:paraId="381B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209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val="en-US" w:eastAsia="zh-CN"/>
              </w:rPr>
            </w:pPr>
          </w:p>
        </w:tc>
        <w:tc>
          <w:tcPr>
            <w:tcW w:w="6796" w:type="dxa"/>
            <w:gridSpan w:val="2"/>
            <w:vAlign w:val="center"/>
          </w:tcPr>
          <w:p w14:paraId="232D276D">
            <w:pPr>
              <w:pStyle w:val="18"/>
              <w:adjustRightInd w:val="0"/>
              <w:snapToGrid w:val="0"/>
              <w:spacing w:after="0" w:line="360" w:lineRule="auto"/>
              <w:ind w:firstLine="480" w:firstLineChars="200"/>
              <w:rPr>
                <w:rFonts w:hint="eastAsia" w:ascii="仿宋" w:hAnsi="仿宋" w:eastAsia="仿宋" w:cs="仿宋"/>
                <w:color w:val="auto"/>
                <w:kern w:val="0"/>
                <w:sz w:val="24"/>
                <w:highlight w:val="none"/>
                <w:lang w:val="en-US" w:eastAsia="zh-CN"/>
              </w:rPr>
            </w:pPr>
          </w:p>
        </w:tc>
        <w:tc>
          <w:tcPr>
            <w:tcW w:w="1672" w:type="dxa"/>
            <w:vAlign w:val="center"/>
          </w:tcPr>
          <w:p w14:paraId="7FFA2FA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tc>
      </w:tr>
      <w:tr w14:paraId="1462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C812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val="en-US" w:eastAsia="zh-CN"/>
              </w:rPr>
            </w:pPr>
          </w:p>
        </w:tc>
        <w:tc>
          <w:tcPr>
            <w:tcW w:w="6796" w:type="dxa"/>
            <w:gridSpan w:val="2"/>
            <w:vAlign w:val="center"/>
          </w:tcPr>
          <w:p w14:paraId="07FDC35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snapToGrid w:val="0"/>
                <w:color w:val="auto"/>
                <w:kern w:val="0"/>
                <w:sz w:val="24"/>
                <w:highlight w:val="none"/>
                <w:lang w:val="en-US" w:eastAsia="zh-CN"/>
              </w:rPr>
            </w:pPr>
          </w:p>
        </w:tc>
        <w:tc>
          <w:tcPr>
            <w:tcW w:w="1672" w:type="dxa"/>
            <w:vAlign w:val="center"/>
          </w:tcPr>
          <w:p w14:paraId="477F658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tc>
      </w:tr>
    </w:tbl>
    <w:p w14:paraId="04D6D5B4">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0BA389B">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7E7B8D6">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p>
    <w:p w14:paraId="440721AC">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14:paraId="061F9386">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p>
    <w:p w14:paraId="796F0950">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800D8CD">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31C3AC4">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204CFF4">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565B6E">
      <w:pPr>
        <w:pStyle w:val="2"/>
        <w:rPr>
          <w:rFonts w:hint="eastAsia"/>
        </w:rPr>
      </w:pPr>
    </w:p>
    <w:p w14:paraId="2DD714E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B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4CA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64C1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8B209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CF83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173A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991D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DC7C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3CDD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562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BA65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白杨街道凌云未来社区用房广告设计制作一体化项目</w:t>
            </w:r>
          </w:p>
        </w:tc>
        <w:tc>
          <w:tcPr>
            <w:tcW w:w="1114" w:type="dxa"/>
            <w:tcBorders>
              <w:top w:val="single" w:color="auto" w:sz="4" w:space="0"/>
              <w:left w:val="single" w:color="auto" w:sz="4" w:space="0"/>
              <w:bottom w:val="single" w:color="auto" w:sz="4" w:space="0"/>
              <w:right w:val="single" w:color="auto" w:sz="4" w:space="0"/>
            </w:tcBorders>
            <w:vAlign w:val="center"/>
          </w:tcPr>
          <w:p w14:paraId="169E14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746F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88CA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9697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4E00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bl>
    <w:p w14:paraId="56E57A4B">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01BECE8E">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183E4B7B">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179FC635">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5A4A7EE7">
      <w:pPr>
        <w:keepNext w:val="0"/>
        <w:keepLines w:val="0"/>
        <w:pageBreakBefore w:val="0"/>
        <w:kinsoku/>
        <w:wordWrap/>
        <w:overflowPunct/>
        <w:topLinePunct w:val="0"/>
        <w:bidi w:val="0"/>
        <w:jc w:val="center"/>
        <w:textAlignment w:val="auto"/>
        <w:outlineLvl w:val="9"/>
        <w:rPr>
          <w:rFonts w:hint="eastAsia" w:ascii="仿宋" w:hAnsi="仿宋" w:eastAsia="仿宋" w:cs="仿宋"/>
          <w:b/>
          <w:bCs/>
          <w:color w:val="auto"/>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1C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1AE65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7AF516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1EA8E3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314527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3AA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B0715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67284B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54A137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7F161A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785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259A7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760D87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435EFC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5142D2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73C8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3D2BC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491A3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7AB72E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2562D5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bl>
    <w:p w14:paraId="08CAC172">
      <w:pPr>
        <w:keepNext w:val="0"/>
        <w:keepLines w:val="0"/>
        <w:pageBreakBefore w:val="0"/>
        <w:kinsoku/>
        <w:wordWrap/>
        <w:overflowPunct/>
        <w:topLinePunct w:val="0"/>
        <w:bidi w:val="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5C6FC49">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6D2858F">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19490FD">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E974DC">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八、政府采购供应商廉洁自律承诺书</w:t>
      </w:r>
    </w:p>
    <w:p w14:paraId="7F80D585">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42415728">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102AAC0">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A5F7D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83355E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57E687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65565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3FE6B1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26D64CE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F44D430">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监管部门</w:t>
      </w:r>
      <w:r>
        <w:rPr>
          <w:rFonts w:hint="eastAsia" w:ascii="仿宋" w:hAnsi="仿宋" w:eastAsia="仿宋" w:cs="仿宋"/>
          <w:color w:val="auto"/>
          <w:kern w:val="0"/>
          <w:sz w:val="24"/>
          <w:highlight w:val="none"/>
          <w:lang w:val="zh-CN"/>
        </w:rPr>
        <w:t>。由此引起的相应损失均由我单位承担。</w:t>
      </w:r>
    </w:p>
    <w:p w14:paraId="7E4EE86D">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C10AD45">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718DCE8">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50EC61B">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9D1963">
      <w:pPr>
        <w:keepNext w:val="0"/>
        <w:keepLines w:val="0"/>
        <w:pageBreakBefore w:val="0"/>
        <w:kinsoku/>
        <w:wordWrap/>
        <w:overflowPunct/>
        <w:topLinePunct w:val="0"/>
        <w:bidi w:val="0"/>
        <w:spacing w:line="360" w:lineRule="auto"/>
        <w:ind w:left="4620" w:leftChars="2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4487A47">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p>
    <w:p w14:paraId="2335944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5FA10FF">
      <w:pPr>
        <w:spacing w:line="360" w:lineRule="auto"/>
        <w:jc w:val="center"/>
        <w:outlineLvl w:val="1"/>
        <w:rPr>
          <w:rFonts w:hint="eastAsia" w:ascii="仿宋" w:hAnsi="仿宋" w:eastAsia="仿宋" w:cs="仿宋"/>
          <w:b/>
          <w:color w:val="auto"/>
          <w:kern w:val="0"/>
          <w:sz w:val="36"/>
          <w:szCs w:val="36"/>
          <w:highlight w:val="none"/>
        </w:rPr>
      </w:pPr>
      <w:bookmarkStart w:id="137" w:name="_Toc5590"/>
      <w:bookmarkStart w:id="138" w:name="_Toc29208"/>
      <w:bookmarkStart w:id="139" w:name="_Toc3363"/>
      <w:bookmarkStart w:id="140" w:name="_Toc3114"/>
      <w:r>
        <w:rPr>
          <w:rFonts w:hint="eastAsia" w:ascii="仿宋" w:hAnsi="仿宋" w:eastAsia="仿宋" w:cs="仿宋"/>
          <w:b/>
          <w:color w:val="auto"/>
          <w:kern w:val="0"/>
          <w:sz w:val="36"/>
          <w:szCs w:val="36"/>
          <w:highlight w:val="none"/>
        </w:rPr>
        <w:t>报价文件部分</w:t>
      </w:r>
      <w:bookmarkEnd w:id="137"/>
      <w:bookmarkEnd w:id="138"/>
      <w:bookmarkEnd w:id="139"/>
      <w:bookmarkEnd w:id="140"/>
    </w:p>
    <w:p w14:paraId="0B85A97A">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CA48E9">
      <w:pPr>
        <w:spacing w:line="360" w:lineRule="auto"/>
        <w:jc w:val="center"/>
        <w:rPr>
          <w:rFonts w:hint="eastAsia" w:ascii="仿宋" w:hAnsi="仿宋" w:eastAsia="仿宋" w:cs="仿宋"/>
          <w:b/>
          <w:color w:val="auto"/>
          <w:kern w:val="0"/>
          <w:sz w:val="36"/>
          <w:szCs w:val="36"/>
          <w:highlight w:val="none"/>
        </w:rPr>
      </w:pPr>
    </w:p>
    <w:p w14:paraId="1623E3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459E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（2）报价明细表……………………………………………………………………（页码）</w:t>
      </w:r>
    </w:p>
    <w:p w14:paraId="198FAE8B">
      <w:pPr>
        <w:snapToGrid w:val="0"/>
        <w:spacing w:line="360" w:lineRule="auto"/>
        <w:ind w:right="480"/>
        <w:jc w:val="center"/>
        <w:rPr>
          <w:rFonts w:hint="eastAsia" w:ascii="仿宋" w:hAnsi="仿宋" w:eastAsia="仿宋" w:cs="仿宋"/>
          <w:b/>
          <w:color w:val="auto"/>
          <w:kern w:val="0"/>
          <w:sz w:val="32"/>
          <w:szCs w:val="32"/>
          <w:highlight w:val="none"/>
        </w:rPr>
      </w:pPr>
    </w:p>
    <w:p w14:paraId="6CD362F0">
      <w:pPr>
        <w:snapToGrid w:val="0"/>
        <w:spacing w:line="360" w:lineRule="auto"/>
        <w:ind w:right="480"/>
        <w:jc w:val="center"/>
        <w:rPr>
          <w:rFonts w:hint="eastAsia" w:ascii="仿宋" w:hAnsi="仿宋" w:eastAsia="仿宋" w:cs="仿宋"/>
          <w:b/>
          <w:color w:val="auto"/>
          <w:kern w:val="0"/>
          <w:sz w:val="32"/>
          <w:szCs w:val="32"/>
          <w:highlight w:val="none"/>
        </w:rPr>
      </w:pPr>
    </w:p>
    <w:p w14:paraId="6513C1E8">
      <w:pPr>
        <w:snapToGrid w:val="0"/>
        <w:spacing w:line="360" w:lineRule="auto"/>
        <w:ind w:right="480"/>
        <w:jc w:val="center"/>
        <w:rPr>
          <w:rFonts w:hint="eastAsia" w:ascii="仿宋" w:hAnsi="仿宋" w:eastAsia="仿宋" w:cs="仿宋"/>
          <w:b/>
          <w:color w:val="auto"/>
          <w:kern w:val="0"/>
          <w:sz w:val="32"/>
          <w:szCs w:val="32"/>
          <w:highlight w:val="none"/>
        </w:rPr>
      </w:pPr>
    </w:p>
    <w:p w14:paraId="490F0B87">
      <w:pPr>
        <w:snapToGrid w:val="0"/>
        <w:spacing w:line="360" w:lineRule="auto"/>
        <w:ind w:right="480"/>
        <w:jc w:val="center"/>
        <w:rPr>
          <w:rFonts w:hint="eastAsia" w:ascii="仿宋" w:hAnsi="仿宋" w:eastAsia="仿宋" w:cs="仿宋"/>
          <w:b/>
          <w:color w:val="auto"/>
          <w:kern w:val="0"/>
          <w:sz w:val="32"/>
          <w:szCs w:val="32"/>
          <w:highlight w:val="none"/>
        </w:rPr>
      </w:pPr>
    </w:p>
    <w:p w14:paraId="5A4E088D">
      <w:pPr>
        <w:snapToGrid w:val="0"/>
        <w:spacing w:line="360" w:lineRule="auto"/>
        <w:ind w:right="480"/>
        <w:jc w:val="center"/>
        <w:rPr>
          <w:rFonts w:hint="eastAsia" w:ascii="仿宋" w:hAnsi="仿宋" w:eastAsia="仿宋" w:cs="仿宋"/>
          <w:b/>
          <w:color w:val="auto"/>
          <w:kern w:val="0"/>
          <w:sz w:val="32"/>
          <w:szCs w:val="32"/>
          <w:highlight w:val="none"/>
        </w:rPr>
      </w:pPr>
    </w:p>
    <w:p w14:paraId="727E7666">
      <w:pPr>
        <w:snapToGrid w:val="0"/>
        <w:spacing w:line="360" w:lineRule="auto"/>
        <w:ind w:right="480"/>
        <w:jc w:val="center"/>
        <w:rPr>
          <w:rFonts w:hint="eastAsia" w:ascii="仿宋" w:hAnsi="仿宋" w:eastAsia="仿宋" w:cs="仿宋"/>
          <w:b/>
          <w:color w:val="auto"/>
          <w:kern w:val="0"/>
          <w:sz w:val="32"/>
          <w:szCs w:val="32"/>
          <w:highlight w:val="none"/>
        </w:rPr>
      </w:pPr>
    </w:p>
    <w:p w14:paraId="6BF88B4E">
      <w:pPr>
        <w:snapToGrid w:val="0"/>
        <w:spacing w:line="360" w:lineRule="auto"/>
        <w:ind w:right="480"/>
        <w:jc w:val="center"/>
        <w:rPr>
          <w:rFonts w:hint="eastAsia" w:ascii="仿宋" w:hAnsi="仿宋" w:eastAsia="仿宋" w:cs="仿宋"/>
          <w:b/>
          <w:color w:val="auto"/>
          <w:kern w:val="0"/>
          <w:sz w:val="32"/>
          <w:szCs w:val="32"/>
          <w:highlight w:val="none"/>
        </w:rPr>
      </w:pPr>
    </w:p>
    <w:p w14:paraId="2AB4369F">
      <w:pPr>
        <w:snapToGrid w:val="0"/>
        <w:spacing w:line="360" w:lineRule="auto"/>
        <w:ind w:right="480"/>
        <w:jc w:val="center"/>
        <w:rPr>
          <w:rFonts w:hint="eastAsia" w:ascii="仿宋" w:hAnsi="仿宋" w:eastAsia="仿宋" w:cs="仿宋"/>
          <w:b/>
          <w:color w:val="auto"/>
          <w:kern w:val="0"/>
          <w:sz w:val="32"/>
          <w:szCs w:val="32"/>
          <w:highlight w:val="none"/>
        </w:rPr>
      </w:pPr>
    </w:p>
    <w:p w14:paraId="773C60B2">
      <w:pPr>
        <w:snapToGrid w:val="0"/>
        <w:spacing w:line="360" w:lineRule="auto"/>
        <w:ind w:right="480"/>
        <w:jc w:val="center"/>
        <w:rPr>
          <w:rFonts w:hint="eastAsia" w:ascii="仿宋" w:hAnsi="仿宋" w:eastAsia="仿宋" w:cs="仿宋"/>
          <w:b/>
          <w:color w:val="auto"/>
          <w:kern w:val="0"/>
          <w:sz w:val="32"/>
          <w:szCs w:val="32"/>
          <w:highlight w:val="none"/>
        </w:rPr>
      </w:pPr>
    </w:p>
    <w:p w14:paraId="6C72EFCD">
      <w:pPr>
        <w:snapToGrid w:val="0"/>
        <w:spacing w:line="360" w:lineRule="auto"/>
        <w:ind w:right="480"/>
        <w:jc w:val="center"/>
        <w:rPr>
          <w:rFonts w:hint="eastAsia" w:ascii="仿宋" w:hAnsi="仿宋" w:eastAsia="仿宋" w:cs="仿宋"/>
          <w:b/>
          <w:color w:val="auto"/>
          <w:kern w:val="0"/>
          <w:sz w:val="32"/>
          <w:szCs w:val="32"/>
          <w:highlight w:val="none"/>
        </w:rPr>
      </w:pPr>
    </w:p>
    <w:p w14:paraId="1FCB3A46">
      <w:pPr>
        <w:snapToGrid w:val="0"/>
        <w:spacing w:line="360" w:lineRule="auto"/>
        <w:ind w:right="480"/>
        <w:jc w:val="center"/>
        <w:rPr>
          <w:rFonts w:hint="eastAsia" w:ascii="仿宋" w:hAnsi="仿宋" w:eastAsia="仿宋" w:cs="仿宋"/>
          <w:b/>
          <w:color w:val="auto"/>
          <w:kern w:val="0"/>
          <w:sz w:val="32"/>
          <w:szCs w:val="32"/>
          <w:highlight w:val="none"/>
        </w:rPr>
      </w:pPr>
    </w:p>
    <w:p w14:paraId="36E1EA10">
      <w:pPr>
        <w:snapToGrid w:val="0"/>
        <w:spacing w:line="360" w:lineRule="auto"/>
        <w:ind w:right="480"/>
        <w:jc w:val="center"/>
        <w:rPr>
          <w:rFonts w:hint="eastAsia" w:ascii="仿宋" w:hAnsi="仿宋" w:eastAsia="仿宋" w:cs="仿宋"/>
          <w:b/>
          <w:color w:val="auto"/>
          <w:kern w:val="0"/>
          <w:sz w:val="32"/>
          <w:szCs w:val="32"/>
          <w:highlight w:val="none"/>
        </w:rPr>
      </w:pPr>
    </w:p>
    <w:p w14:paraId="3BEF6B0E">
      <w:pPr>
        <w:snapToGrid w:val="0"/>
        <w:spacing w:line="360" w:lineRule="auto"/>
        <w:ind w:right="480"/>
        <w:jc w:val="center"/>
        <w:rPr>
          <w:rFonts w:hint="eastAsia" w:ascii="仿宋" w:hAnsi="仿宋" w:eastAsia="仿宋" w:cs="仿宋"/>
          <w:b/>
          <w:color w:val="auto"/>
          <w:kern w:val="0"/>
          <w:sz w:val="32"/>
          <w:szCs w:val="32"/>
          <w:highlight w:val="none"/>
        </w:rPr>
      </w:pPr>
    </w:p>
    <w:p w14:paraId="7047CE67">
      <w:pPr>
        <w:snapToGrid w:val="0"/>
        <w:spacing w:line="360" w:lineRule="auto"/>
        <w:ind w:right="480"/>
        <w:jc w:val="center"/>
        <w:rPr>
          <w:rFonts w:hint="eastAsia" w:ascii="仿宋" w:hAnsi="仿宋" w:eastAsia="仿宋" w:cs="仿宋"/>
          <w:b/>
          <w:color w:val="auto"/>
          <w:kern w:val="0"/>
          <w:sz w:val="32"/>
          <w:szCs w:val="32"/>
          <w:highlight w:val="none"/>
        </w:rPr>
      </w:pPr>
    </w:p>
    <w:p w14:paraId="5AA5A04A">
      <w:pPr>
        <w:snapToGrid w:val="0"/>
        <w:spacing w:line="360" w:lineRule="auto"/>
        <w:ind w:right="480"/>
        <w:jc w:val="center"/>
        <w:rPr>
          <w:rFonts w:hint="eastAsia" w:ascii="仿宋" w:hAnsi="仿宋" w:eastAsia="仿宋" w:cs="仿宋"/>
          <w:b/>
          <w:color w:val="auto"/>
          <w:kern w:val="0"/>
          <w:sz w:val="32"/>
          <w:szCs w:val="32"/>
          <w:highlight w:val="none"/>
        </w:rPr>
      </w:pPr>
    </w:p>
    <w:p w14:paraId="7FE1B954">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8C586F4">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141" w:name="_Toc26125"/>
      <w:bookmarkStart w:id="142" w:name="_Toc25033"/>
      <w:bookmarkStart w:id="143" w:name="_Toc16414"/>
      <w:bookmarkStart w:id="144" w:name="_Toc11552"/>
      <w:bookmarkStart w:id="145" w:name="_Toc19569"/>
      <w:bookmarkStart w:id="146" w:name="_Toc5399"/>
      <w:bookmarkStart w:id="147" w:name="_Toc13843"/>
      <w:bookmarkStart w:id="148" w:name="_Toc8039"/>
      <w:bookmarkStart w:id="149" w:name="_Toc11024"/>
      <w:bookmarkStart w:id="150" w:name="_Toc5294"/>
      <w:bookmarkStart w:id="151" w:name="_Toc30323"/>
      <w:bookmarkStart w:id="152" w:name="_Toc9655"/>
      <w:bookmarkStart w:id="153" w:name="_Toc15988"/>
      <w:bookmarkStart w:id="154" w:name="_Toc366"/>
      <w:bookmarkStart w:id="155" w:name="_Toc21526"/>
      <w:bookmarkStart w:id="156" w:name="_Toc17498"/>
      <w:bookmarkStart w:id="157" w:name="_Toc21682"/>
      <w:bookmarkStart w:id="158" w:name="_Toc11262"/>
      <w:bookmarkStart w:id="159" w:name="_Toc12875"/>
      <w:r>
        <w:rPr>
          <w:rFonts w:hint="eastAsia" w:ascii="仿宋" w:hAnsi="仿宋" w:eastAsia="仿宋" w:cs="仿宋"/>
          <w:color w:val="auto"/>
          <w:kern w:val="2"/>
          <w:sz w:val="32"/>
          <w:szCs w:val="32"/>
          <w:highlight w:val="none"/>
        </w:rPr>
        <w:t>一、开标一览表（报价表）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C214A4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646BB4D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6B7299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4E7C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3F3E3E6D">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投标报价</w:t>
            </w:r>
          </w:p>
        </w:tc>
        <w:tc>
          <w:tcPr>
            <w:tcW w:w="6286" w:type="dxa"/>
            <w:noWrap/>
            <w:vAlign w:val="center"/>
          </w:tcPr>
          <w:p w14:paraId="26CCD58F">
            <w:pPr>
              <w:adjustRightInd w:val="0"/>
              <w:snapToGrid w:val="0"/>
              <w:ind w:left="72" w:leftChars="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14:paraId="4D58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4B0B576C">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noWrap/>
            <w:vAlign w:val="center"/>
          </w:tcPr>
          <w:p w14:paraId="44AAAA73">
            <w:pPr>
              <w:adjustRightInd w:val="0"/>
              <w:snapToGrid w:val="0"/>
              <w:ind w:left="72" w:leftChars="0"/>
              <w:rPr>
                <w:rFonts w:hint="eastAsia" w:ascii="仿宋" w:hAnsi="仿宋" w:eastAsia="仿宋" w:cs="仿宋"/>
                <w:snapToGrid w:val="0"/>
                <w:color w:val="auto"/>
                <w:kern w:val="0"/>
                <w:szCs w:val="21"/>
                <w:highlight w:val="none"/>
                <w:u w:val="single"/>
                <w:lang w:val="en-US" w:eastAsia="zh-CN"/>
              </w:rPr>
            </w:pPr>
          </w:p>
        </w:tc>
      </w:tr>
    </w:tbl>
    <w:p w14:paraId="25ABCF74">
      <w:pPr>
        <w:adjustRightInd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6DC88C">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45310879">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31056918">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特别说明：</w:t>
      </w:r>
      <w:r>
        <w:rPr>
          <w:rFonts w:hint="eastAsia" w:ascii="仿宋" w:hAnsi="仿宋" w:eastAsia="仿宋" w:cs="仿宋"/>
          <w:color w:val="auto"/>
          <w:sz w:val="24"/>
          <w:highlight w:val="none"/>
          <w:lang w:val="en-US" w:eastAsia="zh-CN"/>
        </w:rPr>
        <w:t>报价低于50%（不含）的，</w:t>
      </w:r>
      <w:r>
        <w:rPr>
          <w:rFonts w:hint="eastAsia" w:ascii="仿宋" w:hAnsi="仿宋" w:eastAsia="仿宋" w:cs="仿宋"/>
          <w:color w:val="auto"/>
          <w:sz w:val="24"/>
          <w:highlight w:val="none"/>
          <w:lang w:val="zh-CN" w:eastAsia="zh-CN"/>
        </w:rPr>
        <w:t>应当在报价文件中出具《报价情况说明》，</w:t>
      </w:r>
      <w:r>
        <w:rPr>
          <w:rFonts w:hint="eastAsia" w:ascii="仿宋" w:hAnsi="仿宋" w:eastAsia="仿宋" w:cs="仿宋"/>
          <w:color w:val="auto"/>
          <w:sz w:val="24"/>
          <w:highlight w:val="none"/>
          <w:lang w:val="en-US" w:eastAsia="zh-CN"/>
        </w:rPr>
        <w:t>针对采购需求列出的工作项目内容提供该报价的原因，</w:t>
      </w:r>
      <w:r>
        <w:rPr>
          <w:rFonts w:hint="eastAsia" w:ascii="仿宋" w:hAnsi="仿宋" w:eastAsia="仿宋" w:cs="仿宋"/>
          <w:color w:val="auto"/>
          <w:sz w:val="24"/>
          <w:highlight w:val="none"/>
          <w:lang w:val="zh-CN" w:eastAsia="zh-CN"/>
        </w:rPr>
        <w:t>详细阐述不影响服务质量或者诚信履约的具体理由及依据。</w:t>
      </w:r>
    </w:p>
    <w:p w14:paraId="76ECF4F4">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en-US" w:eastAsia="zh-CN"/>
        </w:rPr>
      </w:pPr>
    </w:p>
    <w:p w14:paraId="4243D6BB">
      <w:pPr>
        <w:keepNext w:val="0"/>
        <w:keepLines w:val="0"/>
        <w:pageBreakBefore w:val="0"/>
        <w:kinsoku/>
        <w:wordWrap/>
        <w:overflowPunct/>
        <w:topLinePunct w:val="0"/>
        <w:bidi w:val="0"/>
        <w:snapToGrid w:val="0"/>
        <w:spacing w:line="360" w:lineRule="auto"/>
        <w:ind w:firstLine="576"/>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4A7453E1">
      <w:pPr>
        <w:adjustRightInd w:val="0"/>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A4286ED">
      <w:pPr>
        <w:spacing w:line="360" w:lineRule="auto"/>
        <w:ind w:firstLine="482" w:firstLineChars="200"/>
        <w:rPr>
          <w:rFonts w:hint="eastAsia" w:ascii="仿宋" w:hAnsi="仿宋" w:eastAsia="仿宋" w:cs="仿宋"/>
          <w:b/>
          <w:color w:val="auto"/>
          <w:kern w:val="0"/>
          <w:sz w:val="24"/>
          <w:highlight w:val="none"/>
        </w:rPr>
      </w:pPr>
    </w:p>
    <w:p w14:paraId="67584979">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B2F9825">
      <w:pPr>
        <w:pStyle w:val="21"/>
        <w:spacing w:line="600" w:lineRule="exact"/>
        <w:ind w:firstLine="0"/>
        <w:jc w:val="center"/>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二、报价明细表</w:t>
      </w:r>
    </w:p>
    <w:p w14:paraId="2833CD00">
      <w:pPr>
        <w:adjustRightInd w:val="0"/>
        <w:spacing w:line="360" w:lineRule="auto"/>
        <w:jc w:val="left"/>
        <w:rPr>
          <w:rFonts w:hint="eastAsia" w:ascii="仿宋" w:hAnsi="仿宋" w:eastAsia="仿宋" w:cs="仿宋"/>
          <w:color w:val="auto"/>
          <w:szCs w:val="21"/>
          <w:highlight w:val="none"/>
        </w:rPr>
      </w:pPr>
    </w:p>
    <w:p w14:paraId="524D5D81">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白杨街道凌云未来社区用房广告设计制作一体化项目</w:t>
      </w:r>
    </w:p>
    <w:p w14:paraId="737A0838">
      <w:pPr>
        <w:pStyle w:val="18"/>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QTCG-GK-2024-295</w:t>
      </w:r>
    </w:p>
    <w:p w14:paraId="0D6DDA7A">
      <w:pPr>
        <w:pStyle w:val="2"/>
        <w:rPr>
          <w:rFonts w:hint="eastAsia" w:ascii="仿宋" w:hAnsi="仿宋" w:eastAsia="仿宋" w:cs="仿宋"/>
          <w:color w:val="auto"/>
          <w:szCs w:val="21"/>
          <w:highlight w:val="none"/>
          <w:lang w:eastAsia="zh-CN"/>
        </w:rPr>
      </w:pPr>
    </w:p>
    <w:p w14:paraId="0DDD30AD">
      <w:pPr>
        <w:pStyle w:val="2"/>
        <w:rPr>
          <w:rFonts w:hint="eastAsia" w:ascii="仿宋" w:hAnsi="仿宋" w:eastAsia="仿宋" w:cs="仿宋"/>
          <w:color w:val="auto"/>
          <w:szCs w:val="21"/>
          <w:highlight w:val="none"/>
          <w:lang w:eastAsia="zh-CN"/>
        </w:rPr>
      </w:pPr>
    </w:p>
    <w:p w14:paraId="294EAE30">
      <w:pPr>
        <w:pStyle w:val="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自拟</w:t>
      </w:r>
      <w:r>
        <w:rPr>
          <w:rFonts w:hint="eastAsia" w:ascii="仿宋" w:hAnsi="仿宋" w:eastAsia="仿宋" w:cs="仿宋"/>
          <w:color w:val="auto"/>
          <w:szCs w:val="21"/>
          <w:highlight w:val="none"/>
          <w:lang w:eastAsia="zh-CN"/>
        </w:rPr>
        <w:t>）</w:t>
      </w:r>
    </w:p>
    <w:p w14:paraId="337A9D86">
      <w:pPr>
        <w:spacing w:line="360" w:lineRule="auto"/>
        <w:rPr>
          <w:rFonts w:hint="eastAsia" w:ascii="仿宋" w:hAnsi="仿宋" w:eastAsia="仿宋" w:cs="仿宋"/>
          <w:color w:val="auto"/>
          <w:highlight w:val="none"/>
          <w:lang w:eastAsia="zh-CN"/>
        </w:rPr>
      </w:pPr>
    </w:p>
    <w:p w14:paraId="2C2BA769">
      <w:pPr>
        <w:spacing w:line="360" w:lineRule="auto"/>
        <w:rPr>
          <w:rFonts w:hint="eastAsia" w:ascii="仿宋" w:hAnsi="仿宋" w:eastAsia="仿宋" w:cs="仿宋"/>
          <w:color w:val="auto"/>
          <w:highlight w:val="none"/>
          <w:lang w:eastAsia="zh-CN"/>
        </w:rPr>
      </w:pPr>
    </w:p>
    <w:p w14:paraId="69663D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14:paraId="5F0479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14:paraId="00E5990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4B9AD0FD">
      <w:pPr>
        <w:adjustRightInd w:val="0"/>
        <w:spacing w:line="360" w:lineRule="auto"/>
        <w:ind w:firstLine="4515" w:firstLineChars="2150"/>
        <w:rPr>
          <w:rFonts w:hint="eastAsia" w:ascii="仿宋" w:hAnsi="仿宋" w:eastAsia="仿宋" w:cs="仿宋"/>
          <w:color w:val="auto"/>
          <w:szCs w:val="21"/>
          <w:highlight w:val="none"/>
        </w:rPr>
      </w:pPr>
    </w:p>
    <w:p w14:paraId="7617CB8F">
      <w:pPr>
        <w:keepNext w:val="0"/>
        <w:keepLines w:val="0"/>
        <w:pageBreakBefore w:val="0"/>
        <w:kinsoku/>
        <w:wordWrap/>
        <w:overflowPunct/>
        <w:topLinePunct w:val="0"/>
        <w:bidi w:val="0"/>
        <w:snapToGrid w:val="0"/>
        <w:spacing w:line="360" w:lineRule="auto"/>
        <w:ind w:firstLine="576"/>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6113DB89">
      <w:pPr>
        <w:adjustRightInd w:val="0"/>
        <w:ind w:firstLine="720" w:firstLineChars="300"/>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61AFA2E6">
      <w:pPr>
        <w:pStyle w:val="176"/>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14:paraId="0E511FA8">
      <w:pPr>
        <w:rPr>
          <w:rFonts w:hint="eastAsia" w:ascii="仿宋" w:hAnsi="仿宋" w:eastAsia="仿宋" w:cs="仿宋"/>
          <w:color w:val="auto"/>
          <w:highlight w:val="none"/>
        </w:rPr>
      </w:pPr>
    </w:p>
    <w:p w14:paraId="4844292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0DEC2F7">
      <w:pPr>
        <w:spacing w:line="360" w:lineRule="auto"/>
        <w:jc w:val="center"/>
        <w:rPr>
          <w:rFonts w:hint="eastAsia" w:ascii="仿宋" w:hAnsi="仿宋" w:eastAsia="仿宋" w:cs="仿宋"/>
          <w:b/>
          <w:color w:val="auto"/>
          <w:spacing w:val="6"/>
          <w:sz w:val="32"/>
          <w:szCs w:val="32"/>
          <w:highlight w:val="none"/>
        </w:rPr>
      </w:pPr>
      <w:bookmarkStart w:id="160" w:name="OLE_LINK14"/>
      <w:bookmarkStart w:id="161" w:name="OLE_LINK13"/>
      <w:r>
        <w:rPr>
          <w:rFonts w:hint="eastAsia" w:ascii="仿宋" w:hAnsi="仿宋" w:eastAsia="仿宋" w:cs="仿宋"/>
          <w:b/>
          <w:color w:val="auto"/>
          <w:spacing w:val="6"/>
          <w:sz w:val="32"/>
          <w:szCs w:val="32"/>
          <w:highlight w:val="none"/>
        </w:rPr>
        <w:t>残疾人福利性单位声明函</w:t>
      </w:r>
    </w:p>
    <w:bookmarkEnd w:id="160"/>
    <w:bookmarkEnd w:id="161"/>
    <w:p w14:paraId="7DD68C3E">
      <w:pPr>
        <w:spacing w:line="360" w:lineRule="auto"/>
        <w:rPr>
          <w:rFonts w:hint="eastAsia" w:ascii="仿宋" w:hAnsi="仿宋" w:eastAsia="仿宋" w:cs="仿宋"/>
          <w:b/>
          <w:color w:val="auto"/>
          <w:spacing w:val="6"/>
          <w:sz w:val="30"/>
          <w:szCs w:val="30"/>
          <w:highlight w:val="none"/>
        </w:rPr>
      </w:pPr>
    </w:p>
    <w:p w14:paraId="0C4162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D880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B24F52E">
      <w:pPr>
        <w:spacing w:line="360" w:lineRule="auto"/>
        <w:ind w:firstLine="480" w:firstLineChars="200"/>
        <w:rPr>
          <w:rFonts w:hint="eastAsia" w:ascii="仿宋" w:hAnsi="仿宋" w:eastAsia="仿宋" w:cs="仿宋"/>
          <w:color w:val="auto"/>
          <w:sz w:val="24"/>
          <w:highlight w:val="none"/>
        </w:rPr>
      </w:pPr>
    </w:p>
    <w:p w14:paraId="3EB278FA">
      <w:pPr>
        <w:spacing w:line="360" w:lineRule="auto"/>
        <w:ind w:firstLine="480" w:firstLineChars="200"/>
        <w:rPr>
          <w:rFonts w:hint="eastAsia" w:ascii="仿宋" w:hAnsi="仿宋" w:eastAsia="仿宋" w:cs="仿宋"/>
          <w:color w:val="auto"/>
          <w:sz w:val="24"/>
          <w:highlight w:val="none"/>
        </w:rPr>
      </w:pPr>
    </w:p>
    <w:p w14:paraId="712B861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647C8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C04DE37">
      <w:pPr>
        <w:spacing w:line="360" w:lineRule="auto"/>
        <w:ind w:firstLine="480" w:firstLineChars="200"/>
        <w:rPr>
          <w:rFonts w:hint="eastAsia" w:ascii="仿宋" w:hAnsi="仿宋" w:eastAsia="仿宋" w:cs="仿宋"/>
          <w:color w:val="auto"/>
          <w:sz w:val="24"/>
          <w:highlight w:val="none"/>
        </w:rPr>
      </w:pPr>
    </w:p>
    <w:p w14:paraId="3DE1B7E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A207F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D2E07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1B9BC7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17CF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859B3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B07FF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75BDB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76E80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DBA4A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39D9AFD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4879A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64A676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A6BC1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6CE458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7285CE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1D13B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E5592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66308EB1">
      <w:pPr>
        <w:snapToGrid w:val="0"/>
        <w:spacing w:line="360" w:lineRule="auto"/>
        <w:rPr>
          <w:rFonts w:hint="eastAsia" w:ascii="仿宋" w:hAnsi="仿宋" w:eastAsia="仿宋" w:cs="仿宋"/>
          <w:color w:val="auto"/>
          <w:sz w:val="24"/>
          <w:highlight w:val="none"/>
        </w:rPr>
      </w:pPr>
    </w:p>
    <w:p w14:paraId="2C19EA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3120B592">
      <w:pPr>
        <w:snapToGrid w:val="0"/>
        <w:spacing w:line="360" w:lineRule="auto"/>
        <w:rPr>
          <w:rFonts w:hint="eastAsia" w:ascii="仿宋" w:hAnsi="仿宋" w:eastAsia="仿宋" w:cs="仿宋"/>
          <w:color w:val="auto"/>
          <w:sz w:val="24"/>
          <w:highlight w:val="none"/>
          <w:u w:val="dotted"/>
        </w:rPr>
      </w:pPr>
    </w:p>
    <w:p w14:paraId="11A5B22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2455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C22FEC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3F1D0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68AE0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AF368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9AEC1DB">
      <w:pPr>
        <w:spacing w:line="360" w:lineRule="auto"/>
        <w:jc w:val="center"/>
        <w:rPr>
          <w:rFonts w:hint="eastAsia" w:ascii="仿宋" w:hAnsi="仿宋" w:eastAsia="仿宋" w:cs="仿宋"/>
          <w:b/>
          <w:bCs/>
          <w:color w:val="auto"/>
          <w:sz w:val="24"/>
          <w:highlight w:val="none"/>
        </w:rPr>
      </w:pPr>
    </w:p>
    <w:p w14:paraId="4BC9A2E4">
      <w:pPr>
        <w:spacing w:line="360" w:lineRule="auto"/>
        <w:rPr>
          <w:rFonts w:hint="eastAsia" w:ascii="仿宋" w:hAnsi="仿宋" w:eastAsia="仿宋" w:cs="仿宋"/>
          <w:b/>
          <w:color w:val="auto"/>
          <w:sz w:val="24"/>
          <w:highlight w:val="none"/>
        </w:rPr>
      </w:pPr>
    </w:p>
    <w:p w14:paraId="178FD236">
      <w:pPr>
        <w:spacing w:line="360" w:lineRule="auto"/>
        <w:rPr>
          <w:rFonts w:hint="eastAsia" w:ascii="仿宋" w:hAnsi="仿宋" w:eastAsia="仿宋" w:cs="仿宋"/>
          <w:b/>
          <w:color w:val="auto"/>
          <w:sz w:val="24"/>
          <w:highlight w:val="none"/>
        </w:rPr>
      </w:pPr>
    </w:p>
    <w:p w14:paraId="686DD119">
      <w:pPr>
        <w:spacing w:line="360" w:lineRule="auto"/>
        <w:rPr>
          <w:rFonts w:hint="eastAsia" w:ascii="仿宋" w:hAnsi="仿宋" w:eastAsia="仿宋" w:cs="仿宋"/>
          <w:b/>
          <w:color w:val="auto"/>
          <w:sz w:val="24"/>
          <w:highlight w:val="none"/>
        </w:rPr>
      </w:pPr>
    </w:p>
    <w:p w14:paraId="56F9EF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39520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D8C2B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B6669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B799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86A1D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FA3A7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64103B">
      <w:pPr>
        <w:widowControl/>
        <w:spacing w:line="360" w:lineRule="auto"/>
        <w:ind w:firstLine="600" w:firstLineChars="200"/>
        <w:jc w:val="left"/>
        <w:rPr>
          <w:rFonts w:hint="eastAsia" w:ascii="仿宋" w:hAnsi="仿宋" w:eastAsia="仿宋" w:cs="仿宋"/>
          <w:color w:val="auto"/>
          <w:sz w:val="30"/>
          <w:szCs w:val="30"/>
          <w:highlight w:val="none"/>
        </w:rPr>
      </w:pPr>
    </w:p>
    <w:p w14:paraId="20CF85CC">
      <w:pPr>
        <w:spacing w:line="360" w:lineRule="auto"/>
        <w:jc w:val="center"/>
        <w:rPr>
          <w:rFonts w:hint="eastAsia" w:ascii="仿宋" w:hAnsi="仿宋" w:eastAsia="仿宋" w:cs="仿宋"/>
          <w:b/>
          <w:color w:val="auto"/>
          <w:spacing w:val="6"/>
          <w:sz w:val="32"/>
          <w:szCs w:val="32"/>
          <w:highlight w:val="none"/>
        </w:rPr>
      </w:pPr>
    </w:p>
    <w:p w14:paraId="19C3A375">
      <w:pPr>
        <w:spacing w:line="360" w:lineRule="auto"/>
        <w:jc w:val="center"/>
        <w:rPr>
          <w:rFonts w:hint="eastAsia" w:ascii="仿宋" w:hAnsi="仿宋" w:eastAsia="仿宋" w:cs="仿宋"/>
          <w:b/>
          <w:color w:val="auto"/>
          <w:spacing w:val="6"/>
          <w:sz w:val="32"/>
          <w:szCs w:val="32"/>
          <w:highlight w:val="none"/>
        </w:rPr>
      </w:pPr>
    </w:p>
    <w:p w14:paraId="1AD79406">
      <w:pPr>
        <w:spacing w:line="360" w:lineRule="auto"/>
        <w:jc w:val="center"/>
        <w:rPr>
          <w:rFonts w:hint="eastAsia" w:ascii="仿宋" w:hAnsi="仿宋" w:eastAsia="仿宋" w:cs="仿宋"/>
          <w:b/>
          <w:color w:val="auto"/>
          <w:spacing w:val="6"/>
          <w:sz w:val="32"/>
          <w:szCs w:val="32"/>
          <w:highlight w:val="none"/>
        </w:rPr>
      </w:pPr>
    </w:p>
    <w:p w14:paraId="7F2629ED">
      <w:pPr>
        <w:spacing w:line="360" w:lineRule="auto"/>
        <w:jc w:val="center"/>
        <w:rPr>
          <w:rFonts w:hint="eastAsia" w:ascii="仿宋" w:hAnsi="仿宋" w:eastAsia="仿宋" w:cs="仿宋"/>
          <w:b/>
          <w:color w:val="auto"/>
          <w:spacing w:val="6"/>
          <w:sz w:val="32"/>
          <w:szCs w:val="32"/>
          <w:highlight w:val="none"/>
        </w:rPr>
      </w:pPr>
    </w:p>
    <w:p w14:paraId="59435C1B">
      <w:pPr>
        <w:spacing w:line="360" w:lineRule="auto"/>
        <w:jc w:val="center"/>
        <w:rPr>
          <w:rFonts w:hint="eastAsia" w:ascii="仿宋" w:hAnsi="仿宋" w:eastAsia="仿宋" w:cs="仿宋"/>
          <w:b/>
          <w:color w:val="auto"/>
          <w:spacing w:val="6"/>
          <w:sz w:val="32"/>
          <w:szCs w:val="32"/>
          <w:highlight w:val="none"/>
        </w:rPr>
      </w:pPr>
    </w:p>
    <w:p w14:paraId="07EC4B3C">
      <w:pPr>
        <w:spacing w:line="360" w:lineRule="auto"/>
        <w:jc w:val="center"/>
        <w:rPr>
          <w:rFonts w:hint="eastAsia" w:ascii="仿宋" w:hAnsi="仿宋" w:eastAsia="仿宋" w:cs="仿宋"/>
          <w:b/>
          <w:color w:val="auto"/>
          <w:spacing w:val="6"/>
          <w:sz w:val="32"/>
          <w:szCs w:val="32"/>
          <w:highlight w:val="none"/>
        </w:rPr>
      </w:pPr>
    </w:p>
    <w:p w14:paraId="635FBEAC">
      <w:pPr>
        <w:spacing w:line="360" w:lineRule="auto"/>
        <w:jc w:val="center"/>
        <w:rPr>
          <w:rFonts w:hint="eastAsia" w:ascii="仿宋" w:hAnsi="仿宋" w:eastAsia="仿宋" w:cs="仿宋"/>
          <w:b/>
          <w:color w:val="auto"/>
          <w:spacing w:val="6"/>
          <w:sz w:val="32"/>
          <w:szCs w:val="32"/>
          <w:highlight w:val="none"/>
        </w:rPr>
      </w:pPr>
    </w:p>
    <w:p w14:paraId="750ACCF9">
      <w:pPr>
        <w:spacing w:line="360" w:lineRule="auto"/>
        <w:jc w:val="center"/>
        <w:rPr>
          <w:rFonts w:hint="eastAsia" w:ascii="仿宋" w:hAnsi="仿宋" w:eastAsia="仿宋" w:cs="仿宋"/>
          <w:b/>
          <w:color w:val="auto"/>
          <w:spacing w:val="6"/>
          <w:sz w:val="32"/>
          <w:szCs w:val="32"/>
          <w:highlight w:val="none"/>
        </w:rPr>
      </w:pPr>
    </w:p>
    <w:p w14:paraId="1AEAE2EA">
      <w:pPr>
        <w:spacing w:line="360" w:lineRule="auto"/>
        <w:jc w:val="center"/>
        <w:rPr>
          <w:rFonts w:hint="eastAsia" w:ascii="仿宋" w:hAnsi="仿宋" w:eastAsia="仿宋" w:cs="仿宋"/>
          <w:b/>
          <w:color w:val="auto"/>
          <w:spacing w:val="6"/>
          <w:sz w:val="32"/>
          <w:szCs w:val="32"/>
          <w:highlight w:val="none"/>
        </w:rPr>
      </w:pPr>
    </w:p>
    <w:p w14:paraId="5FBCD437">
      <w:pPr>
        <w:spacing w:line="360" w:lineRule="auto"/>
        <w:jc w:val="center"/>
        <w:rPr>
          <w:rFonts w:hint="eastAsia" w:ascii="仿宋" w:hAnsi="仿宋" w:eastAsia="仿宋" w:cs="仿宋"/>
          <w:b/>
          <w:color w:val="auto"/>
          <w:spacing w:val="6"/>
          <w:sz w:val="32"/>
          <w:szCs w:val="32"/>
          <w:highlight w:val="none"/>
        </w:rPr>
      </w:pPr>
    </w:p>
    <w:p w14:paraId="23CCEBCE">
      <w:pPr>
        <w:spacing w:line="360" w:lineRule="auto"/>
        <w:jc w:val="center"/>
        <w:rPr>
          <w:rFonts w:hint="eastAsia" w:ascii="仿宋" w:hAnsi="仿宋" w:eastAsia="仿宋" w:cs="仿宋"/>
          <w:b/>
          <w:color w:val="auto"/>
          <w:spacing w:val="6"/>
          <w:sz w:val="32"/>
          <w:szCs w:val="32"/>
          <w:highlight w:val="none"/>
        </w:rPr>
      </w:pPr>
    </w:p>
    <w:p w14:paraId="4AA398C7">
      <w:pPr>
        <w:spacing w:line="360" w:lineRule="auto"/>
        <w:jc w:val="center"/>
        <w:rPr>
          <w:rFonts w:hint="eastAsia" w:ascii="仿宋" w:hAnsi="仿宋" w:eastAsia="仿宋" w:cs="仿宋"/>
          <w:b/>
          <w:color w:val="auto"/>
          <w:spacing w:val="6"/>
          <w:sz w:val="32"/>
          <w:szCs w:val="32"/>
          <w:highlight w:val="none"/>
        </w:rPr>
      </w:pPr>
    </w:p>
    <w:p w14:paraId="57E7C47C">
      <w:pPr>
        <w:spacing w:line="360" w:lineRule="auto"/>
        <w:jc w:val="left"/>
        <w:rPr>
          <w:rFonts w:hint="eastAsia" w:ascii="仿宋" w:hAnsi="仿宋" w:eastAsia="仿宋" w:cs="仿宋"/>
          <w:b/>
          <w:color w:val="auto"/>
          <w:spacing w:val="6"/>
          <w:sz w:val="32"/>
          <w:szCs w:val="32"/>
          <w:highlight w:val="none"/>
        </w:rPr>
      </w:pPr>
    </w:p>
    <w:p w14:paraId="1F1556C6">
      <w:pPr>
        <w:spacing w:line="360" w:lineRule="auto"/>
        <w:jc w:val="left"/>
        <w:rPr>
          <w:rFonts w:hint="eastAsia" w:ascii="仿宋" w:hAnsi="仿宋" w:eastAsia="仿宋" w:cs="仿宋"/>
          <w:b/>
          <w:color w:val="auto"/>
          <w:spacing w:val="6"/>
          <w:sz w:val="32"/>
          <w:szCs w:val="32"/>
          <w:highlight w:val="none"/>
        </w:rPr>
      </w:pPr>
    </w:p>
    <w:p w14:paraId="7889E14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E794048">
      <w:pPr>
        <w:spacing w:line="360" w:lineRule="auto"/>
        <w:jc w:val="center"/>
        <w:rPr>
          <w:rFonts w:hint="eastAsia" w:ascii="仿宋" w:hAnsi="仿宋" w:eastAsia="仿宋" w:cs="仿宋"/>
          <w:b/>
          <w:color w:val="auto"/>
          <w:sz w:val="24"/>
          <w:highlight w:val="none"/>
        </w:rPr>
      </w:pPr>
    </w:p>
    <w:p w14:paraId="575036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CB494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B89D9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4E294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81AB08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360E0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A9273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2DD0F5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29F786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20508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55113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01FBD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44E79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5127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44A3FC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82E4D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C2F6E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22FF2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79085D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D8C5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732585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424EC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0C084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E17A4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99B636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提出质疑，质疑事项为：</w:t>
      </w:r>
    </w:p>
    <w:p w14:paraId="0A0531E3">
      <w:pPr>
        <w:spacing w:line="360" w:lineRule="auto"/>
        <w:rPr>
          <w:rFonts w:hint="eastAsia" w:ascii="仿宋" w:hAnsi="仿宋" w:eastAsia="仿宋" w:cs="仿宋"/>
          <w:color w:val="auto"/>
          <w:sz w:val="24"/>
          <w:highlight w:val="none"/>
          <w:u w:val="dotted"/>
        </w:rPr>
      </w:pPr>
    </w:p>
    <w:p w14:paraId="2B4320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298E1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2ABB3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85840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D87E5FD">
      <w:pPr>
        <w:spacing w:line="360" w:lineRule="auto"/>
        <w:rPr>
          <w:rFonts w:hint="eastAsia" w:ascii="仿宋" w:hAnsi="仿宋" w:eastAsia="仿宋" w:cs="仿宋"/>
          <w:color w:val="auto"/>
          <w:sz w:val="24"/>
          <w:highlight w:val="none"/>
          <w:u w:val="dotted"/>
        </w:rPr>
      </w:pPr>
    </w:p>
    <w:p w14:paraId="599CBE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4F7C99E9">
      <w:pPr>
        <w:spacing w:line="360" w:lineRule="auto"/>
        <w:rPr>
          <w:rFonts w:hint="eastAsia" w:ascii="仿宋" w:hAnsi="仿宋" w:eastAsia="仿宋" w:cs="仿宋"/>
          <w:color w:val="auto"/>
          <w:sz w:val="24"/>
          <w:highlight w:val="none"/>
          <w:u w:val="dotted"/>
        </w:rPr>
      </w:pPr>
    </w:p>
    <w:p w14:paraId="18A0BF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E1D25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0BCC1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3C087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44F103DD">
      <w:pPr>
        <w:spacing w:line="360" w:lineRule="auto"/>
        <w:rPr>
          <w:rFonts w:hint="eastAsia" w:ascii="仿宋" w:hAnsi="仿宋" w:eastAsia="仿宋" w:cs="仿宋"/>
          <w:color w:val="auto"/>
          <w:sz w:val="24"/>
          <w:highlight w:val="none"/>
          <w:u w:val="single"/>
        </w:rPr>
      </w:pPr>
    </w:p>
    <w:p w14:paraId="52B384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86A2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C9802C5">
      <w:pPr>
        <w:spacing w:line="360" w:lineRule="auto"/>
        <w:rPr>
          <w:rFonts w:hint="eastAsia" w:ascii="仿宋" w:hAnsi="仿宋" w:eastAsia="仿宋" w:cs="仿宋"/>
          <w:b/>
          <w:color w:val="auto"/>
          <w:sz w:val="24"/>
          <w:highlight w:val="none"/>
        </w:rPr>
      </w:pPr>
    </w:p>
    <w:p w14:paraId="4CD8F651">
      <w:pPr>
        <w:spacing w:line="360" w:lineRule="auto"/>
        <w:rPr>
          <w:rFonts w:hint="eastAsia" w:ascii="仿宋" w:hAnsi="仿宋" w:eastAsia="仿宋" w:cs="仿宋"/>
          <w:b/>
          <w:color w:val="auto"/>
          <w:sz w:val="24"/>
          <w:highlight w:val="none"/>
        </w:rPr>
      </w:pPr>
    </w:p>
    <w:p w14:paraId="7E439FF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3C8EF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57FAC7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2A38B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6F407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EE99DD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5607C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02F0E3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AC0150D">
      <w:pPr>
        <w:spacing w:line="360" w:lineRule="auto"/>
        <w:rPr>
          <w:rFonts w:hint="eastAsia" w:ascii="仿宋" w:hAnsi="仿宋" w:eastAsia="仿宋" w:cs="仿宋"/>
          <w:b/>
          <w:color w:val="auto"/>
          <w:sz w:val="24"/>
          <w:highlight w:val="none"/>
        </w:rPr>
      </w:pPr>
    </w:p>
    <w:p w14:paraId="6690E7A4">
      <w:pPr>
        <w:autoSpaceDE w:val="0"/>
        <w:autoSpaceDN w:val="0"/>
        <w:jc w:val="center"/>
        <w:rPr>
          <w:rFonts w:hint="eastAsia" w:ascii="仿宋" w:hAnsi="仿宋" w:eastAsia="仿宋" w:cs="仿宋"/>
          <w:b/>
          <w:color w:val="auto"/>
          <w:spacing w:val="6"/>
          <w:sz w:val="32"/>
          <w:szCs w:val="32"/>
          <w:highlight w:val="none"/>
        </w:rPr>
      </w:pPr>
    </w:p>
    <w:p w14:paraId="7755D765">
      <w:pPr>
        <w:autoSpaceDE w:val="0"/>
        <w:autoSpaceDN w:val="0"/>
        <w:jc w:val="center"/>
        <w:rPr>
          <w:rFonts w:hint="eastAsia" w:ascii="仿宋" w:hAnsi="仿宋" w:eastAsia="仿宋" w:cs="仿宋"/>
          <w:b/>
          <w:color w:val="auto"/>
          <w:spacing w:val="6"/>
          <w:sz w:val="32"/>
          <w:szCs w:val="32"/>
          <w:highlight w:val="none"/>
        </w:rPr>
      </w:pPr>
    </w:p>
    <w:p w14:paraId="47A1B54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EE030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62A2D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B9362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9F340BB">
      <w:pPr>
        <w:spacing w:line="360" w:lineRule="auto"/>
        <w:ind w:firstLine="494"/>
        <w:rPr>
          <w:rFonts w:hint="eastAsia" w:ascii="仿宋" w:hAnsi="仿宋" w:eastAsia="仿宋" w:cs="仿宋"/>
          <w:color w:val="auto"/>
          <w:sz w:val="24"/>
          <w:highlight w:val="none"/>
        </w:rPr>
      </w:pPr>
    </w:p>
    <w:p w14:paraId="3DCF04A6">
      <w:pPr>
        <w:spacing w:line="360" w:lineRule="auto"/>
        <w:ind w:firstLine="494"/>
        <w:rPr>
          <w:rFonts w:hint="eastAsia" w:ascii="仿宋" w:hAnsi="仿宋" w:eastAsia="仿宋" w:cs="仿宋"/>
          <w:color w:val="auto"/>
          <w:sz w:val="24"/>
          <w:highlight w:val="none"/>
        </w:rPr>
      </w:pPr>
    </w:p>
    <w:p w14:paraId="092409C1">
      <w:pPr>
        <w:spacing w:line="360" w:lineRule="auto"/>
        <w:ind w:firstLine="494"/>
        <w:rPr>
          <w:rFonts w:hint="eastAsia" w:ascii="仿宋" w:hAnsi="仿宋" w:eastAsia="仿宋" w:cs="仿宋"/>
          <w:color w:val="auto"/>
          <w:sz w:val="24"/>
          <w:highlight w:val="none"/>
        </w:rPr>
      </w:pPr>
    </w:p>
    <w:p w14:paraId="01DE3451">
      <w:pPr>
        <w:spacing w:line="360" w:lineRule="auto"/>
        <w:ind w:firstLine="494"/>
        <w:rPr>
          <w:rFonts w:hint="eastAsia" w:ascii="仿宋" w:hAnsi="仿宋" w:eastAsia="仿宋" w:cs="仿宋"/>
          <w:color w:val="auto"/>
          <w:sz w:val="24"/>
          <w:highlight w:val="none"/>
        </w:rPr>
      </w:pPr>
    </w:p>
    <w:p w14:paraId="4A4B747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D6EDCF6">
      <w:pPr>
        <w:ind w:right="1440" w:firstLine="49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14:paraId="1AB1AF7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AECBD2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BCE9200">
      <w:pPr>
        <w:autoSpaceDE w:val="0"/>
        <w:autoSpaceDN w:val="0"/>
        <w:jc w:val="center"/>
        <w:rPr>
          <w:rFonts w:hint="eastAsia" w:ascii="仿宋" w:hAnsi="仿宋" w:eastAsia="仿宋" w:cs="仿宋"/>
          <w:b/>
          <w:color w:val="auto"/>
          <w:spacing w:val="6"/>
          <w:sz w:val="32"/>
          <w:szCs w:val="32"/>
          <w:highlight w:val="none"/>
        </w:rPr>
      </w:pPr>
    </w:p>
    <w:p w14:paraId="40C052F6">
      <w:pPr>
        <w:autoSpaceDE w:val="0"/>
        <w:autoSpaceDN w:val="0"/>
        <w:jc w:val="center"/>
        <w:rPr>
          <w:rFonts w:hint="eastAsia" w:ascii="仿宋" w:hAnsi="仿宋" w:eastAsia="仿宋" w:cs="仿宋"/>
          <w:b/>
          <w:color w:val="auto"/>
          <w:spacing w:val="6"/>
          <w:sz w:val="32"/>
          <w:szCs w:val="32"/>
          <w:highlight w:val="none"/>
        </w:rPr>
      </w:pPr>
    </w:p>
    <w:p w14:paraId="02754C55">
      <w:pPr>
        <w:autoSpaceDE w:val="0"/>
        <w:autoSpaceDN w:val="0"/>
        <w:jc w:val="center"/>
        <w:rPr>
          <w:rFonts w:hint="eastAsia" w:ascii="仿宋" w:hAnsi="仿宋" w:eastAsia="仿宋" w:cs="仿宋"/>
          <w:b/>
          <w:color w:val="auto"/>
          <w:spacing w:val="6"/>
          <w:sz w:val="32"/>
          <w:szCs w:val="32"/>
          <w:highlight w:val="none"/>
        </w:rPr>
      </w:pPr>
    </w:p>
    <w:p w14:paraId="53C95602">
      <w:pPr>
        <w:autoSpaceDE w:val="0"/>
        <w:autoSpaceDN w:val="0"/>
        <w:jc w:val="center"/>
        <w:rPr>
          <w:rFonts w:hint="eastAsia" w:ascii="仿宋" w:hAnsi="仿宋" w:eastAsia="仿宋" w:cs="仿宋"/>
          <w:b/>
          <w:color w:val="auto"/>
          <w:spacing w:val="6"/>
          <w:sz w:val="32"/>
          <w:szCs w:val="32"/>
          <w:highlight w:val="none"/>
        </w:rPr>
      </w:pPr>
    </w:p>
    <w:p w14:paraId="1FAFB5A0">
      <w:pPr>
        <w:autoSpaceDE w:val="0"/>
        <w:autoSpaceDN w:val="0"/>
        <w:jc w:val="center"/>
        <w:rPr>
          <w:rFonts w:hint="eastAsia" w:ascii="仿宋" w:hAnsi="仿宋" w:eastAsia="仿宋" w:cs="仿宋"/>
          <w:b/>
          <w:color w:val="auto"/>
          <w:spacing w:val="6"/>
          <w:sz w:val="32"/>
          <w:szCs w:val="32"/>
          <w:highlight w:val="none"/>
        </w:rPr>
      </w:pPr>
    </w:p>
    <w:p w14:paraId="4328C224">
      <w:pPr>
        <w:autoSpaceDE w:val="0"/>
        <w:autoSpaceDN w:val="0"/>
        <w:jc w:val="center"/>
        <w:rPr>
          <w:rFonts w:hint="eastAsia" w:ascii="仿宋" w:hAnsi="仿宋" w:eastAsia="仿宋" w:cs="仿宋"/>
          <w:b/>
          <w:color w:val="auto"/>
          <w:spacing w:val="6"/>
          <w:sz w:val="32"/>
          <w:szCs w:val="32"/>
          <w:highlight w:val="none"/>
        </w:rPr>
      </w:pPr>
    </w:p>
    <w:p w14:paraId="4CD51FC6">
      <w:pPr>
        <w:autoSpaceDE w:val="0"/>
        <w:autoSpaceDN w:val="0"/>
        <w:jc w:val="center"/>
        <w:rPr>
          <w:rFonts w:hint="eastAsia" w:ascii="仿宋" w:hAnsi="仿宋" w:eastAsia="仿宋" w:cs="仿宋"/>
          <w:b/>
          <w:color w:val="auto"/>
          <w:spacing w:val="6"/>
          <w:sz w:val="32"/>
          <w:szCs w:val="32"/>
          <w:highlight w:val="none"/>
        </w:rPr>
      </w:pPr>
    </w:p>
    <w:p w14:paraId="2A0E9B3C">
      <w:pPr>
        <w:autoSpaceDE w:val="0"/>
        <w:autoSpaceDN w:val="0"/>
        <w:jc w:val="center"/>
        <w:rPr>
          <w:rFonts w:hint="eastAsia" w:ascii="仿宋" w:hAnsi="仿宋" w:eastAsia="仿宋" w:cs="仿宋"/>
          <w:b/>
          <w:color w:val="auto"/>
          <w:spacing w:val="6"/>
          <w:sz w:val="32"/>
          <w:szCs w:val="32"/>
          <w:highlight w:val="none"/>
        </w:rPr>
      </w:pPr>
    </w:p>
    <w:p w14:paraId="21E940BC">
      <w:pPr>
        <w:autoSpaceDE w:val="0"/>
        <w:autoSpaceDN w:val="0"/>
        <w:jc w:val="center"/>
        <w:rPr>
          <w:rFonts w:hint="eastAsia" w:ascii="仿宋" w:hAnsi="仿宋" w:eastAsia="仿宋" w:cs="仿宋"/>
          <w:b/>
          <w:color w:val="auto"/>
          <w:spacing w:val="6"/>
          <w:sz w:val="32"/>
          <w:szCs w:val="32"/>
          <w:highlight w:val="none"/>
        </w:rPr>
      </w:pPr>
    </w:p>
    <w:p w14:paraId="6D24B623">
      <w:pPr>
        <w:autoSpaceDE w:val="0"/>
        <w:autoSpaceDN w:val="0"/>
        <w:jc w:val="center"/>
        <w:rPr>
          <w:rFonts w:hint="eastAsia" w:ascii="仿宋" w:hAnsi="仿宋" w:eastAsia="仿宋" w:cs="仿宋"/>
          <w:b/>
          <w:color w:val="auto"/>
          <w:spacing w:val="6"/>
          <w:sz w:val="32"/>
          <w:szCs w:val="32"/>
          <w:highlight w:val="none"/>
        </w:rPr>
      </w:pPr>
    </w:p>
    <w:p w14:paraId="1552B948">
      <w:pPr>
        <w:autoSpaceDE w:val="0"/>
        <w:autoSpaceDN w:val="0"/>
        <w:jc w:val="center"/>
        <w:rPr>
          <w:rFonts w:hint="eastAsia" w:ascii="仿宋" w:hAnsi="仿宋" w:eastAsia="仿宋" w:cs="仿宋"/>
          <w:b/>
          <w:color w:val="auto"/>
          <w:spacing w:val="6"/>
          <w:sz w:val="32"/>
          <w:szCs w:val="32"/>
          <w:highlight w:val="none"/>
        </w:rPr>
      </w:pPr>
    </w:p>
    <w:p w14:paraId="06909AE8">
      <w:pPr>
        <w:autoSpaceDE w:val="0"/>
        <w:autoSpaceDN w:val="0"/>
        <w:jc w:val="center"/>
        <w:rPr>
          <w:rFonts w:hint="eastAsia" w:ascii="仿宋" w:hAnsi="仿宋" w:eastAsia="仿宋" w:cs="仿宋"/>
          <w:b/>
          <w:color w:val="auto"/>
          <w:spacing w:val="6"/>
          <w:sz w:val="32"/>
          <w:szCs w:val="32"/>
          <w:highlight w:val="none"/>
        </w:rPr>
      </w:pPr>
    </w:p>
    <w:p w14:paraId="00843FC3">
      <w:pPr>
        <w:autoSpaceDE w:val="0"/>
        <w:autoSpaceDN w:val="0"/>
        <w:jc w:val="center"/>
        <w:rPr>
          <w:rFonts w:hint="eastAsia" w:ascii="仿宋" w:hAnsi="仿宋" w:eastAsia="仿宋" w:cs="仿宋"/>
          <w:b/>
          <w:color w:val="auto"/>
          <w:spacing w:val="6"/>
          <w:sz w:val="32"/>
          <w:szCs w:val="32"/>
          <w:highlight w:val="none"/>
        </w:rPr>
      </w:pPr>
    </w:p>
    <w:p w14:paraId="37FA496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B28793B">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附件5：</w:t>
      </w:r>
      <w:r>
        <w:rPr>
          <w:rFonts w:hint="eastAsia" w:ascii="仿宋" w:hAnsi="仿宋" w:eastAsia="仿宋" w:cs="仿宋"/>
          <w:b/>
          <w:bCs/>
          <w:color w:val="auto"/>
          <w:sz w:val="32"/>
          <w:szCs w:val="32"/>
          <w:highlight w:val="none"/>
          <w:lang w:val="zh-CN"/>
        </w:rPr>
        <w:t>联合协议</w:t>
      </w:r>
    </w:p>
    <w:p w14:paraId="6FB5FF52">
      <w:pPr>
        <w:widowControl/>
        <w:spacing w:line="360" w:lineRule="auto"/>
        <w:ind w:firstLine="482" w:firstLineChars="200"/>
        <w:jc w:val="left"/>
        <w:rPr>
          <w:rFonts w:hint="eastAsia" w:ascii="仿宋" w:hAnsi="仿宋" w:eastAsia="仿宋" w:cs="仿宋"/>
          <w:b/>
          <w:color w:val="auto"/>
          <w:sz w:val="24"/>
          <w:highlight w:val="none"/>
        </w:rPr>
      </w:pPr>
    </w:p>
    <w:p w14:paraId="28D1E98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AF64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F34B7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C4F63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F6B8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F2C9F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496D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F56E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C6F0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FDCE89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2" w:name="_Hlk101131882"/>
      <w:r>
        <w:rPr>
          <w:rFonts w:hint="eastAsia" w:ascii="仿宋" w:hAnsi="仿宋" w:eastAsia="仿宋" w:cs="仿宋"/>
          <w:color w:val="auto"/>
          <w:kern w:val="0"/>
          <w:sz w:val="24"/>
          <w:highlight w:val="none"/>
          <w:u w:val="single"/>
        </w:rPr>
        <w:t>联合体成员X,……</w:t>
      </w:r>
      <w:bookmarkEnd w:id="16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3"/>
      <w:r>
        <w:rPr>
          <w:rFonts w:hint="eastAsia" w:ascii="仿宋" w:hAnsi="仿宋" w:eastAsia="仿宋" w:cs="仿宋"/>
          <w:b/>
          <w:color w:val="auto"/>
          <w:kern w:val="0"/>
          <w:sz w:val="24"/>
          <w:highlight w:val="none"/>
          <w:lang w:val="zh-CN"/>
        </w:rPr>
        <w:t>）</w:t>
      </w:r>
    </w:p>
    <w:p w14:paraId="671C8BF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4"/>
    </w:p>
    <w:p w14:paraId="5D1A97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CADF8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12B1E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EE33A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8C647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B22E6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536FE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34352F">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9719A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E54A62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672C15">
      <w:pPr>
        <w:autoSpaceDE w:val="0"/>
        <w:autoSpaceDN w:val="0"/>
        <w:jc w:val="center"/>
        <w:rPr>
          <w:rFonts w:hint="eastAsia" w:ascii="仿宋" w:hAnsi="仿宋" w:eastAsia="仿宋" w:cs="仿宋"/>
          <w:b/>
          <w:color w:val="auto"/>
          <w:spacing w:val="6"/>
          <w:sz w:val="32"/>
          <w:szCs w:val="32"/>
          <w:highlight w:val="none"/>
        </w:rPr>
      </w:pPr>
    </w:p>
    <w:p w14:paraId="16917317">
      <w:pPr>
        <w:autoSpaceDE w:val="0"/>
        <w:autoSpaceDN w:val="0"/>
        <w:jc w:val="center"/>
        <w:rPr>
          <w:rFonts w:hint="eastAsia" w:ascii="仿宋" w:hAnsi="仿宋" w:eastAsia="仿宋" w:cs="仿宋"/>
          <w:b/>
          <w:color w:val="auto"/>
          <w:spacing w:val="6"/>
          <w:sz w:val="32"/>
          <w:szCs w:val="32"/>
          <w:highlight w:val="none"/>
        </w:rPr>
      </w:pPr>
    </w:p>
    <w:p w14:paraId="14190C30">
      <w:pPr>
        <w:widowControl/>
        <w:adjustRightInd/>
        <w:jc w:val="left"/>
        <w:rPr>
          <w:rFonts w:hint="eastAsia" w:ascii="仿宋" w:hAnsi="仿宋" w:eastAsia="仿宋" w:cs="仿宋"/>
          <w:b/>
          <w:color w:val="auto"/>
          <w:spacing w:val="6"/>
          <w:sz w:val="32"/>
          <w:szCs w:val="32"/>
          <w:highlight w:val="none"/>
        </w:rPr>
      </w:pPr>
    </w:p>
    <w:p w14:paraId="666011F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69A61A0">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2505DA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2A0EA8A">
      <w:pPr>
        <w:pageBreakBefore w:val="0"/>
        <w:tabs>
          <w:tab w:val="left" w:pos="432"/>
        </w:tabs>
        <w:kinsoku/>
        <w:wordWrap/>
        <w:overflowPunct/>
        <w:topLinePunct w:val="0"/>
        <w:bidi w:val="0"/>
        <w:textAlignment w:val="auto"/>
        <w:outlineLvl w:val="9"/>
        <w:rPr>
          <w:rFonts w:hint="eastAsia" w:ascii="仿宋" w:hAnsi="仿宋" w:eastAsia="仿宋" w:cs="仿宋"/>
          <w:color w:val="auto"/>
          <w:highlight w:val="none"/>
        </w:rPr>
      </w:pPr>
    </w:p>
    <w:p w14:paraId="76E83E8C">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B65B3F">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E8D109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49D4155">
      <w:pPr>
        <w:pageBreakBefore w:val="0"/>
        <w:tabs>
          <w:tab w:val="left" w:pos="432"/>
        </w:tabs>
        <w:kinsoku/>
        <w:wordWrap/>
        <w:overflowPunct/>
        <w:topLinePunct w:val="0"/>
        <w:bidi w:val="0"/>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59BDA45">
      <w:pPr>
        <w:pageBreakBefore w:val="0"/>
        <w:kinsoku/>
        <w:wordWrap/>
        <w:overflowPunct/>
        <w:topLinePunct w:val="0"/>
        <w:bidi w:val="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D5E4B45">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33370B6">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DBD2E8E">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B6A9B6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82A6FE9">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F045DF9">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473E633">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CDF2F6">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D1DA263">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913900">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00B727">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1036E43">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E8C994F">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B42EC8">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FF871A4">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48BE753">
      <w:pPr>
        <w:pageBreakBefore w:val="0"/>
        <w:kinsoku/>
        <w:wordWrap/>
        <w:overflowPunct/>
        <w:topLinePunct w:val="0"/>
        <w:bidi w:val="0"/>
        <w:snapToGrid w:val="0"/>
        <w:spacing w:line="360" w:lineRule="auto"/>
        <w:jc w:val="righ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A3B2279">
      <w:pPr>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851499">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357C4D">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C80730">
      <w:pPr>
        <w:pageBreakBefore w:val="0"/>
        <w:kinsoku/>
        <w:wordWrap/>
        <w:overflowPunct/>
        <w:topLinePunct w:val="0"/>
        <w:bidi w:val="0"/>
        <w:textAlignment w:val="auto"/>
        <w:outlineLvl w:val="9"/>
        <w:rPr>
          <w:rFonts w:hint="eastAsia" w:ascii="仿宋" w:hAnsi="仿宋" w:eastAsia="仿宋" w:cs="仿宋"/>
          <w:b/>
          <w:color w:val="auto"/>
          <w:spacing w:val="6"/>
          <w:sz w:val="32"/>
          <w:szCs w:val="32"/>
          <w:highlight w:val="none"/>
        </w:rPr>
      </w:pPr>
    </w:p>
    <w:p w14:paraId="7B9A3508">
      <w:pPr>
        <w:pageBreakBefore w:val="0"/>
        <w:kinsoku/>
        <w:wordWrap/>
        <w:overflowPunct/>
        <w:topLinePunct w:val="0"/>
        <w:bidi w:val="0"/>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A2E468">
      <w:pPr>
        <w:pageBreakBefore w:val="0"/>
        <w:kinsoku/>
        <w:wordWrap/>
        <w:overflowPunct/>
        <w:topLinePunct w:val="0"/>
        <w:autoSpaceDE w:val="0"/>
        <w:autoSpaceDN w:val="0"/>
        <w:bidi w:val="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290A0F4D">
      <w:pPr>
        <w:pageBreakBefore w:val="0"/>
        <w:kinsoku/>
        <w:wordWrap/>
        <w:overflowPunct/>
        <w:topLinePunct w:val="0"/>
        <w:bidi w:val="0"/>
        <w:spacing w:line="360" w:lineRule="auto"/>
        <w:jc w:val="center"/>
        <w:textAlignment w:val="auto"/>
        <w:outlineLvl w:val="9"/>
        <w:rPr>
          <w:rFonts w:hint="eastAsia" w:ascii="仿宋" w:hAnsi="仿宋" w:eastAsia="仿宋" w:cs="仿宋"/>
          <w:color w:val="auto"/>
          <w:sz w:val="24"/>
          <w:highlight w:val="none"/>
          <w:u w:val="single"/>
        </w:rPr>
      </w:pPr>
    </w:p>
    <w:p w14:paraId="17C547C4">
      <w:pPr>
        <w:pageBreakBefore w:val="0"/>
        <w:kinsoku/>
        <w:wordWrap/>
        <w:overflowPunct/>
        <w:topLinePunct w:val="0"/>
        <w:bidi w:val="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（资格文件部分有示范格式）</w:t>
      </w:r>
    </w:p>
    <w:p w14:paraId="6EAA2369">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091772A">
      <w:pPr>
        <w:pageBreakBefore w:val="0"/>
        <w:kinsoku/>
        <w:wordWrap/>
        <w:overflowPunct/>
        <w:topLinePunct w:val="0"/>
        <w:bidi w:val="0"/>
        <w:spacing w:line="360" w:lineRule="auto"/>
        <w:textAlignment w:val="auto"/>
        <w:outlineLvl w:val="9"/>
        <w:rPr>
          <w:rFonts w:hint="eastAsia" w:ascii="仿宋" w:hAnsi="仿宋" w:eastAsia="仿宋" w:cs="仿宋"/>
          <w:color w:val="auto"/>
          <w:highlight w:val="none"/>
        </w:rPr>
      </w:pPr>
    </w:p>
    <w:p w14:paraId="7B7B8CA1">
      <w:pPr>
        <w:pageBreakBefore w:val="0"/>
        <w:kinsoku/>
        <w:wordWrap/>
        <w:overflowPunct/>
        <w:topLinePunct w:val="0"/>
        <w:bidi w:val="0"/>
        <w:spacing w:line="360" w:lineRule="auto"/>
        <w:ind w:firstLine="360" w:firstLineChars="1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34CA4D3D">
      <w:pPr>
        <w:pageBreakBefore w:val="0"/>
        <w:numPr>
          <w:ilvl w:val="0"/>
          <w:numId w:val="14"/>
        </w:numPr>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7D6A079">
      <w:pPr>
        <w:pageBreakBefore w:val="0"/>
        <w:numPr>
          <w:ilvl w:val="0"/>
          <w:numId w:val="14"/>
        </w:numP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73FAB5B">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DAB8AC5">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27B525F">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0BBB24">
      <w:pPr>
        <w:pageBreakBefore w:val="0"/>
        <w:kinsoku/>
        <w:wordWrap/>
        <w:overflowPunct/>
        <w:topLinePunct w:val="0"/>
        <w:bidi w:val="0"/>
        <w:spacing w:line="360" w:lineRule="auto"/>
        <w:ind w:right="1760"/>
        <w:jc w:val="righ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D71319F">
      <w:pPr>
        <w:pageBreakBefore w:val="0"/>
        <w:kinsoku/>
        <w:wordWrap/>
        <w:overflowPunct/>
        <w:topLinePunct w:val="0"/>
        <w:bidi w:val="0"/>
        <w:spacing w:line="360" w:lineRule="auto"/>
        <w:ind w:right="1120" w:firstLine="4680" w:firstLineChars="19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B5CD30F">
      <w:pPr>
        <w:pageBreakBefore w:val="0"/>
        <w:kinsoku/>
        <w:wordWrap/>
        <w:overflowPunct/>
        <w:topLinePunct w:val="0"/>
        <w:bidi w:val="0"/>
        <w:spacing w:line="360" w:lineRule="auto"/>
        <w:ind w:firstLine="310" w:firstLineChars="147"/>
        <w:jc w:val="left"/>
        <w:textAlignment w:val="auto"/>
        <w:outlineLvl w:val="9"/>
        <w:rPr>
          <w:rFonts w:hint="eastAsia" w:ascii="仿宋" w:hAnsi="仿宋" w:eastAsia="仿宋" w:cs="仿宋"/>
          <w:b/>
          <w:color w:val="auto"/>
          <w:szCs w:val="21"/>
          <w:highlight w:val="none"/>
        </w:rPr>
      </w:pPr>
    </w:p>
    <w:p w14:paraId="6A8E9CFD">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5D251F88">
      <w:pPr>
        <w:pageBreakBefore w:val="0"/>
        <w:kinsoku/>
        <w:wordWrap/>
        <w:overflowPunct/>
        <w:topLinePunct w:val="0"/>
        <w:bidi w:val="0"/>
        <w:spacing w:line="360" w:lineRule="auto"/>
        <w:ind w:right="42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务必注意</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①</w:t>
      </w:r>
      <w:r>
        <w:rPr>
          <w:rFonts w:hint="eastAsia" w:ascii="仿宋" w:hAnsi="仿宋" w:eastAsia="仿宋" w:cs="仿宋"/>
          <w:b/>
          <w:bCs/>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b/>
          <w:bCs/>
          <w:color w:val="000000" w:themeColor="text1"/>
          <w:sz w:val="24"/>
          <w:highlight w:val="none"/>
          <w:lang w:eastAsia="zh-CN"/>
          <w14:textFill>
            <w14:solidFill>
              <w14:schemeClr w14:val="tx1"/>
            </w14:solidFill>
          </w14:textFill>
        </w:rPr>
        <w:t>。②</w:t>
      </w:r>
      <w:r>
        <w:rPr>
          <w:rFonts w:hint="eastAsia" w:ascii="仿宋" w:hAnsi="仿宋" w:eastAsia="仿宋" w:cs="仿宋"/>
          <w:b/>
          <w:bCs/>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仿宋"/>
          <w:b/>
          <w:bCs/>
          <w:color w:val="000000" w:themeColor="text1"/>
          <w:sz w:val="24"/>
          <w:highlight w:val="none"/>
          <w:lang w:eastAsia="zh-CN"/>
          <w14:textFill>
            <w14:solidFill>
              <w14:schemeClr w14:val="tx1"/>
            </w14:solidFill>
          </w14:textFill>
        </w:rPr>
        <w:t>③</w:t>
      </w:r>
      <w:r>
        <w:rPr>
          <w:rFonts w:hint="eastAsia" w:ascii="仿宋" w:hAnsi="仿宋" w:eastAsia="仿宋" w:cs="仿宋"/>
          <w:b/>
          <w:bCs/>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47271CE0">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）的规定，投标人提供由省级以上监狱管理局、戒毒管理局（含新疆生产建设兵团）出具的属于监狱企业证明文件的，视同为小型和微型企业。</w:t>
      </w:r>
    </w:p>
    <w:p w14:paraId="6275FE56">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highlight w:val="none"/>
        </w:rPr>
      </w:pPr>
    </w:p>
    <w:p w14:paraId="605F21B4">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208BDE1C">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14:paraId="768A0F2B">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14:paraId="794D3275">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10"/>
          <w:szCs w:val="10"/>
          <w:highlight w:val="none"/>
        </w:rPr>
      </w:pPr>
    </w:p>
    <w:p w14:paraId="298A412D">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2D9FB38C">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14:paraId="17AD9D3C">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14:paraId="41020B52">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14:paraId="0840C6DD">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14:paraId="543D8558">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14:paraId="3D06C538">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14:paraId="4F4F1E7F">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14:paraId="08BF81C7">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14:paraId="7ADF94F7">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14:paraId="2BBA242E">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14:paraId="62DC1530">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14:paraId="6B649016">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14:paraId="6881F1BD">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427E5E12">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8CA507C">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0CF50C09">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C3FE2D3">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0BD054B">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14:paraId="1572FD5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DD5CC6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14:paraId="67F3A43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3D21FF9B">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29A1DCFB">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14:paraId="0A35FA1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EE9CF8B">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14:paraId="09F1829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3763F99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79E4059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14:paraId="2E5AA76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9A96417">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14:paraId="5729E05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394617E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4EDBB9D">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14:paraId="455D0A4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13327D5">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14:paraId="4A4892F7">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2EB2E0A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4C6FD35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14:paraId="58283D4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EACCCD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14:paraId="7D105DE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0784A96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56DD31A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14:paraId="1FD8498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9D4472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14:paraId="2C879F4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34FB0538">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47FBCB4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14:paraId="57E5E3B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651C24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14:paraId="5477CD95">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064B9F1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7F35E1CA">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14:paraId="322F0AD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135AE14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14:paraId="3DF1B0B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7EA9AD1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7A67BB07">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14:paraId="0E68FA12">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36E491DA">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14:paraId="37D345C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22E8A74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0BDD677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14:paraId="25A4444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A9B855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14:paraId="3EF7DEFA">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5BA0BCF2">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7C91E69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14:paraId="48C9F2EA">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7BC6B6E">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14:paraId="798D6FA8">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5EE9596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3A30654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14:paraId="0AB2D63F">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49B438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14:paraId="4973D58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6BEB7BA2">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507411D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14:paraId="41048C26">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14:paraId="2F0D6A04">
      <w:pPr>
        <w:pStyle w:val="186"/>
        <w:pageBreakBefore w:val="0"/>
        <w:widowControl w:val="0"/>
        <w:kinsoku/>
        <w:wordWrap/>
        <w:overflowPunct/>
        <w:topLinePunct w:val="0"/>
        <w:bidi w:val="0"/>
        <w:snapToGrid w:val="0"/>
        <w:spacing w:line="500" w:lineRule="exact"/>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C9B4894">
      <w:pPr>
        <w:pStyle w:val="186"/>
        <w:pageBreakBefore w:val="0"/>
        <w:widowControl w:val="0"/>
        <w:kinsoku/>
        <w:wordWrap/>
        <w:overflowPunct/>
        <w:topLinePunct w:val="0"/>
        <w:bidi w:val="0"/>
        <w:snapToGrid w:val="0"/>
        <w:spacing w:line="500" w:lineRule="exact"/>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30336C2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p>
    <w:p w14:paraId="2E6761BE">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6C4448A6">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6CB496D">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130433">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p>
    <w:p w14:paraId="11AC47DA">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541A15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CE5A8E">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B5D11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DE590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94565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F355EE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D560F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22E5F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FE5F7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8EF0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B65BA5">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20B85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960CA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65F98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EC750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9C1BDFA">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059B58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F0C853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A2F2F49">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17F323C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08B94A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w:t>
      </w:r>
      <w:r>
        <w:rPr>
          <w:rFonts w:hint="eastAsia" w:ascii="仿宋" w:hAnsi="仿宋" w:eastAsia="仿宋" w:cs="仿宋"/>
          <w:color w:val="auto"/>
          <w:spacing w:val="6"/>
          <w:szCs w:val="21"/>
          <w:highlight w:val="none"/>
          <w:lang w:eastAsia="zh-CN"/>
        </w:rPr>
        <w:t>〔2003〕143号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7DF5023F">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pPr>
      <w:r>
        <w:rPr>
          <w:rFonts w:hint="eastAsia"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p w14:paraId="08BACAD9">
      <w:pPr>
        <w:rPr>
          <w:rFonts w:hint="eastAsia" w:ascii="仿宋" w:hAnsi="仿宋" w:eastAsia="仿宋" w:cs="仿宋"/>
          <w:color w:val="auto"/>
          <w:highlight w:val="none"/>
        </w:rPr>
      </w:pP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FF85">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5B2C9C">
                          <w:pPr>
                            <w:pStyle w:val="31"/>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415B2C9C">
                    <w:pPr>
                      <w:pStyle w:val="31"/>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D07D">
    <w:pPr>
      <w:pStyle w:val="31"/>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0F5D753">
                          <w:pPr>
                            <w:pStyle w:val="31"/>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30F5D753">
                    <w:pPr>
                      <w:pStyle w:val="31"/>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E3D9">
    <w:pPr>
      <w:pStyle w:val="3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841ED92">
                          <w:pPr>
                            <w:pStyle w:val="31"/>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0841ED92">
                    <w:pPr>
                      <w:pStyle w:val="31"/>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14:paraId="5A32BDD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872">
    <w:pPr>
      <w:pStyle w:val="3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4C6656">
                          <w:pPr>
                            <w:pStyle w:val="31"/>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534C6656">
                    <w:pPr>
                      <w:pStyle w:val="31"/>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14:paraId="2CF5F3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41EE">
    <w:pPr>
      <w:pStyle w:val="3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1050A7">
                          <w:pPr>
                            <w:pStyle w:val="31"/>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151050A7">
                    <w:pPr>
                      <w:pStyle w:val="31"/>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E387">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F958">
    <w:pPr>
      <w:pStyle w:val="33"/>
      <w:pBdr>
        <w:bottom w:val="none" w:color="auto" w:sz="0" w:space="1"/>
      </w:pBdr>
    </w:pPr>
  </w:p>
  <w:p w14:paraId="6A4E05BF">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0E5B">
    <w:pPr>
      <w:pStyle w:val="33"/>
      <w:pBdr>
        <w:bottom w:val="none" w:color="auto" w:sz="0" w:space="1"/>
      </w:pBdr>
      <w:jc w:val="right"/>
      <w:rPr>
        <w:rFonts w:ascii="仿宋_GB2312" w:eastAsia="仿宋_GB2312"/>
        <w:b/>
        <w:i/>
        <w:u w:val="single"/>
      </w:rPr>
    </w:pPr>
  </w:p>
  <w:p w14:paraId="76C647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7462">
    <w:pPr>
      <w:pStyle w:val="33"/>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0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3E7D2EF"/>
    <w:multiLevelType w:val="singleLevel"/>
    <w:tmpl w:val="C3E7D2EF"/>
    <w:lvl w:ilvl="0" w:tentative="0">
      <w:start w:val="5"/>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E3769E3"/>
    <w:multiLevelType w:val="singleLevel"/>
    <w:tmpl w:val="FE3769E3"/>
    <w:lvl w:ilvl="0" w:tentative="0">
      <w:start w:val="1"/>
      <w:numFmt w:val="decimal"/>
      <w:suff w:val="space"/>
      <w:lvlText w:val="%1."/>
      <w:lvlJc w:val="left"/>
    </w:lvl>
  </w:abstractNum>
  <w:abstractNum w:abstractNumId="6">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D6315F5"/>
    <w:multiLevelType w:val="singleLevel"/>
    <w:tmpl w:val="0D6315F5"/>
    <w:lvl w:ilvl="0" w:tentative="0">
      <w:start w:val="1"/>
      <w:numFmt w:val="decimal"/>
      <w:suff w:val="space"/>
      <w:lvlText w:val="%1."/>
      <w:lvlJc w:val="left"/>
    </w:lvl>
  </w:abstractNum>
  <w:abstractNum w:abstractNumId="8">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D304344"/>
    <w:multiLevelType w:val="singleLevel"/>
    <w:tmpl w:val="5D304344"/>
    <w:lvl w:ilvl="0" w:tentative="0">
      <w:start w:val="1"/>
      <w:numFmt w:val="decimalEnclosedCircleChinese"/>
      <w:suff w:val="nothing"/>
      <w:lvlText w:val="%1　"/>
      <w:lvlJc w:val="left"/>
      <w:pPr>
        <w:ind w:left="0" w:firstLine="400"/>
      </w:pPr>
      <w:rPr>
        <w:rFonts w:hint="eastAsia"/>
      </w:rPr>
    </w:lvl>
  </w:abstractNum>
  <w:abstractNum w:abstractNumId="12">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6BCB5E2A"/>
    <w:multiLevelType w:val="singleLevel"/>
    <w:tmpl w:val="6BCB5E2A"/>
    <w:lvl w:ilvl="0" w:tentative="0">
      <w:start w:val="1"/>
      <w:numFmt w:val="decimal"/>
      <w:suff w:val="space"/>
      <w:lvlText w:val="%1."/>
      <w:lvlJc w:val="left"/>
    </w:lvl>
  </w:abstractNum>
  <w:num w:numId="1">
    <w:abstractNumId w:val="2"/>
  </w:num>
  <w:num w:numId="2">
    <w:abstractNumId w:val="1"/>
  </w:num>
  <w:num w:numId="3">
    <w:abstractNumId w:val="3"/>
  </w:num>
  <w:num w:numId="4">
    <w:abstractNumId w:val="9"/>
  </w:num>
  <w:num w:numId="5">
    <w:abstractNumId w:val="11"/>
  </w:num>
  <w:num w:numId="6">
    <w:abstractNumId w:val="0"/>
  </w:num>
  <w:num w:numId="7">
    <w:abstractNumId w:val="8"/>
  </w:num>
  <w:num w:numId="8">
    <w:abstractNumId w:val="12"/>
  </w:num>
  <w:num w:numId="9">
    <w:abstractNumId w:val="4"/>
  </w:num>
  <w:num w:numId="10">
    <w:abstractNumId w:val="6"/>
  </w:num>
  <w:num w:numId="11">
    <w:abstractNumId w:val="5"/>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CE3CE7"/>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A682C"/>
    <w:rsid w:val="0A2C7D49"/>
    <w:rsid w:val="0A4707FD"/>
    <w:rsid w:val="0A4D6348"/>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C013897"/>
    <w:rsid w:val="0C176CBC"/>
    <w:rsid w:val="0C3236E7"/>
    <w:rsid w:val="0C352A19"/>
    <w:rsid w:val="0C494A35"/>
    <w:rsid w:val="0C49575D"/>
    <w:rsid w:val="0C545B8D"/>
    <w:rsid w:val="0C6A2581"/>
    <w:rsid w:val="0C6D71DA"/>
    <w:rsid w:val="0C6F619B"/>
    <w:rsid w:val="0C756558"/>
    <w:rsid w:val="0C7905D8"/>
    <w:rsid w:val="0C952C04"/>
    <w:rsid w:val="0C95435A"/>
    <w:rsid w:val="0C9D3858"/>
    <w:rsid w:val="0CA87625"/>
    <w:rsid w:val="0CAD6CD5"/>
    <w:rsid w:val="0CAF4411"/>
    <w:rsid w:val="0CB02F58"/>
    <w:rsid w:val="0CB71182"/>
    <w:rsid w:val="0CC7607D"/>
    <w:rsid w:val="0CD31EEE"/>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6C18F7"/>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4C1B16"/>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64A1C"/>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3191B"/>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EA5730"/>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F93228"/>
    <w:rsid w:val="2BFC41C0"/>
    <w:rsid w:val="2BFF6824"/>
    <w:rsid w:val="2C002162"/>
    <w:rsid w:val="2C0E1ED5"/>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71155"/>
    <w:rsid w:val="33FF0C21"/>
    <w:rsid w:val="34104BC5"/>
    <w:rsid w:val="341A06B8"/>
    <w:rsid w:val="342C7F98"/>
    <w:rsid w:val="342D0BB1"/>
    <w:rsid w:val="34416C0A"/>
    <w:rsid w:val="34460B76"/>
    <w:rsid w:val="344D5388"/>
    <w:rsid w:val="346E46B7"/>
    <w:rsid w:val="3471177D"/>
    <w:rsid w:val="34726277"/>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785F5F"/>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65CF7"/>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05C20"/>
    <w:rsid w:val="3BC242CB"/>
    <w:rsid w:val="3BC255BB"/>
    <w:rsid w:val="3BCA6B4D"/>
    <w:rsid w:val="3BDD43F0"/>
    <w:rsid w:val="3BE922D2"/>
    <w:rsid w:val="3BEA2018"/>
    <w:rsid w:val="3C1C68FB"/>
    <w:rsid w:val="3C266052"/>
    <w:rsid w:val="3C28373B"/>
    <w:rsid w:val="3C322630"/>
    <w:rsid w:val="3C390C19"/>
    <w:rsid w:val="3C3B092C"/>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E48F8"/>
    <w:rsid w:val="3FD010CB"/>
    <w:rsid w:val="3FD049EC"/>
    <w:rsid w:val="3FDA1D33"/>
    <w:rsid w:val="3FE261F2"/>
    <w:rsid w:val="3FE815EE"/>
    <w:rsid w:val="3FEA6BFC"/>
    <w:rsid w:val="3FF76861"/>
    <w:rsid w:val="40023C70"/>
    <w:rsid w:val="40086A92"/>
    <w:rsid w:val="402158C5"/>
    <w:rsid w:val="402F7539"/>
    <w:rsid w:val="404264F9"/>
    <w:rsid w:val="405F542D"/>
    <w:rsid w:val="406518C8"/>
    <w:rsid w:val="40736AAC"/>
    <w:rsid w:val="40774C91"/>
    <w:rsid w:val="40872663"/>
    <w:rsid w:val="408847A8"/>
    <w:rsid w:val="40A36975"/>
    <w:rsid w:val="40A92D7E"/>
    <w:rsid w:val="40B26929"/>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B31C8"/>
    <w:rsid w:val="4B3D4D2C"/>
    <w:rsid w:val="4B432B93"/>
    <w:rsid w:val="4B4817B5"/>
    <w:rsid w:val="4B660844"/>
    <w:rsid w:val="4B6B3337"/>
    <w:rsid w:val="4B7C3D8C"/>
    <w:rsid w:val="4B975535"/>
    <w:rsid w:val="4BA14F47"/>
    <w:rsid w:val="4BA44B18"/>
    <w:rsid w:val="4BB12A34"/>
    <w:rsid w:val="4BB15C21"/>
    <w:rsid w:val="4BCD4D56"/>
    <w:rsid w:val="4BCD5AFB"/>
    <w:rsid w:val="4BDB6776"/>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EC6B1"/>
    <w:rsid w:val="534E3116"/>
    <w:rsid w:val="535F4C6A"/>
    <w:rsid w:val="53615D77"/>
    <w:rsid w:val="537428F6"/>
    <w:rsid w:val="537A110E"/>
    <w:rsid w:val="538A3FFC"/>
    <w:rsid w:val="539908EE"/>
    <w:rsid w:val="53BA3A2B"/>
    <w:rsid w:val="53BF452D"/>
    <w:rsid w:val="53C3637A"/>
    <w:rsid w:val="53C7425F"/>
    <w:rsid w:val="53F47C07"/>
    <w:rsid w:val="53FA7012"/>
    <w:rsid w:val="54017C77"/>
    <w:rsid w:val="5405643C"/>
    <w:rsid w:val="54154D59"/>
    <w:rsid w:val="54282813"/>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B70915"/>
    <w:rsid w:val="55BF392A"/>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E056D4"/>
    <w:rsid w:val="56EC3B91"/>
    <w:rsid w:val="56EE30C2"/>
    <w:rsid w:val="56F813A0"/>
    <w:rsid w:val="57003F7A"/>
    <w:rsid w:val="5701658C"/>
    <w:rsid w:val="57032046"/>
    <w:rsid w:val="57096108"/>
    <w:rsid w:val="571662CD"/>
    <w:rsid w:val="57455942"/>
    <w:rsid w:val="574B0213"/>
    <w:rsid w:val="574F2990"/>
    <w:rsid w:val="575647A8"/>
    <w:rsid w:val="575D4053"/>
    <w:rsid w:val="57672B61"/>
    <w:rsid w:val="57810778"/>
    <w:rsid w:val="578515EA"/>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C3E0E"/>
    <w:rsid w:val="59B30318"/>
    <w:rsid w:val="59C02604"/>
    <w:rsid w:val="59C5588A"/>
    <w:rsid w:val="59CF1ADD"/>
    <w:rsid w:val="59D17D75"/>
    <w:rsid w:val="59D471D7"/>
    <w:rsid w:val="59E37B16"/>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7E5B54"/>
    <w:rsid w:val="5D840C43"/>
    <w:rsid w:val="5D9B10BC"/>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B1DCB"/>
    <w:rsid w:val="5F401BE4"/>
    <w:rsid w:val="5F4A1EBB"/>
    <w:rsid w:val="5F4B5E88"/>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60266"/>
    <w:rsid w:val="67DE4EEE"/>
    <w:rsid w:val="67E46554"/>
    <w:rsid w:val="67ED5955"/>
    <w:rsid w:val="68022E63"/>
    <w:rsid w:val="68052F36"/>
    <w:rsid w:val="6808141A"/>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554422"/>
    <w:rsid w:val="6B57260F"/>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8D2902"/>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F480E"/>
    <w:rsid w:val="70531176"/>
    <w:rsid w:val="70553DF8"/>
    <w:rsid w:val="706C295C"/>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6225D4"/>
    <w:rsid w:val="75646065"/>
    <w:rsid w:val="7571709E"/>
    <w:rsid w:val="757172F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6F62C91"/>
    <w:rsid w:val="77052BDB"/>
    <w:rsid w:val="770E458F"/>
    <w:rsid w:val="772623E4"/>
    <w:rsid w:val="773A2AD5"/>
    <w:rsid w:val="77517517"/>
    <w:rsid w:val="775D7B56"/>
    <w:rsid w:val="77645A0B"/>
    <w:rsid w:val="77816B5E"/>
    <w:rsid w:val="778234EF"/>
    <w:rsid w:val="778612B4"/>
    <w:rsid w:val="77861DAE"/>
    <w:rsid w:val="779A3B25"/>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C7367E"/>
    <w:rsid w:val="7AC77AD7"/>
    <w:rsid w:val="7AE4433A"/>
    <w:rsid w:val="7AE56790"/>
    <w:rsid w:val="7AFF5BCE"/>
    <w:rsid w:val="7B10013E"/>
    <w:rsid w:val="7B326C07"/>
    <w:rsid w:val="7B3330E5"/>
    <w:rsid w:val="7B362E62"/>
    <w:rsid w:val="7B556837"/>
    <w:rsid w:val="7B676012"/>
    <w:rsid w:val="7B6A7511"/>
    <w:rsid w:val="7B711CC9"/>
    <w:rsid w:val="7B890DF9"/>
    <w:rsid w:val="7B9C2817"/>
    <w:rsid w:val="7BA311A3"/>
    <w:rsid w:val="7BA46460"/>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B7202"/>
    <w:rsid w:val="7C3C1819"/>
    <w:rsid w:val="7C41114A"/>
    <w:rsid w:val="7C470595"/>
    <w:rsid w:val="7C4E19B5"/>
    <w:rsid w:val="7C5442D6"/>
    <w:rsid w:val="7C5A528B"/>
    <w:rsid w:val="7C620617"/>
    <w:rsid w:val="7C7878E3"/>
    <w:rsid w:val="7C8047D0"/>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7"/>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720"/>
      </w:tabs>
      <w:jc w:val="left"/>
    </w:pPr>
    <w:rPr>
      <w:rFonts w:ascii="Century Gothic" w:hAnsi="Century Gothic"/>
      <w:bCs/>
      <w:caps/>
      <w:sz w:val="20"/>
      <w:szCs w:val="20"/>
    </w:rPr>
  </w:style>
  <w:style w:type="paragraph" w:styleId="11">
    <w:name w:val="Normal Indent"/>
    <w:basedOn w:val="1"/>
    <w:next w:val="1"/>
    <w:link w:val="68"/>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qFormat/>
    <w:uiPriority w:val="0"/>
  </w:style>
  <w:style w:type="paragraph" w:styleId="19">
    <w:name w:val="Body Text First Indent"/>
    <w:basedOn w:val="18"/>
    <w:next w:val="20"/>
    <w:qFormat/>
    <w:uiPriority w:val="0"/>
    <w:pPr>
      <w:ind w:firstLine="420"/>
    </w:pPr>
  </w:style>
  <w:style w:type="paragraph" w:styleId="20">
    <w:name w:val="toc 6"/>
    <w:basedOn w:val="1"/>
    <w:next w:val="1"/>
    <w:semiHidden/>
    <w:qFormat/>
    <w:uiPriority w:val="0"/>
    <w:pPr>
      <w:ind w:left="1050"/>
      <w:jc w:val="left"/>
    </w:pPr>
    <w:rPr>
      <w:sz w:val="18"/>
      <w:szCs w:val="18"/>
    </w:rPr>
  </w:style>
  <w:style w:type="paragraph" w:styleId="21">
    <w:name w:val="Body Text Indent"/>
    <w:basedOn w:val="1"/>
    <w:next w:val="1"/>
    <w:link w:val="69"/>
    <w:qFormat/>
    <w:uiPriority w:val="0"/>
    <w:pPr>
      <w:adjustRightInd w:val="0"/>
      <w:spacing w:line="360" w:lineRule="auto"/>
      <w:ind w:firstLine="490"/>
      <w:jc w:val="left"/>
    </w:pPr>
    <w:rPr>
      <w:rFonts w:ascii="Century Gothic" w:hAnsi="Century Gothic" w:eastAsia="Century Gothic"/>
      <w:sz w:val="24"/>
      <w:szCs w:val="20"/>
    </w:rPr>
  </w:style>
  <w:style w:type="paragraph" w:styleId="22">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3">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semiHidden/>
    <w:qFormat/>
    <w:uiPriority w:val="0"/>
    <w:pPr>
      <w:ind w:left="420"/>
      <w:jc w:val="left"/>
    </w:pPr>
    <w:rPr>
      <w:i/>
      <w:iCs/>
      <w:sz w:val="20"/>
      <w:szCs w:val="20"/>
    </w:rPr>
  </w:style>
  <w:style w:type="paragraph" w:styleId="26">
    <w:name w:val="Plain Text"/>
    <w:basedOn w:val="1"/>
    <w:next w:val="1"/>
    <w:link w:val="70"/>
    <w:qFormat/>
    <w:uiPriority w:val="0"/>
    <w:rPr>
      <w:rFonts w:ascii="Century Gothic" w:hAnsi="楷体_GB2312" w:eastAsia="Century Gothic" w:cs="楷体_GB2312"/>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qFormat/>
    <w:uiPriority w:val="0"/>
    <w:pPr>
      <w:ind w:left="100" w:leftChars="2500"/>
    </w:pPr>
  </w:style>
  <w:style w:type="paragraph" w:styleId="29">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0">
    <w:name w:val="Balloon Text"/>
    <w:basedOn w:val="1"/>
    <w:semiHidden/>
    <w:qFormat/>
    <w:uiPriority w:val="0"/>
    <w:rPr>
      <w:sz w:val="18"/>
      <w:szCs w:val="18"/>
    </w:rPr>
  </w:style>
  <w:style w:type="paragraph" w:styleId="31">
    <w:name w:val="footer"/>
    <w:basedOn w:val="1"/>
    <w:link w:val="7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4">
    <w:name w:val="toc 4"/>
    <w:basedOn w:val="1"/>
    <w:next w:val="1"/>
    <w:semiHidden/>
    <w:qFormat/>
    <w:uiPriority w:val="0"/>
    <w:pPr>
      <w:ind w:left="63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7"/>
    <w:next w:val="17"/>
    <w:semiHidden/>
    <w:qFormat/>
    <w:uiPriority w:val="0"/>
    <w:rPr>
      <w:b/>
      <w:bCs/>
    </w:rPr>
  </w:style>
  <w:style w:type="paragraph" w:styleId="44">
    <w:name w:val="Body Text First Indent 2"/>
    <w:basedOn w:val="21"/>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文本首行缩进 21"/>
    <w:basedOn w:val="61"/>
    <w:qFormat/>
    <w:uiPriority w:val="99"/>
    <w:pPr>
      <w:tabs>
        <w:tab w:val="right" w:leader="dot" w:pos="8268"/>
      </w:tabs>
      <w:spacing w:line="200" w:lineRule="atLeast"/>
      <w:ind w:firstLine="420"/>
    </w:pPr>
    <w:rPr>
      <w:spacing w:val="-4"/>
      <w:sz w:val="18"/>
    </w:rPr>
  </w:style>
  <w:style w:type="paragraph" w:customStyle="1" w:styleId="61">
    <w:name w:val="正文缩进1"/>
    <w:basedOn w:val="62"/>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2">
    <w:name w:val="正文1"/>
    <w:basedOn w:val="25"/>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63">
    <w:name w:val="List Paragraph"/>
    <w:basedOn w:val="1"/>
    <w:link w:val="97"/>
    <w:qFormat/>
    <w:uiPriority w:val="34"/>
    <w:pPr>
      <w:ind w:firstLine="420" w:firstLineChars="200"/>
    </w:pPr>
    <w:rPr>
      <w:rFonts w:ascii="Times New Roman" w:hAnsi="Times New Roman"/>
    </w:rPr>
  </w:style>
  <w:style w:type="paragraph" w:customStyle="1" w:styleId="64">
    <w:name w:val="正文文字"/>
    <w:basedOn w:val="1"/>
    <w:qFormat/>
    <w:uiPriority w:val="0"/>
    <w:pPr>
      <w:widowControl/>
      <w:spacing w:line="952" w:lineRule="atLeast"/>
      <w:ind w:firstLine="419"/>
    </w:pPr>
    <w:rPr>
      <w:b/>
      <w:color w:val="000000"/>
      <w:sz w:val="44"/>
      <w:szCs w:val="20"/>
    </w:rPr>
  </w:style>
  <w:style w:type="paragraph" w:customStyle="1" w:styleId="65">
    <w:name w:val="_Style 2"/>
    <w:basedOn w:val="1"/>
    <w:qFormat/>
    <w:uiPriority w:val="0"/>
    <w:pPr>
      <w:ind w:firstLine="200" w:firstLineChars="200"/>
    </w:pPr>
    <w:rPr>
      <w:rFonts w:ascii="Calibri" w:hAnsi="Calibri"/>
      <w:sz w:val="28"/>
      <w:szCs w:val="22"/>
    </w:rPr>
  </w:style>
  <w:style w:type="paragraph" w:customStyle="1" w:styleId="66">
    <w:name w:val="_Style 1"/>
    <w:qFormat/>
    <w:uiPriority w:val="0"/>
    <w:rPr>
      <w:rFonts w:ascii="Calibri" w:hAnsi="Calibri" w:eastAsia="宋体" w:cs="Times New Roman"/>
      <w:kern w:val="2"/>
      <w:sz w:val="28"/>
      <w:szCs w:val="22"/>
      <w:lang w:val="en-US" w:eastAsia="zh-CN" w:bidi="ar-SA"/>
    </w:rPr>
  </w:style>
  <w:style w:type="character" w:customStyle="1" w:styleId="67">
    <w:name w:val="标题 1 Char"/>
    <w:link w:val="3"/>
    <w:qFormat/>
    <w:uiPriority w:val="0"/>
    <w:rPr>
      <w:rFonts w:eastAsia="Century Gothic"/>
      <w:b/>
      <w:bCs/>
      <w:kern w:val="44"/>
      <w:sz w:val="44"/>
      <w:szCs w:val="44"/>
      <w:lang w:val="en-US" w:eastAsia="zh-CN" w:bidi="ar-SA"/>
    </w:rPr>
  </w:style>
  <w:style w:type="character" w:customStyle="1" w:styleId="68">
    <w:name w:val="正文缩进 Char"/>
    <w:link w:val="11"/>
    <w:qFormat/>
    <w:uiPriority w:val="0"/>
    <w:rPr>
      <w:rFonts w:ascii="Arial" w:hAnsi="Arial" w:eastAsia="宋体" w:cs="Arial"/>
      <w:lang w:val="en-US" w:eastAsia="zh-CN" w:bidi="ar-SA"/>
    </w:rPr>
  </w:style>
  <w:style w:type="character" w:customStyle="1" w:styleId="69">
    <w:name w:val="正文文本缩进 Char"/>
    <w:link w:val="21"/>
    <w:semiHidden/>
    <w:qFormat/>
    <w:uiPriority w:val="0"/>
    <w:rPr>
      <w:rFonts w:ascii="Century Gothic" w:hAnsi="Century Gothic" w:eastAsia="Century Gothic"/>
      <w:kern w:val="2"/>
      <w:sz w:val="24"/>
      <w:lang w:val="en-US" w:eastAsia="zh-CN" w:bidi="ar-SA"/>
    </w:rPr>
  </w:style>
  <w:style w:type="character" w:customStyle="1" w:styleId="70">
    <w:name w:val="纯文本 Char"/>
    <w:link w:val="26"/>
    <w:qFormat/>
    <w:uiPriority w:val="0"/>
    <w:rPr>
      <w:rFonts w:ascii="Century Gothic" w:hAnsi="楷体_GB2312" w:eastAsia="Century Gothic" w:cs="楷体_GB2312"/>
      <w:kern w:val="2"/>
      <w:sz w:val="21"/>
      <w:szCs w:val="21"/>
      <w:lang w:val="en-US" w:eastAsia="zh-CN" w:bidi="ar-SA"/>
    </w:rPr>
  </w:style>
  <w:style w:type="character" w:customStyle="1" w:styleId="71">
    <w:name w:val="页脚 Char"/>
    <w:link w:val="31"/>
    <w:qFormat/>
    <w:uiPriority w:val="0"/>
    <w:rPr>
      <w:rFonts w:eastAsia="Century Gothic"/>
      <w:kern w:val="2"/>
      <w:sz w:val="18"/>
      <w:lang w:val="en-US" w:eastAsia="zh-CN" w:bidi="ar-SA"/>
    </w:rPr>
  </w:style>
  <w:style w:type="character" w:customStyle="1" w:styleId="72">
    <w:name w:val="zbggmain style9"/>
    <w:qFormat/>
    <w:uiPriority w:val="0"/>
    <w:rPr>
      <w:rFonts w:ascii="Courier New" w:eastAsia="Courier New"/>
      <w:b/>
      <w:kern w:val="2"/>
      <w:sz w:val="32"/>
      <w:szCs w:val="32"/>
      <w:lang w:val="en-US" w:eastAsia="zh-CN" w:bidi="ar-SA"/>
    </w:rPr>
  </w:style>
  <w:style w:type="character" w:customStyle="1" w:styleId="73">
    <w:name w:val="temp1"/>
    <w:qFormat/>
    <w:uiPriority w:val="0"/>
  </w:style>
  <w:style w:type="character" w:customStyle="1" w:styleId="74">
    <w:name w:val="Char Char21"/>
    <w:qFormat/>
    <w:uiPriority w:val="0"/>
    <w:rPr>
      <w:rFonts w:eastAsia="Century Gothic"/>
      <w:b/>
      <w:bCs/>
      <w:kern w:val="44"/>
      <w:sz w:val="32"/>
      <w:szCs w:val="44"/>
      <w:lang w:val="en-US" w:eastAsia="zh-CN" w:bidi="ar-SA"/>
    </w:rPr>
  </w:style>
  <w:style w:type="character" w:customStyle="1" w:styleId="75">
    <w:name w:val="Char Char12"/>
    <w:qFormat/>
    <w:uiPriority w:val="0"/>
    <w:rPr>
      <w:rFonts w:ascii="Century Gothic" w:hAnsi="楷体_GB2312" w:eastAsia="Century Gothic" w:cs="楷体_GB2312"/>
      <w:kern w:val="2"/>
      <w:sz w:val="21"/>
      <w:szCs w:val="21"/>
      <w:lang w:val="en-US" w:eastAsia="zh-CN" w:bidi="ar-SA"/>
    </w:rPr>
  </w:style>
  <w:style w:type="character" w:customStyle="1" w:styleId="76">
    <w:name w:val="first-child7"/>
    <w:qFormat/>
    <w:uiPriority w:val="0"/>
  </w:style>
  <w:style w:type="character" w:customStyle="1" w:styleId="77">
    <w:name w:val="ant-select-tree-checkbox"/>
    <w:qFormat/>
    <w:uiPriority w:val="0"/>
  </w:style>
  <w:style w:type="character" w:customStyle="1" w:styleId="78">
    <w:name w:val="tag-type"/>
    <w:qFormat/>
    <w:uiPriority w:val="0"/>
    <w:rPr>
      <w:color w:val="FFFFFF"/>
      <w:sz w:val="18"/>
      <w:szCs w:val="18"/>
      <w:shd w:val="clear" w:color="auto" w:fill="317FFD"/>
    </w:rPr>
  </w:style>
  <w:style w:type="character" w:customStyle="1" w:styleId="79">
    <w:name w:val="ant-select-tree-switcher"/>
    <w:qFormat/>
    <w:uiPriority w:val="0"/>
  </w:style>
  <w:style w:type="character" w:customStyle="1" w:styleId="80">
    <w:name w:val="Default Char"/>
    <w:link w:val="81"/>
    <w:qFormat/>
    <w:uiPriority w:val="0"/>
    <w:rPr>
      <w:rFonts w:ascii="楷体" w:eastAsia="楷体"/>
      <w:color w:val="000000"/>
      <w:sz w:val="24"/>
      <w:szCs w:val="24"/>
      <w:lang w:val="en-US" w:eastAsia="zh-CN" w:bidi="ar-SA"/>
    </w:rPr>
  </w:style>
  <w:style w:type="paragraph" w:customStyle="1" w:styleId="81">
    <w:name w:val="Default"/>
    <w:next w:val="82"/>
    <w:link w:val="80"/>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5">
    <w:name w:val="font71"/>
    <w:qFormat/>
    <w:uiPriority w:val="0"/>
    <w:rPr>
      <w:rFonts w:hint="eastAsia" w:ascii="宋体" w:hAnsi="宋体" w:eastAsia="宋体" w:cs="宋体"/>
      <w:color w:val="000000"/>
      <w:sz w:val="20"/>
      <w:szCs w:val="20"/>
      <w:u w:val="none"/>
    </w:rPr>
  </w:style>
  <w:style w:type="character" w:customStyle="1" w:styleId="86">
    <w:name w:val="current"/>
    <w:qFormat/>
    <w:uiPriority w:val="0"/>
    <w:rPr>
      <w:color w:val="00C1DE"/>
    </w:rPr>
  </w:style>
  <w:style w:type="character" w:customStyle="1" w:styleId="87">
    <w:name w:val="last-of-type"/>
    <w:qFormat/>
    <w:uiPriority w:val="0"/>
    <w:rPr>
      <w:color w:val="FF4A44"/>
      <w:sz w:val="27"/>
      <w:szCs w:val="27"/>
    </w:rPr>
  </w:style>
  <w:style w:type="character" w:customStyle="1" w:styleId="88">
    <w:name w:val="font121"/>
    <w:qFormat/>
    <w:uiPriority w:val="0"/>
    <w:rPr>
      <w:rFonts w:hint="eastAsia" w:ascii="宋体" w:hAnsi="宋体" w:eastAsia="宋体" w:cs="宋体"/>
      <w:b/>
      <w:color w:val="000000"/>
      <w:sz w:val="20"/>
      <w:szCs w:val="20"/>
      <w:u w:val="none"/>
    </w:rPr>
  </w:style>
  <w:style w:type="character" w:customStyle="1" w:styleId="89">
    <w:name w:val="font01"/>
    <w:basedOn w:val="47"/>
    <w:qFormat/>
    <w:uiPriority w:val="0"/>
    <w:rPr>
      <w:rFonts w:hint="eastAsia" w:ascii="宋体" w:hAnsi="宋体" w:eastAsia="宋体" w:cs="宋体"/>
      <w:color w:val="000000"/>
      <w:sz w:val="20"/>
      <w:szCs w:val="20"/>
      <w:u w:val="none"/>
      <w:vertAlign w:val="superscript"/>
    </w:rPr>
  </w:style>
  <w:style w:type="character" w:customStyle="1" w:styleId="90">
    <w:name w:val="first-child"/>
    <w:qFormat/>
    <w:uiPriority w:val="0"/>
  </w:style>
  <w:style w:type="character" w:customStyle="1" w:styleId="91">
    <w:name w:val="current1"/>
    <w:qFormat/>
    <w:uiPriority w:val="0"/>
    <w:rPr>
      <w:color w:val="00C1DE"/>
    </w:rPr>
  </w:style>
  <w:style w:type="character" w:customStyle="1" w:styleId="92">
    <w:name w:val="zbggtop11 style5"/>
    <w:qFormat/>
    <w:uiPriority w:val="0"/>
  </w:style>
  <w:style w:type="character" w:customStyle="1" w:styleId="93">
    <w:name w:val="style1"/>
    <w:qFormat/>
    <w:uiPriority w:val="0"/>
  </w:style>
  <w:style w:type="character" w:customStyle="1" w:styleId="94">
    <w:name w:val="ant-tree-iconele"/>
    <w:qFormat/>
    <w:uiPriority w:val="0"/>
  </w:style>
  <w:style w:type="character" w:customStyle="1" w:styleId="95">
    <w:name w:val="content"/>
    <w:qFormat/>
    <w:uiPriority w:val="0"/>
  </w:style>
  <w:style w:type="character" w:customStyle="1" w:styleId="96">
    <w:name w:val="font51"/>
    <w:qFormat/>
    <w:uiPriority w:val="0"/>
    <w:rPr>
      <w:rFonts w:hint="eastAsia" w:ascii="宋体" w:hAnsi="宋体" w:eastAsia="宋体" w:cs="宋体"/>
      <w:color w:val="000000"/>
      <w:sz w:val="20"/>
      <w:szCs w:val="20"/>
      <w:u w:val="none"/>
    </w:rPr>
  </w:style>
  <w:style w:type="character" w:customStyle="1" w:styleId="97">
    <w:name w:val="列出段落 Char"/>
    <w:link w:val="63"/>
    <w:qFormat/>
    <w:uiPriority w:val="34"/>
    <w:rPr>
      <w:kern w:val="2"/>
      <w:sz w:val="21"/>
      <w:szCs w:val="24"/>
    </w:rPr>
  </w:style>
  <w:style w:type="character" w:customStyle="1" w:styleId="98">
    <w:name w:val="ant-select-tree-iconele"/>
    <w:qFormat/>
    <w:uiPriority w:val="0"/>
  </w:style>
  <w:style w:type="character" w:customStyle="1" w:styleId="99">
    <w:name w:val="bookmark-item uuid-1588129097073 code-23007 addword single-line-text-input-box-cls readonly"/>
    <w:qFormat/>
    <w:uiPriority w:val="0"/>
  </w:style>
  <w:style w:type="character" w:customStyle="1" w:styleId="100">
    <w:name w:val="ant-badge-status-dot2"/>
    <w:qFormat/>
    <w:uiPriority w:val="0"/>
    <w:rPr>
      <w:shd w:val="clear" w:color="auto" w:fill="FFFFFF"/>
    </w:rPr>
  </w:style>
  <w:style w:type="character" w:customStyle="1" w:styleId="101">
    <w:name w:val="change-camera-place"/>
    <w:qFormat/>
    <w:uiPriority w:val="0"/>
    <w:rPr>
      <w:color w:val="3177FD"/>
    </w:rPr>
  </w:style>
  <w:style w:type="character" w:customStyle="1" w:styleId="102">
    <w:name w:val="last-child1"/>
    <w:qFormat/>
    <w:uiPriority w:val="0"/>
  </w:style>
  <w:style w:type="character" w:customStyle="1" w:styleId="103">
    <w:name w:val="first-child9"/>
    <w:qFormat/>
    <w:uiPriority w:val="0"/>
  </w:style>
  <w:style w:type="character" w:customStyle="1" w:styleId="104">
    <w:name w:val="all-fit-info2"/>
    <w:qFormat/>
    <w:uiPriority w:val="0"/>
    <w:rPr>
      <w:color w:val="939393"/>
    </w:rPr>
  </w:style>
  <w:style w:type="character" w:customStyle="1" w:styleId="105">
    <w:name w:val="ant-tree-switcher"/>
    <w:qFormat/>
    <w:uiPriority w:val="0"/>
  </w:style>
  <w:style w:type="character" w:customStyle="1" w:styleId="106">
    <w:name w:val="temp2"/>
    <w:qFormat/>
    <w:uiPriority w:val="0"/>
  </w:style>
  <w:style w:type="character" w:customStyle="1" w:styleId="107">
    <w:name w:val="tpc_content1"/>
    <w:qFormat/>
    <w:uiPriority w:val="0"/>
    <w:rPr>
      <w:sz w:val="20"/>
      <w:szCs w:val="20"/>
    </w:rPr>
  </w:style>
  <w:style w:type="character" w:customStyle="1" w:styleId="108">
    <w:name w:val="font81"/>
    <w:basedOn w:val="47"/>
    <w:qFormat/>
    <w:uiPriority w:val="0"/>
    <w:rPr>
      <w:rFonts w:hint="eastAsia" w:ascii="宋体" w:hAnsi="宋体" w:eastAsia="宋体" w:cs="宋体"/>
      <w:color w:val="FF0000"/>
      <w:sz w:val="24"/>
      <w:szCs w:val="24"/>
      <w:u w:val="none"/>
    </w:rPr>
  </w:style>
  <w:style w:type="character" w:customStyle="1" w:styleId="109">
    <w:name w:val="tag-type1"/>
    <w:qFormat/>
    <w:uiPriority w:val="0"/>
    <w:rPr>
      <w:color w:val="FFFFFF"/>
      <w:sz w:val="18"/>
      <w:szCs w:val="18"/>
      <w:shd w:val="clear" w:color="auto" w:fill="317FFD"/>
    </w:rPr>
  </w:style>
  <w:style w:type="character" w:customStyle="1" w:styleId="110">
    <w:name w:val="font21"/>
    <w:basedOn w:val="47"/>
    <w:qFormat/>
    <w:uiPriority w:val="0"/>
    <w:rPr>
      <w:rFonts w:hint="default" w:ascii="Arial" w:hAnsi="Arial" w:cs="Arial"/>
      <w:color w:val="000000"/>
      <w:sz w:val="21"/>
      <w:szCs w:val="21"/>
      <w:u w:val="none"/>
    </w:rPr>
  </w:style>
  <w:style w:type="character" w:customStyle="1" w:styleId="111">
    <w:name w:val="last-child2"/>
    <w:qFormat/>
    <w:uiPriority w:val="0"/>
  </w:style>
  <w:style w:type="character" w:customStyle="1" w:styleId="112">
    <w:name w:val="info-content"/>
    <w:qFormat/>
    <w:uiPriority w:val="0"/>
    <w:rPr>
      <w:color w:val="808080"/>
    </w:rPr>
  </w:style>
  <w:style w:type="character" w:customStyle="1" w:styleId="113">
    <w:name w:val="Char Char"/>
    <w:qFormat/>
    <w:uiPriority w:val="0"/>
    <w:rPr>
      <w:rFonts w:ascii="Courier New" w:eastAsia="Courier New"/>
      <w:color w:val="FF0000"/>
      <w:kern w:val="2"/>
      <w:sz w:val="24"/>
      <w:szCs w:val="24"/>
      <w:u w:val="single"/>
      <w:lang w:val="en-US" w:eastAsia="zh-CN" w:bidi="ar-SA"/>
    </w:rPr>
  </w:style>
  <w:style w:type="character" w:customStyle="1" w:styleId="114">
    <w:name w:val="ant-tree-checkbox2"/>
    <w:qFormat/>
    <w:uiPriority w:val="0"/>
  </w:style>
  <w:style w:type="character" w:customStyle="1" w:styleId="115">
    <w:name w:val="label2"/>
    <w:qFormat/>
    <w:uiPriority w:val="0"/>
  </w:style>
  <w:style w:type="character" w:customStyle="1" w:styleId="116">
    <w:name w:val="标准文本 Char"/>
    <w:link w:val="117"/>
    <w:qFormat/>
    <w:uiPriority w:val="0"/>
    <w:rPr>
      <w:rFonts w:eastAsia="宋体" w:cs="宋体"/>
      <w:kern w:val="2"/>
      <w:sz w:val="24"/>
      <w:lang w:val="en-US" w:eastAsia="zh-CN" w:bidi="ar-SA"/>
    </w:rPr>
  </w:style>
  <w:style w:type="paragraph" w:customStyle="1" w:styleId="117">
    <w:name w:val="标准文本"/>
    <w:basedOn w:val="1"/>
    <w:link w:val="116"/>
    <w:qFormat/>
    <w:uiPriority w:val="0"/>
    <w:pPr>
      <w:spacing w:line="360" w:lineRule="auto"/>
      <w:ind w:firstLine="480" w:firstLineChars="200"/>
    </w:pPr>
    <w:rPr>
      <w:rFonts w:ascii="Times New Roman" w:hAnsi="Times New Roman" w:cs="宋体"/>
      <w:sz w:val="24"/>
      <w:szCs w:val="20"/>
    </w:rPr>
  </w:style>
  <w:style w:type="character" w:customStyle="1" w:styleId="118">
    <w:name w:val="正文2 Char"/>
    <w:link w:val="119"/>
    <w:qFormat/>
    <w:uiPriority w:val="0"/>
    <w:rPr>
      <w:rFonts w:eastAsia="宋体"/>
      <w:kern w:val="2"/>
      <w:sz w:val="24"/>
      <w:lang w:val="en-US" w:eastAsia="zh-CN" w:bidi="ar-SA"/>
    </w:rPr>
  </w:style>
  <w:style w:type="paragraph" w:customStyle="1" w:styleId="119">
    <w:name w:val="正文2"/>
    <w:basedOn w:val="1"/>
    <w:link w:val="118"/>
    <w:qFormat/>
    <w:uiPriority w:val="0"/>
    <w:pPr>
      <w:spacing w:line="360" w:lineRule="auto"/>
      <w:ind w:firstLine="510" w:firstLineChars="200"/>
    </w:pPr>
    <w:rPr>
      <w:rFonts w:ascii="Times New Roman" w:hAnsi="Times New Roman"/>
      <w:sz w:val="24"/>
      <w:szCs w:val="20"/>
    </w:rPr>
  </w:style>
  <w:style w:type="character" w:customStyle="1" w:styleId="120">
    <w:name w:val="bulletintext1"/>
    <w:qFormat/>
    <w:uiPriority w:val="0"/>
    <w:rPr>
      <w:color w:val="000000"/>
      <w:sz w:val="18"/>
    </w:rPr>
  </w:style>
  <w:style w:type="character" w:customStyle="1" w:styleId="121">
    <w:name w:val="last-child"/>
    <w:qFormat/>
    <w:uiPriority w:val="0"/>
  </w:style>
  <w:style w:type="character" w:customStyle="1" w:styleId="122">
    <w:name w:val="font101"/>
    <w:qFormat/>
    <w:uiPriority w:val="0"/>
    <w:rPr>
      <w:rFonts w:ascii="Calibri" w:hAnsi="Calibri" w:cs="Calibri"/>
      <w:color w:val="000000"/>
      <w:sz w:val="20"/>
      <w:szCs w:val="20"/>
      <w:u w:val="none"/>
    </w:rPr>
  </w:style>
  <w:style w:type="character" w:customStyle="1" w:styleId="123">
    <w:name w:val="font61"/>
    <w:basedOn w:val="47"/>
    <w:qFormat/>
    <w:uiPriority w:val="0"/>
    <w:rPr>
      <w:rFonts w:hint="eastAsia" w:ascii="宋体" w:hAnsi="宋体" w:eastAsia="宋体" w:cs="宋体"/>
      <w:color w:val="161616"/>
      <w:sz w:val="20"/>
      <w:szCs w:val="20"/>
      <w:u w:val="none"/>
    </w:rPr>
  </w:style>
  <w:style w:type="character" w:customStyle="1" w:styleId="124">
    <w:name w:val="all-fit-info"/>
    <w:qFormat/>
    <w:uiPriority w:val="0"/>
    <w:rPr>
      <w:color w:val="939393"/>
    </w:rPr>
  </w:style>
  <w:style w:type="character" w:customStyle="1" w:styleId="125">
    <w:name w:val="ant-tree-checkbox"/>
    <w:qFormat/>
    <w:uiPriority w:val="0"/>
  </w:style>
  <w:style w:type="character" w:customStyle="1" w:styleId="126">
    <w:name w:val="ant-badge-status-dot"/>
    <w:qFormat/>
    <w:uiPriority w:val="0"/>
    <w:rPr>
      <w:shd w:val="clear" w:color="auto" w:fill="FFFFFF"/>
    </w:rPr>
  </w:style>
  <w:style w:type="character" w:customStyle="1" w:styleId="127">
    <w:name w:val="bookmark-item uuid-1591619842642 code-23011 addword date-time-selection-cls"/>
    <w:qFormat/>
    <w:uiPriority w:val="0"/>
  </w:style>
  <w:style w:type="character" w:customStyle="1" w:styleId="128">
    <w:name w:val="content8"/>
    <w:qFormat/>
    <w:uiPriority w:val="0"/>
  </w:style>
  <w:style w:type="character" w:customStyle="1" w:styleId="129">
    <w:name w:val="info-label"/>
    <w:qFormat/>
    <w:uiPriority w:val="0"/>
    <w:rPr>
      <w:b/>
    </w:rPr>
  </w:style>
  <w:style w:type="character" w:customStyle="1" w:styleId="130">
    <w:name w:val="ant-select-tree-checkbox2"/>
    <w:qFormat/>
    <w:uiPriority w:val="0"/>
  </w:style>
  <w:style w:type="character" w:customStyle="1" w:styleId="131">
    <w:name w:val="temp"/>
    <w:qFormat/>
    <w:uiPriority w:val="0"/>
  </w:style>
  <w:style w:type="character" w:customStyle="1" w:styleId="132">
    <w:name w:val="label"/>
    <w:qFormat/>
    <w:uiPriority w:val="0"/>
  </w:style>
  <w:style w:type="character" w:customStyle="1" w:styleId="133">
    <w:name w:val="ant-tree-icon_loading"/>
    <w:qFormat/>
    <w:uiPriority w:val="0"/>
    <w:rPr>
      <w:shd w:val="clear" w:color="auto" w:fill="FFFFFF"/>
    </w:rPr>
  </w:style>
  <w:style w:type="character" w:customStyle="1" w:styleId="134">
    <w:name w:val="last-child3"/>
    <w:qFormat/>
    <w:uiPriority w:val="0"/>
  </w:style>
  <w:style w:type="character" w:customStyle="1" w:styleId="135">
    <w:name w:val="font11"/>
    <w:basedOn w:val="47"/>
    <w:qFormat/>
    <w:uiPriority w:val="0"/>
    <w:rPr>
      <w:rFonts w:hint="eastAsia" w:ascii="宋体" w:hAnsi="宋体" w:eastAsia="宋体" w:cs="宋体"/>
      <w:color w:val="000000"/>
      <w:sz w:val="21"/>
      <w:szCs w:val="21"/>
      <w:u w:val="none"/>
    </w:rPr>
  </w:style>
  <w:style w:type="character" w:customStyle="1" w:styleId="136">
    <w:name w:val="all-fit-info1"/>
    <w:qFormat/>
    <w:uiPriority w:val="0"/>
    <w:rPr>
      <w:color w:val="939393"/>
    </w:rPr>
  </w:style>
  <w:style w:type="paragraph" w:customStyle="1" w:styleId="137">
    <w:name w:val="[Normal]"/>
    <w:qFormat/>
    <w:uiPriority w:val="0"/>
    <w:rPr>
      <w:rFonts w:ascii="宋体" w:hAnsi="宋体" w:eastAsia="宋体" w:cs="Arial"/>
      <w:sz w:val="24"/>
      <w:szCs w:val="22"/>
      <w:lang w:val="zh-CN" w:eastAsia="zh-CN" w:bidi="ar-SA"/>
    </w:rPr>
  </w:style>
  <w:style w:type="paragraph" w:customStyle="1" w:styleId="138">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9">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1">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2">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3">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4">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font6"/>
    <w:basedOn w:val="1"/>
    <w:qFormat/>
    <w:uiPriority w:val="0"/>
    <w:pPr>
      <w:widowControl/>
      <w:spacing w:beforeAutospacing="1" w:afterAutospacing="1"/>
      <w:jc w:val="left"/>
    </w:pPr>
    <w:rPr>
      <w:kern w:val="0"/>
      <w:sz w:val="18"/>
      <w:szCs w:val="18"/>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9">
    <w:name w:val="列出段落1"/>
    <w:basedOn w:val="1"/>
    <w:qFormat/>
    <w:uiPriority w:val="0"/>
    <w:pPr>
      <w:ind w:firstLine="420" w:firstLineChars="200"/>
    </w:pPr>
    <w:rPr>
      <w:rFonts w:ascii="等线" w:hAnsi="等线"/>
      <w:szCs w:val="21"/>
    </w:rPr>
  </w:style>
  <w:style w:type="paragraph" w:customStyle="1" w:styleId="150">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1">
    <w:name w:val="BodyText1I"/>
    <w:basedOn w:val="152"/>
    <w:qFormat/>
    <w:uiPriority w:val="0"/>
    <w:pPr>
      <w:spacing w:after="120"/>
      <w:ind w:firstLine="420" w:firstLineChars="100"/>
    </w:pPr>
  </w:style>
  <w:style w:type="paragraph" w:customStyle="1" w:styleId="152">
    <w:name w:val="BodyText"/>
    <w:basedOn w:val="1"/>
    <w:next w:val="151"/>
    <w:qFormat/>
    <w:uiPriority w:val="0"/>
    <w:rPr>
      <w:sz w:val="20"/>
    </w:rPr>
  </w:style>
  <w:style w:type="paragraph" w:customStyle="1" w:styleId="153">
    <w:name w:val="索引 11"/>
    <w:basedOn w:val="1"/>
    <w:next w:val="1"/>
    <w:qFormat/>
    <w:uiPriority w:val="99"/>
    <w:pPr>
      <w:spacing w:line="360" w:lineRule="auto"/>
    </w:pPr>
    <w:rPr>
      <w:rFonts w:ascii="仿宋_GB2312" w:eastAsia="仿宋_GB2312"/>
      <w:sz w:val="24"/>
      <w:szCs w:val="20"/>
    </w:rPr>
  </w:style>
  <w:style w:type="paragraph" w:customStyle="1" w:styleId="154">
    <w:name w:val="Char Char Char Char Char"/>
    <w:basedOn w:val="1"/>
    <w:qFormat/>
    <w:uiPriority w:val="0"/>
    <w:pPr>
      <w:widowControl/>
      <w:spacing w:line="240" w:lineRule="exact"/>
      <w:jc w:val="left"/>
    </w:pPr>
    <w:rPr>
      <w:rFonts w:ascii="Verdana" w:hAnsi="Verdana" w:eastAsia="华文细黑"/>
    </w:rPr>
  </w:style>
  <w:style w:type="paragraph" w:customStyle="1" w:styleId="155">
    <w:name w:val="无间距1"/>
    <w:qFormat/>
    <w:uiPriority w:val="0"/>
    <w:rPr>
      <w:rFonts w:ascii="Times New Roman" w:hAnsi="Times New Roman" w:eastAsia="??" w:cs="宋体"/>
      <w:sz w:val="22"/>
      <w:szCs w:val="22"/>
      <w:lang w:val="en-US" w:eastAsia="en-US" w:bidi="ar-SA"/>
    </w:rPr>
  </w:style>
  <w:style w:type="paragraph" w:customStyle="1" w:styleId="156">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8">
    <w:name w:val="方案三级标题"/>
    <w:basedOn w:val="4"/>
    <w:qFormat/>
    <w:uiPriority w:val="0"/>
    <w:pPr>
      <w:spacing w:before="120" w:after="120" w:line="300" w:lineRule="auto"/>
    </w:pPr>
    <w:rPr>
      <w:rFonts w:ascii="宋体" w:hAnsi="宋体" w:eastAsia="宋体"/>
      <w:sz w:val="30"/>
    </w:rPr>
  </w:style>
  <w:style w:type="paragraph" w:customStyle="1" w:styleId="159">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2"/>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3"/>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6"/>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18"/>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rFonts w:ascii="Calibri"/>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6">
    <w:name w:val="fontstyle01"/>
    <w:basedOn w:val="47"/>
    <w:qFormat/>
    <w:uiPriority w:val="0"/>
    <w:rPr>
      <w:rFonts w:ascii="MicrosoftYaHei" w:hAnsi="MicrosoftYaHei" w:eastAsia="MicrosoftYaHei" w:cs="MicrosoftYaHei"/>
      <w:color w:val="000000"/>
      <w:sz w:val="48"/>
      <w:szCs w:val="48"/>
    </w:rPr>
  </w:style>
  <w:style w:type="paragraph" w:customStyle="1" w:styleId="2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85</Pages>
  <Words>16000</Words>
  <Characters>16837</Characters>
  <Lines>370</Lines>
  <Paragraphs>104</Paragraphs>
  <TotalTime>49</TotalTime>
  <ScaleCrop>false</ScaleCrop>
  <LinksUpToDate>false</LinksUpToDate>
  <CharactersWithSpaces>17291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2023-05-06T06:01:00Z</cp:lastPrinted>
  <dcterms:modified xsi:type="dcterms:W3CDTF">2024-12-13T02:49:21Z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E2D9930F8F3C4F30A33027A7DC351300_13</vt:lpwstr>
  </property>
</Properties>
</file>