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27AD0">
      <w:pPr>
        <w:adjustRightInd w:val="0"/>
        <w:snapToGrid w:val="0"/>
        <w:spacing w:line="360" w:lineRule="auto"/>
        <w:rPr>
          <w:rFonts w:hint="eastAsia" w:ascii="仿宋" w:hAnsi="仿宋" w:eastAsia="仿宋" w:cs="仿宋"/>
          <w:w w:val="80"/>
          <w:sz w:val="52"/>
          <w:szCs w:val="52"/>
          <w:highlight w:val="none"/>
          <w:lang w:bidi="th-TH"/>
        </w:rPr>
      </w:pPr>
    </w:p>
    <w:p w14:paraId="3548E95B">
      <w:pPr>
        <w:pStyle w:val="18"/>
        <w:adjustRightInd w:val="0"/>
        <w:snapToGrid w:val="0"/>
        <w:spacing w:line="360" w:lineRule="auto"/>
        <w:ind w:firstLine="0"/>
        <w:rPr>
          <w:rFonts w:hint="eastAsia" w:ascii="仿宋" w:hAnsi="仿宋" w:eastAsia="仿宋" w:cs="仿宋"/>
          <w:highlight w:val="none"/>
        </w:rPr>
      </w:pPr>
    </w:p>
    <w:p w14:paraId="780CB2C7">
      <w:pPr>
        <w:rPr>
          <w:rFonts w:hint="eastAsia" w:ascii="仿宋" w:hAnsi="仿宋" w:eastAsia="仿宋" w:cs="仿宋"/>
          <w:highlight w:val="none"/>
        </w:rPr>
      </w:pPr>
    </w:p>
    <w:p w14:paraId="74CFF94D">
      <w:pPr>
        <w:pStyle w:val="64"/>
        <w:widowControl w:val="0"/>
        <w:adjustRightInd w:val="0"/>
        <w:snapToGrid w:val="0"/>
        <w:spacing w:line="360" w:lineRule="auto"/>
        <w:ind w:firstLine="0"/>
        <w:jc w:val="center"/>
        <w:rPr>
          <w:rFonts w:hint="eastAsia" w:ascii="仿宋" w:hAnsi="仿宋" w:eastAsia="仿宋" w:cs="仿宋"/>
          <w:color w:val="auto"/>
          <w:szCs w:val="44"/>
          <w:highlight w:val="none"/>
        </w:rPr>
      </w:pPr>
      <w:r>
        <w:rPr>
          <w:rFonts w:hint="eastAsia" w:ascii="仿宋" w:hAnsi="仿宋" w:eastAsia="仿宋" w:cs="仿宋"/>
          <w:color w:val="auto"/>
          <w:szCs w:val="44"/>
          <w:highlight w:val="none"/>
        </w:rPr>
        <w:t>杭州中国动漫博物馆</w:t>
      </w:r>
    </w:p>
    <w:p w14:paraId="2687EBE6">
      <w:pPr>
        <w:pStyle w:val="64"/>
        <w:widowControl w:val="0"/>
        <w:adjustRightInd w:val="0"/>
        <w:snapToGrid w:val="0"/>
        <w:spacing w:line="360" w:lineRule="auto"/>
        <w:ind w:firstLine="0"/>
        <w:jc w:val="center"/>
        <w:rPr>
          <w:rFonts w:hint="default" w:ascii="仿宋" w:hAnsi="仿宋" w:eastAsia="仿宋" w:cs="仿宋"/>
          <w:color w:val="auto"/>
          <w:szCs w:val="44"/>
          <w:highlight w:val="none"/>
          <w:lang w:val="en-US" w:eastAsia="zh-CN"/>
        </w:rPr>
      </w:pPr>
      <w:r>
        <w:rPr>
          <w:rFonts w:hint="eastAsia" w:ascii="仿宋" w:hAnsi="仿宋" w:eastAsia="仿宋" w:cs="仿宋"/>
          <w:color w:val="auto"/>
          <w:szCs w:val="44"/>
          <w:highlight w:val="none"/>
          <w:lang w:eastAsia="zh-CN"/>
        </w:rPr>
        <w:t>2025年度专业技术服务</w:t>
      </w:r>
    </w:p>
    <w:p w14:paraId="6E529F06">
      <w:pPr>
        <w:adjustRightInd w:val="0"/>
        <w:snapToGrid w:val="0"/>
        <w:spacing w:line="360" w:lineRule="auto"/>
        <w:jc w:val="center"/>
        <w:rPr>
          <w:rFonts w:hint="eastAsia" w:ascii="仿宋" w:hAnsi="仿宋" w:eastAsia="仿宋" w:cs="仿宋"/>
          <w:b/>
          <w:szCs w:val="84"/>
          <w:highlight w:val="none"/>
        </w:rPr>
      </w:pPr>
      <w:r>
        <w:rPr>
          <w:rFonts w:hint="eastAsia" w:ascii="仿宋" w:hAnsi="仿宋" w:eastAsia="仿宋" w:cs="仿宋"/>
          <w:b/>
          <w:szCs w:val="84"/>
          <w:highlight w:val="none"/>
        </w:rPr>
        <w:t>（电子招投标）</w:t>
      </w:r>
    </w:p>
    <w:p w14:paraId="6905941F">
      <w:pPr>
        <w:pStyle w:val="17"/>
        <w:rPr>
          <w:rFonts w:hint="eastAsia" w:ascii="仿宋" w:hAnsi="仿宋" w:eastAsia="仿宋" w:cs="仿宋"/>
          <w:highlight w:val="none"/>
        </w:rPr>
      </w:pPr>
    </w:p>
    <w:p w14:paraId="4D50462C">
      <w:pPr>
        <w:jc w:val="center"/>
        <w:rPr>
          <w:rFonts w:hint="eastAsia" w:ascii="仿宋" w:hAnsi="仿宋" w:eastAsia="仿宋" w:cs="仿宋"/>
          <w:b/>
          <w:szCs w:val="84"/>
          <w:highlight w:val="none"/>
        </w:rPr>
      </w:pPr>
    </w:p>
    <w:p w14:paraId="6917BAF0">
      <w:pPr>
        <w:jc w:val="center"/>
        <w:rPr>
          <w:rFonts w:hint="eastAsia" w:ascii="仿宋" w:hAnsi="仿宋" w:eastAsia="仿宋" w:cs="仿宋"/>
          <w:b/>
          <w:szCs w:val="84"/>
          <w:highlight w:val="none"/>
        </w:rPr>
      </w:pPr>
    </w:p>
    <w:p w14:paraId="1C24B51E">
      <w:pPr>
        <w:keepNext/>
        <w:keepLines/>
        <w:spacing w:line="579" w:lineRule="auto"/>
        <w:rPr>
          <w:rFonts w:hint="eastAsia" w:ascii="仿宋" w:hAnsi="仿宋" w:eastAsia="仿宋" w:cs="仿宋"/>
          <w:highlight w:val="none"/>
        </w:rPr>
      </w:pPr>
    </w:p>
    <w:p w14:paraId="1B00A024">
      <w:pPr>
        <w:spacing w:line="360" w:lineRule="auto"/>
        <w:jc w:val="center"/>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采 购 文 件</w:t>
      </w:r>
    </w:p>
    <w:p w14:paraId="312AC678">
      <w:pPr>
        <w:jc w:val="center"/>
        <w:rPr>
          <w:rFonts w:hint="eastAsia" w:ascii="仿宋" w:hAnsi="仿宋" w:eastAsia="仿宋" w:cs="仿宋"/>
          <w:b/>
          <w:szCs w:val="84"/>
          <w:highlight w:val="none"/>
        </w:rPr>
      </w:pPr>
    </w:p>
    <w:p w14:paraId="74CD6E66">
      <w:pPr>
        <w:jc w:val="center"/>
        <w:rPr>
          <w:rFonts w:hint="eastAsia" w:ascii="仿宋" w:hAnsi="仿宋" w:eastAsia="仿宋" w:cs="仿宋"/>
          <w:b/>
          <w:szCs w:val="84"/>
          <w:highlight w:val="none"/>
        </w:rPr>
      </w:pPr>
    </w:p>
    <w:p w14:paraId="1FB8766E">
      <w:pPr>
        <w:spacing w:line="360" w:lineRule="auto"/>
        <w:jc w:val="center"/>
        <w:rPr>
          <w:rFonts w:hint="eastAsia" w:ascii="仿宋" w:hAnsi="仿宋" w:eastAsia="仿宋" w:cs="仿宋"/>
          <w:b/>
          <w:w w:val="80"/>
          <w:sz w:val="36"/>
          <w:szCs w:val="36"/>
          <w:highlight w:val="none"/>
          <w:lang w:eastAsia="zh-CN" w:bidi="th-TH"/>
        </w:rPr>
      </w:pPr>
      <w:r>
        <w:rPr>
          <w:rFonts w:hint="eastAsia" w:ascii="仿宋" w:hAnsi="仿宋" w:eastAsia="仿宋" w:cs="仿宋"/>
          <w:b/>
          <w:w w:val="80"/>
          <w:sz w:val="36"/>
          <w:szCs w:val="36"/>
          <w:highlight w:val="none"/>
          <w:lang w:bidi="th-TH"/>
        </w:rPr>
        <w:t>项目编号：ZJ-</w:t>
      </w:r>
      <w:r>
        <w:rPr>
          <w:rFonts w:hint="eastAsia" w:ascii="仿宋" w:hAnsi="仿宋" w:eastAsia="仿宋" w:cs="仿宋"/>
          <w:b/>
          <w:w w:val="80"/>
          <w:sz w:val="36"/>
          <w:szCs w:val="36"/>
          <w:highlight w:val="none"/>
          <w:lang w:eastAsia="zh-CN" w:bidi="th-TH"/>
        </w:rPr>
        <w:t>2443350</w:t>
      </w:r>
    </w:p>
    <w:p w14:paraId="25627262">
      <w:pPr>
        <w:pStyle w:val="26"/>
        <w:ind w:left="5250"/>
        <w:rPr>
          <w:rFonts w:hint="eastAsia" w:ascii="仿宋" w:hAnsi="仿宋" w:eastAsia="仿宋" w:cs="仿宋"/>
          <w:b/>
          <w:szCs w:val="28"/>
          <w:highlight w:val="none"/>
        </w:rPr>
      </w:pPr>
    </w:p>
    <w:p w14:paraId="6B98C24E">
      <w:pPr>
        <w:rPr>
          <w:rFonts w:hint="eastAsia" w:ascii="仿宋" w:hAnsi="仿宋" w:eastAsia="仿宋" w:cs="仿宋"/>
          <w:b/>
          <w:highlight w:val="none"/>
        </w:rPr>
      </w:pPr>
    </w:p>
    <w:p w14:paraId="3D7CECE6">
      <w:pPr>
        <w:rPr>
          <w:rFonts w:hint="eastAsia" w:ascii="仿宋" w:hAnsi="仿宋" w:eastAsia="仿宋" w:cs="仿宋"/>
          <w:b/>
          <w:highlight w:val="none"/>
        </w:rPr>
      </w:pPr>
    </w:p>
    <w:p w14:paraId="3E805D56">
      <w:pPr>
        <w:rPr>
          <w:rFonts w:hint="eastAsia" w:ascii="仿宋" w:hAnsi="仿宋" w:eastAsia="仿宋" w:cs="仿宋"/>
          <w:b/>
          <w:highlight w:val="none"/>
        </w:rPr>
      </w:pPr>
    </w:p>
    <w:p w14:paraId="0F4F16EF">
      <w:pPr>
        <w:pStyle w:val="61"/>
        <w:ind w:left="420"/>
        <w:rPr>
          <w:rFonts w:hint="eastAsia" w:ascii="仿宋" w:hAnsi="仿宋" w:eastAsia="仿宋" w:cs="仿宋"/>
          <w:highlight w:val="none"/>
        </w:rPr>
      </w:pPr>
    </w:p>
    <w:p w14:paraId="3A3EF7C9">
      <w:pPr>
        <w:rPr>
          <w:rFonts w:hint="eastAsia" w:ascii="仿宋" w:hAnsi="仿宋" w:eastAsia="仿宋" w:cs="仿宋"/>
          <w:b/>
          <w:highlight w:val="none"/>
        </w:rPr>
      </w:pPr>
    </w:p>
    <w:p w14:paraId="32A6553F">
      <w:pPr>
        <w:rPr>
          <w:rFonts w:hint="eastAsia" w:ascii="仿宋" w:hAnsi="仿宋" w:eastAsia="仿宋" w:cs="仿宋"/>
          <w:b/>
          <w:highlight w:val="none"/>
        </w:rPr>
      </w:pPr>
    </w:p>
    <w:tbl>
      <w:tblPr>
        <w:tblStyle w:val="45"/>
        <w:tblW w:w="6244" w:type="dxa"/>
        <w:jc w:val="center"/>
        <w:tblLayout w:type="fixed"/>
        <w:tblCellMar>
          <w:top w:w="0" w:type="dxa"/>
          <w:left w:w="108" w:type="dxa"/>
          <w:bottom w:w="0" w:type="dxa"/>
          <w:right w:w="108" w:type="dxa"/>
        </w:tblCellMar>
      </w:tblPr>
      <w:tblGrid>
        <w:gridCol w:w="2160"/>
        <w:gridCol w:w="260"/>
        <w:gridCol w:w="3824"/>
      </w:tblGrid>
      <w:tr w14:paraId="176A719C">
        <w:tblPrEx>
          <w:tblCellMar>
            <w:top w:w="0" w:type="dxa"/>
            <w:left w:w="108" w:type="dxa"/>
            <w:bottom w:w="0" w:type="dxa"/>
            <w:right w:w="108" w:type="dxa"/>
          </w:tblCellMar>
        </w:tblPrEx>
        <w:trPr>
          <w:trHeight w:val="680" w:hRule="atLeast"/>
          <w:jc w:val="center"/>
        </w:trPr>
        <w:tc>
          <w:tcPr>
            <w:tcW w:w="2160" w:type="dxa"/>
            <w:noWrap/>
            <w:vAlign w:val="center"/>
          </w:tcPr>
          <w:p w14:paraId="6E36687C">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采购人</w:t>
            </w:r>
          </w:p>
        </w:tc>
        <w:tc>
          <w:tcPr>
            <w:tcW w:w="260" w:type="dxa"/>
            <w:noWrap/>
            <w:vAlign w:val="center"/>
          </w:tcPr>
          <w:p w14:paraId="353C2A92">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3824" w:type="dxa"/>
            <w:noWrap/>
            <w:vAlign w:val="center"/>
          </w:tcPr>
          <w:p w14:paraId="2BE903A5">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杭州中国动漫博物馆</w:t>
            </w:r>
          </w:p>
        </w:tc>
      </w:tr>
      <w:tr w14:paraId="7345DA1F">
        <w:tblPrEx>
          <w:tblCellMar>
            <w:top w:w="0" w:type="dxa"/>
            <w:left w:w="108" w:type="dxa"/>
            <w:bottom w:w="0" w:type="dxa"/>
            <w:right w:w="108" w:type="dxa"/>
          </w:tblCellMar>
        </w:tblPrEx>
        <w:trPr>
          <w:trHeight w:val="297" w:hRule="atLeast"/>
          <w:jc w:val="center"/>
        </w:trPr>
        <w:tc>
          <w:tcPr>
            <w:tcW w:w="2160" w:type="dxa"/>
            <w:noWrap/>
            <w:vAlign w:val="center"/>
          </w:tcPr>
          <w:p w14:paraId="59E93A01">
            <w:pPr>
              <w:snapToGrid w:val="0"/>
              <w:jc w:val="distribute"/>
              <w:rPr>
                <w:rFonts w:hint="eastAsia" w:ascii="仿宋" w:hAnsi="仿宋" w:eastAsia="仿宋" w:cs="仿宋"/>
                <w:b/>
                <w:sz w:val="22"/>
                <w:szCs w:val="22"/>
                <w:highlight w:val="none"/>
              </w:rPr>
            </w:pPr>
          </w:p>
        </w:tc>
        <w:tc>
          <w:tcPr>
            <w:tcW w:w="260" w:type="dxa"/>
            <w:noWrap/>
            <w:vAlign w:val="center"/>
          </w:tcPr>
          <w:p w14:paraId="12CEF07B">
            <w:pPr>
              <w:snapToGrid w:val="0"/>
              <w:jc w:val="distribute"/>
              <w:rPr>
                <w:rFonts w:hint="eastAsia" w:ascii="仿宋" w:hAnsi="仿宋" w:eastAsia="仿宋" w:cs="仿宋"/>
                <w:b/>
                <w:sz w:val="22"/>
                <w:szCs w:val="22"/>
                <w:highlight w:val="none"/>
              </w:rPr>
            </w:pPr>
          </w:p>
        </w:tc>
        <w:tc>
          <w:tcPr>
            <w:tcW w:w="3824" w:type="dxa"/>
            <w:noWrap/>
            <w:vAlign w:val="center"/>
          </w:tcPr>
          <w:p w14:paraId="4B9D9D82">
            <w:pPr>
              <w:snapToGrid w:val="0"/>
              <w:jc w:val="distribute"/>
              <w:rPr>
                <w:rFonts w:hint="eastAsia" w:ascii="仿宋" w:hAnsi="仿宋" w:eastAsia="仿宋" w:cs="仿宋"/>
                <w:b/>
                <w:sz w:val="22"/>
                <w:szCs w:val="22"/>
                <w:highlight w:val="none"/>
              </w:rPr>
            </w:pPr>
          </w:p>
        </w:tc>
      </w:tr>
      <w:tr w14:paraId="2CE1166D">
        <w:tblPrEx>
          <w:tblCellMar>
            <w:top w:w="0" w:type="dxa"/>
            <w:left w:w="108" w:type="dxa"/>
            <w:bottom w:w="0" w:type="dxa"/>
            <w:right w:w="108" w:type="dxa"/>
          </w:tblCellMar>
        </w:tblPrEx>
        <w:trPr>
          <w:trHeight w:val="680" w:hRule="atLeast"/>
          <w:jc w:val="center"/>
        </w:trPr>
        <w:tc>
          <w:tcPr>
            <w:tcW w:w="2160" w:type="dxa"/>
            <w:noWrap/>
            <w:vAlign w:val="center"/>
          </w:tcPr>
          <w:p w14:paraId="6D23B0D6">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采购代理机构</w:t>
            </w:r>
          </w:p>
        </w:tc>
        <w:tc>
          <w:tcPr>
            <w:tcW w:w="260" w:type="dxa"/>
            <w:noWrap/>
            <w:vAlign w:val="center"/>
          </w:tcPr>
          <w:p w14:paraId="0C43B875">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w:t>
            </w:r>
          </w:p>
        </w:tc>
        <w:tc>
          <w:tcPr>
            <w:tcW w:w="3824" w:type="dxa"/>
            <w:noWrap/>
            <w:vAlign w:val="center"/>
          </w:tcPr>
          <w:p w14:paraId="4FBE5FE6">
            <w:pPr>
              <w:snapToGrid w:val="0"/>
              <w:jc w:val="distribute"/>
              <w:rPr>
                <w:rFonts w:hint="eastAsia" w:ascii="仿宋" w:hAnsi="仿宋" w:eastAsia="仿宋" w:cs="仿宋"/>
                <w:b/>
                <w:sz w:val="32"/>
                <w:szCs w:val="32"/>
                <w:highlight w:val="none"/>
              </w:rPr>
            </w:pPr>
            <w:r>
              <w:rPr>
                <w:rFonts w:hint="eastAsia" w:ascii="仿宋" w:hAnsi="仿宋" w:eastAsia="仿宋" w:cs="仿宋"/>
                <w:b/>
                <w:sz w:val="32"/>
                <w:szCs w:val="32"/>
                <w:highlight w:val="none"/>
              </w:rPr>
              <w:t>浙江国际招投标有限公司</w:t>
            </w:r>
          </w:p>
        </w:tc>
      </w:tr>
      <w:tr w14:paraId="4FEA9AD0">
        <w:tblPrEx>
          <w:tblCellMar>
            <w:top w:w="0" w:type="dxa"/>
            <w:left w:w="108" w:type="dxa"/>
            <w:bottom w:w="0" w:type="dxa"/>
            <w:right w:w="108" w:type="dxa"/>
          </w:tblCellMar>
        </w:tblPrEx>
        <w:trPr>
          <w:trHeight w:val="680" w:hRule="atLeast"/>
          <w:jc w:val="center"/>
        </w:trPr>
        <w:tc>
          <w:tcPr>
            <w:tcW w:w="2160" w:type="dxa"/>
            <w:noWrap/>
            <w:vAlign w:val="center"/>
          </w:tcPr>
          <w:p w14:paraId="7524D98B">
            <w:pPr>
              <w:snapToGrid w:val="0"/>
              <w:jc w:val="distribute"/>
              <w:rPr>
                <w:rFonts w:hint="eastAsia" w:ascii="仿宋" w:hAnsi="仿宋" w:eastAsia="仿宋" w:cs="仿宋"/>
                <w:b/>
                <w:sz w:val="30"/>
                <w:szCs w:val="30"/>
                <w:highlight w:val="none"/>
              </w:rPr>
            </w:pPr>
          </w:p>
        </w:tc>
        <w:tc>
          <w:tcPr>
            <w:tcW w:w="260" w:type="dxa"/>
            <w:noWrap/>
            <w:vAlign w:val="center"/>
          </w:tcPr>
          <w:p w14:paraId="070C6F84">
            <w:pPr>
              <w:snapToGrid w:val="0"/>
              <w:jc w:val="distribute"/>
              <w:rPr>
                <w:rFonts w:hint="eastAsia" w:ascii="仿宋" w:hAnsi="仿宋" w:eastAsia="仿宋" w:cs="仿宋"/>
                <w:b/>
                <w:sz w:val="30"/>
                <w:szCs w:val="30"/>
                <w:highlight w:val="none"/>
              </w:rPr>
            </w:pPr>
          </w:p>
        </w:tc>
        <w:tc>
          <w:tcPr>
            <w:tcW w:w="3824" w:type="dxa"/>
            <w:noWrap/>
            <w:vAlign w:val="center"/>
          </w:tcPr>
          <w:p w14:paraId="4D704A5B">
            <w:pPr>
              <w:snapToGrid w:val="0"/>
              <w:jc w:val="distribute"/>
              <w:rPr>
                <w:rFonts w:hint="eastAsia" w:ascii="仿宋" w:hAnsi="仿宋" w:eastAsia="仿宋" w:cs="仿宋"/>
                <w:b/>
                <w:sz w:val="30"/>
                <w:szCs w:val="30"/>
                <w:highlight w:val="none"/>
              </w:rPr>
            </w:pPr>
          </w:p>
        </w:tc>
      </w:tr>
      <w:tr w14:paraId="6ED550EE">
        <w:tblPrEx>
          <w:tblCellMar>
            <w:top w:w="0" w:type="dxa"/>
            <w:left w:w="108" w:type="dxa"/>
            <w:bottom w:w="0" w:type="dxa"/>
            <w:right w:w="108" w:type="dxa"/>
          </w:tblCellMar>
        </w:tblPrEx>
        <w:trPr>
          <w:trHeight w:val="680" w:hRule="atLeast"/>
          <w:jc w:val="center"/>
        </w:trPr>
        <w:tc>
          <w:tcPr>
            <w:tcW w:w="6244" w:type="dxa"/>
            <w:gridSpan w:val="3"/>
            <w:noWrap/>
            <w:vAlign w:val="bottom"/>
          </w:tcPr>
          <w:p w14:paraId="561DB42B">
            <w:pPr>
              <w:snapToGrid w:val="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2024年</w:t>
            </w:r>
            <w:r>
              <w:rPr>
                <w:rFonts w:hint="eastAsia" w:ascii="仿宋" w:hAnsi="仿宋" w:eastAsia="仿宋" w:cs="仿宋"/>
                <w:b/>
                <w:sz w:val="30"/>
                <w:szCs w:val="30"/>
                <w:highlight w:val="none"/>
                <w:lang w:val="en-US" w:eastAsia="zh-CN"/>
              </w:rPr>
              <w:t>11</w:t>
            </w:r>
            <w:r>
              <w:rPr>
                <w:rFonts w:hint="eastAsia" w:ascii="仿宋" w:hAnsi="仿宋" w:eastAsia="仿宋" w:cs="仿宋"/>
                <w:b/>
                <w:sz w:val="30"/>
                <w:szCs w:val="30"/>
                <w:highlight w:val="none"/>
              </w:rPr>
              <w:t>月</w:t>
            </w:r>
          </w:p>
        </w:tc>
      </w:tr>
    </w:tbl>
    <w:p w14:paraId="2972E08C">
      <w:pPr>
        <w:pStyle w:val="24"/>
        <w:spacing w:line="360" w:lineRule="auto"/>
        <w:jc w:val="center"/>
        <w:rPr>
          <w:rFonts w:hint="eastAsia" w:ascii="仿宋" w:hAnsi="仿宋" w:eastAsia="仿宋" w:cs="仿宋"/>
          <w:b/>
          <w:sz w:val="28"/>
          <w:szCs w:val="28"/>
          <w:highlight w:val="none"/>
        </w:rPr>
      </w:pPr>
      <w:r>
        <w:rPr>
          <w:rFonts w:hint="eastAsia" w:ascii="仿宋" w:hAnsi="仿宋" w:eastAsia="仿宋" w:cs="仿宋"/>
          <w:b/>
          <w:sz w:val="48"/>
          <w:szCs w:val="48"/>
          <w:highlight w:val="none"/>
        </w:rPr>
        <w:br w:type="page"/>
      </w:r>
      <w:r>
        <w:rPr>
          <w:rFonts w:hint="eastAsia" w:ascii="仿宋" w:hAnsi="仿宋" w:eastAsia="仿宋" w:cs="仿宋"/>
          <w:b/>
          <w:sz w:val="28"/>
          <w:szCs w:val="28"/>
          <w:highlight w:val="none"/>
        </w:rPr>
        <w:t>目    录</w:t>
      </w:r>
    </w:p>
    <w:p w14:paraId="5C21E6C3">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b/>
          <w:caps w:val="0"/>
          <w:sz w:val="24"/>
          <w:szCs w:val="24"/>
          <w:highlight w:val="none"/>
        </w:rPr>
        <w:fldChar w:fldCharType="begin"/>
      </w:r>
      <w:r>
        <w:rPr>
          <w:rFonts w:hint="eastAsia" w:ascii="仿宋" w:hAnsi="仿宋" w:eastAsia="仿宋" w:cs="仿宋"/>
          <w:b/>
          <w:caps w:val="0"/>
          <w:sz w:val="24"/>
          <w:szCs w:val="24"/>
          <w:highlight w:val="none"/>
        </w:rPr>
        <w:instrText xml:space="preserve"> TOC \o "1-2" \u </w:instrText>
      </w:r>
      <w:r>
        <w:rPr>
          <w:rFonts w:hint="eastAsia" w:ascii="仿宋" w:hAnsi="仿宋" w:eastAsia="仿宋" w:cs="仿宋"/>
          <w:b/>
          <w:caps w:val="0"/>
          <w:sz w:val="24"/>
          <w:szCs w:val="24"/>
          <w:highlight w:val="none"/>
        </w:rPr>
        <w:fldChar w:fldCharType="separate"/>
      </w:r>
      <w:r>
        <w:rPr>
          <w:rFonts w:hint="eastAsia" w:ascii="仿宋" w:hAnsi="仿宋" w:eastAsia="仿宋" w:cs="仿宋"/>
          <w:sz w:val="24"/>
          <w:szCs w:val="24"/>
          <w:highlight w:val="none"/>
        </w:rPr>
        <w:t>第一部分  采购公告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_Toc30466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p>
    <w:p w14:paraId="7E06AC20">
      <w:pPr>
        <w:pStyle w:val="37"/>
        <w:tabs>
          <w:tab w:val="right" w:leader="dot" w:pos="8306"/>
          <w:tab w:val="clear" w:pos="872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前 附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_Toc3378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p>
    <w:p w14:paraId="3309ECCE">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第二部分  投标须知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p>
    <w:p w14:paraId="17C0DC4C">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第三部分  采购需求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_Toc8274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p>
    <w:p w14:paraId="0B268942">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第四部分  评标办法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_Toc22766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w:t>
      </w:r>
      <w:r>
        <w:rPr>
          <w:rFonts w:hint="eastAsia" w:ascii="仿宋" w:hAnsi="仿宋" w:eastAsia="仿宋" w:cs="仿宋"/>
          <w:sz w:val="24"/>
          <w:szCs w:val="24"/>
          <w:highlight w:val="none"/>
        </w:rPr>
        <w:fldChar w:fldCharType="end"/>
      </w:r>
    </w:p>
    <w:p w14:paraId="60A5B90F">
      <w:pPr>
        <w:pStyle w:val="37"/>
        <w:tabs>
          <w:tab w:val="right" w:leader="dot" w:pos="8306"/>
          <w:tab w:val="clear" w:pos="8720"/>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评标办法前附表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_Toc5120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w:t>
      </w:r>
      <w:r>
        <w:rPr>
          <w:rFonts w:hint="eastAsia" w:ascii="仿宋" w:hAnsi="仿宋" w:eastAsia="仿宋" w:cs="仿宋"/>
          <w:sz w:val="24"/>
          <w:szCs w:val="24"/>
          <w:highlight w:val="none"/>
        </w:rPr>
        <w:fldChar w:fldCharType="end"/>
      </w:r>
    </w:p>
    <w:p w14:paraId="103F3ACC">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第五部分  合同条款</w:t>
      </w:r>
      <w:bookmarkStart w:id="297" w:name="_GoBack"/>
      <w:bookmarkEnd w:id="297"/>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_Toc15723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p>
    <w:p w14:paraId="78B1ED45">
      <w:pPr>
        <w:pStyle w:val="32"/>
        <w:tabs>
          <w:tab w:val="right" w:leader="dot" w:pos="8306"/>
          <w:tab w:val="clear" w:pos="8720"/>
        </w:tabs>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第六部分  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_Toc4810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p>
    <w:p w14:paraId="5CD0D907">
      <w:pPr>
        <w:pStyle w:val="37"/>
        <w:tabs>
          <w:tab w:val="right" w:leader="dot" w:pos="8306"/>
          <w:tab w:val="clear" w:pos="8720"/>
        </w:tabs>
        <w:rPr>
          <w:rFonts w:hint="eastAsia" w:ascii="仿宋" w:hAnsi="仿宋" w:eastAsia="仿宋" w:cs="仿宋"/>
          <w:sz w:val="24"/>
          <w:szCs w:val="24"/>
          <w:highlight w:val="none"/>
        </w:rPr>
      </w:pPr>
    </w:p>
    <w:p w14:paraId="4CE0AB1E">
      <w:pPr>
        <w:jc w:val="center"/>
        <w:rPr>
          <w:rFonts w:hint="eastAsia" w:ascii="仿宋" w:hAnsi="仿宋" w:eastAsia="仿宋" w:cs="仿宋"/>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sz w:val="24"/>
          <w:highlight w:val="none"/>
        </w:rPr>
        <w:fldChar w:fldCharType="end"/>
      </w:r>
    </w:p>
    <w:p w14:paraId="796DE2DA">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bookmarkStart w:id="0" w:name="_Toc30466"/>
      <w:bookmarkStart w:id="1" w:name="_Toc21665"/>
      <w:r>
        <w:rPr>
          <w:rFonts w:hint="eastAsia" w:ascii="仿宋" w:hAnsi="仿宋" w:eastAsia="仿宋" w:cs="仿宋"/>
          <w:b/>
          <w:sz w:val="30"/>
          <w:szCs w:val="30"/>
          <w:highlight w:val="none"/>
        </w:rPr>
        <w:t>第一部分  采购公告</w:t>
      </w:r>
      <w:bookmarkEnd w:id="0"/>
      <w:bookmarkEnd w:id="1"/>
    </w:p>
    <w:p w14:paraId="088DC90D">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项目概况                                                    </w:t>
      </w:r>
    </w:p>
    <w:p w14:paraId="386BA313">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杭州中国动漫博物馆2025年度专业技术服务</w:t>
      </w:r>
      <w:r>
        <w:rPr>
          <w:rFonts w:hint="eastAsia" w:ascii="仿宋" w:hAnsi="仿宋" w:eastAsia="仿宋" w:cs="仿宋"/>
          <w:kern w:val="0"/>
          <w:sz w:val="24"/>
          <w:highlight w:val="none"/>
        </w:rPr>
        <w:t>招标项目的潜在投标人应在政采云平台线上获取（下载）招标文件，并于 2024年</w:t>
      </w:r>
      <w:r>
        <w:rPr>
          <w:rFonts w:hint="eastAsia" w:ascii="仿宋" w:hAnsi="仿宋" w:eastAsia="仿宋" w:cs="仿宋"/>
          <w:kern w:val="0"/>
          <w:sz w:val="24"/>
          <w:highlight w:val="none"/>
          <w:lang w:val="en-US" w:eastAsia="zh-CN"/>
        </w:rPr>
        <w:t>12</w:t>
      </w:r>
      <w:r>
        <w:rPr>
          <w:rFonts w:hint="eastAsia" w:ascii="仿宋" w:hAnsi="仿宋" w:eastAsia="仿宋" w:cs="仿宋"/>
          <w:kern w:val="0"/>
          <w:sz w:val="24"/>
          <w:highlight w:val="none"/>
          <w:lang w:eastAsia="zh-CN"/>
        </w:rPr>
        <w:t>月</w:t>
      </w:r>
      <w:r>
        <w:rPr>
          <w:rFonts w:hint="eastAsia" w:ascii="仿宋" w:hAnsi="仿宋" w:eastAsia="仿宋" w:cs="仿宋"/>
          <w:kern w:val="0"/>
          <w:sz w:val="24"/>
          <w:highlight w:val="none"/>
          <w:lang w:val="en-US" w:eastAsia="zh-CN"/>
        </w:rPr>
        <w:t>10</w:t>
      </w:r>
      <w:r>
        <w:rPr>
          <w:rFonts w:hint="eastAsia" w:ascii="仿宋" w:hAnsi="仿宋" w:eastAsia="仿宋" w:cs="仿宋"/>
          <w:kern w:val="0"/>
          <w:sz w:val="24"/>
          <w:highlight w:val="none"/>
          <w:lang w:eastAsia="zh-CN"/>
        </w:rPr>
        <w:t>日</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09</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 xml:space="preserve">0（北京时间）前递交（上传）投标文件。      </w:t>
      </w:r>
    </w:p>
    <w:p w14:paraId="33B56DDB">
      <w:pPr>
        <w:pStyle w:val="41"/>
        <w:adjustRightInd w:val="0"/>
        <w:snapToGrid w:val="0"/>
        <w:spacing w:beforeAutospacing="0" w:afterAutospacing="0" w:line="360" w:lineRule="auto"/>
        <w:jc w:val="both"/>
        <w:rPr>
          <w:rFonts w:hint="eastAsia" w:ascii="仿宋" w:hAnsi="仿宋" w:eastAsia="仿宋" w:cs="仿宋"/>
          <w:sz w:val="24"/>
          <w:szCs w:val="24"/>
          <w:highlight w:val="none"/>
        </w:rPr>
      </w:pPr>
    </w:p>
    <w:p w14:paraId="0C1D1AB4">
      <w:pPr>
        <w:pStyle w:val="41"/>
        <w:adjustRightInd w:val="0"/>
        <w:snapToGrid w:val="0"/>
        <w:spacing w:beforeAutospacing="0" w:afterAutospacing="0"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一、项目基本情况</w:t>
      </w:r>
    </w:p>
    <w:p w14:paraId="04023EBE">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项目编号：ZJ-</w:t>
      </w:r>
      <w:r>
        <w:rPr>
          <w:rFonts w:hint="eastAsia" w:ascii="仿宋" w:hAnsi="仿宋" w:eastAsia="仿宋" w:cs="仿宋"/>
          <w:sz w:val="24"/>
          <w:szCs w:val="24"/>
          <w:highlight w:val="none"/>
          <w:lang w:eastAsia="zh-CN"/>
        </w:rPr>
        <w:t>2443350</w:t>
      </w:r>
    </w:p>
    <w:p w14:paraId="2E106452">
      <w:pPr>
        <w:pStyle w:val="41"/>
        <w:adjustRightInd w:val="0"/>
        <w:snapToGrid w:val="0"/>
        <w:spacing w:beforeAutospacing="0" w:afterAutospacing="0"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杭州中国动漫博物馆2025年度专业技术服务</w:t>
      </w:r>
    </w:p>
    <w:p w14:paraId="6E86187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eastAsia="zh-CN"/>
        </w:rPr>
        <w:t>3225000</w:t>
      </w:r>
    </w:p>
    <w:p w14:paraId="4C55903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p>
    <w:p w14:paraId="63656355">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39C1C2C2">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p>
    <w:p w14:paraId="1FCCD68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eastAsia="zh-CN"/>
        </w:rPr>
        <w:t>杭州中国动漫博物馆2025年度专业技术服务</w:t>
      </w:r>
    </w:p>
    <w:p w14:paraId="1946AA7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中小企业政策：</w:t>
      </w:r>
      <w:r>
        <w:rPr>
          <w:rFonts w:hint="eastAsia" w:ascii="仿宋" w:hAnsi="仿宋" w:eastAsia="仿宋" w:cs="仿宋"/>
          <w:sz w:val="24"/>
          <w:szCs w:val="24"/>
          <w:highlight w:val="none"/>
          <w:lang w:val="en-US" w:eastAsia="zh-CN"/>
        </w:rPr>
        <w:t>不</w:t>
      </w:r>
      <w:r>
        <w:rPr>
          <w:rFonts w:hint="eastAsia" w:ascii="仿宋" w:hAnsi="仿宋" w:eastAsia="仿宋" w:cs="仿宋"/>
          <w:sz w:val="24"/>
          <w:szCs w:val="24"/>
          <w:highlight w:val="none"/>
        </w:rPr>
        <w:t>预留</w:t>
      </w:r>
    </w:p>
    <w:p w14:paraId="28EBB3B6">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数量：不限</w:t>
      </w:r>
    </w:p>
    <w:p w14:paraId="6D860B4B">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预算金额（元）: </w:t>
      </w:r>
      <w:r>
        <w:rPr>
          <w:rFonts w:hint="eastAsia" w:ascii="仿宋" w:hAnsi="仿宋" w:eastAsia="仿宋" w:cs="仿宋"/>
          <w:sz w:val="24"/>
          <w:szCs w:val="24"/>
          <w:highlight w:val="none"/>
          <w:lang w:eastAsia="zh-CN"/>
        </w:rPr>
        <w:t>3225000</w:t>
      </w:r>
    </w:p>
    <w:p w14:paraId="4962E9D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napToGrid w:val="0"/>
          <w:sz w:val="24"/>
          <w:highlight w:val="none"/>
        </w:rPr>
        <w:t>根据采购人要求，为杭州中国动漫博物馆</w:t>
      </w:r>
      <w:r>
        <w:rPr>
          <w:rFonts w:hint="eastAsia" w:ascii="仿宋" w:hAnsi="仿宋" w:eastAsia="仿宋" w:cs="仿宋"/>
          <w:snapToGrid w:val="0"/>
          <w:sz w:val="24"/>
          <w:highlight w:val="none"/>
          <w:lang w:val="en-US" w:eastAsia="zh-CN"/>
        </w:rPr>
        <w:t>提供</w:t>
      </w:r>
      <w:r>
        <w:rPr>
          <w:rFonts w:hint="eastAsia" w:ascii="仿宋" w:hAnsi="仿宋" w:eastAsia="仿宋" w:cs="仿宋"/>
          <w:snapToGrid w:val="0"/>
          <w:sz w:val="24"/>
          <w:highlight w:val="none"/>
        </w:rPr>
        <w:t>讲解社教服务、场馆专业化服务、宣传推广服务和其他服务等，保障杭州中国动漫博物馆日常开馆运行及各项馆内活动顺利开展，为到馆参观游客提供较高质量的观展体验，提升本馆人气及知名度</w:t>
      </w:r>
      <w:r>
        <w:rPr>
          <w:rFonts w:hint="eastAsia" w:ascii="仿宋" w:hAnsi="仿宋" w:eastAsia="仿宋" w:cs="仿宋"/>
          <w:sz w:val="24"/>
          <w:szCs w:val="24"/>
          <w:highlight w:val="none"/>
        </w:rPr>
        <w:t>。具体以招标文件第三部分采购需求为准,供应商可点击本公告下方“浏览采购文件”查看采购需求。</w:t>
      </w:r>
    </w:p>
    <w:p w14:paraId="3C0E022D">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52AF545A">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合同履约期限：标项 1，从</w:t>
      </w:r>
      <w:r>
        <w:rPr>
          <w:rFonts w:hint="eastAsia" w:ascii="仿宋" w:hAnsi="仿宋" w:eastAsia="仿宋" w:cs="仿宋"/>
          <w:sz w:val="24"/>
          <w:szCs w:val="24"/>
          <w:highlight w:val="none"/>
          <w:lang w:val="en-US" w:eastAsia="zh-CN"/>
        </w:rPr>
        <w:t>2025年1月1日至2026年3月31日</w:t>
      </w:r>
      <w:r>
        <w:rPr>
          <w:rFonts w:hint="eastAsia" w:ascii="仿宋" w:hAnsi="仿宋" w:eastAsia="仿宋" w:cs="仿宋"/>
          <w:sz w:val="24"/>
          <w:szCs w:val="24"/>
          <w:highlight w:val="none"/>
        </w:rPr>
        <w:t>，具体时间根据采购人要求安排。</w:t>
      </w:r>
    </w:p>
    <w:p w14:paraId="48BBA6B7">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本项目（是）接受联合体投标。</w:t>
      </w:r>
    </w:p>
    <w:p w14:paraId="19503D30">
      <w:pPr>
        <w:pStyle w:val="41"/>
        <w:adjustRightInd w:val="0"/>
        <w:snapToGrid w:val="0"/>
        <w:spacing w:beforeAutospacing="0" w:afterAutospacing="0"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14:paraId="12DAF3BE">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F73094">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2.落实政府采购政策需满足的资格要求：</w:t>
      </w:r>
      <w:r>
        <w:rPr>
          <w:rFonts w:hint="eastAsia" w:ascii="仿宋" w:hAnsi="仿宋" w:eastAsia="仿宋" w:cs="仿宋"/>
          <w:snapToGrid w:val="0"/>
          <w:kern w:val="28"/>
          <w:sz w:val="24"/>
          <w:szCs w:val="20"/>
          <w:highlight w:val="none"/>
          <w:lang w:val="en-US" w:eastAsia="zh-CN"/>
        </w:rPr>
        <w:t>标项1：</w:t>
      </w:r>
      <w:r>
        <w:rPr>
          <w:rFonts w:hint="eastAsia" w:ascii="仿宋" w:hAnsi="仿宋" w:eastAsia="仿宋" w:cs="仿宋"/>
          <w:snapToGrid w:val="0"/>
          <w:kern w:val="28"/>
          <w:sz w:val="24"/>
          <w:szCs w:val="20"/>
          <w:highlight w:val="none"/>
        </w:rPr>
        <w:t>无。</w:t>
      </w:r>
    </w:p>
    <w:p w14:paraId="005B0B75">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3.本项目的特定资格要求：无。</w:t>
      </w:r>
    </w:p>
    <w:p w14:paraId="43EA48CA">
      <w:pPr>
        <w:pStyle w:val="41"/>
        <w:adjustRightInd w:val="0"/>
        <w:snapToGrid w:val="0"/>
        <w:spacing w:beforeAutospacing="0" w:afterAutospacing="0"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三、获取招标文件</w:t>
      </w:r>
    </w:p>
    <w:p w14:paraId="72649BF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082070D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bCs/>
          <w:sz w:val="24"/>
          <w:highlight w:val="none"/>
        </w:rPr>
        <w:t>政采云平台线上获取</w:t>
      </w:r>
      <w:r>
        <w:rPr>
          <w:rFonts w:hint="eastAsia" w:ascii="仿宋" w:hAnsi="仿宋" w:eastAsia="仿宋" w:cs="仿宋"/>
          <w:sz w:val="24"/>
          <w:highlight w:val="none"/>
        </w:rPr>
        <w:t xml:space="preserve"> </w:t>
      </w:r>
    </w:p>
    <w:p w14:paraId="4FF5646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2C31FA3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2E276CF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51C6665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0</w:t>
      </w:r>
      <w:r>
        <w:rPr>
          <w:rFonts w:hint="eastAsia" w:ascii="仿宋" w:hAnsi="仿宋" w:eastAsia="仿宋" w:cs="仿宋"/>
          <w:sz w:val="24"/>
          <w:highlight w:val="none"/>
        </w:rPr>
        <w:t>（北京时间）</w:t>
      </w:r>
    </w:p>
    <w:p w14:paraId="156E38D4">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投标地点（网址）：请登录政采云投标客户端投标</w:t>
      </w:r>
      <w:r>
        <w:rPr>
          <w:rFonts w:hint="eastAsia" w:ascii="仿宋" w:hAnsi="仿宋" w:eastAsia="仿宋" w:cs="仿宋"/>
          <w:sz w:val="24"/>
          <w:highlight w:val="none"/>
        </w:rPr>
        <w:t xml:space="preserve"> </w:t>
      </w:r>
    </w:p>
    <w:p w14:paraId="45C22152">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0</w:t>
      </w:r>
    </w:p>
    <w:p w14:paraId="688D432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4F447FC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14:paraId="364BE7FD">
      <w:pPr>
        <w:spacing w:line="360" w:lineRule="auto"/>
        <w:ind w:firstLine="400" w:firstLineChars="200"/>
        <w:rPr>
          <w:rFonts w:hint="eastAsia" w:ascii="仿宋" w:hAnsi="仿宋" w:eastAsia="仿宋" w:cs="仿宋"/>
          <w:sz w:val="20"/>
          <w:szCs w:val="20"/>
          <w:highlight w:val="none"/>
        </w:rPr>
      </w:pPr>
      <w:r>
        <w:rPr>
          <w:rFonts w:hint="eastAsia" w:ascii="仿宋" w:hAnsi="仿宋" w:eastAsia="仿宋" w:cs="仿宋"/>
          <w:sz w:val="20"/>
          <w:szCs w:val="20"/>
          <w:highlight w:val="none"/>
        </w:rPr>
        <w:t>https://zfcg.czt.zj.gov.cn/luban/detail?parentId=600007&amp;articleId=2xRm9s5+Vm3nHHKByH5ifA==</w:t>
      </w:r>
    </w:p>
    <w:p w14:paraId="7F635CB4">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六、公告期限 </w:t>
      </w:r>
    </w:p>
    <w:p w14:paraId="0F0D15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70DA566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七、其他补充事宜</w:t>
      </w:r>
    </w:p>
    <w:p w14:paraId="7D9ACBCC">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1.《浙江省财政厅关于进一步发挥政府采购政策功能全力推动经济稳进提质的通知》（浙财采监</w:t>
      </w:r>
      <w:r>
        <w:rPr>
          <w:rFonts w:hint="eastAsia" w:ascii="仿宋" w:hAnsi="仿宋" w:eastAsia="仿宋" w:cs="仿宋"/>
          <w:sz w:val="24"/>
          <w:highlight w:val="none"/>
          <w:lang w:eastAsia="zh-CN"/>
        </w:rPr>
        <w:t>〔2022〕3号</w:t>
      </w:r>
      <w:r>
        <w:rPr>
          <w:rFonts w:hint="eastAsia" w:ascii="仿宋" w:hAnsi="仿宋" w:eastAsia="仿宋" w:cs="仿宋"/>
          <w:sz w:val="24"/>
          <w:highlight w:val="none"/>
        </w:rPr>
        <w:t>）、《浙江省财政厅关于进一步促进政府采购公平竞争打造最优营商环境的通知》（浙财采监</w:t>
      </w:r>
      <w:r>
        <w:rPr>
          <w:rFonts w:hint="eastAsia" w:ascii="仿宋" w:hAnsi="仿宋" w:eastAsia="仿宋" w:cs="仿宋"/>
          <w:sz w:val="24"/>
          <w:highlight w:val="none"/>
          <w:lang w:eastAsia="zh-CN"/>
        </w:rPr>
        <w:t>〔2021〕22号</w:t>
      </w:r>
      <w:r>
        <w:rPr>
          <w:rFonts w:hint="eastAsia" w:ascii="仿宋" w:hAnsi="仿宋" w:eastAsia="仿宋" w:cs="仿宋"/>
          <w:sz w:val="24"/>
          <w:highlight w:val="none"/>
        </w:rPr>
        <w:t>）、《浙江省财政厅关于进一步加大政府采购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55EF0B2">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w:t>
      </w:r>
      <w:r>
        <w:rPr>
          <w:rFonts w:hint="eastAsia" w:ascii="仿宋" w:hAnsi="仿宋" w:eastAsia="仿宋" w:cs="仿宋"/>
          <w:sz w:val="24"/>
          <w:highlight w:val="none"/>
          <w:lang w:eastAsia="zh-CN"/>
        </w:rPr>
        <w:t>〔2021〕22号</w:t>
      </w:r>
      <w:r>
        <w:rPr>
          <w:rFonts w:hint="eastAsia" w:ascii="仿宋" w:hAnsi="仿宋" w:eastAsia="仿宋" w:cs="仿宋"/>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8C2918">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7BFACF">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w:t>
      </w:r>
    </w:p>
    <w:p w14:paraId="05A5BF1A">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（1）需要落实的政府采购政策：包括节约资源、保护环境、支持创新、促进中小企业发展等。详见招标文件的第二部分总则。</w:t>
      </w:r>
    </w:p>
    <w:p w14:paraId="248F4B03">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468B938">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（3）为支持和促进中小企业发展，杭州市财政局出台了政府采购信用融资政策，供应商可凭中标合同申请贷款，利率一般在基准利率左右（不同银行略有差异）。具体可查询相关政策文件。</w:t>
      </w:r>
    </w:p>
    <w:p w14:paraId="1EE073FB">
      <w:pPr>
        <w:pStyle w:val="41"/>
        <w:adjustRightInd w:val="0"/>
        <w:snapToGrid w:val="0"/>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126E22">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（5）本项目采购文件公告期限为本公告发布之日起5个工作日。</w:t>
      </w:r>
    </w:p>
    <w:p w14:paraId="117ABAD2">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八、对本次采购提出询问、质疑、投诉，请按以下方式联系　　　</w:t>
      </w:r>
      <w:r>
        <w:rPr>
          <w:rFonts w:hint="eastAsia" w:ascii="仿宋" w:hAnsi="仿宋" w:eastAsia="仿宋" w:cs="仿宋"/>
          <w:sz w:val="24"/>
          <w:szCs w:val="24"/>
          <w:highlight w:val="none"/>
        </w:rPr>
        <w:t>　　　　　　　　　</w:t>
      </w:r>
    </w:p>
    <w:p w14:paraId="127D1C55">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5229D2C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名称：杭州中国动漫博物馆　　　　　　　　　</w:t>
      </w:r>
    </w:p>
    <w:p w14:paraId="16AC0EFC">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地址：浙江省杭州市滨江区白马湖路375号杭州中国动漫博物馆</w:t>
      </w:r>
    </w:p>
    <w:p w14:paraId="17DC4D8E">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传真：  / </w:t>
      </w:r>
    </w:p>
    <w:p w14:paraId="18379605">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 xml:space="preserve">    </w:t>
      </w:r>
      <w:r>
        <w:rPr>
          <w:rFonts w:hint="eastAsia" w:ascii="仿宋" w:hAnsi="仿宋" w:eastAsia="仿宋" w:cs="仿宋"/>
          <w:sz w:val="24"/>
          <w:szCs w:val="24"/>
          <w:highlight w:val="none"/>
        </w:rPr>
        <w:t>项目联系人（询问）：廖凌燕 　　　　　　　</w:t>
      </w:r>
    </w:p>
    <w:p w14:paraId="43AE7C28">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项目联系方式（询问）：0571-86056903 </w:t>
      </w:r>
    </w:p>
    <w:p w14:paraId="56DFB40B">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质疑联系人：陆珉</w:t>
      </w:r>
    </w:p>
    <w:p w14:paraId="6E6D8129">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质疑联系方式：0571-86056917（请通过以下路径在线提起质疑：政采云-项目采购-询问质疑投诉-质疑列表）　　　</w:t>
      </w:r>
    </w:p>
    <w:p w14:paraId="58E04FA3">
      <w:pPr>
        <w:pStyle w:val="41"/>
        <w:adjustRightInd w:val="0"/>
        <w:snapToGrid w:val="0"/>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B84E1C5">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名称：浙江国际招投标有限公司 　　　　　　　　　　　</w:t>
      </w:r>
    </w:p>
    <w:p w14:paraId="1A152BAD">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地址：浙江省杭州市西湖区文三路90号东部软件园1号楼3楼 </w:t>
      </w:r>
    </w:p>
    <w:p w14:paraId="299B00B2">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传真： 0571-88473411   　</w:t>
      </w:r>
    </w:p>
    <w:p w14:paraId="3DD8C902">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项目联系人（询问）：唐稳 　   　　　　　　　　　　　</w:t>
      </w:r>
    </w:p>
    <w:p w14:paraId="7BD975F4">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项目联系方式（询问）：0571-81061825 </w:t>
      </w:r>
    </w:p>
    <w:p w14:paraId="297E141F">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质疑联系人：赵娟 </w:t>
      </w:r>
    </w:p>
    <w:p w14:paraId="2F64BBEE">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质疑联系方式：0571-81061819（请通过以下路径在线提起质疑：政采云-项目采购-询问质疑投诉-质疑列表）　</w:t>
      </w:r>
    </w:p>
    <w:p w14:paraId="653EBD1D">
      <w:pPr>
        <w:pStyle w:val="41"/>
        <w:adjustRightInd w:val="0"/>
        <w:snapToGrid w:val="0"/>
        <w:spacing w:beforeAutospacing="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3.同级政府采购监督管理部门</w:t>
      </w:r>
    </w:p>
    <w:p w14:paraId="6AF1111F">
      <w:pPr>
        <w:pStyle w:val="41"/>
        <w:adjustRightInd w:val="0"/>
        <w:snapToGrid w:val="0"/>
        <w:spacing w:beforeAutospacing="0" w:afterAutospacing="0" w:line="360" w:lineRule="auto"/>
        <w:rPr>
          <w:rFonts w:ascii="仿宋" w:hAnsi="仿宋" w:eastAsia="仿宋" w:cs="仿宋"/>
          <w:sz w:val="24"/>
          <w:szCs w:val="24"/>
          <w:highlight w:val="none"/>
        </w:rPr>
      </w:pPr>
      <w:r>
        <w:rPr>
          <w:rFonts w:hint="eastAsia" w:ascii="仿宋" w:hAnsi="仿宋" w:eastAsia="仿宋" w:cs="仿宋"/>
          <w:sz w:val="24"/>
          <w:szCs w:val="24"/>
          <w:highlight w:val="none"/>
        </w:rPr>
        <w:t>         名称：杭州市财政局政府采购监管处 /浙江省政府采购行政裁决服务中心（杭州）</w:t>
      </w:r>
    </w:p>
    <w:p w14:paraId="34543AD3">
      <w:pPr>
        <w:pStyle w:val="41"/>
        <w:adjustRightInd w:val="0"/>
        <w:snapToGrid w:val="0"/>
        <w:spacing w:beforeAutospacing="0" w:afterAutospacing="0"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 xml:space="preserve">地址：杭州市上城区清泰街549号城建综合大楼11楼（快递仅限ems或顺丰）             </w:t>
      </w:r>
    </w:p>
    <w:p w14:paraId="32077D6C">
      <w:pPr>
        <w:pStyle w:val="41"/>
        <w:adjustRightInd w:val="0"/>
        <w:snapToGrid w:val="0"/>
        <w:spacing w:beforeAutospacing="0" w:afterAutospacing="0"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 xml:space="preserve">传真：      </w:t>
      </w:r>
    </w:p>
    <w:p w14:paraId="10E6AB88">
      <w:pPr>
        <w:pStyle w:val="41"/>
        <w:adjustRightInd w:val="0"/>
        <w:snapToGrid w:val="0"/>
        <w:spacing w:beforeAutospacing="0" w:afterAutospacing="0"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 xml:space="preserve">联系人 ：朱女士/王女士      </w:t>
      </w:r>
    </w:p>
    <w:p w14:paraId="4AB67D1E">
      <w:pPr>
        <w:pStyle w:val="41"/>
        <w:adjustRightInd w:val="0"/>
        <w:snapToGrid w:val="0"/>
        <w:spacing w:beforeAutospacing="0" w:afterAutospacing="0"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监督投诉电话：0571-87227671,0571-87800218</w:t>
      </w:r>
    </w:p>
    <w:p w14:paraId="6F2C2676">
      <w:pPr>
        <w:pStyle w:val="41"/>
        <w:adjustRightInd w:val="0"/>
        <w:snapToGrid w:val="0"/>
        <w:spacing w:beforeAutospacing="0" w:afterAutospacing="0" w:line="360" w:lineRule="auto"/>
        <w:rPr>
          <w:rFonts w:hint="eastAsia" w:ascii="仿宋" w:hAnsi="仿宋" w:eastAsia="仿宋" w:cs="仿宋"/>
          <w:sz w:val="24"/>
          <w:szCs w:val="24"/>
          <w:highlight w:val="none"/>
        </w:rPr>
      </w:pPr>
    </w:p>
    <w:p w14:paraId="5E4467C0">
      <w:pPr>
        <w:widowControl/>
        <w:adjustRightInd w:val="0"/>
        <w:snapToGrid w:val="0"/>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 xml:space="preserve">对项目采购电子交易系统操作有疑问，可登录政采云（https://www.zcygov.cn/），点击右侧咨询小采，获取采小蜜智能服务管家帮助，或拨打政采云服务热线95763获取热线服务帮助。       </w:t>
      </w:r>
    </w:p>
    <w:p w14:paraId="018FBA51">
      <w:pPr>
        <w:widowControl/>
        <w:adjustRightInd w:val="0"/>
        <w:snapToGrid w:val="0"/>
        <w:spacing w:line="360" w:lineRule="auto"/>
        <w:ind w:firstLine="420" w:firstLineChars="2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CA问题联系电话（人工）：汇信CA 400-888-4636；天谷CA 400-087-8198。</w:t>
      </w:r>
    </w:p>
    <w:p w14:paraId="73436AF9">
      <w:pPr>
        <w:widowControl/>
        <w:tabs>
          <w:tab w:val="left" w:pos="8647"/>
        </w:tabs>
        <w:adjustRightInd w:val="0"/>
        <w:snapToGrid w:val="0"/>
        <w:spacing w:line="360" w:lineRule="auto"/>
        <w:jc w:val="center"/>
        <w:outlineLvl w:val="1"/>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2" w:name="_Toc3378"/>
      <w:r>
        <w:rPr>
          <w:rFonts w:hint="eastAsia" w:ascii="仿宋" w:hAnsi="仿宋" w:eastAsia="仿宋" w:cs="仿宋"/>
          <w:b/>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544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14:paraId="7E97EB33">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0DD36CA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77BB8ED">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2EC55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3E34D6E2">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7156CCCE">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70E4D5D">
            <w:pPr>
              <w:adjustRightInd w:val="0"/>
              <w:snapToGrid w:val="0"/>
              <w:spacing w:line="400" w:lineRule="exact"/>
              <w:rPr>
                <w:rFonts w:hint="eastAsia" w:ascii="仿宋" w:hAnsi="仿宋" w:eastAsia="仿宋" w:cs="仿宋"/>
                <w:b/>
                <w:kern w:val="0"/>
                <w:sz w:val="24"/>
                <w:highlight w:val="none"/>
              </w:rPr>
            </w:pPr>
            <w:r>
              <w:rPr>
                <w:rFonts w:hint="eastAsia" w:ascii="仿宋" w:hAnsi="仿宋" w:eastAsia="仿宋" w:cs="仿宋"/>
                <w:sz w:val="24"/>
                <w:highlight w:val="none"/>
              </w:rPr>
              <w:t>服务类</w:t>
            </w:r>
          </w:p>
        </w:tc>
      </w:tr>
      <w:tr w14:paraId="015A7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noWrap/>
            <w:vAlign w:val="center"/>
          </w:tcPr>
          <w:p w14:paraId="54D3F8E9">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vMerge w:val="restart"/>
            <w:tcBorders>
              <w:top w:val="single" w:color="000000" w:sz="8" w:space="0"/>
              <w:left w:val="single" w:color="auto" w:sz="4" w:space="0"/>
              <w:right w:val="single" w:color="000000" w:sz="8" w:space="0"/>
            </w:tcBorders>
            <w:noWrap/>
            <w:vAlign w:val="center"/>
          </w:tcPr>
          <w:p w14:paraId="4C351C8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D12DE3C">
            <w:pPr>
              <w:adjustRightInd w:val="0"/>
              <w:snapToGrid w:val="0"/>
              <w:rPr>
                <w:rFonts w:hint="eastAsia" w:ascii="仿宋" w:hAnsi="仿宋" w:eastAsia="仿宋" w:cs="仿宋"/>
                <w:b/>
                <w:kern w:val="0"/>
                <w:sz w:val="24"/>
                <w:highlight w:val="none"/>
              </w:rPr>
            </w:pPr>
            <w:r>
              <w:rPr>
                <w:rFonts w:hint="eastAsia" w:ascii="仿宋" w:hAnsi="仿宋" w:eastAsia="仿宋" w:cs="仿宋"/>
                <w:b/>
                <w:bCs/>
                <w:kern w:val="0"/>
                <w:sz w:val="24"/>
                <w:highlight w:val="none"/>
              </w:rPr>
              <w:t>标的为：</w:t>
            </w:r>
            <w:r>
              <w:rPr>
                <w:rFonts w:hint="eastAsia" w:ascii="仿宋" w:hAnsi="仿宋" w:eastAsia="仿宋" w:cs="仿宋"/>
                <w:b/>
                <w:bCs/>
                <w:kern w:val="0"/>
                <w:sz w:val="24"/>
                <w:highlight w:val="none"/>
                <w:u w:val="single"/>
              </w:rPr>
              <w:t xml:space="preserve"> </w:t>
            </w:r>
            <w:r>
              <w:rPr>
                <w:rFonts w:hint="eastAsia" w:ascii="仿宋" w:hAnsi="仿宋" w:eastAsia="仿宋" w:cs="仿宋"/>
                <w:b/>
                <w:bCs/>
                <w:kern w:val="0"/>
                <w:sz w:val="24"/>
                <w:highlight w:val="none"/>
                <w:u w:val="single"/>
                <w:lang w:eastAsia="zh-CN"/>
              </w:rPr>
              <w:t>杭州中国动漫博物馆2025年度专业技术服务</w:t>
            </w:r>
            <w:r>
              <w:rPr>
                <w:rFonts w:hint="eastAsia" w:ascii="仿宋" w:hAnsi="仿宋" w:eastAsia="仿宋" w:cs="仿宋"/>
                <w:b/>
                <w:bCs/>
                <w:kern w:val="0"/>
                <w:sz w:val="24"/>
                <w:highlight w:val="none"/>
                <w:u w:val="single"/>
              </w:rPr>
              <w:t xml:space="preserve"> </w:t>
            </w:r>
            <w:r>
              <w:rPr>
                <w:rFonts w:hint="eastAsia" w:ascii="仿宋" w:hAnsi="仿宋" w:eastAsia="仿宋" w:cs="仿宋"/>
                <w:b/>
                <w:bCs/>
                <w:kern w:val="0"/>
                <w:sz w:val="24"/>
                <w:highlight w:val="none"/>
              </w:rPr>
              <w:t>，属于</w:t>
            </w:r>
            <w:r>
              <w:rPr>
                <w:rFonts w:hint="eastAsia" w:ascii="仿宋" w:hAnsi="仿宋" w:eastAsia="仿宋" w:cs="仿宋"/>
                <w:b/>
                <w:bCs/>
                <w:kern w:val="0"/>
                <w:sz w:val="24"/>
                <w:highlight w:val="none"/>
                <w:u w:val="single"/>
              </w:rPr>
              <w:t xml:space="preserve"> </w:t>
            </w:r>
            <w:r>
              <w:rPr>
                <w:rFonts w:hint="eastAsia" w:ascii="仿宋" w:hAnsi="仿宋" w:eastAsia="仿宋" w:cs="仿宋"/>
                <w:b/>
                <w:bCs/>
                <w:kern w:val="0"/>
                <w:sz w:val="24"/>
                <w:highlight w:val="none"/>
                <w:u w:val="single"/>
              </w:rPr>
              <w:t>租赁和商务服务业</w:t>
            </w:r>
            <w:r>
              <w:rPr>
                <w:rFonts w:hint="eastAsia" w:ascii="仿宋" w:hAnsi="仿宋" w:eastAsia="仿宋" w:cs="仿宋"/>
                <w:b/>
                <w:bCs/>
                <w:kern w:val="0"/>
                <w:sz w:val="24"/>
                <w:highlight w:val="none"/>
                <w:u w:val="single"/>
              </w:rPr>
              <w:t xml:space="preserve">  </w:t>
            </w:r>
          </w:p>
        </w:tc>
      </w:tr>
      <w:tr w14:paraId="524D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noWrap/>
            <w:vAlign w:val="center"/>
          </w:tcPr>
          <w:p w14:paraId="54CCDEE7">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left w:val="single" w:color="auto" w:sz="4" w:space="0"/>
              <w:right w:val="single" w:color="000000" w:sz="8" w:space="0"/>
            </w:tcBorders>
            <w:noWrap/>
            <w:vAlign w:val="center"/>
          </w:tcPr>
          <w:p w14:paraId="03AD3C99">
            <w:pPr>
              <w:adjustRightInd w:val="0"/>
              <w:snapToGrid w:val="0"/>
              <w:spacing w:line="400" w:lineRule="exact"/>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2A386BC9">
            <w:pPr>
              <w:adjustRightInd w:val="0"/>
              <w:snapToGrid w:val="0"/>
              <w:rPr>
                <w:rFonts w:hint="eastAsia" w:ascii="仿宋" w:hAnsi="仿宋" w:eastAsia="仿宋" w:cs="仿宋"/>
                <w:kern w:val="0"/>
                <w:sz w:val="24"/>
                <w:highlight w:val="none"/>
              </w:rPr>
            </w:pPr>
            <w:r>
              <w:rPr>
                <w:rFonts w:hint="eastAsia" w:ascii="仿宋" w:hAnsi="仿宋" w:eastAsia="仿宋" w:cs="仿宋"/>
                <w:color w:val="FF0000"/>
                <w:kern w:val="0"/>
                <w:sz w:val="24"/>
                <w:highlight w:val="none"/>
              </w:rPr>
              <w:t>租赁和商务服务业中，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7D6E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noWrap/>
            <w:vAlign w:val="center"/>
          </w:tcPr>
          <w:p w14:paraId="4819C311">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68AC4801">
            <w:pPr>
              <w:adjustRightInd w:val="0"/>
              <w:snapToGrid w:val="0"/>
              <w:spacing w:line="400" w:lineRule="exact"/>
              <w:jc w:val="center"/>
              <w:rPr>
                <w:rFonts w:hint="eastAsia" w:ascii="仿宋" w:hAnsi="仿宋" w:eastAsia="仿宋" w:cs="仿宋"/>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9D4B392">
            <w:pPr>
              <w:adjustRightInd w:val="0"/>
              <w:snapToGrid w:val="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（1）投标人填写中小企业声明函时，标的为</w:t>
            </w:r>
            <w:r>
              <w:rPr>
                <w:rFonts w:hint="eastAsia" w:ascii="仿宋" w:hAnsi="仿宋" w:eastAsia="仿宋" w:cs="仿宋"/>
                <w:b/>
                <w:bCs/>
                <w:kern w:val="0"/>
                <w:sz w:val="24"/>
                <w:highlight w:val="none"/>
                <w:u w:val="single"/>
                <w:lang w:eastAsia="zh-CN"/>
              </w:rPr>
              <w:t>杭州中国动漫博物馆2025年度专业技术服务</w:t>
            </w:r>
            <w:r>
              <w:rPr>
                <w:rFonts w:hint="eastAsia" w:ascii="仿宋" w:hAnsi="仿宋" w:eastAsia="仿宋" w:cs="仿宋"/>
                <w:b/>
                <w:bCs/>
                <w:kern w:val="0"/>
                <w:sz w:val="24"/>
                <w:highlight w:val="none"/>
              </w:rPr>
              <w:t>，所属行业为</w:t>
            </w:r>
            <w:r>
              <w:rPr>
                <w:rFonts w:hint="eastAsia" w:ascii="仿宋" w:hAnsi="仿宋" w:eastAsia="仿宋" w:cs="仿宋"/>
                <w:b/>
                <w:bCs/>
                <w:kern w:val="0"/>
                <w:sz w:val="24"/>
                <w:highlight w:val="none"/>
                <w:u w:val="single"/>
              </w:rPr>
              <w:t>租赁和商务服务业</w:t>
            </w:r>
            <w:r>
              <w:rPr>
                <w:rFonts w:hint="eastAsia" w:ascii="仿宋" w:hAnsi="仿宋" w:eastAsia="仿宋" w:cs="仿宋"/>
                <w:b/>
                <w:bCs/>
                <w:kern w:val="0"/>
                <w:sz w:val="24"/>
                <w:highlight w:val="none"/>
              </w:rPr>
              <w:t>；</w:t>
            </w:r>
          </w:p>
          <w:p w14:paraId="20508AA9">
            <w:pPr>
              <w:adjustRightInd w:val="0"/>
              <w:snapToGrid w:val="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（2）从业人员、营业收入、资产总额填报上一年度数据，无上一年度数据的新成立企业可不填报；</w:t>
            </w:r>
          </w:p>
          <w:p w14:paraId="63023EE5">
            <w:pPr>
              <w:adjustRightInd w:val="0"/>
              <w:snapToGrid w:val="0"/>
              <w:rPr>
                <w:rFonts w:hint="eastAsia" w:ascii="仿宋" w:hAnsi="仿宋" w:eastAsia="仿宋" w:cs="仿宋"/>
                <w:kern w:val="0"/>
                <w:sz w:val="24"/>
                <w:highlight w:val="none"/>
              </w:rPr>
            </w:pPr>
            <w:r>
              <w:rPr>
                <w:rFonts w:hint="eastAsia" w:ascii="仿宋" w:hAnsi="仿宋" w:eastAsia="仿宋" w:cs="仿宋"/>
                <w:b/>
                <w:bCs/>
                <w:kern w:val="0"/>
                <w:sz w:val="24"/>
                <w:highlight w:val="none"/>
              </w:rPr>
              <w:t>（3）中型企业、小型企业、微型企业等3种企业类型，结合以上数据，依据《中小企业划型标准规定》（工信部联企业〔2011〕300号）确定的</w:t>
            </w:r>
            <w:r>
              <w:rPr>
                <w:rFonts w:hint="eastAsia" w:ascii="仿宋" w:hAnsi="仿宋" w:eastAsia="仿宋" w:cs="仿宋"/>
                <w:b/>
                <w:bCs/>
                <w:kern w:val="0"/>
                <w:sz w:val="24"/>
                <w:highlight w:val="none"/>
                <w:u w:val="single"/>
              </w:rPr>
              <w:t>租赁和商务服务业</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u w:val="single"/>
              </w:rPr>
              <w:t>填写时应明确是中型或小型或微型</w:t>
            </w:r>
            <w:r>
              <w:rPr>
                <w:rFonts w:hint="eastAsia" w:ascii="仿宋" w:hAnsi="仿宋" w:eastAsia="仿宋" w:cs="仿宋"/>
                <w:b/>
                <w:bCs/>
                <w:kern w:val="0"/>
                <w:sz w:val="24"/>
                <w:highlight w:val="none"/>
              </w:rPr>
              <w:t>。</w:t>
            </w:r>
          </w:p>
        </w:tc>
      </w:tr>
      <w:tr w14:paraId="1BA34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F46A870">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1B5C4680">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B9E54CD">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本项目不允许采购进口产品。</w:t>
            </w:r>
          </w:p>
          <w:p w14:paraId="60433474">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9EE9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77249816">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33F0C0A0">
            <w:pPr>
              <w:adjustRightInd w:val="0"/>
              <w:snapToGrid w:val="0"/>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820B42D">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同意将非主体、非关键性的工作分包。</w:t>
            </w:r>
          </w:p>
          <w:p w14:paraId="52C47B56">
            <w:pPr>
              <w:adjustRightInd w:val="0"/>
              <w:snapToGrid w:val="0"/>
              <w:rPr>
                <w:rFonts w:hint="eastAsia" w:ascii="仿宋" w:hAnsi="仿宋" w:eastAsia="仿宋" w:cs="仿宋"/>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同意向小微企业合理分包。</w:t>
            </w:r>
          </w:p>
          <w:p w14:paraId="7EA5F98D">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□C</w:t>
            </w:r>
            <w:r>
              <w:rPr>
                <w:rFonts w:hint="eastAsia" w:ascii="仿宋" w:hAnsi="仿宋" w:eastAsia="仿宋" w:cs="仿宋"/>
                <w:sz w:val="24"/>
                <w:highlight w:val="none"/>
              </w:rPr>
              <w:t>不同意分包。</w:t>
            </w:r>
          </w:p>
        </w:tc>
      </w:tr>
      <w:tr w14:paraId="4639B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3A7D1CC">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0AE5E4C1">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45E1C164">
            <w:pPr>
              <w:adjustRightInd/>
              <w:snapToGrid w:val="0"/>
              <w:spacing w:line="240" w:lineRule="auto"/>
              <w:rPr>
                <w:rFonts w:hint="eastAsia" w:ascii="仿宋" w:hAnsi="仿宋" w:eastAsia="仿宋" w:cs="仿宋"/>
                <w:sz w:val="24"/>
                <w:highlight w:val="none"/>
              </w:rPr>
            </w:pPr>
            <w:r>
              <w:rPr>
                <w:rFonts w:hint="eastAsia" w:ascii="仿宋" w:hAnsi="仿宋" w:eastAsia="仿宋" w:cs="仿宋"/>
                <w:kern w:val="2"/>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45E1C164">
            <w:pPr>
              <w:adjustRightInd/>
              <w:snapToGrid w:val="0"/>
              <w:spacing w:line="240" w:lineRule="auto"/>
              <w:rPr>
                <w:rFonts w:hint="eastAsia" w:ascii="仿宋" w:hAnsi="仿宋" w:eastAsia="仿宋" w:cs="仿宋"/>
                <w:sz w:val="24"/>
                <w:szCs w:val="24"/>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none"/>
              </w:rPr>
              <w:t>/</w:t>
            </w:r>
            <w:r>
              <w:rPr>
                <w:rFonts w:hint="eastAsia" w:ascii="仿宋" w:hAnsi="仿宋" w:eastAsia="仿宋" w:cs="仿宋"/>
                <w:sz w:val="24"/>
                <w:highlight w:val="none"/>
              </w:rPr>
              <w:t>,地点：</w:t>
            </w:r>
            <w:r>
              <w:rPr>
                <w:rFonts w:hint="eastAsia" w:ascii="仿宋" w:hAnsi="仿宋" w:eastAsia="仿宋" w:cs="仿宋"/>
                <w:sz w:val="24"/>
                <w:highlight w:val="none"/>
                <w:u w:val="none"/>
              </w:rPr>
              <w:t>/</w:t>
            </w:r>
            <w:r>
              <w:rPr>
                <w:rFonts w:hint="eastAsia" w:ascii="仿宋" w:hAnsi="仿宋" w:eastAsia="仿宋" w:cs="仿宋"/>
                <w:sz w:val="24"/>
                <w:highlight w:val="none"/>
              </w:rPr>
              <w:t>，联系人：</w:t>
            </w:r>
            <w:r>
              <w:rPr>
                <w:rFonts w:hint="eastAsia" w:ascii="仿宋" w:hAnsi="仿宋" w:eastAsia="仿宋" w:cs="仿宋"/>
                <w:sz w:val="24"/>
                <w:highlight w:val="none"/>
                <w:u w:val="none"/>
              </w:rPr>
              <w:t>/</w:t>
            </w:r>
            <w:r>
              <w:rPr>
                <w:rFonts w:hint="eastAsia" w:ascii="仿宋" w:hAnsi="仿宋" w:eastAsia="仿宋" w:cs="仿宋"/>
                <w:sz w:val="24"/>
                <w:highlight w:val="none"/>
              </w:rPr>
              <w:t>，联系方式：</w:t>
            </w:r>
            <w:r>
              <w:rPr>
                <w:rFonts w:hint="eastAsia" w:ascii="仿宋" w:hAnsi="仿宋" w:eastAsia="仿宋" w:cs="仿宋"/>
                <w:sz w:val="24"/>
                <w:highlight w:val="none"/>
                <w:u w:val="none"/>
              </w:rPr>
              <w:t>/</w:t>
            </w:r>
            <w:r>
              <w:rPr>
                <w:rFonts w:hint="eastAsia" w:ascii="仿宋" w:hAnsi="仿宋" w:eastAsia="仿宋" w:cs="仿宋"/>
                <w:sz w:val="24"/>
                <w:szCs w:val="24"/>
                <w:highlight w:val="none"/>
              </w:rPr>
              <w:t>。</w:t>
            </w:r>
          </w:p>
          <w:p w14:paraId="45E1C164">
            <w:pPr>
              <w:adjustRightInd/>
              <w:snapToGrid w:val="0"/>
              <w:spacing w:line="240" w:lineRule="auto"/>
              <w:rPr>
                <w:rFonts w:hint="eastAsia" w:ascii="仿宋" w:hAnsi="仿宋" w:eastAsia="仿宋" w:cs="仿宋"/>
                <w:sz w:val="24"/>
                <w:szCs w:val="20"/>
                <w:highlight w:val="none"/>
              </w:rPr>
            </w:pPr>
            <w:r>
              <w:rPr>
                <w:rFonts w:hint="eastAsia" w:ascii="仿宋" w:hAnsi="仿宋" w:eastAsia="仿宋" w:cs="仿宋"/>
                <w:sz w:val="24"/>
                <w:highlight w:val="none"/>
              </w:rPr>
              <w:t>☐C不统一组织，供应商在获取采购文件后，自行至项目现场考察。地点： ，联系人： ，联系方式： 。</w:t>
            </w:r>
          </w:p>
        </w:tc>
      </w:tr>
      <w:tr w14:paraId="1886B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244ED247">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4CEC1D7A">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564B9108">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6C695582">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B要求提供，</w:t>
            </w:r>
          </w:p>
          <w:p w14:paraId="25D7B150">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w:t>
            </w:r>
            <w:r>
              <w:rPr>
                <w:rFonts w:hint="eastAsia" w:ascii="仿宋" w:hAnsi="仿宋" w:eastAsia="仿宋" w:cs="仿宋"/>
                <w:snapToGrid w:val="0"/>
                <w:kern w:val="28"/>
                <w:sz w:val="24"/>
                <w:highlight w:val="none"/>
                <w:u w:val="single"/>
              </w:rPr>
              <w:t xml:space="preserve">  /  </w:t>
            </w:r>
            <w:r>
              <w:rPr>
                <w:rFonts w:hint="eastAsia" w:ascii="仿宋" w:hAnsi="仿宋" w:eastAsia="仿宋" w:cs="仿宋"/>
                <w:snapToGrid w:val="0"/>
                <w:kern w:val="28"/>
                <w:sz w:val="24"/>
                <w:highlight w:val="none"/>
              </w:rPr>
              <w:t>；</w:t>
            </w:r>
          </w:p>
          <w:p w14:paraId="5FCF8432">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napToGrid w:val="0"/>
                <w:kern w:val="28"/>
                <w:sz w:val="24"/>
                <w:highlight w:val="none"/>
              </w:rPr>
              <w:t>样品制作的标准和要求：</w:t>
            </w:r>
            <w:r>
              <w:rPr>
                <w:rFonts w:hint="eastAsia" w:ascii="仿宋" w:hAnsi="仿宋" w:eastAsia="仿宋" w:cs="仿宋"/>
                <w:snapToGrid w:val="0"/>
                <w:kern w:val="28"/>
                <w:sz w:val="24"/>
                <w:highlight w:val="none"/>
                <w:u w:val="single"/>
              </w:rPr>
              <w:t>/</w:t>
            </w:r>
            <w:r>
              <w:rPr>
                <w:rFonts w:hint="eastAsia" w:ascii="仿宋" w:hAnsi="仿宋" w:eastAsia="仿宋" w:cs="仿宋"/>
                <w:kern w:val="0"/>
                <w:sz w:val="24"/>
                <w:highlight w:val="none"/>
              </w:rPr>
              <w:t>；</w:t>
            </w:r>
          </w:p>
          <w:p w14:paraId="65A3E6CB">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w:t>
            </w:r>
            <w:r>
              <w:rPr>
                <w:rFonts w:hint="eastAsia" w:ascii="仿宋" w:hAnsi="仿宋" w:eastAsia="仿宋" w:cs="仿宋"/>
                <w:kern w:val="0"/>
                <w:sz w:val="24"/>
                <w:highlight w:val="none"/>
              </w:rPr>
              <w:t>；</w:t>
            </w:r>
          </w:p>
          <w:p w14:paraId="6F90AC99">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否；</w:t>
            </w: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  </w:t>
            </w:r>
            <w:r>
              <w:rPr>
                <w:rFonts w:hint="eastAsia" w:ascii="仿宋" w:hAnsi="仿宋" w:eastAsia="仿宋" w:cs="仿宋"/>
                <w:kern w:val="0"/>
                <w:sz w:val="24"/>
                <w:highlight w:val="none"/>
              </w:rPr>
              <w:t>。</w:t>
            </w:r>
          </w:p>
          <w:p w14:paraId="48557329">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sz w:val="24"/>
                <w:highlight w:val="none"/>
                <w:u w:val="single"/>
              </w:rPr>
              <w:t xml:space="preserve">  /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6820D7D1">
            <w:pPr>
              <w:numPr>
                <w:ilvl w:val="0"/>
                <w:numId w:val="1"/>
              </w:num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A199287">
            <w:pPr>
              <w:numPr>
                <w:ilvl w:val="0"/>
                <w:numId w:val="1"/>
              </w:num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z w:val="24"/>
                <w:highlight w:val="none"/>
              </w:rPr>
              <w:t>制作、运输、安装和保管样品所发生的一切费用由投标人自理。</w:t>
            </w:r>
          </w:p>
        </w:tc>
      </w:tr>
      <w:tr w14:paraId="1445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59150593">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5F9A96A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58DF71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F72EC63">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B组织。</w:t>
            </w:r>
          </w:p>
          <w:p w14:paraId="2EA6923C">
            <w:p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要求如下：</w:t>
            </w:r>
          </w:p>
          <w:p w14:paraId="543ADB46">
            <w:p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（1）演示形式：采用“不见面”的形式，以投标人自行录制的可播放的“音视频文件”为依据；</w:t>
            </w:r>
          </w:p>
          <w:p w14:paraId="666C7F39">
            <w:p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（2）时间要求：1</w:t>
            </w:r>
            <w:r>
              <w:rPr>
                <w:rFonts w:hint="eastAsia" w:ascii="仿宋" w:hAnsi="仿宋" w:eastAsia="仿宋" w:cs="仿宋"/>
                <w:sz w:val="24"/>
                <w:highlight w:val="none"/>
              </w:rPr>
              <w:t>0</w:t>
            </w:r>
            <w:r>
              <w:rPr>
                <w:rFonts w:hint="eastAsia" w:ascii="仿宋" w:hAnsi="仿宋" w:eastAsia="仿宋" w:cs="仿宋"/>
                <w:sz w:val="24"/>
                <w:highlight w:val="none"/>
                <w:lang w:val="zh-CN"/>
              </w:rPr>
              <w:t>分钟以内。</w:t>
            </w:r>
          </w:p>
          <w:p w14:paraId="74D83FCF">
            <w:p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（3）顺序安排：按电子响应文件的解密先后顺序依次进行。</w:t>
            </w:r>
          </w:p>
          <w:p w14:paraId="3603F2E8">
            <w:p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4</w:t>
            </w:r>
            <w:r>
              <w:rPr>
                <w:rFonts w:hint="eastAsia" w:ascii="仿宋" w:hAnsi="仿宋" w:eastAsia="仿宋" w:cs="仿宋"/>
                <w:sz w:val="24"/>
                <w:highlight w:val="none"/>
                <w:lang w:val="zh-CN"/>
              </w:rPr>
              <w:t>）音视频</w:t>
            </w:r>
            <w:r>
              <w:rPr>
                <w:rFonts w:hint="eastAsia" w:ascii="仿宋" w:hAnsi="仿宋" w:eastAsia="仿宋" w:cs="仿宋"/>
                <w:sz w:val="24"/>
                <w:highlight w:val="none"/>
              </w:rPr>
              <w:t>文件</w:t>
            </w:r>
            <w:r>
              <w:rPr>
                <w:rFonts w:hint="eastAsia" w:ascii="仿宋" w:hAnsi="仿宋" w:eastAsia="仿宋" w:cs="仿宋"/>
                <w:sz w:val="24"/>
                <w:highlight w:val="none"/>
                <w:lang w:val="zh-CN"/>
              </w:rPr>
              <w:t>递交要求</w:t>
            </w:r>
          </w:p>
          <w:p w14:paraId="22D943F2">
            <w:pPr>
              <w:numPr>
                <w:ilvl w:val="0"/>
                <w:numId w:val="2"/>
              </w:num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音视频文件数量：1份；</w:t>
            </w:r>
          </w:p>
          <w:p w14:paraId="31C7BAB1">
            <w:pPr>
              <w:numPr>
                <w:ilvl w:val="0"/>
                <w:numId w:val="2"/>
              </w:num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音视频文件时长：1</w:t>
            </w:r>
            <w:r>
              <w:rPr>
                <w:rFonts w:hint="eastAsia" w:ascii="仿宋" w:hAnsi="仿宋" w:eastAsia="仿宋" w:cs="仿宋"/>
                <w:sz w:val="24"/>
                <w:highlight w:val="none"/>
              </w:rPr>
              <w:t>0</w:t>
            </w:r>
            <w:r>
              <w:rPr>
                <w:rFonts w:hint="eastAsia" w:ascii="仿宋" w:hAnsi="仿宋" w:eastAsia="仿宋" w:cs="仿宋"/>
                <w:sz w:val="24"/>
                <w:highlight w:val="none"/>
                <w:lang w:val="zh-CN"/>
              </w:rPr>
              <w:t>分钟以内；</w:t>
            </w:r>
          </w:p>
          <w:p w14:paraId="724E90F7">
            <w:pPr>
              <w:numPr>
                <w:ilvl w:val="0"/>
                <w:numId w:val="2"/>
              </w:num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音视频文件存储、密封及标识：使用U盘存储，并进行密封和标识（项目名称、供应商名称（加盖公章））。未按规定进行密封和标识的音视频文件不予接收。</w:t>
            </w:r>
            <w:r>
              <w:rPr>
                <w:rFonts w:hint="eastAsia" w:ascii="仿宋" w:hAnsi="仿宋" w:eastAsia="仿宋" w:cs="仿宋"/>
                <w:snapToGrid w:val="0"/>
                <w:kern w:val="0"/>
                <w:sz w:val="24"/>
                <w:highlight w:val="none"/>
              </w:rPr>
              <w:t>如递交投标文件备份文件的，音视频文件可随备份文件一同递交。</w:t>
            </w:r>
          </w:p>
          <w:p w14:paraId="0213F771">
            <w:pPr>
              <w:adjustRightInd w:val="0"/>
              <w:snapToGrid w:val="0"/>
              <w:spacing w:line="400" w:lineRule="exac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特别提醒：为保证正常播放，建议各投标人递交的音频文件</w:t>
            </w:r>
            <w:r>
              <w:rPr>
                <w:rFonts w:hint="eastAsia" w:ascii="仿宋" w:hAnsi="仿宋" w:eastAsia="仿宋" w:cs="仿宋"/>
                <w:b/>
                <w:bCs/>
                <w:sz w:val="24"/>
                <w:highlight w:val="none"/>
              </w:rPr>
              <w:t>U盘中有可正常使用的播放器。</w:t>
            </w:r>
          </w:p>
          <w:p w14:paraId="61095D17">
            <w:pPr>
              <w:numPr>
                <w:ilvl w:val="0"/>
                <w:numId w:val="2"/>
              </w:numPr>
              <w:adjustRightInd w:val="0"/>
              <w:snapToGrid w:val="0"/>
              <w:spacing w:line="40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音视频文件的提交：投标截止时间前通过邮递等方式送达杭州市文三路90号东部软件园1号楼319室。</w:t>
            </w:r>
          </w:p>
          <w:p w14:paraId="697271A3">
            <w:pPr>
              <w:adjustRightInd w:val="0"/>
              <w:snapToGrid w:val="0"/>
              <w:spacing w:line="400" w:lineRule="exact"/>
              <w:rPr>
                <w:rFonts w:hint="eastAsia" w:ascii="仿宋" w:hAnsi="仿宋" w:eastAsia="仿宋" w:cs="仿宋"/>
                <w:kern w:val="0"/>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5</w:t>
            </w:r>
            <w:r>
              <w:rPr>
                <w:rFonts w:hint="eastAsia" w:ascii="仿宋" w:hAnsi="仿宋" w:eastAsia="仿宋" w:cs="仿宋"/>
                <w:sz w:val="24"/>
                <w:highlight w:val="none"/>
                <w:lang w:val="zh-CN"/>
              </w:rPr>
              <w:t>）投标人提交的音视频文件将与投标文件一起存档，不予退还。</w:t>
            </w:r>
          </w:p>
          <w:p w14:paraId="2E1B5C7A">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88C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14:paraId="499DEDFA">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auto" w:sz="4" w:space="0"/>
              <w:right w:val="single" w:color="000000" w:sz="8" w:space="0"/>
            </w:tcBorders>
            <w:noWrap/>
            <w:vAlign w:val="center"/>
          </w:tcPr>
          <w:p w14:paraId="4D6D0B58">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14:paraId="3718857E">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435D6E69">
            <w:pPr>
              <w:adjustRightInd w:val="0"/>
              <w:snapToGrid w:val="0"/>
              <w:spacing w:line="400" w:lineRule="exact"/>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74D23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14:paraId="7640066D">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14:paraId="15947F73">
            <w:pPr>
              <w:adjustRightInd w:val="0"/>
              <w:snapToGrid w:val="0"/>
              <w:spacing w:line="400" w:lineRule="exact"/>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14:paraId="73E622AC">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4DB8B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noWrap/>
            <w:vAlign w:val="center"/>
          </w:tcPr>
          <w:p w14:paraId="7E86D0A7">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left w:val="single" w:color="auto" w:sz="4" w:space="0"/>
              <w:bottom w:val="single" w:color="000000" w:sz="8" w:space="0"/>
              <w:right w:val="single" w:color="000000" w:sz="8" w:space="0"/>
            </w:tcBorders>
            <w:noWrap/>
            <w:vAlign w:val="center"/>
          </w:tcPr>
          <w:p w14:paraId="3A2FBFF3">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noWrap/>
            <w:vAlign w:val="center"/>
          </w:tcPr>
          <w:p w14:paraId="369888CE">
            <w:pPr>
              <w:pStyle w:val="17"/>
              <w:rPr>
                <w:rFonts w:hint="eastAsia" w:ascii="仿宋" w:hAnsi="仿宋" w:eastAsia="仿宋" w:cs="仿宋"/>
                <w:sz w:val="24"/>
                <w:highlight w:val="none"/>
              </w:rPr>
            </w:pP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101288FA">
            <w:pPr>
              <w:pStyle w:val="17"/>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A无</w:t>
            </w:r>
          </w:p>
          <w:p w14:paraId="4243239F">
            <w:pPr>
              <w:pStyle w:val="17"/>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B 政府</w:t>
            </w:r>
            <w:r>
              <w:rPr>
                <w:rFonts w:hint="eastAsia" w:ascii="仿宋" w:hAnsi="仿宋" w:eastAsia="仿宋" w:cs="仿宋"/>
                <w:sz w:val="24"/>
                <w:highlight w:val="none"/>
              </w:rPr>
              <w:t>强制采购节能产品</w:t>
            </w:r>
            <w:r>
              <w:rPr>
                <w:rFonts w:hint="eastAsia" w:ascii="仿宋" w:hAnsi="仿宋" w:eastAsia="仿宋" w:cs="仿宋"/>
                <w:kern w:val="0"/>
                <w:sz w:val="24"/>
                <w:highlight w:val="none"/>
              </w:rPr>
              <w:t>：</w:t>
            </w:r>
          </w:p>
          <w:p w14:paraId="768F9912">
            <w:pPr>
              <w:pStyle w:val="17"/>
              <w:rPr>
                <w:rFonts w:hint="eastAsia" w:ascii="仿宋" w:hAnsi="仿宋" w:eastAsia="仿宋" w:cs="仿宋"/>
                <w:sz w:val="24"/>
                <w:highlight w:val="none"/>
                <w:u w:val="single"/>
              </w:rPr>
            </w:pPr>
            <w:r>
              <w:rPr>
                <w:rFonts w:hint="eastAsia" w:ascii="仿宋" w:hAnsi="仿宋" w:eastAsia="仿宋" w:cs="仿宋"/>
                <w:sz w:val="24"/>
                <w:highlight w:val="none"/>
              </w:rPr>
              <w:t>（1）；</w:t>
            </w:r>
          </w:p>
          <w:p w14:paraId="71A498B2">
            <w:pPr>
              <w:pStyle w:val="17"/>
              <w:rPr>
                <w:rFonts w:hint="eastAsia" w:ascii="仿宋" w:hAnsi="仿宋" w:eastAsia="仿宋" w:cs="仿宋"/>
                <w:sz w:val="24"/>
                <w:highlight w:val="none"/>
              </w:rPr>
            </w:pPr>
            <w:r>
              <w:rPr>
                <w:rFonts w:hint="eastAsia" w:ascii="仿宋" w:hAnsi="仿宋" w:eastAsia="仿宋" w:cs="仿宋"/>
                <w:sz w:val="24"/>
                <w:highlight w:val="none"/>
              </w:rPr>
              <w:t>（2）……</w:t>
            </w:r>
          </w:p>
          <w:p w14:paraId="28D7D0B8">
            <w:pPr>
              <w:pStyle w:val="17"/>
              <w:rPr>
                <w:rFonts w:hint="eastAsia" w:ascii="仿宋" w:hAnsi="仿宋" w:eastAsia="仿宋" w:cs="仿宋"/>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kern w:val="0"/>
                <w:sz w:val="24"/>
                <w:highlight w:val="none"/>
              </w:rPr>
              <w:t xml:space="preserve">C </w:t>
            </w:r>
            <w:r>
              <w:rPr>
                <w:rFonts w:hint="eastAsia" w:ascii="仿宋" w:hAnsi="仿宋" w:eastAsia="仿宋" w:cs="仿宋"/>
                <w:sz w:val="24"/>
                <w:highlight w:val="none"/>
              </w:rPr>
              <w:t>政府优先采购节能产品</w:t>
            </w:r>
            <w:r>
              <w:rPr>
                <w:rFonts w:hint="eastAsia" w:ascii="仿宋" w:hAnsi="仿宋" w:eastAsia="仿宋" w:cs="仿宋"/>
                <w:kern w:val="0"/>
                <w:sz w:val="24"/>
                <w:highlight w:val="none"/>
              </w:rPr>
              <w:t>：</w:t>
            </w:r>
          </w:p>
          <w:p w14:paraId="5FC12CAA">
            <w:pPr>
              <w:pStyle w:val="17"/>
              <w:rPr>
                <w:rFonts w:hint="eastAsia" w:ascii="仿宋" w:hAnsi="仿宋" w:eastAsia="仿宋" w:cs="仿宋"/>
                <w:sz w:val="24"/>
                <w:highlight w:val="none"/>
                <w:u w:val="singl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7AF9898B">
            <w:pPr>
              <w:pStyle w:val="17"/>
              <w:rPr>
                <w:rFonts w:hint="eastAsia" w:ascii="仿宋" w:hAnsi="仿宋" w:eastAsia="仿宋" w:cs="仿宋"/>
                <w:sz w:val="24"/>
                <w:highlight w:val="none"/>
              </w:rPr>
            </w:pPr>
            <w:r>
              <w:rPr>
                <w:rFonts w:hint="eastAsia" w:ascii="仿宋" w:hAnsi="仿宋" w:eastAsia="仿宋" w:cs="仿宋"/>
                <w:sz w:val="24"/>
                <w:highlight w:val="none"/>
              </w:rPr>
              <w:t>（2）……</w:t>
            </w:r>
          </w:p>
          <w:p w14:paraId="0C52464E">
            <w:pPr>
              <w:pStyle w:val="17"/>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☐D </w:t>
            </w:r>
            <w:r>
              <w:rPr>
                <w:rFonts w:hint="eastAsia" w:ascii="仿宋" w:hAnsi="仿宋" w:eastAsia="仿宋" w:cs="仿宋"/>
                <w:sz w:val="24"/>
                <w:highlight w:val="none"/>
              </w:rPr>
              <w:t>政府优先采购环境标志产品</w:t>
            </w:r>
            <w:r>
              <w:rPr>
                <w:rFonts w:hint="eastAsia" w:ascii="仿宋" w:hAnsi="仿宋" w:eastAsia="仿宋" w:cs="仿宋"/>
                <w:kern w:val="0"/>
                <w:sz w:val="24"/>
                <w:highlight w:val="none"/>
              </w:rPr>
              <w:t>：</w:t>
            </w:r>
          </w:p>
          <w:p w14:paraId="02D69069">
            <w:pPr>
              <w:pStyle w:val="17"/>
              <w:rPr>
                <w:rFonts w:hint="eastAsia" w:ascii="仿宋" w:hAnsi="仿宋" w:eastAsia="仿宋" w:cs="仿宋"/>
                <w:sz w:val="24"/>
                <w:highlight w:val="none"/>
              </w:rPr>
            </w:pPr>
            <w:r>
              <w:rPr>
                <w:rFonts w:hint="eastAsia" w:ascii="仿宋" w:hAnsi="仿宋" w:eastAsia="仿宋" w:cs="仿宋"/>
                <w:kern w:val="0"/>
                <w:sz w:val="24"/>
                <w:highlight w:val="none"/>
              </w:rPr>
              <w:t>（1）</w:t>
            </w:r>
            <w:r>
              <w:rPr>
                <w:rFonts w:hint="eastAsia" w:ascii="仿宋" w:hAnsi="仿宋" w:eastAsia="仿宋" w:cs="仿宋"/>
                <w:sz w:val="24"/>
                <w:highlight w:val="none"/>
              </w:rPr>
              <w:t>；</w:t>
            </w:r>
          </w:p>
          <w:p w14:paraId="2FA9FA10">
            <w:pPr>
              <w:pStyle w:val="17"/>
              <w:rPr>
                <w:rFonts w:hint="eastAsia" w:ascii="仿宋" w:hAnsi="仿宋" w:eastAsia="仿宋" w:cs="仿宋"/>
                <w:sz w:val="24"/>
                <w:highlight w:val="none"/>
              </w:rPr>
            </w:pPr>
            <w:r>
              <w:rPr>
                <w:rFonts w:hint="eastAsia" w:ascii="仿宋" w:hAnsi="仿宋" w:eastAsia="仿宋" w:cs="仿宋"/>
                <w:sz w:val="24"/>
                <w:highlight w:val="none"/>
              </w:rPr>
              <w:t>（2）……</w:t>
            </w:r>
          </w:p>
        </w:tc>
      </w:tr>
      <w:tr w14:paraId="05B0C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14:paraId="292BE272">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noWrap/>
            <w:vAlign w:val="center"/>
          </w:tcPr>
          <w:p w14:paraId="2AE688E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3AA763B8">
            <w:pPr>
              <w:tabs>
                <w:tab w:val="left" w:pos="3570"/>
              </w:tabs>
              <w:adjustRightInd w:val="0"/>
              <w:snapToGrid w:val="0"/>
              <w:spacing w:line="400" w:lineRule="exact"/>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14:paraId="748D5B97">
            <w:pPr>
              <w:adjustRightInd w:val="0"/>
              <w:snapToGrid w:val="0"/>
              <w:spacing w:line="400" w:lineRule="exact"/>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5BD8C954">
            <w:pPr>
              <w:numPr>
                <w:ilvl w:val="0"/>
                <w:numId w:val="3"/>
              </w:numPr>
              <w:adjustRightInd w:val="0"/>
              <w:snapToGrid w:val="0"/>
              <w:spacing w:line="400" w:lineRule="exact"/>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14:paraId="156563B0">
            <w:pPr>
              <w:numPr>
                <w:ilvl w:val="0"/>
                <w:numId w:val="3"/>
              </w:numPr>
              <w:adjustRightInd w:val="0"/>
              <w:snapToGrid w:val="0"/>
              <w:spacing w:line="400" w:lineRule="exact"/>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14:paraId="477C697D">
            <w:pPr>
              <w:numPr>
                <w:ilvl w:val="0"/>
                <w:numId w:val="3"/>
              </w:numPr>
              <w:adjustRightInd w:val="0"/>
              <w:snapToGrid w:val="0"/>
              <w:spacing w:line="400" w:lineRule="exact"/>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12A2C140">
            <w:pPr>
              <w:numPr>
                <w:ilvl w:val="0"/>
                <w:numId w:val="3"/>
              </w:numPr>
              <w:adjustRightInd w:val="0"/>
              <w:snapToGrid w:val="0"/>
              <w:spacing w:line="400" w:lineRule="exact"/>
              <w:rPr>
                <w:rFonts w:hint="eastAsia" w:ascii="仿宋" w:hAnsi="仿宋" w:eastAsia="仿宋" w:cs="仿宋"/>
                <w:sz w:val="24"/>
                <w:szCs w:val="20"/>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14:paraId="7A75A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9" w:hRule="atLeast"/>
        </w:trPr>
        <w:tc>
          <w:tcPr>
            <w:tcW w:w="629" w:type="dxa"/>
            <w:tcBorders>
              <w:top w:val="single" w:color="auto" w:sz="4" w:space="0"/>
              <w:left w:val="single" w:color="auto" w:sz="4" w:space="0"/>
              <w:right w:val="single" w:color="auto" w:sz="4" w:space="0"/>
            </w:tcBorders>
            <w:noWrap/>
            <w:vAlign w:val="center"/>
          </w:tcPr>
          <w:p w14:paraId="2C660EC6">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auto" w:sz="4" w:space="0"/>
              <w:right w:val="single" w:color="000000" w:sz="8" w:space="0"/>
            </w:tcBorders>
            <w:noWrap/>
            <w:vAlign w:val="center"/>
          </w:tcPr>
          <w:p w14:paraId="72959697">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5E65B08">
            <w:pPr>
              <w:adjustRightInd w:val="0"/>
              <w:snapToGrid w:val="0"/>
              <w:jc w:val="left"/>
              <w:rPr>
                <w:rFonts w:hint="eastAsia" w:ascii="仿宋" w:hAnsi="仿宋" w:eastAsia="仿宋" w:cs="仿宋"/>
                <w:b/>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46F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3624D861">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3B0F37D4">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03E14A68">
            <w:pPr>
              <w:adjustRightInd w:val="0"/>
              <w:snapToGrid w:val="0"/>
              <w:spacing w:line="400" w:lineRule="exact"/>
              <w:jc w:val="left"/>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备份投标文件送达地点：</w:t>
            </w:r>
            <w:r>
              <w:rPr>
                <w:rFonts w:hint="eastAsia" w:ascii="仿宋" w:hAnsi="仿宋" w:eastAsia="仿宋" w:cs="仿宋"/>
                <w:snapToGrid w:val="0"/>
                <w:kern w:val="28"/>
                <w:sz w:val="24"/>
                <w:highlight w:val="none"/>
                <w:u w:val="single"/>
              </w:rPr>
              <w:t xml:space="preserve"> 杭州市文三路90号东部软件园一号楼319室 </w:t>
            </w:r>
            <w:r>
              <w:rPr>
                <w:rFonts w:hint="eastAsia" w:ascii="仿宋" w:hAnsi="仿宋" w:eastAsia="仿宋" w:cs="仿宋"/>
                <w:snapToGrid w:val="0"/>
                <w:kern w:val="28"/>
                <w:sz w:val="24"/>
                <w:highlight w:val="none"/>
              </w:rPr>
              <w:t xml:space="preserve"> ；</w:t>
            </w:r>
          </w:p>
          <w:p w14:paraId="557CE5E1">
            <w:pPr>
              <w:adjustRightInd w:val="0"/>
              <w:snapToGrid w:val="0"/>
              <w:spacing w:line="400" w:lineRule="exact"/>
              <w:jc w:val="left"/>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 xml:space="preserve">备份投标文件签收人员联系电话： </w:t>
            </w:r>
            <w:r>
              <w:rPr>
                <w:rFonts w:hint="eastAsia" w:ascii="仿宋" w:hAnsi="仿宋" w:eastAsia="仿宋" w:cs="仿宋"/>
                <w:snapToGrid w:val="0"/>
                <w:kern w:val="28"/>
                <w:sz w:val="24"/>
                <w:highlight w:val="none"/>
                <w:u w:val="single"/>
              </w:rPr>
              <w:t xml:space="preserve">唐稳，13777483506 </w:t>
            </w:r>
            <w:r>
              <w:rPr>
                <w:rFonts w:hint="eastAsia" w:ascii="仿宋" w:hAnsi="仿宋" w:eastAsia="仿宋" w:cs="仿宋"/>
                <w:snapToGrid w:val="0"/>
                <w:kern w:val="28"/>
                <w:sz w:val="24"/>
                <w:highlight w:val="none"/>
              </w:rPr>
              <w:t xml:space="preserve">  。</w:t>
            </w:r>
          </w:p>
          <w:p w14:paraId="0B5800F5">
            <w:pPr>
              <w:adjustRightInd w:val="0"/>
              <w:snapToGrid w:val="0"/>
              <w:spacing w:line="400" w:lineRule="exact"/>
              <w:jc w:val="left"/>
              <w:rPr>
                <w:rFonts w:hint="eastAsia" w:ascii="仿宋" w:hAnsi="仿宋" w:eastAsia="仿宋" w:cs="仿宋"/>
                <w:b/>
                <w:bCs/>
                <w:snapToGrid w:val="0"/>
                <w:kern w:val="28"/>
                <w:sz w:val="24"/>
                <w:highlight w:val="none"/>
              </w:rPr>
            </w:pPr>
            <w:r>
              <w:rPr>
                <w:rFonts w:hint="eastAsia" w:ascii="仿宋" w:hAnsi="仿宋" w:eastAsia="仿宋" w:cs="仿宋"/>
                <w:b/>
                <w:bCs/>
                <w:snapToGrid w:val="0"/>
                <w:kern w:val="28"/>
                <w:sz w:val="24"/>
                <w:highlight w:val="none"/>
              </w:rPr>
              <w:t>采购人、采购机构不强制或变相强制投标人提交备份投标文件。</w:t>
            </w:r>
          </w:p>
          <w:p w14:paraId="2253CD67">
            <w:pPr>
              <w:pStyle w:val="24"/>
              <w:adjustRightInd w:val="0"/>
              <w:snapToGrid w:val="0"/>
              <w:spacing w:line="400" w:lineRule="exact"/>
              <w:rPr>
                <w:rFonts w:hint="eastAsia" w:ascii="仿宋" w:hAnsi="仿宋" w:eastAsia="仿宋" w:cs="仿宋"/>
                <w:b/>
                <w:kern w:val="0"/>
                <w:sz w:val="24"/>
                <w:highlight w:val="none"/>
                <w:lang w:val="zh-CN"/>
              </w:rPr>
            </w:pPr>
            <w:r>
              <w:rPr>
                <w:rFonts w:hint="eastAsia" w:ascii="仿宋" w:hAnsi="仿宋" w:eastAsia="仿宋" w:cs="仿宋"/>
                <w:snapToGrid w:val="0"/>
                <w:kern w:val="28"/>
                <w:sz w:val="24"/>
                <w:highlight w:val="none"/>
              </w:rPr>
              <w:t>投标人递交备份文件等资料时应注意时间。也可在开标当天投标截止时间之前递交给代理机构经办人员。</w:t>
            </w:r>
          </w:p>
        </w:tc>
      </w:tr>
      <w:tr w14:paraId="61152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14:paraId="4BD3845C">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14:paraId="38AAA5BE">
            <w:pPr>
              <w:adjustRightInd w:val="0"/>
              <w:snapToGrid w:val="0"/>
              <w:jc w:val="center"/>
              <w:rPr>
                <w:rFonts w:hint="eastAsia" w:ascii="仿宋" w:hAnsi="仿宋" w:eastAsia="仿宋" w:cs="仿宋"/>
                <w:b/>
                <w:sz w:val="24"/>
                <w:highlight w:val="none"/>
              </w:rPr>
            </w:pPr>
            <w:r>
              <w:rPr>
                <w:rFonts w:hint="eastAsia" w:ascii="仿宋" w:hAnsi="仿宋" w:eastAsia="仿宋" w:cs="仿宋"/>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072E913">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1.本项目的采购代理费由中标人支付；以中标金额为计费基准，计费标准按《计价格［2002］1980号》及《发改办价格［2003］857号》文件中服务类收费标准的68%计算；合计不足5000元的，按5000元计。</w:t>
            </w:r>
          </w:p>
          <w:p w14:paraId="5C5F8B8D">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服务类收费标准如下：</w:t>
            </w:r>
          </w:p>
          <w:tbl>
            <w:tblPr>
              <w:tblStyle w:val="45"/>
              <w:tblW w:w="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1BB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0E336C22">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中标金额</w:t>
                  </w:r>
                </w:p>
              </w:tc>
              <w:tc>
                <w:tcPr>
                  <w:tcW w:w="1288" w:type="dxa"/>
                </w:tcPr>
                <w:p w14:paraId="2C0940C5">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标准费率</w:t>
                  </w:r>
                </w:p>
              </w:tc>
              <w:tc>
                <w:tcPr>
                  <w:tcW w:w="1925" w:type="dxa"/>
                </w:tcPr>
                <w:p w14:paraId="58084D6E">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68%</w:t>
                  </w:r>
                </w:p>
              </w:tc>
            </w:tr>
            <w:tr w14:paraId="34B8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55D4C618">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≤100万元</w:t>
                  </w:r>
                </w:p>
              </w:tc>
              <w:tc>
                <w:tcPr>
                  <w:tcW w:w="1288" w:type="dxa"/>
                </w:tcPr>
                <w:p w14:paraId="5305CEFC">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1.5%</w:t>
                  </w:r>
                </w:p>
              </w:tc>
              <w:tc>
                <w:tcPr>
                  <w:tcW w:w="1925" w:type="dxa"/>
                  <w:vAlign w:val="center"/>
                </w:tcPr>
                <w:p w14:paraId="4FA635AC">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1.02%</w:t>
                  </w:r>
                </w:p>
              </w:tc>
            </w:tr>
            <w:tr w14:paraId="717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tcPr>
                <w:p w14:paraId="02310256">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100-500</w:t>
                  </w:r>
                </w:p>
              </w:tc>
              <w:tc>
                <w:tcPr>
                  <w:tcW w:w="1288" w:type="dxa"/>
                </w:tcPr>
                <w:p w14:paraId="450666DD">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0.8%</w:t>
                  </w:r>
                </w:p>
              </w:tc>
              <w:tc>
                <w:tcPr>
                  <w:tcW w:w="1925" w:type="dxa"/>
                  <w:vAlign w:val="center"/>
                </w:tcPr>
                <w:p w14:paraId="0621BAFD">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0.544%</w:t>
                  </w:r>
                </w:p>
              </w:tc>
            </w:tr>
            <w:tr w14:paraId="20A8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tcPr>
                <w:p w14:paraId="78B463AA">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500-1000</w:t>
                  </w:r>
                </w:p>
              </w:tc>
              <w:tc>
                <w:tcPr>
                  <w:tcW w:w="1288" w:type="dxa"/>
                </w:tcPr>
                <w:p w14:paraId="6E53BBD3">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0.45%</w:t>
                  </w:r>
                </w:p>
              </w:tc>
              <w:tc>
                <w:tcPr>
                  <w:tcW w:w="1925" w:type="dxa"/>
                  <w:vAlign w:val="center"/>
                </w:tcPr>
                <w:p w14:paraId="61E2DAF7">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0.306%</w:t>
                  </w:r>
                </w:p>
              </w:tc>
            </w:tr>
          </w:tbl>
          <w:p w14:paraId="73F615A1">
            <w:pPr>
              <w:pStyle w:val="24"/>
              <w:adjustRightInd w:val="0"/>
              <w:snapToGrid w:val="0"/>
              <w:rPr>
                <w:rFonts w:hint="eastAsia" w:ascii="仿宋" w:hAnsi="仿宋" w:eastAsia="仿宋" w:cs="仿宋"/>
                <w:sz w:val="24"/>
                <w:highlight w:val="none"/>
              </w:rPr>
            </w:pPr>
          </w:p>
          <w:p w14:paraId="2A2DD9D5">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2.结算方式及时间为：在结果公告发布5个工作日内由中标人一次性向采购代理机构付清。</w:t>
            </w:r>
          </w:p>
          <w:p w14:paraId="61BEC587">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3.代理机构账号信息：</w:t>
            </w:r>
          </w:p>
          <w:p w14:paraId="1B31ECBE">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（1）收款人（全称）：浙江国际招投标有限公司</w:t>
            </w:r>
          </w:p>
          <w:p w14:paraId="3D7B12B6">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4F94DB72">
            <w:pPr>
              <w:pStyle w:val="24"/>
              <w:adjustRightInd w:val="0"/>
              <w:snapToGrid w:val="0"/>
              <w:rPr>
                <w:rFonts w:hint="eastAsia" w:ascii="仿宋" w:hAnsi="仿宋" w:eastAsia="仿宋" w:cs="仿宋"/>
                <w:sz w:val="24"/>
                <w:highlight w:val="none"/>
              </w:rPr>
            </w:pPr>
            <w:r>
              <w:rPr>
                <w:rFonts w:hint="eastAsia" w:ascii="仿宋" w:hAnsi="仿宋" w:eastAsia="仿宋" w:cs="仿宋"/>
                <w:sz w:val="24"/>
                <w:highlight w:val="none"/>
              </w:rPr>
              <w:t>（3）帐    号：1202 0212 0990 6782 015</w:t>
            </w:r>
          </w:p>
          <w:p w14:paraId="660ED388">
            <w:pPr>
              <w:pStyle w:val="24"/>
              <w:adjustRightInd w:val="0"/>
              <w:snapToGrid w:val="0"/>
              <w:rPr>
                <w:rFonts w:hint="eastAsia" w:ascii="仿宋" w:hAnsi="仿宋" w:eastAsia="仿宋" w:cs="仿宋"/>
                <w:highlight w:val="none"/>
              </w:rPr>
            </w:pPr>
            <w:r>
              <w:rPr>
                <w:rFonts w:hint="eastAsia" w:ascii="仿宋" w:hAnsi="仿宋" w:eastAsia="仿宋" w:cs="仿宋"/>
                <w:sz w:val="24"/>
                <w:highlight w:val="none"/>
              </w:rPr>
              <w:t>4、中标、成交供应商放弃中标、成交资格导致重新采购的，应当承担支付代理费和专家评审费等费用在内的赔偿责任。</w:t>
            </w:r>
          </w:p>
        </w:tc>
      </w:tr>
      <w:tr w14:paraId="64E34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14:paraId="02EC1518">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14</w:t>
            </w:r>
          </w:p>
          <w:p w14:paraId="138CA0D4">
            <w:pPr>
              <w:adjustRightInd w:val="0"/>
              <w:snapToGrid w:val="0"/>
              <w:spacing w:line="400" w:lineRule="exact"/>
              <w:jc w:val="center"/>
              <w:rPr>
                <w:rFonts w:hint="eastAsia" w:ascii="仿宋" w:hAnsi="仿宋" w:eastAsia="仿宋" w:cs="仿宋"/>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14:paraId="7C322E4B">
            <w:pPr>
              <w:adjustRightInd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联合体投标说明</w:t>
            </w:r>
          </w:p>
          <w:p w14:paraId="1876D953">
            <w:pPr>
              <w:adjustRightInd w:val="0"/>
              <w:snapToGrid w:val="0"/>
              <w:jc w:val="center"/>
              <w:rPr>
                <w:rFonts w:hint="eastAsia" w:ascii="仿宋" w:hAnsi="仿宋" w:eastAsia="仿宋" w:cs="仿宋"/>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10FD181C">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以联合体形式参与投标的，资格文件中：</w:t>
            </w:r>
          </w:p>
          <w:p w14:paraId="649F0352">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1、联合体各方均应提供“符合参加采购活动应当具备的一般条件的承诺函”，否则资格审查不通过。（承诺函格式见采购文件第六部分）</w:t>
            </w:r>
          </w:p>
          <w:p w14:paraId="45EE9E4C">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t>2、资格文件中必须提供联合协议，否则资格审查不通过。（联合协议格式见采购文件第六部分）</w:t>
            </w:r>
          </w:p>
        </w:tc>
      </w:tr>
      <w:tr w14:paraId="26F47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55" w:hRule="atLeast"/>
        </w:trPr>
        <w:tc>
          <w:tcPr>
            <w:tcW w:w="629" w:type="dxa"/>
            <w:vMerge w:val="continue"/>
            <w:tcBorders>
              <w:left w:val="single" w:color="000000" w:sz="8" w:space="0"/>
              <w:right w:val="single" w:color="000000" w:sz="2" w:space="0"/>
            </w:tcBorders>
            <w:noWrap/>
            <w:vAlign w:val="center"/>
          </w:tcPr>
          <w:p w14:paraId="4447F3CA">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left w:val="single" w:color="000000" w:sz="2" w:space="0"/>
              <w:right w:val="single" w:color="000000" w:sz="8" w:space="0"/>
            </w:tcBorders>
            <w:noWrap/>
            <w:vAlign w:val="center"/>
          </w:tcPr>
          <w:p w14:paraId="757D639E">
            <w:pPr>
              <w:adjustRightInd w:val="0"/>
              <w:snapToGrid w:val="0"/>
              <w:jc w:val="center"/>
              <w:rPr>
                <w:rFonts w:hint="eastAsia" w:ascii="仿宋" w:hAnsi="仿宋" w:eastAsia="仿宋" w:cs="仿宋"/>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709B271A">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0C4C2F79">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4ACBF225">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联合体投标的，由联合体牵头方出具相应的业绩证明材料。</w:t>
            </w:r>
          </w:p>
          <w:p w14:paraId="691F2D63">
            <w:pPr>
              <w:pStyle w:val="24"/>
              <w:adjustRightInd w:val="0"/>
              <w:snapToGrid w:val="0"/>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w:t>
            </w:r>
            <w:r>
              <w:rPr>
                <w:rFonts w:hint="eastAsia" w:ascii="仿宋" w:hAnsi="仿宋" w:eastAsia="仿宋" w:cs="仿宋"/>
                <w:kern w:val="28"/>
                <w:sz w:val="24"/>
                <w:szCs w:val="24"/>
                <w:highlight w:val="none"/>
                <w:u w:val="single"/>
                <w:lang w:val="en-US" w:eastAsia="zh-CN"/>
              </w:rPr>
              <w:t>联合体牵头方或者联合体成员根据联合协议分工承担了相应内容的，其提供的材料予以认可。</w:t>
            </w:r>
          </w:p>
        </w:tc>
      </w:tr>
      <w:tr w14:paraId="638DF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55"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14:paraId="4FB04FB0">
            <w:pPr>
              <w:adjustRightInd w:val="0"/>
              <w:snapToGrid w:val="0"/>
              <w:spacing w:line="400" w:lineRule="exact"/>
              <w:jc w:val="center"/>
              <w:rPr>
                <w:rFonts w:hint="eastAsia" w:ascii="仿宋" w:hAnsi="仿宋" w:eastAsia="仿宋" w:cs="仿宋"/>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14:paraId="68852B3D">
            <w:pPr>
              <w:adjustRightInd w:val="0"/>
              <w:snapToGrid w:val="0"/>
              <w:jc w:val="center"/>
              <w:rPr>
                <w:rFonts w:hint="eastAsia" w:ascii="仿宋" w:hAnsi="仿宋" w:eastAsia="仿宋" w:cs="仿宋"/>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14:paraId="6B2CEEB1">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1D033263">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联合体投标的，联合体各方均需按招标文件第四部分评标标准要求提供资信证明文件，否则视为不符合相关要求。</w:t>
            </w:r>
          </w:p>
          <w:p w14:paraId="6C9090D1">
            <w:pPr>
              <w:pStyle w:val="24"/>
              <w:adjustRightInd w:val="0"/>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sym w:font="Wingdings" w:char="00A8"/>
            </w:r>
            <w:r>
              <w:rPr>
                <w:rFonts w:hint="eastAsia" w:ascii="仿宋" w:hAnsi="仿宋" w:eastAsia="仿宋" w:cs="仿宋"/>
                <w:kern w:val="28"/>
                <w:sz w:val="24"/>
                <w:szCs w:val="24"/>
                <w:highlight w:val="none"/>
              </w:rPr>
              <w:t>联合体投标的，联合体牵头方或者联合体成员根据分工按招标文件第四部分评标标准要求提供资信证明文件的，视为符合了相关要求。</w:t>
            </w:r>
          </w:p>
          <w:p w14:paraId="29F2CED2">
            <w:pPr>
              <w:pStyle w:val="24"/>
              <w:adjustRightInd w:val="0"/>
              <w:snapToGrid w:val="0"/>
              <w:rPr>
                <w:rFonts w:hint="eastAsia" w:ascii="仿宋" w:hAnsi="仿宋" w:eastAsia="仿宋" w:cs="仿宋"/>
                <w:snapToGrid w:val="0"/>
                <w:kern w:val="0"/>
                <w:sz w:val="24"/>
                <w:szCs w:val="24"/>
                <w:highlight w:val="none"/>
              </w:rPr>
            </w:pPr>
            <w:r>
              <w:rPr>
                <w:rFonts w:hint="eastAsia" w:ascii="仿宋" w:hAnsi="仿宋" w:eastAsia="仿宋" w:cs="仿宋"/>
                <w:kern w:val="28"/>
                <w:sz w:val="24"/>
                <w:szCs w:val="24"/>
                <w:highlight w:val="none"/>
              </w:rPr>
              <w:sym w:font="Wingdings" w:char="00FE"/>
            </w:r>
            <w:r>
              <w:rPr>
                <w:rFonts w:hint="eastAsia" w:ascii="仿宋" w:hAnsi="仿宋" w:eastAsia="仿宋" w:cs="仿宋"/>
                <w:kern w:val="28"/>
                <w:sz w:val="24"/>
                <w:szCs w:val="24"/>
                <w:highlight w:val="none"/>
              </w:rPr>
              <w:t>其他规定：</w:t>
            </w:r>
            <w:r>
              <w:rPr>
                <w:rFonts w:hint="eastAsia" w:ascii="仿宋" w:hAnsi="仿宋" w:eastAsia="仿宋" w:cs="仿宋"/>
                <w:kern w:val="28"/>
                <w:sz w:val="24"/>
                <w:szCs w:val="24"/>
                <w:highlight w:val="none"/>
                <w:u w:val="single"/>
              </w:rPr>
              <w:t xml:space="preserve"> </w:t>
            </w:r>
            <w:r>
              <w:rPr>
                <w:rFonts w:hint="eastAsia" w:ascii="仿宋" w:hAnsi="仿宋" w:eastAsia="仿宋" w:cs="仿宋"/>
                <w:kern w:val="28"/>
                <w:sz w:val="24"/>
                <w:szCs w:val="24"/>
                <w:highlight w:val="none"/>
                <w:u w:val="single"/>
                <w:lang w:val="en-US" w:eastAsia="zh-CN"/>
              </w:rPr>
              <w:t>联合体牵头方或者联合体成员根据联合协议分工承担了相应内容的，其提供的材料予以认可。</w:t>
            </w:r>
          </w:p>
        </w:tc>
      </w:tr>
    </w:tbl>
    <w:p w14:paraId="768DA698">
      <w:pPr>
        <w:widowControl/>
        <w:adjustRightInd w:val="0"/>
        <w:snapToGrid w:val="0"/>
        <w:spacing w:line="360" w:lineRule="auto"/>
        <w:ind w:firstLine="420" w:firstLineChars="200"/>
        <w:jc w:val="left"/>
        <w:rPr>
          <w:rFonts w:hint="eastAsia" w:ascii="仿宋" w:hAnsi="仿宋" w:eastAsia="仿宋" w:cs="仿宋"/>
          <w:kern w:val="0"/>
          <w:szCs w:val="21"/>
          <w:highlight w:val="none"/>
        </w:rPr>
      </w:pPr>
    </w:p>
    <w:p w14:paraId="59C74DA3">
      <w:pPr>
        <w:rPr>
          <w:rFonts w:hint="eastAsia" w:ascii="仿宋" w:hAnsi="仿宋" w:eastAsia="仿宋" w:cs="仿宋"/>
          <w:szCs w:val="21"/>
          <w:highlight w:val="none"/>
        </w:rPr>
      </w:pPr>
    </w:p>
    <w:p w14:paraId="1CE0524A">
      <w:pPr>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注：以上内容如有变化将另行书面通知。如通知其中某一内容发生变化，其余未提及的将不作变动。</w:t>
      </w:r>
      <w:bookmarkStart w:id="3" w:name="_Toc240450076"/>
      <w:bookmarkStart w:id="4" w:name="_Toc251566649"/>
    </w:p>
    <w:p w14:paraId="5341BF2B">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szCs w:val="21"/>
          <w:highlight w:val="none"/>
        </w:rPr>
        <w:br w:type="page"/>
      </w:r>
      <w:bookmarkStart w:id="5" w:name="_Toc20168"/>
      <w:bookmarkStart w:id="6" w:name="_Toc2187"/>
      <w:r>
        <w:rPr>
          <w:rFonts w:hint="eastAsia" w:ascii="仿宋" w:hAnsi="仿宋" w:eastAsia="仿宋" w:cs="仿宋"/>
          <w:b/>
          <w:sz w:val="30"/>
          <w:szCs w:val="30"/>
          <w:highlight w:val="none"/>
        </w:rPr>
        <w:t>第二部分  投标须知</w:t>
      </w:r>
      <w:bookmarkEnd w:id="3"/>
      <w:bookmarkEnd w:id="4"/>
      <w:bookmarkEnd w:id="5"/>
      <w:bookmarkEnd w:id="6"/>
    </w:p>
    <w:p w14:paraId="7A38DA93">
      <w:pPr>
        <w:spacing w:line="360" w:lineRule="auto"/>
        <w:jc w:val="center"/>
        <w:outlineLvl w:val="1"/>
        <w:rPr>
          <w:rFonts w:ascii="仿宋" w:hAnsi="仿宋" w:eastAsia="仿宋" w:cs="仿宋_GB2312"/>
          <w:b/>
          <w:sz w:val="32"/>
          <w:szCs w:val="20"/>
          <w:highlight w:val="none"/>
        </w:rPr>
      </w:pPr>
      <w:bookmarkStart w:id="7" w:name="_Toc29733"/>
      <w:bookmarkStart w:id="8" w:name="_Toc144713056"/>
      <w:bookmarkStart w:id="9" w:name="_Toc3993"/>
      <w:bookmarkStart w:id="10" w:name="_Toc5875"/>
      <w:r>
        <w:rPr>
          <w:rFonts w:hint="eastAsia" w:ascii="仿宋" w:hAnsi="仿宋" w:eastAsia="仿宋" w:cs="仿宋_GB2312"/>
          <w:b/>
          <w:sz w:val="32"/>
          <w:szCs w:val="20"/>
          <w:highlight w:val="none"/>
        </w:rPr>
        <w:t>一、总则</w:t>
      </w:r>
      <w:bookmarkEnd w:id="7"/>
      <w:bookmarkEnd w:id="8"/>
      <w:bookmarkEnd w:id="9"/>
      <w:bookmarkEnd w:id="10"/>
    </w:p>
    <w:p w14:paraId="4F950BEE">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适用范围</w:t>
      </w:r>
    </w:p>
    <w:p w14:paraId="23DA037A">
      <w:pPr>
        <w:snapToGrid w:val="0"/>
        <w:spacing w:line="360" w:lineRule="auto"/>
        <w:ind w:firstLine="480" w:firstLineChars="200"/>
        <w:jc w:val="left"/>
        <w:rPr>
          <w:rFonts w:ascii="仿宋" w:hAnsi="仿宋" w:eastAsia="仿宋"/>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14:paraId="022C8293">
      <w:pPr>
        <w:numPr>
          <w:ilvl w:val="0"/>
          <w:numId w:val="4"/>
        </w:numPr>
        <w:tabs>
          <w:tab w:val="left" w:pos="210"/>
        </w:tabs>
        <w:snapToGrid w:val="0"/>
        <w:spacing w:line="360" w:lineRule="auto"/>
        <w:jc w:val="left"/>
        <w:outlineLvl w:val="2"/>
        <w:rPr>
          <w:rFonts w:ascii="仿宋" w:hAnsi="仿宋" w:eastAsia="仿宋"/>
          <w:b/>
          <w:sz w:val="24"/>
          <w:highlight w:val="none"/>
        </w:rPr>
      </w:pPr>
      <w:r>
        <w:rPr>
          <w:rFonts w:ascii="仿宋" w:hAnsi="仿宋" w:eastAsia="仿宋"/>
          <w:b/>
          <w:sz w:val="24"/>
          <w:highlight w:val="none"/>
        </w:rPr>
        <w:t>定义</w:t>
      </w:r>
    </w:p>
    <w:p w14:paraId="24D99986">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“采购人”系指招标公告中载明的本项目的采购人。</w:t>
      </w:r>
    </w:p>
    <w:p w14:paraId="217587DD">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“采购代理机构”系指招标公告中载明的本项目的采购代理机构。</w:t>
      </w:r>
    </w:p>
    <w:p w14:paraId="37711402">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“投标人”系指响应招标、参加投标竞争的法人、其他组织或者自然人。</w:t>
      </w:r>
    </w:p>
    <w:p w14:paraId="0355C545">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“负责人”系指法人企业的法定负责人，或其他组织为法律、行政法规规定代表单位行使职权的主要负责人，或自然人本人。</w:t>
      </w:r>
    </w:p>
    <w:p w14:paraId="0C21CEBC">
      <w:pPr>
        <w:numPr>
          <w:ilvl w:val="1"/>
          <w:numId w:val="4"/>
        </w:numPr>
        <w:spacing w:line="360" w:lineRule="auto"/>
        <w:rPr>
          <w:rFonts w:ascii="仿宋" w:hAnsi="仿宋" w:eastAsia="仿宋"/>
          <w:sz w:val="24"/>
          <w:highlight w:val="none"/>
        </w:rPr>
      </w:pPr>
      <w:r>
        <w:rPr>
          <w:rFonts w:ascii="仿宋" w:hAnsi="仿宋" w:eastAsia="仿宋"/>
          <w:sz w:val="24"/>
          <w:highlight w:val="none"/>
        </w:rPr>
        <w:t>“电子签名”系指数据电文中以电子形式所含、所附用于识别签名人身份并表明签名人认可其中内容的数据；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 w:hAnsi="仿宋" w:eastAsia="仿宋"/>
          <w:sz w:val="24"/>
          <w:highlight w:val="none"/>
        </w:rPr>
        <w:t>。</w:t>
      </w:r>
    </w:p>
    <w:p w14:paraId="45A46264">
      <w:pPr>
        <w:numPr>
          <w:ilvl w:val="1"/>
          <w:numId w:val="4"/>
        </w:numPr>
        <w:spacing w:line="360" w:lineRule="auto"/>
        <w:rPr>
          <w:rFonts w:ascii="仿宋" w:hAnsi="仿宋" w:eastAsia="仿宋"/>
          <w:sz w:val="24"/>
          <w:highlight w:val="none"/>
        </w:rPr>
      </w:pPr>
      <w:r>
        <w:rPr>
          <w:rFonts w:ascii="仿宋" w:hAnsi="仿宋" w:eastAsia="仿宋"/>
          <w:sz w:val="24"/>
          <w:highlight w:val="none"/>
        </w:rPr>
        <w:t>“电子交易平台”是指本项目政府采购活动所依托的政府采购云平台（https://www.zcygov.cn/）。</w:t>
      </w:r>
    </w:p>
    <w:p w14:paraId="2815A0D0">
      <w:pPr>
        <w:numPr>
          <w:ilvl w:val="1"/>
          <w:numId w:val="4"/>
        </w:numPr>
        <w:spacing w:line="360" w:lineRule="auto"/>
        <w:rPr>
          <w:rFonts w:ascii="仿宋" w:hAnsi="仿宋" w:eastAsia="仿宋"/>
          <w:b/>
          <w:sz w:val="24"/>
          <w:highlight w:val="none"/>
        </w:rPr>
      </w:pPr>
      <w:r>
        <w:rPr>
          <w:rFonts w:hint="eastAsia" w:ascii="仿宋" w:hAnsi="仿宋" w:eastAsia="仿宋"/>
          <w:sz w:val="24"/>
          <w:highlight w:val="none"/>
        </w:rPr>
        <w:t>“▲” 系指实质性要求条款，“★”系关键技术指标，“</w:t>
      </w:r>
      <w:r>
        <w:rPr>
          <w:rFonts w:hint="eastAsia" w:ascii="仿宋" w:hAnsi="仿宋" w:eastAsia="仿宋" w:cs="仿宋"/>
          <w:kern w:val="28"/>
          <w:sz w:val="24"/>
          <w:highlight w:val="none"/>
        </w:rPr>
        <w:sym w:font="Wingdings" w:char="00FE"/>
      </w:r>
      <w:r>
        <w:rPr>
          <w:rFonts w:hint="eastAsia" w:ascii="仿宋" w:hAnsi="仿宋" w:eastAsia="仿宋"/>
          <w:sz w:val="24"/>
          <w:highlight w:val="none"/>
        </w:rPr>
        <w:t>” 系指适用本项目的要求，“</w:t>
      </w:r>
      <w:r>
        <w:rPr>
          <w:rFonts w:ascii="Segoe UI Symbol" w:hAnsi="Segoe UI Symbol" w:eastAsia="仿宋" w:cs="Segoe UI Symbol"/>
          <w:sz w:val="24"/>
          <w:highlight w:val="none"/>
        </w:rPr>
        <w:t>☐</w:t>
      </w:r>
      <w:r>
        <w:rPr>
          <w:rFonts w:hint="eastAsia" w:ascii="仿宋" w:hAnsi="仿宋" w:eastAsia="仿宋"/>
          <w:sz w:val="24"/>
          <w:highlight w:val="none"/>
        </w:rPr>
        <w:t>” 系指不适用本项目的要求。</w:t>
      </w:r>
    </w:p>
    <w:p w14:paraId="171A2EC6">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采购项目需要落实的政府采购政策</w:t>
      </w:r>
    </w:p>
    <w:p w14:paraId="308A8A2C">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0854003">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支持绿色发展</w:t>
      </w:r>
    </w:p>
    <w:p w14:paraId="49BC57F4">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8F35F80">
      <w:pPr>
        <w:spacing w:line="360" w:lineRule="auto"/>
        <w:ind w:firstLine="480" w:firstLineChars="200"/>
        <w:rPr>
          <w:rFonts w:ascii="仿宋" w:hAnsi="仿宋" w:eastAsia="仿宋"/>
          <w:b/>
          <w:sz w:val="24"/>
          <w:highlight w:val="none"/>
        </w:rPr>
      </w:pPr>
      <w:r>
        <w:rPr>
          <w:rFonts w:ascii="仿宋" w:hAnsi="仿宋" w:eastAsia="仿宋"/>
          <w:sz w:val="24"/>
          <w:highlight w:val="none"/>
        </w:rPr>
        <w:t>▲</w:t>
      </w:r>
      <w:r>
        <w:rPr>
          <w:rFonts w:hint="eastAsia" w:ascii="仿宋" w:hAnsi="仿宋" w:eastAsia="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8C53AF8">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7558E82C">
      <w:pPr>
        <w:numPr>
          <w:ilvl w:val="2"/>
          <w:numId w:val="4"/>
        </w:numPr>
        <w:spacing w:line="360" w:lineRule="auto"/>
        <w:rPr>
          <w:rFonts w:ascii="仿宋_GB2312" w:hAnsi="仿宋" w:eastAsia="仿宋_GB2312"/>
          <w:sz w:val="24"/>
          <w:highlight w:val="none"/>
        </w:rPr>
      </w:pP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078082">
      <w:pPr>
        <w:numPr>
          <w:ilvl w:val="2"/>
          <w:numId w:val="4"/>
        </w:numPr>
        <w:spacing w:line="360" w:lineRule="auto"/>
        <w:rPr>
          <w:rFonts w:ascii="仿宋_GB2312" w:hAnsi="仿宋" w:eastAsia="仿宋_GB2312"/>
          <w:sz w:val="24"/>
          <w:highlight w:val="none"/>
        </w:rPr>
      </w:pPr>
      <w:r>
        <w:rPr>
          <w:rFonts w:hint="eastAsia" w:ascii="仿宋_GB2312" w:hAnsi="仿宋" w:eastAsia="仿宋_GB2312"/>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17D215">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支持中小企业发展</w:t>
      </w:r>
    </w:p>
    <w:p w14:paraId="481DE080">
      <w:pPr>
        <w:numPr>
          <w:ilvl w:val="2"/>
          <w:numId w:val="4"/>
        </w:numPr>
        <w:spacing w:line="360" w:lineRule="auto"/>
        <w:rPr>
          <w:rFonts w:ascii="仿宋" w:hAnsi="仿宋" w:eastAsia="仿宋"/>
          <w:sz w:val="24"/>
          <w:highlight w:val="none"/>
        </w:rPr>
      </w:pPr>
      <w:r>
        <w:rPr>
          <w:rFonts w:ascii="仿宋" w:hAnsi="仿宋" w:eastAsia="仿宋"/>
          <w:b/>
          <w:bCs/>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8DFF618">
      <w:pPr>
        <w:spacing w:line="360" w:lineRule="auto"/>
        <w:ind w:firstLine="840" w:firstLineChars="35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79C16077">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631F89C4">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以联合体形式参加政府采购活动，联合体各方均为中小企业的，联合体视同中小企业。其中，联合体各方均为小微企业的，联合体视同小微企业。</w:t>
      </w:r>
    </w:p>
    <w:p w14:paraId="7032341E">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b/>
          <w:bCs/>
          <w:sz w:val="24"/>
          <w:highlight w:val="none"/>
        </w:rPr>
        <w:t>10%</w:t>
      </w:r>
      <w:r>
        <w:rPr>
          <w:rFonts w:hint="eastAsia" w:ascii="仿宋" w:hAnsi="仿宋" w:eastAsia="仿宋"/>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b/>
          <w:bCs/>
          <w:sz w:val="24"/>
          <w:highlight w:val="none"/>
        </w:rPr>
        <w:t>4%</w:t>
      </w:r>
      <w:r>
        <w:rPr>
          <w:rFonts w:hint="eastAsia" w:ascii="仿宋" w:hAnsi="仿宋" w:eastAsia="仿宋"/>
          <w:sz w:val="24"/>
          <w:highlight w:val="none"/>
        </w:rPr>
        <w:t>的扣除，用扣除后的价格参加评审。组成联合体或者接受分包的小微企业与联合体内其他企业、分包企业之间存在直接控股、管理关系的，不享受价格扣除优惠政策。</w:t>
      </w:r>
    </w:p>
    <w:p w14:paraId="795BE288">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符合《关于促进残疾人就业政府采购政策的通知》（财库〔2017〕141号）规定的条件并提供《残疾人福利性单位声明函》（附件1）的残疾人福利性单位视同小型、微型企业；</w:t>
      </w:r>
    </w:p>
    <w:p w14:paraId="7A3B62B7">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符合《关于政府采购支持监狱企业发展有关问题的通知》（财库</w:t>
      </w:r>
      <w:r>
        <w:rPr>
          <w:rFonts w:hint="eastAsia" w:ascii="仿宋" w:hAnsi="仿宋" w:eastAsia="仿宋"/>
          <w:sz w:val="24"/>
          <w:highlight w:val="none"/>
          <w:lang w:eastAsia="zh-CN"/>
        </w:rPr>
        <w:t>〔2014〕68号</w:t>
      </w:r>
      <w:r>
        <w:rPr>
          <w:rFonts w:hint="eastAsia" w:ascii="仿宋" w:hAnsi="仿宋" w:eastAsia="仿宋"/>
          <w:sz w:val="24"/>
          <w:highlight w:val="none"/>
        </w:rPr>
        <w:t>）规定的监狱企业并提供由省级以上监狱管理局、戒毒管理局（含新疆生产建设兵团）出具的属于监狱企业证明文件的，视同为小型、微型企业。</w:t>
      </w:r>
    </w:p>
    <w:p w14:paraId="74045EFD">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733CF8">
      <w:pPr>
        <w:numPr>
          <w:ilvl w:val="2"/>
          <w:numId w:val="4"/>
        </w:numPr>
        <w:spacing w:line="360" w:lineRule="auto"/>
        <w:rPr>
          <w:rFonts w:ascii="仿宋" w:hAnsi="仿宋" w:eastAsia="仿宋"/>
          <w:sz w:val="24"/>
          <w:highlight w:val="none"/>
        </w:rPr>
      </w:pPr>
      <w:r>
        <w:rPr>
          <w:rFonts w:hint="eastAsia" w:ascii="仿宋" w:hAnsi="仿宋" w:eastAsia="仿宋"/>
          <w:sz w:val="24"/>
          <w:highlight w:val="none"/>
        </w:rPr>
        <w:t>中小企业享受扶持政策获得政府采购合同的，小微企业不得将合同分包给大中型企业，中型企业不得将合同分包给大型企业。</w:t>
      </w:r>
    </w:p>
    <w:p w14:paraId="4EDFE072">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支持创新发展</w:t>
      </w:r>
    </w:p>
    <w:p w14:paraId="7AFEF63A">
      <w:pPr>
        <w:numPr>
          <w:ilvl w:val="2"/>
          <w:numId w:val="4"/>
        </w:numPr>
        <w:spacing w:line="360" w:lineRule="auto"/>
        <w:rPr>
          <w:rFonts w:ascii="仿宋" w:hAnsi="仿宋" w:eastAsia="仿宋"/>
          <w:sz w:val="24"/>
          <w:highlight w:val="none"/>
        </w:rPr>
      </w:pPr>
      <w:r>
        <w:rPr>
          <w:rFonts w:ascii="仿宋" w:hAnsi="仿宋" w:eastAsia="仿宋"/>
          <w:sz w:val="24"/>
          <w:highlight w:val="none"/>
        </w:rPr>
        <w:t>采购人优先采购被认定</w:t>
      </w:r>
      <w:r>
        <w:rPr>
          <w:rFonts w:hint="eastAsia" w:ascii="仿宋" w:hAnsi="仿宋" w:eastAsia="仿宋"/>
          <w:sz w:val="24"/>
          <w:highlight w:val="none"/>
        </w:rPr>
        <w:t>为首台套产品和“制造精品”的自主创新产品。</w:t>
      </w:r>
    </w:p>
    <w:p w14:paraId="4E9D24D3">
      <w:pPr>
        <w:numPr>
          <w:ilvl w:val="2"/>
          <w:numId w:val="4"/>
        </w:numPr>
        <w:spacing w:line="360" w:lineRule="auto"/>
        <w:rPr>
          <w:rFonts w:ascii="仿宋" w:hAnsi="仿宋" w:eastAsia="仿宋" w:cs="仿宋"/>
          <w:sz w:val="24"/>
          <w:highlight w:val="none"/>
        </w:rPr>
      </w:pPr>
      <w:r>
        <w:rPr>
          <w:rFonts w:hint="eastAsia" w:ascii="仿宋" w:hAnsi="仿宋" w:eastAsia="仿宋" w:cs="仿宋"/>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C5319C">
      <w:pPr>
        <w:numPr>
          <w:ilvl w:val="2"/>
          <w:numId w:val="4"/>
        </w:numPr>
        <w:spacing w:line="360" w:lineRule="auto"/>
        <w:rPr>
          <w:rFonts w:ascii="仿宋" w:hAnsi="仿宋" w:eastAsia="仿宋" w:cs="Times New Roman"/>
          <w:sz w:val="24"/>
          <w:highlight w:val="none"/>
        </w:rPr>
      </w:pPr>
      <w:r>
        <w:rPr>
          <w:rFonts w:hint="default" w:ascii="仿宋" w:hAnsi="仿宋" w:eastAsia="仿宋" w:cs="Times New Roman"/>
          <w:b w:val="0"/>
          <w:bCs w:val="0"/>
          <w:sz w:val="24"/>
          <w:szCs w:val="24"/>
          <w:highlight w:val="none"/>
          <w:lang w:val="en-US" w:eastAsia="zh-CN"/>
        </w:rPr>
        <w:t>采购人应当贯彻落实知识产权保护相关法律法规，</w:t>
      </w:r>
      <w:r>
        <w:rPr>
          <w:rFonts w:hint="default" w:ascii="仿宋" w:hAnsi="仿宋" w:eastAsia="仿宋" w:cs="Times New Roman"/>
          <w:b w:val="0"/>
          <w:bCs w:val="0"/>
          <w:sz w:val="24"/>
          <w:szCs w:val="24"/>
          <w:highlight w:val="none"/>
          <w:lang w:val="en-US"/>
        </w:rPr>
        <w:t>应当采购使用正版软件</w:t>
      </w:r>
      <w:r>
        <w:rPr>
          <w:rFonts w:hint="eastAsia" w:ascii="仿宋" w:hAnsi="仿宋" w:eastAsia="仿宋" w:cs="Times New Roman"/>
          <w:b w:val="0"/>
          <w:bCs w:val="0"/>
          <w:sz w:val="24"/>
          <w:szCs w:val="24"/>
          <w:highlight w:val="none"/>
          <w:lang w:val="en-US" w:eastAsia="zh-CN"/>
        </w:rPr>
        <w:t>。</w:t>
      </w:r>
    </w:p>
    <w:p w14:paraId="46A911ED">
      <w:pPr>
        <w:numPr>
          <w:ilvl w:val="1"/>
          <w:numId w:val="4"/>
        </w:numPr>
        <w:spacing w:line="360" w:lineRule="auto"/>
        <w:rPr>
          <w:rFonts w:ascii="仿宋" w:hAnsi="仿宋" w:eastAsia="仿宋"/>
          <w:sz w:val="24"/>
          <w:highlight w:val="none"/>
        </w:rPr>
      </w:pPr>
      <w:r>
        <w:rPr>
          <w:rFonts w:hint="eastAsia" w:ascii="仿宋" w:hAnsi="仿宋" w:eastAsia="仿宋"/>
          <w:sz w:val="24"/>
          <w:highlight w:val="none"/>
        </w:rPr>
        <w:t>平等对待内外资企业和符合条件的破产重整企业</w:t>
      </w:r>
    </w:p>
    <w:p w14:paraId="42D72A5E">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平等对待内外资企业和符合条件的破产重整企业，切实保障企业公平竞争，平等维护企业的合法利益。</w:t>
      </w:r>
    </w:p>
    <w:p w14:paraId="306FCFAD">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询问、质疑、投诉</w:t>
      </w:r>
    </w:p>
    <w:p w14:paraId="2CBE2E8F">
      <w:pPr>
        <w:numPr>
          <w:ilvl w:val="1"/>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321BFE">
      <w:pPr>
        <w:numPr>
          <w:ilvl w:val="1"/>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供应商询问</w:t>
      </w:r>
    </w:p>
    <w:p w14:paraId="3227906E">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供应商对政府采购活动事项有疑问的，可以提出询问，采购人或者采购代理机构应当在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575135BE">
      <w:pPr>
        <w:numPr>
          <w:ilvl w:val="1"/>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供应商质疑</w:t>
      </w:r>
    </w:p>
    <w:p w14:paraId="65BCE348">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提出质疑的供应商应当是参与所质疑项目采购活动的供应商。潜在供应商已依法获取其可质疑的招标文件的，可以对该文件提出质疑。</w:t>
      </w:r>
    </w:p>
    <w:p w14:paraId="22CB0177">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5BA2D3">
      <w:pPr>
        <w:numPr>
          <w:ilvl w:val="3"/>
          <w:numId w:val="4"/>
        </w:numPr>
        <w:tabs>
          <w:tab w:val="left" w:pos="210"/>
          <w:tab w:val="left" w:pos="1050"/>
        </w:tabs>
        <w:snapToGrid w:val="0"/>
        <w:spacing w:line="360" w:lineRule="auto"/>
        <w:ind w:left="1050" w:hanging="1050"/>
        <w:jc w:val="left"/>
        <w:rPr>
          <w:rFonts w:ascii="仿宋" w:hAnsi="仿宋" w:eastAsia="仿宋"/>
          <w:bCs/>
          <w:sz w:val="24"/>
          <w:highlight w:val="none"/>
          <w:lang w:val="zh-CN"/>
        </w:rPr>
      </w:pPr>
      <w:r>
        <w:rPr>
          <w:rFonts w:hint="eastAsia" w:ascii="仿宋" w:hAnsi="仿宋" w:eastAsia="仿宋"/>
          <w:bCs/>
          <w:sz w:val="24"/>
          <w:highlight w:val="none"/>
          <w:lang w:val="zh-CN"/>
        </w:rPr>
        <w:t>对招标文件提出质疑的，质疑期限为供应商获得招标文件之日或者招标文件公告期限届满之日起计算。</w:t>
      </w:r>
    </w:p>
    <w:p w14:paraId="1D80F99E">
      <w:pPr>
        <w:numPr>
          <w:ilvl w:val="3"/>
          <w:numId w:val="4"/>
        </w:numPr>
        <w:tabs>
          <w:tab w:val="left" w:pos="210"/>
          <w:tab w:val="left" w:pos="1050"/>
        </w:tabs>
        <w:snapToGrid w:val="0"/>
        <w:spacing w:line="360" w:lineRule="auto"/>
        <w:ind w:left="1050" w:hanging="1050"/>
        <w:jc w:val="left"/>
        <w:rPr>
          <w:rFonts w:ascii="仿宋" w:hAnsi="仿宋" w:eastAsia="仿宋"/>
          <w:bCs/>
          <w:sz w:val="24"/>
          <w:highlight w:val="none"/>
          <w:lang w:val="zh-CN"/>
        </w:rPr>
      </w:pPr>
      <w:r>
        <w:rPr>
          <w:rFonts w:hint="eastAsia" w:ascii="仿宋" w:hAnsi="仿宋" w:eastAsia="仿宋"/>
          <w:bCs/>
          <w:sz w:val="24"/>
          <w:highlight w:val="none"/>
          <w:lang w:val="zh-CN"/>
        </w:rPr>
        <w:t>对采购过程提出质疑的，质疑期限为各采购程序环节结束之日起计算。</w:t>
      </w:r>
    </w:p>
    <w:p w14:paraId="7CF53653">
      <w:pPr>
        <w:numPr>
          <w:ilvl w:val="3"/>
          <w:numId w:val="4"/>
        </w:numPr>
        <w:tabs>
          <w:tab w:val="left" w:pos="210"/>
          <w:tab w:val="left" w:pos="1050"/>
        </w:tabs>
        <w:snapToGrid w:val="0"/>
        <w:spacing w:line="360" w:lineRule="auto"/>
        <w:ind w:left="1050" w:hanging="1050"/>
        <w:jc w:val="left"/>
        <w:rPr>
          <w:rFonts w:ascii="仿宋" w:hAnsi="仿宋" w:eastAsia="仿宋"/>
          <w:bCs/>
          <w:sz w:val="24"/>
          <w:highlight w:val="none"/>
          <w:lang w:val="zh-CN"/>
        </w:rPr>
      </w:pPr>
      <w:r>
        <w:rPr>
          <w:rFonts w:hint="eastAsia" w:ascii="仿宋" w:hAnsi="仿宋" w:eastAsia="仿宋"/>
          <w:bCs/>
          <w:sz w:val="24"/>
          <w:highlight w:val="none"/>
          <w:lang w:val="zh-CN"/>
        </w:rPr>
        <w:t>对采购结果提出质疑的，质疑期限自采购结果公告期限届满之日起计算。</w:t>
      </w:r>
    </w:p>
    <w:p w14:paraId="0693B43B">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供应商提出质疑应当提交质疑函和必要的证明材料。质疑函应当包括下列内容：</w:t>
      </w:r>
    </w:p>
    <w:p w14:paraId="372D8029">
      <w:pPr>
        <w:numPr>
          <w:ilvl w:val="3"/>
          <w:numId w:val="4"/>
        </w:numPr>
        <w:tabs>
          <w:tab w:val="left" w:pos="210"/>
          <w:tab w:val="left" w:pos="1050"/>
        </w:tabs>
        <w:snapToGrid w:val="0"/>
        <w:spacing w:line="360" w:lineRule="auto"/>
        <w:ind w:hanging="210"/>
        <w:jc w:val="left"/>
        <w:rPr>
          <w:rFonts w:ascii="仿宋" w:hAnsi="仿宋" w:eastAsia="仿宋"/>
          <w:bCs/>
          <w:sz w:val="24"/>
          <w:highlight w:val="none"/>
          <w:lang w:val="zh-CN"/>
        </w:rPr>
      </w:pPr>
      <w:r>
        <w:rPr>
          <w:rFonts w:hint="eastAsia" w:ascii="仿宋" w:hAnsi="仿宋" w:eastAsia="仿宋"/>
          <w:bCs/>
          <w:sz w:val="24"/>
          <w:highlight w:val="none"/>
          <w:lang w:val="zh-CN"/>
        </w:rPr>
        <w:t>供应商的姓名或者名称、地址、邮编、联系人及联系电话；</w:t>
      </w:r>
    </w:p>
    <w:p w14:paraId="543E8CDB">
      <w:pPr>
        <w:numPr>
          <w:ilvl w:val="3"/>
          <w:numId w:val="4"/>
        </w:numPr>
        <w:tabs>
          <w:tab w:val="left" w:pos="210"/>
          <w:tab w:val="left" w:pos="1050"/>
        </w:tabs>
        <w:snapToGrid w:val="0"/>
        <w:spacing w:line="360" w:lineRule="auto"/>
        <w:ind w:hanging="210"/>
        <w:jc w:val="left"/>
        <w:rPr>
          <w:rFonts w:ascii="仿宋" w:hAnsi="仿宋" w:eastAsia="仿宋"/>
          <w:bCs/>
          <w:sz w:val="24"/>
          <w:highlight w:val="none"/>
          <w:lang w:val="zh-CN"/>
        </w:rPr>
      </w:pPr>
      <w:r>
        <w:rPr>
          <w:rFonts w:hint="eastAsia" w:ascii="仿宋" w:hAnsi="仿宋" w:eastAsia="仿宋"/>
          <w:bCs/>
          <w:sz w:val="24"/>
          <w:highlight w:val="none"/>
          <w:lang w:val="zh-CN"/>
        </w:rPr>
        <w:t>质疑项目的名称、编号；</w:t>
      </w:r>
    </w:p>
    <w:p w14:paraId="49527099">
      <w:pPr>
        <w:numPr>
          <w:ilvl w:val="3"/>
          <w:numId w:val="4"/>
        </w:numPr>
        <w:tabs>
          <w:tab w:val="left" w:pos="210"/>
          <w:tab w:val="left" w:pos="1050"/>
        </w:tabs>
        <w:snapToGrid w:val="0"/>
        <w:spacing w:line="360" w:lineRule="auto"/>
        <w:ind w:hanging="210"/>
        <w:jc w:val="left"/>
        <w:rPr>
          <w:rFonts w:ascii="仿宋" w:hAnsi="仿宋" w:eastAsia="仿宋"/>
          <w:bCs/>
          <w:sz w:val="24"/>
          <w:highlight w:val="none"/>
          <w:lang w:val="zh-CN"/>
        </w:rPr>
      </w:pPr>
      <w:r>
        <w:rPr>
          <w:rFonts w:hint="eastAsia" w:ascii="仿宋" w:hAnsi="仿宋" w:eastAsia="仿宋"/>
          <w:bCs/>
          <w:sz w:val="24"/>
          <w:highlight w:val="none"/>
          <w:lang w:val="zh-CN"/>
        </w:rPr>
        <w:t>具体、明确的质疑事项和与质疑事项相关的请求；</w:t>
      </w:r>
    </w:p>
    <w:p w14:paraId="7A05778D">
      <w:pPr>
        <w:numPr>
          <w:ilvl w:val="3"/>
          <w:numId w:val="4"/>
        </w:numPr>
        <w:tabs>
          <w:tab w:val="left" w:pos="210"/>
          <w:tab w:val="left" w:pos="1050"/>
        </w:tabs>
        <w:snapToGrid w:val="0"/>
        <w:spacing w:line="360" w:lineRule="auto"/>
        <w:ind w:hanging="210"/>
        <w:jc w:val="left"/>
        <w:rPr>
          <w:rFonts w:ascii="仿宋" w:hAnsi="仿宋" w:eastAsia="仿宋"/>
          <w:bCs/>
          <w:sz w:val="24"/>
          <w:highlight w:val="none"/>
          <w:lang w:val="zh-CN"/>
        </w:rPr>
      </w:pPr>
      <w:r>
        <w:rPr>
          <w:rFonts w:hint="eastAsia" w:ascii="仿宋" w:hAnsi="仿宋" w:eastAsia="仿宋"/>
          <w:bCs/>
          <w:sz w:val="24"/>
          <w:highlight w:val="none"/>
          <w:lang w:val="zh-CN"/>
        </w:rPr>
        <w:t>事实依据；</w:t>
      </w:r>
    </w:p>
    <w:p w14:paraId="3FDE034B">
      <w:pPr>
        <w:numPr>
          <w:ilvl w:val="3"/>
          <w:numId w:val="4"/>
        </w:numPr>
        <w:tabs>
          <w:tab w:val="left" w:pos="210"/>
          <w:tab w:val="left" w:pos="1050"/>
        </w:tabs>
        <w:snapToGrid w:val="0"/>
        <w:spacing w:line="360" w:lineRule="auto"/>
        <w:ind w:hanging="210"/>
        <w:jc w:val="left"/>
        <w:rPr>
          <w:rFonts w:ascii="仿宋" w:hAnsi="仿宋" w:eastAsia="仿宋"/>
          <w:bCs/>
          <w:sz w:val="24"/>
          <w:highlight w:val="none"/>
          <w:lang w:val="zh-CN"/>
        </w:rPr>
      </w:pPr>
      <w:r>
        <w:rPr>
          <w:rFonts w:hint="eastAsia" w:ascii="仿宋" w:hAnsi="仿宋" w:eastAsia="仿宋"/>
          <w:bCs/>
          <w:sz w:val="24"/>
          <w:highlight w:val="none"/>
          <w:lang w:val="zh-CN"/>
        </w:rPr>
        <w:t>必要的法律依据；</w:t>
      </w:r>
    </w:p>
    <w:p w14:paraId="04A3E03A">
      <w:pPr>
        <w:numPr>
          <w:ilvl w:val="3"/>
          <w:numId w:val="4"/>
        </w:numPr>
        <w:tabs>
          <w:tab w:val="left" w:pos="210"/>
          <w:tab w:val="left" w:pos="1050"/>
        </w:tabs>
        <w:snapToGrid w:val="0"/>
        <w:spacing w:line="360" w:lineRule="auto"/>
        <w:ind w:hanging="210"/>
        <w:jc w:val="left"/>
        <w:rPr>
          <w:rFonts w:ascii="仿宋" w:hAnsi="仿宋" w:eastAsia="仿宋"/>
          <w:bCs/>
          <w:sz w:val="24"/>
          <w:highlight w:val="none"/>
          <w:lang w:val="zh-CN"/>
        </w:rPr>
      </w:pPr>
      <w:r>
        <w:rPr>
          <w:rFonts w:hint="eastAsia" w:ascii="仿宋" w:hAnsi="仿宋" w:eastAsia="仿宋"/>
          <w:bCs/>
          <w:sz w:val="24"/>
          <w:highlight w:val="none"/>
          <w:lang w:val="zh-CN"/>
        </w:rPr>
        <w:t>提出质疑的日期。</w:t>
      </w:r>
    </w:p>
    <w:p w14:paraId="6BA21D03">
      <w:pPr>
        <w:tabs>
          <w:tab w:val="left" w:pos="210"/>
        </w:tabs>
        <w:snapToGrid w:val="0"/>
        <w:spacing w:line="360" w:lineRule="auto"/>
        <w:ind w:firstLine="480" w:firstLineChars="200"/>
        <w:jc w:val="left"/>
        <w:rPr>
          <w:rFonts w:ascii="仿宋" w:hAnsi="仿宋" w:eastAsia="仿宋"/>
          <w:bCs/>
          <w:sz w:val="24"/>
          <w:highlight w:val="none"/>
          <w:lang w:val="zh-CN"/>
        </w:rPr>
      </w:pPr>
      <w:r>
        <w:rPr>
          <w:rFonts w:hint="eastAsia" w:ascii="仿宋" w:hAnsi="仿宋" w:eastAsia="仿宋"/>
          <w:bCs/>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DBFB28A">
      <w:pPr>
        <w:tabs>
          <w:tab w:val="left" w:pos="210"/>
        </w:tabs>
        <w:snapToGrid w:val="0"/>
        <w:spacing w:line="360" w:lineRule="auto"/>
        <w:ind w:firstLine="480" w:firstLineChars="200"/>
        <w:jc w:val="left"/>
        <w:rPr>
          <w:rFonts w:ascii="仿宋" w:hAnsi="仿宋" w:eastAsia="仿宋"/>
          <w:bCs/>
          <w:sz w:val="24"/>
          <w:highlight w:val="none"/>
          <w:lang w:val="zh-CN"/>
        </w:rPr>
      </w:pPr>
      <w:r>
        <w:rPr>
          <w:rFonts w:hint="eastAsia" w:ascii="仿宋" w:hAnsi="仿宋" w:eastAsia="仿宋"/>
          <w:bCs/>
          <w:sz w:val="24"/>
          <w:highlight w:val="none"/>
          <w:lang w:val="zh-CN"/>
        </w:rPr>
        <w:t>质疑函范本及制作说明详见附件2。</w:t>
      </w:r>
    </w:p>
    <w:p w14:paraId="4C27A99F">
      <w:pPr>
        <w:numPr>
          <w:ilvl w:val="2"/>
          <w:numId w:val="4"/>
        </w:numPr>
        <w:tabs>
          <w:tab w:val="left" w:pos="210"/>
          <w:tab w:val="left" w:pos="84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对同一采购程序环节的质疑，供应商须在法定质疑期内一次性提出。</w:t>
      </w:r>
    </w:p>
    <w:p w14:paraId="05B44FE3">
      <w:pPr>
        <w:numPr>
          <w:ilvl w:val="2"/>
          <w:numId w:val="4"/>
        </w:numPr>
        <w:tabs>
          <w:tab w:val="left" w:pos="210"/>
          <w:tab w:val="left" w:pos="840"/>
        </w:tabs>
        <w:snapToGrid w:val="0"/>
        <w:spacing w:line="360" w:lineRule="auto"/>
        <w:jc w:val="left"/>
        <w:outlineLvl w:val="2"/>
        <w:rPr>
          <w:rFonts w:ascii="仿宋_GB2312" w:hAnsi="仿宋" w:eastAsia="仿宋_GB2312"/>
          <w:bCs/>
          <w:sz w:val="24"/>
          <w:highlight w:val="none"/>
          <w:lang w:val="zh-CN"/>
        </w:rPr>
      </w:pPr>
      <w:r>
        <w:rPr>
          <w:rFonts w:hint="eastAsia" w:ascii="仿宋_GB2312" w:hAnsi="仿宋" w:eastAsia="仿宋_GB2312"/>
          <w:bCs/>
          <w:sz w:val="24"/>
          <w:highlight w:val="none"/>
          <w:lang w:val="zh-CN"/>
        </w:rPr>
        <w:t>采购人负责供应商质疑答复。采购人委托采购代理机构采购的，采购代理机构对委托授权范围内质疑事项作出答复。委托授权范围应当在采购代理协议中明确。</w:t>
      </w:r>
    </w:p>
    <w:p w14:paraId="5CD1A834">
      <w:pPr>
        <w:numPr>
          <w:ilvl w:val="2"/>
          <w:numId w:val="4"/>
        </w:numPr>
        <w:tabs>
          <w:tab w:val="left" w:pos="210"/>
          <w:tab w:val="left" w:pos="840"/>
        </w:tabs>
        <w:snapToGrid w:val="0"/>
        <w:spacing w:line="360" w:lineRule="auto"/>
        <w:jc w:val="left"/>
        <w:outlineLvl w:val="2"/>
        <w:rPr>
          <w:rFonts w:ascii="仿宋_GB2312" w:hAnsi="仿宋" w:eastAsia="仿宋_GB2312"/>
          <w:bCs/>
          <w:sz w:val="24"/>
          <w:highlight w:val="none"/>
          <w:lang w:val="zh-CN"/>
        </w:rPr>
      </w:pPr>
      <w:r>
        <w:rPr>
          <w:rFonts w:hint="eastAsia" w:ascii="仿宋_GB2312" w:hAnsi="仿宋" w:eastAsia="仿宋_GB2312"/>
          <w:bCs/>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5CAA6D">
      <w:pPr>
        <w:numPr>
          <w:ilvl w:val="2"/>
          <w:numId w:val="4"/>
        </w:numPr>
        <w:tabs>
          <w:tab w:val="left" w:pos="210"/>
        </w:tabs>
        <w:snapToGrid w:val="0"/>
        <w:spacing w:line="360" w:lineRule="auto"/>
        <w:jc w:val="left"/>
        <w:outlineLvl w:val="2"/>
        <w:rPr>
          <w:rFonts w:ascii="仿宋_GB2312" w:hAnsi="仿宋" w:eastAsia="仿宋_GB2312"/>
          <w:bCs/>
          <w:sz w:val="24"/>
          <w:highlight w:val="none"/>
          <w:lang w:val="zh-CN"/>
        </w:rPr>
      </w:pPr>
      <w:r>
        <w:rPr>
          <w:rFonts w:hint="eastAsia" w:ascii="仿宋_GB2312" w:hAnsi="仿宋" w:eastAsia="仿宋_GB2312"/>
          <w:bCs/>
          <w:sz w:val="24"/>
          <w:highlight w:val="none"/>
          <w:lang w:val="zh-CN"/>
        </w:rPr>
        <w:t>询问或者质疑事项可能影响采购结果的，采购人应当暂停签订合同，已经签订合同的，应当中止履行合同。</w:t>
      </w:r>
    </w:p>
    <w:p w14:paraId="3824D86E">
      <w:pPr>
        <w:numPr>
          <w:ilvl w:val="1"/>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供应商投诉</w:t>
      </w:r>
    </w:p>
    <w:p w14:paraId="3E82578A">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38E1F2A2">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供应商投诉的事项不得超出已质疑事项的范围，基于质疑答复内容提出的投诉事项除外。</w:t>
      </w:r>
    </w:p>
    <w:p w14:paraId="0C40CDAA">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供应商投诉应当有明确的请求和必要的证明材料。</w:t>
      </w:r>
    </w:p>
    <w:p w14:paraId="44624D3E">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以联合体形式参加政府采购活动的，其投诉应当由组成联合体的所有供应商共同提出。</w:t>
      </w:r>
    </w:p>
    <w:p w14:paraId="4A7999A7">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cs="仿宋"/>
          <w:bCs/>
          <w:sz w:val="24"/>
          <w:highlight w:val="none"/>
          <w:lang w:val="zh-CN"/>
        </w:rPr>
        <w:t>政府采购项目投诉材料可寄送浙江省政府采购行政裁决服务中心（杭州），地址：</w:t>
      </w:r>
      <w:r>
        <w:rPr>
          <w:rFonts w:hint="eastAsia" w:ascii="仿宋" w:hAnsi="仿宋" w:eastAsia="仿宋" w:cs="仿宋"/>
          <w:color w:val="auto"/>
          <w:sz w:val="24"/>
          <w:szCs w:val="24"/>
          <w:highlight w:val="none"/>
          <w:lang w:eastAsia="zh-CN"/>
        </w:rPr>
        <w:t>杭州市上城区清泰街549号城建综合大楼11楼</w:t>
      </w:r>
      <w:r>
        <w:rPr>
          <w:rFonts w:hint="eastAsia" w:ascii="仿宋" w:hAnsi="仿宋" w:eastAsia="仿宋" w:cs="仿宋"/>
          <w:bCs/>
          <w:sz w:val="24"/>
          <w:highlight w:val="none"/>
          <w:lang w:val="zh-CN"/>
        </w:rPr>
        <w:t>，收件人：朱女士，王女士，电话：0571-87227671,0571-87800218</w:t>
      </w:r>
      <w:r>
        <w:rPr>
          <w:rFonts w:hint="eastAsia" w:ascii="仿宋" w:hAnsi="仿宋" w:eastAsia="仿宋"/>
          <w:bCs/>
          <w:sz w:val="24"/>
          <w:highlight w:val="none"/>
          <w:lang w:val="zh-CN"/>
        </w:rPr>
        <w:t>。</w:t>
      </w:r>
    </w:p>
    <w:p w14:paraId="3334CF75">
      <w:pPr>
        <w:tabs>
          <w:tab w:val="left" w:pos="210"/>
        </w:tabs>
        <w:snapToGrid w:val="0"/>
        <w:spacing w:line="360" w:lineRule="auto"/>
        <w:ind w:firstLine="480" w:firstLineChars="200"/>
        <w:jc w:val="left"/>
        <w:rPr>
          <w:rFonts w:ascii="仿宋" w:hAnsi="仿宋" w:eastAsia="仿宋"/>
          <w:bCs/>
          <w:sz w:val="24"/>
          <w:highlight w:val="none"/>
          <w:lang w:val="zh-CN"/>
        </w:rPr>
      </w:pPr>
      <w:r>
        <w:rPr>
          <w:rFonts w:hint="eastAsia" w:ascii="仿宋" w:hAnsi="仿宋" w:eastAsia="仿宋"/>
          <w:bCs/>
          <w:sz w:val="24"/>
          <w:highlight w:val="none"/>
          <w:lang w:val="zh-CN"/>
        </w:rPr>
        <w:t>投诉书范本及制作说明详见附件3。</w:t>
      </w:r>
    </w:p>
    <w:p w14:paraId="45907137">
      <w:pPr>
        <w:rPr>
          <w:rFonts w:ascii="仿宋" w:hAnsi="仿宋" w:eastAsia="仿宋"/>
          <w:highlight w:val="none"/>
        </w:rPr>
      </w:pPr>
    </w:p>
    <w:p w14:paraId="630F69DA">
      <w:pPr>
        <w:spacing w:line="360" w:lineRule="auto"/>
        <w:jc w:val="center"/>
        <w:outlineLvl w:val="1"/>
        <w:rPr>
          <w:rFonts w:ascii="仿宋" w:hAnsi="仿宋" w:eastAsia="仿宋" w:cs="仿宋_GB2312"/>
          <w:b/>
          <w:sz w:val="32"/>
          <w:szCs w:val="20"/>
          <w:highlight w:val="none"/>
        </w:rPr>
      </w:pPr>
      <w:bookmarkStart w:id="11" w:name="_Toc27887"/>
      <w:bookmarkStart w:id="12" w:name="_Toc144713057"/>
      <w:bookmarkStart w:id="13" w:name="_Toc30065"/>
      <w:bookmarkStart w:id="14" w:name="_Toc14473"/>
      <w:r>
        <w:rPr>
          <w:rFonts w:hint="eastAsia" w:ascii="仿宋" w:hAnsi="仿宋" w:eastAsia="仿宋" w:cs="仿宋_GB2312"/>
          <w:b/>
          <w:sz w:val="32"/>
          <w:szCs w:val="20"/>
          <w:highlight w:val="none"/>
        </w:rPr>
        <w:t>二、招标文件的构成、澄清、修改</w:t>
      </w:r>
      <w:bookmarkEnd w:id="11"/>
      <w:bookmarkEnd w:id="12"/>
      <w:bookmarkEnd w:id="13"/>
      <w:bookmarkEnd w:id="14"/>
    </w:p>
    <w:p w14:paraId="363046A0">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招标文件的构成</w:t>
      </w:r>
    </w:p>
    <w:p w14:paraId="4D8B434E">
      <w:pPr>
        <w:numPr>
          <w:ilvl w:val="1"/>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招标文件包括下列文件及附件：</w:t>
      </w:r>
    </w:p>
    <w:p w14:paraId="1E7325FF">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招标公告；</w:t>
      </w:r>
    </w:p>
    <w:p w14:paraId="0328CF39">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投标人须知；</w:t>
      </w:r>
    </w:p>
    <w:p w14:paraId="53606489">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采购需求；</w:t>
      </w:r>
    </w:p>
    <w:p w14:paraId="60D51A82">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评标办法；</w:t>
      </w:r>
    </w:p>
    <w:p w14:paraId="783CE796">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拟签订的合同文本；</w:t>
      </w:r>
    </w:p>
    <w:p w14:paraId="2BE7FB87">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应提交的有关格式范例。</w:t>
      </w:r>
    </w:p>
    <w:p w14:paraId="79BBFF5F">
      <w:pPr>
        <w:numPr>
          <w:ilvl w:val="1"/>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与本项目有关的澄清或者修改的内容为招标文件的组成部分。</w:t>
      </w:r>
    </w:p>
    <w:p w14:paraId="7F695DFF">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招标文件的澄清、修改</w:t>
      </w:r>
    </w:p>
    <w:p w14:paraId="2D778B6F">
      <w:pPr>
        <w:numPr>
          <w:ilvl w:val="1"/>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已获取招标文件的潜在投标人，若有问题需要澄清，应于投标截止时间前，以书面形式向采购代理机构提出。</w:t>
      </w:r>
    </w:p>
    <w:p w14:paraId="36171F55">
      <w:pPr>
        <w:numPr>
          <w:ilvl w:val="1"/>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9E05F1">
      <w:pPr>
        <w:rPr>
          <w:rFonts w:ascii="仿宋" w:hAnsi="仿宋" w:eastAsia="仿宋"/>
          <w:highlight w:val="none"/>
        </w:rPr>
      </w:pPr>
      <w:r>
        <w:rPr>
          <w:rFonts w:ascii="仿宋" w:hAnsi="仿宋" w:eastAsia="仿宋"/>
          <w:highlight w:val="none"/>
        </w:rPr>
        <w:t xml:space="preserve">    </w:t>
      </w:r>
    </w:p>
    <w:p w14:paraId="4B1D6451">
      <w:pPr>
        <w:spacing w:line="360" w:lineRule="auto"/>
        <w:jc w:val="center"/>
        <w:outlineLvl w:val="1"/>
        <w:rPr>
          <w:rFonts w:ascii="仿宋" w:hAnsi="仿宋" w:eastAsia="仿宋" w:cs="仿宋_GB2312"/>
          <w:b/>
          <w:sz w:val="30"/>
          <w:szCs w:val="20"/>
          <w:highlight w:val="none"/>
        </w:rPr>
      </w:pPr>
      <w:bookmarkStart w:id="15" w:name="_Toc25644"/>
      <w:bookmarkStart w:id="16" w:name="_Toc8085"/>
      <w:bookmarkStart w:id="17" w:name="_Toc10627"/>
      <w:bookmarkStart w:id="18" w:name="_Toc144713058"/>
      <w:r>
        <w:rPr>
          <w:rFonts w:hint="eastAsia" w:ascii="仿宋" w:hAnsi="仿宋" w:eastAsia="仿宋" w:cs="仿宋_GB2312"/>
          <w:b/>
          <w:sz w:val="30"/>
          <w:szCs w:val="20"/>
          <w:highlight w:val="none"/>
        </w:rPr>
        <w:t>三、投标</w:t>
      </w:r>
      <w:bookmarkEnd w:id="15"/>
      <w:bookmarkEnd w:id="16"/>
      <w:bookmarkEnd w:id="17"/>
      <w:bookmarkEnd w:id="18"/>
    </w:p>
    <w:p w14:paraId="4EE97618">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招标文件的获取</w:t>
      </w:r>
    </w:p>
    <w:p w14:paraId="5E56569E">
      <w:pPr>
        <w:spacing w:line="360" w:lineRule="auto"/>
        <w:ind w:firstLine="42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详见招标公告中获取招标文件的时间期限、地点、方式及招标文件售价。</w:t>
      </w:r>
    </w:p>
    <w:p w14:paraId="00666660">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开标前答疑会或现场考察</w:t>
      </w:r>
    </w:p>
    <w:p w14:paraId="78D225D3">
      <w:pPr>
        <w:pStyle w:val="24"/>
        <w:spacing w:line="360" w:lineRule="auto"/>
        <w:ind w:firstLine="420"/>
        <w:rPr>
          <w:rFonts w:ascii="仿宋" w:hAnsi="仿宋" w:eastAsia="仿宋"/>
          <w:sz w:val="24"/>
          <w:szCs w:val="24"/>
          <w:highlight w:val="none"/>
        </w:rPr>
      </w:pPr>
      <w:r>
        <w:rPr>
          <w:rFonts w:hint="eastAsia" w:ascii="仿宋" w:hAnsi="仿宋" w:eastAsia="仿宋"/>
          <w:sz w:val="24"/>
          <w:szCs w:val="24"/>
          <w:highlight w:val="none"/>
        </w:rPr>
        <w:t>采购人组织潜在投标人现场考察或者召开开标前答疑会的，潜在投标人按第二部分投标人须知前附表的规定参加现场考察或者开标前答疑会。</w:t>
      </w:r>
    </w:p>
    <w:p w14:paraId="1F9DBD6E">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投标保证金</w:t>
      </w:r>
    </w:p>
    <w:p w14:paraId="431C4D56">
      <w:pPr>
        <w:pStyle w:val="10"/>
        <w:spacing w:line="360" w:lineRule="auto"/>
        <w:ind w:firstLine="470" w:firstLineChars="196"/>
        <w:rPr>
          <w:rFonts w:ascii="仿宋" w:hAnsi="仿宋" w:eastAsia="仿宋" w:cs="仿宋_GB2312"/>
          <w:sz w:val="24"/>
          <w:highlight w:val="none"/>
        </w:rPr>
      </w:pPr>
      <w:r>
        <w:rPr>
          <w:rFonts w:hint="eastAsia" w:ascii="仿宋" w:hAnsi="仿宋" w:eastAsia="仿宋" w:cs="仿宋_GB2312"/>
          <w:sz w:val="24"/>
          <w:highlight w:val="none"/>
        </w:rPr>
        <w:t>本项目不需缴纳投标保证金。</w:t>
      </w:r>
    </w:p>
    <w:p w14:paraId="788A723D">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投标文件的语言</w:t>
      </w:r>
    </w:p>
    <w:p w14:paraId="3EC3BA64">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14:paraId="6F8963F3">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投标文件的组成</w:t>
      </w:r>
    </w:p>
    <w:p w14:paraId="1D8C45E7">
      <w:pPr>
        <w:numPr>
          <w:ilvl w:val="1"/>
          <w:numId w:val="4"/>
        </w:numPr>
        <w:tabs>
          <w:tab w:val="left" w:pos="210"/>
          <w:tab w:val="left" w:pos="630"/>
          <w:tab w:val="left" w:pos="840"/>
        </w:tabs>
        <w:snapToGrid w:val="0"/>
        <w:spacing w:line="360" w:lineRule="auto"/>
        <w:jc w:val="left"/>
        <w:rPr>
          <w:rFonts w:ascii="仿宋" w:hAnsi="仿宋" w:eastAsia="仿宋"/>
          <w:b/>
          <w:sz w:val="24"/>
          <w:highlight w:val="none"/>
        </w:rPr>
      </w:pPr>
      <w:r>
        <w:rPr>
          <w:rFonts w:hint="eastAsia" w:ascii="仿宋" w:hAnsi="仿宋" w:eastAsia="仿宋"/>
          <w:b/>
          <w:sz w:val="24"/>
          <w:highlight w:val="none"/>
        </w:rPr>
        <w:t>资格文件：</w:t>
      </w:r>
    </w:p>
    <w:p w14:paraId="0C9491DC">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符合参加政府采购活动应当具备的一般条件的承诺函；</w:t>
      </w:r>
    </w:p>
    <w:p w14:paraId="4BAA46F9">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联合协议；（如果有）</w:t>
      </w:r>
    </w:p>
    <w:p w14:paraId="010EE468">
      <w:pPr>
        <w:numPr>
          <w:ilvl w:val="2"/>
          <w:numId w:val="4"/>
        </w:numPr>
        <w:tabs>
          <w:tab w:val="left" w:pos="210"/>
          <w:tab w:val="left" w:pos="630"/>
          <w:tab w:val="left" w:pos="840"/>
        </w:tabs>
        <w:snapToGrid w:val="0"/>
        <w:spacing w:line="360" w:lineRule="auto"/>
        <w:jc w:val="left"/>
        <w:rPr>
          <w:rFonts w:ascii="仿宋" w:hAnsi="仿宋" w:eastAsia="仿宋" w:cs="仿宋"/>
          <w:snapToGrid w:val="0"/>
          <w:kern w:val="0"/>
          <w:sz w:val="24"/>
          <w:highlight w:val="none"/>
        </w:rPr>
      </w:pPr>
      <w:r>
        <w:rPr>
          <w:rFonts w:hint="eastAsia" w:ascii="仿宋" w:hAnsi="仿宋" w:eastAsia="仿宋"/>
          <w:bCs/>
          <w:sz w:val="24"/>
          <w:highlight w:val="none"/>
        </w:rPr>
        <w:t>落实政府采购政策需满足的资格要求；</w:t>
      </w:r>
    </w:p>
    <w:p w14:paraId="7A720326">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本项目的特定资格要求。（本项目无）</w:t>
      </w:r>
    </w:p>
    <w:p w14:paraId="760D8822">
      <w:pPr>
        <w:numPr>
          <w:ilvl w:val="1"/>
          <w:numId w:val="4"/>
        </w:numPr>
        <w:tabs>
          <w:tab w:val="left" w:pos="210"/>
          <w:tab w:val="left" w:pos="630"/>
          <w:tab w:val="left" w:pos="840"/>
        </w:tabs>
        <w:snapToGrid w:val="0"/>
        <w:spacing w:line="360" w:lineRule="auto"/>
        <w:jc w:val="left"/>
        <w:rPr>
          <w:rFonts w:ascii="仿宋" w:hAnsi="仿宋" w:eastAsia="仿宋"/>
          <w:b/>
          <w:sz w:val="24"/>
          <w:highlight w:val="none"/>
          <w:lang w:val="zh-CN"/>
        </w:rPr>
      </w:pPr>
      <w:r>
        <w:rPr>
          <w:rFonts w:hint="eastAsia" w:ascii="仿宋" w:hAnsi="仿宋" w:eastAsia="仿宋"/>
          <w:b/>
          <w:sz w:val="24"/>
          <w:highlight w:val="none"/>
        </w:rPr>
        <w:t>商务技术</w:t>
      </w:r>
      <w:r>
        <w:rPr>
          <w:rFonts w:hint="eastAsia" w:ascii="仿宋" w:hAnsi="仿宋" w:eastAsia="仿宋"/>
          <w:b/>
          <w:sz w:val="24"/>
          <w:highlight w:val="none"/>
          <w:lang w:val="zh-CN"/>
        </w:rPr>
        <w:t>文件：</w:t>
      </w:r>
    </w:p>
    <w:p w14:paraId="532A153E">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投标函；</w:t>
      </w:r>
      <w:r>
        <w:rPr>
          <w:rFonts w:hint="eastAsia" w:ascii="仿宋" w:hAnsi="仿宋" w:eastAsia="仿宋"/>
          <w:bCs/>
          <w:sz w:val="24"/>
          <w:highlight w:val="none"/>
          <w:lang w:val="zh-CN"/>
        </w:rPr>
        <w:t xml:space="preserve"> </w:t>
      </w:r>
    </w:p>
    <w:p w14:paraId="704EF566">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授权委托书或法定代表人（单位负责人、自然人本人）身份证明；授权代表还需提供近一个月内在投标单位缴纳社保的参保证明（适用于法定代表人授权代表参加投标活动）；</w:t>
      </w:r>
    </w:p>
    <w:p w14:paraId="31F99483">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分包意向协议；（如果有）</w:t>
      </w:r>
    </w:p>
    <w:p w14:paraId="406ED38E">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符合性审查资料；</w:t>
      </w:r>
    </w:p>
    <w:p w14:paraId="16CB2E98">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评标标准相应的商务技术资料；</w:t>
      </w:r>
    </w:p>
    <w:p w14:paraId="7C919536">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投标标的清单；</w:t>
      </w:r>
    </w:p>
    <w:p w14:paraId="37A28687">
      <w:pPr>
        <w:numPr>
          <w:ilvl w:val="2"/>
          <w:numId w:val="4"/>
        </w:numPr>
        <w:tabs>
          <w:tab w:val="left" w:pos="210"/>
          <w:tab w:val="left" w:pos="630"/>
          <w:tab w:val="left" w:pos="8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商务技术偏离表；</w:t>
      </w:r>
    </w:p>
    <w:p w14:paraId="0B373522">
      <w:pPr>
        <w:numPr>
          <w:ilvl w:val="2"/>
          <w:numId w:val="4"/>
        </w:numPr>
        <w:tabs>
          <w:tab w:val="left" w:pos="210"/>
          <w:tab w:val="left" w:pos="630"/>
          <w:tab w:val="left" w:pos="84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政府采购供应商廉洁自律承诺书。</w:t>
      </w:r>
    </w:p>
    <w:p w14:paraId="4CBE4CBB">
      <w:pPr>
        <w:numPr>
          <w:ilvl w:val="1"/>
          <w:numId w:val="4"/>
        </w:numPr>
        <w:tabs>
          <w:tab w:val="left" w:pos="210"/>
          <w:tab w:val="left" w:pos="630"/>
          <w:tab w:val="left" w:pos="840"/>
        </w:tabs>
        <w:snapToGrid w:val="0"/>
        <w:spacing w:line="360" w:lineRule="auto"/>
        <w:jc w:val="left"/>
        <w:rPr>
          <w:rFonts w:ascii="仿宋" w:hAnsi="仿宋" w:eastAsia="仿宋"/>
          <w:b/>
          <w:sz w:val="24"/>
          <w:highlight w:val="none"/>
          <w:lang w:val="zh-CN"/>
        </w:rPr>
      </w:pPr>
      <w:r>
        <w:rPr>
          <w:rFonts w:hint="eastAsia" w:ascii="仿宋" w:hAnsi="仿宋" w:eastAsia="仿宋"/>
          <w:b/>
          <w:sz w:val="24"/>
          <w:highlight w:val="none"/>
        </w:rPr>
        <w:t xml:space="preserve">报价文件： </w:t>
      </w:r>
    </w:p>
    <w:p w14:paraId="4A199831">
      <w:pPr>
        <w:numPr>
          <w:ilvl w:val="2"/>
          <w:numId w:val="4"/>
        </w:numPr>
        <w:tabs>
          <w:tab w:val="left" w:pos="210"/>
          <w:tab w:val="left" w:pos="630"/>
          <w:tab w:val="left" w:pos="840"/>
        </w:tabs>
        <w:adjustRightInd w:val="0"/>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开标一览表（报价表）；</w:t>
      </w:r>
    </w:p>
    <w:p w14:paraId="38F6B279">
      <w:pPr>
        <w:numPr>
          <w:ilvl w:val="2"/>
          <w:numId w:val="4"/>
        </w:numPr>
        <w:tabs>
          <w:tab w:val="left" w:pos="210"/>
          <w:tab w:val="left" w:pos="630"/>
          <w:tab w:val="left" w:pos="840"/>
        </w:tabs>
        <w:adjustRightInd w:val="0"/>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投标报价明细表</w:t>
      </w:r>
      <w:r>
        <w:rPr>
          <w:rFonts w:hint="eastAsia" w:ascii="仿宋" w:hAnsi="仿宋" w:eastAsia="仿宋"/>
          <w:bCs/>
          <w:sz w:val="24"/>
          <w:highlight w:val="none"/>
          <w:lang w:eastAsia="zh-CN"/>
        </w:rPr>
        <w:t>；</w:t>
      </w:r>
      <w:r>
        <w:rPr>
          <w:rFonts w:hint="eastAsia" w:ascii="仿宋" w:hAnsi="仿宋" w:eastAsia="仿宋"/>
          <w:bCs/>
          <w:sz w:val="24"/>
          <w:highlight w:val="none"/>
        </w:rPr>
        <w:t>（自拟）</w:t>
      </w:r>
    </w:p>
    <w:p w14:paraId="367092F0">
      <w:pPr>
        <w:pStyle w:val="32"/>
        <w:adjustRightInd w:val="0"/>
        <w:snapToGrid w:val="0"/>
        <w:spacing w:line="360" w:lineRule="auto"/>
        <w:rPr>
          <w:rFonts w:hint="default" w:eastAsia="仿宋"/>
          <w:highlight w:val="none"/>
          <w:lang w:val="en-US" w:eastAsia="zh-CN"/>
        </w:rPr>
      </w:pPr>
      <w:r>
        <w:rPr>
          <w:rFonts w:hint="eastAsia" w:ascii="仿宋" w:hAnsi="仿宋" w:eastAsia="仿宋"/>
          <w:bCs/>
          <w:sz w:val="24"/>
          <w:highlight w:val="none"/>
          <w:lang w:val="en-US" w:eastAsia="zh-CN"/>
        </w:rPr>
        <w:t>11.3.3.中小企业声明函。（如有）</w:t>
      </w:r>
    </w:p>
    <w:p w14:paraId="057A493C">
      <w:pPr>
        <w:adjustRightInd w:val="0"/>
        <w:snapToGrid w:val="0"/>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投标文件含有采购人不能接受的附加条件的，投标无效；</w:t>
      </w:r>
    </w:p>
    <w:p w14:paraId="1735EB5F">
      <w:pPr>
        <w:adjustRightInd w:val="0"/>
        <w:snapToGrid w:val="0"/>
        <w:spacing w:line="360" w:lineRule="auto"/>
        <w:ind w:firstLine="482" w:firstLineChars="200"/>
        <w:rPr>
          <w:rFonts w:hint="eastAsia" w:ascii="仿宋" w:hAnsi="仿宋" w:eastAsia="仿宋"/>
          <w:b/>
          <w:sz w:val="24"/>
          <w:highlight w:val="none"/>
        </w:rPr>
      </w:pPr>
      <w:r>
        <w:rPr>
          <w:rFonts w:hint="eastAsia" w:ascii="仿宋" w:hAnsi="仿宋" w:eastAsia="仿宋"/>
          <w:b/>
          <w:sz w:val="24"/>
          <w:highlight w:val="none"/>
        </w:rPr>
        <w:t>投标人提供虚假材料投标的，投标无效。</w:t>
      </w:r>
    </w:p>
    <w:p w14:paraId="4429D547">
      <w:pPr>
        <w:adjustRightInd w:val="0"/>
        <w:snapToGrid w:val="0"/>
        <w:spacing w:line="360" w:lineRule="auto"/>
        <w:ind w:firstLine="480" w:firstLineChars="200"/>
        <w:rPr>
          <w:rFonts w:hint="eastAsia" w:ascii="仿宋" w:hAnsi="仿宋" w:eastAsia="仿宋"/>
          <w:b w:val="0"/>
          <w:bCs/>
          <w:sz w:val="24"/>
          <w:highlight w:val="none"/>
        </w:rPr>
      </w:pPr>
      <w:r>
        <w:rPr>
          <w:rFonts w:hint="eastAsia" w:ascii="仿宋" w:hAnsi="仿宋" w:eastAsia="仿宋"/>
          <w:b w:val="0"/>
          <w:bCs/>
          <w:sz w:val="24"/>
          <w:szCs w:val="24"/>
          <w:highlight w:val="none"/>
          <w:shd w:val="clear"/>
          <w:lang w:val="en-US" w:eastAsia="zh-CN"/>
        </w:rPr>
        <w:t>投标人应对投标文件中材料的真实性、合法性负责。</w:t>
      </w:r>
    </w:p>
    <w:p w14:paraId="0691EC0D">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投标文件的编制</w:t>
      </w:r>
    </w:p>
    <w:p w14:paraId="2C330422">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544A45">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E65D782">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使用“政采云电子交易客户端”需要提前申领CA数字证书，申领流程请自行前往“浙江政府采购网-下载专区-电子交易客户端-CA驱动和申领流程”进行查阅。</w:t>
      </w:r>
    </w:p>
    <w:p w14:paraId="45F993BC">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投标文件的签署、盖章</w:t>
      </w:r>
    </w:p>
    <w:p w14:paraId="69AF74D9">
      <w:pPr>
        <w:numPr>
          <w:ilvl w:val="1"/>
          <w:numId w:val="4"/>
        </w:numPr>
        <w:tabs>
          <w:tab w:val="left" w:pos="210"/>
          <w:tab w:val="left" w:pos="6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投标文件按照招标文件第六部分格式要求进行签署、盖章。</w:t>
      </w:r>
    </w:p>
    <w:p w14:paraId="2CEFBE99">
      <w:pPr>
        <w:pStyle w:val="118"/>
        <w:snapToGrid w:val="0"/>
        <w:ind w:firstLine="482"/>
        <w:rPr>
          <w:rFonts w:ascii="仿宋" w:hAnsi="仿宋" w:eastAsia="仿宋" w:cs="仿宋_GB2312"/>
          <w:b/>
          <w:highlight w:val="none"/>
        </w:rPr>
      </w:pP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14:paraId="606D8C72">
      <w:pPr>
        <w:numPr>
          <w:ilvl w:val="1"/>
          <w:numId w:val="4"/>
        </w:numPr>
        <w:tabs>
          <w:tab w:val="left" w:pos="210"/>
          <w:tab w:val="left" w:pos="640"/>
        </w:tabs>
        <w:snapToGrid w:val="0"/>
        <w:spacing w:line="360" w:lineRule="auto"/>
        <w:ind w:left="627" w:hanging="627"/>
        <w:jc w:val="left"/>
        <w:rPr>
          <w:rFonts w:ascii="仿宋" w:hAnsi="仿宋" w:eastAsia="仿宋"/>
          <w:bCs/>
          <w:sz w:val="24"/>
          <w:highlight w:val="none"/>
        </w:rPr>
      </w:pPr>
      <w:r>
        <w:rPr>
          <w:rFonts w:hint="eastAsia" w:ascii="仿宋" w:hAnsi="仿宋" w:eastAsia="仿宋"/>
          <w:bCs/>
          <w:sz w:val="24"/>
          <w:highlight w:val="none"/>
        </w:rPr>
        <w:t>为确保网上操作合法、有效和安全，投标人应当在投标截止时间前完成在“政府采购云平台”的身份认证，确保在电子投标过程中能够对相关数据电文进行加密和使用电子签名。</w:t>
      </w:r>
    </w:p>
    <w:p w14:paraId="6584E952">
      <w:pPr>
        <w:numPr>
          <w:ilvl w:val="1"/>
          <w:numId w:val="4"/>
        </w:numPr>
        <w:tabs>
          <w:tab w:val="left" w:pos="210"/>
          <w:tab w:val="left" w:pos="640"/>
        </w:tabs>
        <w:snapToGrid w:val="0"/>
        <w:spacing w:line="360" w:lineRule="auto"/>
        <w:ind w:left="627" w:hanging="627"/>
        <w:jc w:val="left"/>
        <w:rPr>
          <w:rFonts w:ascii="仿宋" w:hAnsi="仿宋" w:eastAsia="仿宋"/>
          <w:bCs/>
          <w:sz w:val="24"/>
          <w:highlight w:val="none"/>
        </w:rPr>
      </w:pPr>
      <w:r>
        <w:rPr>
          <w:rFonts w:hint="eastAsia" w:ascii="仿宋" w:hAnsi="仿宋" w:eastAsia="仿宋"/>
          <w:bCs/>
          <w:sz w:val="24"/>
          <w:highlight w:val="none"/>
        </w:rPr>
        <w:t>招标文件对投标文件签署、盖章的要求适用于电子签名。</w:t>
      </w:r>
    </w:p>
    <w:p w14:paraId="5AD9B306">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投标文件的提交、补充、修改、撤回</w:t>
      </w:r>
    </w:p>
    <w:p w14:paraId="5D09D044">
      <w:pPr>
        <w:numPr>
          <w:ilvl w:val="1"/>
          <w:numId w:val="4"/>
        </w:numPr>
        <w:tabs>
          <w:tab w:val="left" w:pos="210"/>
          <w:tab w:val="left" w:pos="640"/>
        </w:tabs>
        <w:snapToGrid w:val="0"/>
        <w:spacing w:line="360" w:lineRule="auto"/>
        <w:ind w:left="627" w:hanging="627"/>
        <w:jc w:val="left"/>
        <w:rPr>
          <w:rFonts w:ascii="仿宋" w:hAnsi="仿宋" w:eastAsia="仿宋"/>
          <w:bCs/>
          <w:sz w:val="24"/>
          <w:highlight w:val="none"/>
        </w:rPr>
      </w:pPr>
      <w:r>
        <w:rPr>
          <w:rFonts w:hint="eastAsia" w:ascii="仿宋_GB2312" w:hAnsi="仿宋" w:eastAsia="仿宋_GB2312"/>
          <w:bCs/>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F3BE000">
      <w:pPr>
        <w:numPr>
          <w:ilvl w:val="1"/>
          <w:numId w:val="4"/>
        </w:numPr>
        <w:tabs>
          <w:tab w:val="left" w:pos="210"/>
          <w:tab w:val="left" w:pos="6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491A2BA6">
      <w:pPr>
        <w:numPr>
          <w:ilvl w:val="1"/>
          <w:numId w:val="4"/>
        </w:numPr>
        <w:tabs>
          <w:tab w:val="left" w:pos="210"/>
          <w:tab w:val="left" w:pos="6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737FAC76">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备份投标文件</w:t>
      </w:r>
    </w:p>
    <w:p w14:paraId="54A6CB7A">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投标人在电子交易平台传输递交投标文件后，还可以在投标截止时间前直接提交或者以邮政快递方式递交备份投标文件1份，</w:t>
      </w:r>
      <w:r>
        <w:rPr>
          <w:rFonts w:hint="eastAsia" w:ascii="仿宋" w:hAnsi="仿宋" w:eastAsia="仿宋"/>
          <w:b/>
          <w:sz w:val="24"/>
          <w:highlight w:val="none"/>
        </w:rPr>
        <w:t>但采购人、采购代理机构不强制或变相强制投标人提交备份投标文件</w:t>
      </w:r>
      <w:r>
        <w:rPr>
          <w:rFonts w:hint="eastAsia" w:ascii="仿宋" w:hAnsi="仿宋" w:eastAsia="仿宋"/>
          <w:bCs/>
          <w:sz w:val="24"/>
          <w:highlight w:val="none"/>
        </w:rPr>
        <w:t>。</w:t>
      </w:r>
    </w:p>
    <w:p w14:paraId="3C431FF4">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b/>
          <w:sz w:val="24"/>
          <w:highlight w:val="none"/>
        </w:rPr>
        <w:t>不符合上述制作、存储、密封规定的备份投标文件将被视为无效或者被拒绝接收。</w:t>
      </w:r>
    </w:p>
    <w:p w14:paraId="43090B81">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直接提交备份投标文件的，投标人应于投标截止时间前在招标公告中载明的开标地点将备份投标文件提交给采购代理机构，</w:t>
      </w:r>
      <w:r>
        <w:rPr>
          <w:rFonts w:hint="eastAsia" w:ascii="仿宋" w:hAnsi="仿宋" w:eastAsia="仿宋"/>
          <w:b/>
          <w:sz w:val="24"/>
          <w:highlight w:val="none"/>
        </w:rPr>
        <w:t>采购代理机构将拒绝接受逾期送达的备份投标文件</w:t>
      </w:r>
      <w:r>
        <w:rPr>
          <w:rFonts w:hint="eastAsia" w:ascii="仿宋" w:hAnsi="仿宋" w:eastAsia="仿宋"/>
          <w:bCs/>
          <w:sz w:val="24"/>
          <w:highlight w:val="none"/>
        </w:rPr>
        <w:t>。</w:t>
      </w:r>
    </w:p>
    <w:p w14:paraId="138F19AB">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90D3915">
      <w:pPr>
        <w:numPr>
          <w:ilvl w:val="1"/>
          <w:numId w:val="4"/>
        </w:numPr>
        <w:tabs>
          <w:tab w:val="left" w:pos="210"/>
          <w:tab w:val="left" w:pos="640"/>
        </w:tabs>
        <w:snapToGrid w:val="0"/>
        <w:spacing w:line="360" w:lineRule="auto"/>
        <w:ind w:left="629" w:hanging="629"/>
        <w:jc w:val="left"/>
        <w:rPr>
          <w:rFonts w:ascii="仿宋" w:hAnsi="仿宋" w:eastAsia="仿宋"/>
          <w:b/>
          <w:sz w:val="24"/>
          <w:highlight w:val="none"/>
        </w:rPr>
      </w:pPr>
      <w:r>
        <w:rPr>
          <w:rFonts w:hint="eastAsia" w:ascii="仿宋" w:hAnsi="仿宋" w:eastAsia="仿宋"/>
          <w:b/>
          <w:sz w:val="24"/>
          <w:highlight w:val="none"/>
        </w:rPr>
        <w:t>投标人仅提交备份投标文件，未在电子交易平台传输递交投标文件的，投标无效。</w:t>
      </w:r>
    </w:p>
    <w:p w14:paraId="0650ED89">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投标文件的无效处理</w:t>
      </w:r>
    </w:p>
    <w:p w14:paraId="36C14845">
      <w:pPr>
        <w:pStyle w:val="19"/>
        <w:ind w:firstLine="360" w:firstLineChars="150"/>
        <w:rPr>
          <w:rFonts w:ascii="仿宋" w:hAnsi="仿宋" w:eastAsia="仿宋" w:cs="仿宋_GB2312"/>
          <w:szCs w:val="21"/>
          <w:highlight w:val="none"/>
        </w:rPr>
      </w:pPr>
      <w:r>
        <w:rPr>
          <w:rFonts w:hint="eastAsia" w:ascii="仿宋" w:hAnsi="仿宋" w:eastAsia="仿宋" w:cs="仿宋_GB2312"/>
          <w:szCs w:val="21"/>
          <w:highlight w:val="none"/>
        </w:rPr>
        <w:t>有招标文件第四部分</w:t>
      </w:r>
      <w:r>
        <w:rPr>
          <w:rFonts w:hint="eastAsia" w:ascii="仿宋" w:hAnsi="仿宋" w:eastAsia="仿宋"/>
          <w:highlight w:val="none"/>
        </w:rPr>
        <w:t>第4.2</w:t>
      </w:r>
      <w:r>
        <w:rPr>
          <w:rFonts w:ascii="仿宋" w:hAnsi="仿宋" w:eastAsia="仿宋"/>
          <w:highlight w:val="none"/>
        </w:rPr>
        <w:t>项规定</w:t>
      </w:r>
      <w:r>
        <w:rPr>
          <w:rFonts w:hint="eastAsia" w:ascii="仿宋" w:hAnsi="仿宋" w:eastAsia="仿宋" w:cs="仿宋_GB2312"/>
          <w:szCs w:val="21"/>
          <w:highlight w:val="none"/>
        </w:rPr>
        <w:t>的情形之一的，投标无效。</w:t>
      </w:r>
    </w:p>
    <w:p w14:paraId="591C725C">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投标有效期</w:t>
      </w:r>
    </w:p>
    <w:p w14:paraId="1E7AA8A0">
      <w:pPr>
        <w:numPr>
          <w:ilvl w:val="1"/>
          <w:numId w:val="4"/>
        </w:numPr>
        <w:tabs>
          <w:tab w:val="left" w:pos="210"/>
          <w:tab w:val="left" w:pos="64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rPr>
        <w:t>投标有效期为从提交投标文件的截止之日起90天。</w:t>
      </w:r>
    </w:p>
    <w:p w14:paraId="5545C8DC">
      <w:pPr>
        <w:spacing w:line="360" w:lineRule="auto"/>
        <w:ind w:firstLine="480" w:firstLineChars="200"/>
        <w:rPr>
          <w:rFonts w:ascii="仿宋" w:hAnsi="仿宋" w:eastAsia="仿宋" w:cs="仿宋_GB2312"/>
          <w:b/>
          <w:sz w:val="24"/>
          <w:szCs w:val="21"/>
          <w:highlight w:val="none"/>
        </w:rPr>
      </w:pPr>
      <w:r>
        <w:rPr>
          <w:rFonts w:ascii="仿宋" w:hAnsi="仿宋" w:eastAsia="仿宋" w:cs="仿宋_GB2312"/>
          <w:sz w:val="24"/>
          <w:szCs w:val="20"/>
          <w:highlight w:val="none"/>
        </w:rPr>
        <w:t>▲</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14:paraId="1AC48567">
      <w:pPr>
        <w:numPr>
          <w:ilvl w:val="1"/>
          <w:numId w:val="4"/>
        </w:numPr>
        <w:tabs>
          <w:tab w:val="left" w:pos="210"/>
          <w:tab w:val="left" w:pos="640"/>
        </w:tabs>
        <w:snapToGrid w:val="0"/>
        <w:spacing w:line="360" w:lineRule="auto"/>
        <w:ind w:left="627" w:hanging="627"/>
        <w:jc w:val="left"/>
        <w:rPr>
          <w:rFonts w:ascii="仿宋" w:hAnsi="仿宋" w:eastAsia="仿宋"/>
          <w:bCs/>
          <w:sz w:val="24"/>
          <w:highlight w:val="none"/>
        </w:rPr>
      </w:pPr>
      <w:r>
        <w:rPr>
          <w:rFonts w:hint="eastAsia" w:ascii="仿宋" w:hAnsi="仿宋" w:eastAsia="仿宋"/>
          <w:bCs/>
          <w:sz w:val="24"/>
          <w:highlight w:val="none"/>
        </w:rPr>
        <w:t>投标文件合格投递后，自投标截止日期起，在投标有效期内有效。</w:t>
      </w:r>
    </w:p>
    <w:p w14:paraId="02F1D8E5">
      <w:pPr>
        <w:numPr>
          <w:ilvl w:val="1"/>
          <w:numId w:val="4"/>
        </w:numPr>
        <w:tabs>
          <w:tab w:val="left" w:pos="210"/>
          <w:tab w:val="left" w:pos="640"/>
        </w:tabs>
        <w:snapToGrid w:val="0"/>
        <w:spacing w:line="360" w:lineRule="auto"/>
        <w:ind w:left="627" w:hanging="627"/>
        <w:jc w:val="left"/>
        <w:outlineLvl w:val="2"/>
        <w:rPr>
          <w:highlight w:val="none"/>
        </w:rPr>
      </w:pPr>
      <w:r>
        <w:rPr>
          <w:rFonts w:hint="eastAsia" w:ascii="仿宋" w:hAnsi="仿宋" w:eastAsia="仿宋"/>
          <w:bCs/>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1E7DB86A">
      <w:pPr>
        <w:pStyle w:val="118"/>
        <w:ind w:firstLine="643"/>
        <w:rPr>
          <w:rFonts w:ascii="仿宋" w:hAnsi="仿宋" w:eastAsia="仿宋" w:cs="仿宋_GB2312"/>
          <w:b/>
          <w:sz w:val="32"/>
          <w:highlight w:val="none"/>
        </w:rPr>
      </w:pPr>
    </w:p>
    <w:p w14:paraId="4570EA47">
      <w:pPr>
        <w:spacing w:line="360" w:lineRule="auto"/>
        <w:jc w:val="center"/>
        <w:outlineLvl w:val="1"/>
        <w:rPr>
          <w:rFonts w:ascii="仿宋" w:hAnsi="仿宋" w:eastAsia="仿宋" w:cs="仿宋_GB2312"/>
          <w:b/>
          <w:sz w:val="30"/>
          <w:szCs w:val="20"/>
          <w:highlight w:val="none"/>
        </w:rPr>
      </w:pPr>
      <w:bookmarkStart w:id="19" w:name="_Toc533"/>
      <w:bookmarkStart w:id="20" w:name="_Toc3728"/>
      <w:bookmarkStart w:id="21" w:name="_Toc25497"/>
      <w:bookmarkStart w:id="22" w:name="_Toc144713059"/>
      <w:r>
        <w:rPr>
          <w:rFonts w:hint="eastAsia" w:ascii="仿宋" w:hAnsi="仿宋" w:eastAsia="仿宋" w:cs="仿宋_GB2312"/>
          <w:b/>
          <w:sz w:val="30"/>
          <w:szCs w:val="20"/>
          <w:highlight w:val="none"/>
        </w:rPr>
        <w:t>四、开标、资格审查与信用信息查询</w:t>
      </w:r>
      <w:bookmarkEnd w:id="19"/>
      <w:bookmarkEnd w:id="20"/>
      <w:bookmarkEnd w:id="21"/>
      <w:bookmarkEnd w:id="22"/>
    </w:p>
    <w:p w14:paraId="6CE56703">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 xml:space="preserve">开标 </w:t>
      </w:r>
    </w:p>
    <w:p w14:paraId="54731BD8">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采购代理机构按照招标文件规定的时间通过电子交易平台组织开标，所有投标人均应当准时在线参加。投标人不足3家的，不得开标。</w:t>
      </w:r>
    </w:p>
    <w:p w14:paraId="1083B276">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5CE635B">
      <w:pPr>
        <w:numPr>
          <w:ilvl w:val="1"/>
          <w:numId w:val="4"/>
        </w:numPr>
        <w:tabs>
          <w:tab w:val="left" w:pos="210"/>
          <w:tab w:val="left" w:pos="640"/>
        </w:tabs>
        <w:snapToGrid w:val="0"/>
        <w:spacing w:line="360" w:lineRule="auto"/>
        <w:ind w:left="629" w:hanging="629"/>
        <w:jc w:val="left"/>
        <w:rPr>
          <w:rFonts w:ascii="仿宋" w:hAnsi="仿宋" w:eastAsia="仿宋"/>
          <w:b/>
          <w:sz w:val="24"/>
          <w:highlight w:val="none"/>
        </w:rPr>
      </w:pPr>
      <w:r>
        <w:rPr>
          <w:rFonts w:hint="eastAsia" w:ascii="仿宋" w:hAnsi="仿宋" w:eastAsia="仿宋"/>
          <w:b/>
          <w:sz w:val="24"/>
          <w:highlight w:val="none"/>
        </w:rPr>
        <w:t>投标文件未按时解密，投标人提供了备份投标文件的，以备份投标文件作为依据，否则视为投标文件撤回。投标文件已按时解密的，备份投标文件自动失效。</w:t>
      </w:r>
    </w:p>
    <w:p w14:paraId="260E31CB">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资格审查</w:t>
      </w:r>
    </w:p>
    <w:p w14:paraId="68E5420E">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采购人或</w:t>
      </w:r>
      <w:r>
        <w:rPr>
          <w:rFonts w:hint="eastAsia" w:ascii="仿宋" w:hAnsi="仿宋" w:eastAsia="仿宋"/>
          <w:bCs/>
          <w:sz w:val="24"/>
          <w:highlight w:val="none"/>
          <w:lang w:eastAsia="zh-CN"/>
        </w:rPr>
        <w:t>采购代理机构</w:t>
      </w:r>
      <w:r>
        <w:rPr>
          <w:rFonts w:hint="eastAsia" w:ascii="仿宋" w:hAnsi="仿宋" w:eastAsia="仿宋"/>
          <w:bCs/>
          <w:sz w:val="24"/>
          <w:highlight w:val="none"/>
        </w:rPr>
        <w:t>依据法律法规和招标文件的规定，对投标人的资格进行审查。</w:t>
      </w:r>
    </w:p>
    <w:p w14:paraId="2DFD73E9">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投标人未按照招标文件要求提供与基本资格条件、特定资格条件相应的有效资格证明材料的，视为投标人不具备招标文件中规定的资格要求，其投标无效。</w:t>
      </w:r>
    </w:p>
    <w:p w14:paraId="6527478E">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对未通过资格审查的投标人，采购人或采购代理机构告知其未通过的原因。</w:t>
      </w:r>
    </w:p>
    <w:p w14:paraId="41F5DB5B">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合格投标人不足3家的，不再评标。</w:t>
      </w:r>
    </w:p>
    <w:p w14:paraId="455E38AD">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信用信息查询</w:t>
      </w:r>
    </w:p>
    <w:p w14:paraId="61395D6F">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信用信息查询渠道及截止时间：采购代理机构将通过“信用中国”网站(www.creditchina.gov.cn)、中国政府采购网(www.ccgp.gov.cn)渠道查询投标人投标截止时间当天的信用记录。</w:t>
      </w:r>
    </w:p>
    <w:p w14:paraId="26F1E76B">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信用信息查询记录和证据留存的具体方式：现场查询的投标人的信用记录、查询结果经确认后将与采购文件一起存档。</w:t>
      </w:r>
    </w:p>
    <w:p w14:paraId="599F7EFA">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信用信息的使用规则：经查询列入失信被执行人名单、重大税收违法案件当事人名单、政府采购严重违法失信行为记录名单的投标人将被拒绝参与政府采购活动。</w:t>
      </w:r>
    </w:p>
    <w:p w14:paraId="4E9328AB">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1F8B6E">
      <w:pPr>
        <w:snapToGrid w:val="0"/>
        <w:spacing w:line="360" w:lineRule="auto"/>
        <w:jc w:val="center"/>
        <w:outlineLvl w:val="1"/>
        <w:rPr>
          <w:rFonts w:ascii="仿宋" w:hAnsi="仿宋" w:eastAsia="仿宋" w:cs="仿宋_GB2312"/>
          <w:b/>
          <w:sz w:val="36"/>
          <w:szCs w:val="36"/>
          <w:highlight w:val="none"/>
        </w:rPr>
      </w:pPr>
      <w:bookmarkStart w:id="23" w:name="_Toc19433"/>
      <w:bookmarkStart w:id="24" w:name="_Toc22552"/>
      <w:bookmarkStart w:id="25" w:name="_Toc144713060"/>
      <w:bookmarkStart w:id="26" w:name="_Toc7171"/>
      <w:r>
        <w:rPr>
          <w:rFonts w:hint="eastAsia" w:ascii="仿宋" w:hAnsi="仿宋" w:eastAsia="仿宋" w:cs="仿宋_GB2312"/>
          <w:b/>
          <w:sz w:val="36"/>
          <w:szCs w:val="36"/>
          <w:highlight w:val="none"/>
        </w:rPr>
        <w:t>五、评标</w:t>
      </w:r>
      <w:bookmarkEnd w:id="23"/>
      <w:bookmarkEnd w:id="24"/>
      <w:bookmarkEnd w:id="25"/>
      <w:bookmarkEnd w:id="26"/>
    </w:p>
    <w:p w14:paraId="5B379EEB">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评标</w:t>
      </w:r>
    </w:p>
    <w:p w14:paraId="41E22E5B">
      <w:pPr>
        <w:spacing w:line="360" w:lineRule="auto"/>
        <w:ind w:firstLine="480" w:firstLineChars="200"/>
        <w:rPr>
          <w:rFonts w:ascii="仿宋" w:hAnsi="仿宋" w:eastAsia="仿宋" w:cs="仿宋_GB2312"/>
          <w:b/>
          <w:sz w:val="24"/>
          <w:highlight w:val="none"/>
        </w:rPr>
      </w:pPr>
      <w:r>
        <w:rPr>
          <w:rFonts w:hint="eastAsia" w:ascii="仿宋" w:hAnsi="仿宋" w:eastAsia="仿宋"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highlight w:val="none"/>
        </w:rPr>
        <w:t>详见招标文件第四部分评标办法。</w:t>
      </w:r>
    </w:p>
    <w:p w14:paraId="550F8688">
      <w:pPr>
        <w:snapToGrid w:val="0"/>
        <w:spacing w:line="360" w:lineRule="auto"/>
        <w:jc w:val="center"/>
        <w:outlineLvl w:val="1"/>
        <w:rPr>
          <w:rFonts w:ascii="仿宋" w:hAnsi="仿宋" w:eastAsia="仿宋" w:cs="仿宋_GB2312"/>
          <w:b/>
          <w:sz w:val="36"/>
          <w:szCs w:val="36"/>
          <w:highlight w:val="none"/>
        </w:rPr>
      </w:pPr>
      <w:bookmarkStart w:id="27" w:name="_Toc20749"/>
      <w:bookmarkStart w:id="28" w:name="_Toc31668"/>
      <w:bookmarkStart w:id="29" w:name="_Toc144713061"/>
      <w:bookmarkStart w:id="30" w:name="_Toc7518"/>
      <w:r>
        <w:rPr>
          <w:rFonts w:hint="eastAsia" w:ascii="仿宋" w:hAnsi="仿宋" w:eastAsia="仿宋" w:cs="仿宋_GB2312"/>
          <w:b/>
          <w:sz w:val="36"/>
          <w:szCs w:val="36"/>
          <w:highlight w:val="none"/>
        </w:rPr>
        <w:t>六、定</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标</w:t>
      </w:r>
      <w:bookmarkEnd w:id="27"/>
      <w:bookmarkEnd w:id="28"/>
      <w:bookmarkEnd w:id="29"/>
      <w:bookmarkEnd w:id="30"/>
    </w:p>
    <w:p w14:paraId="26162F19">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确定中标供应商</w:t>
      </w:r>
    </w:p>
    <w:p w14:paraId="64B42CD2">
      <w:pPr>
        <w:pStyle w:val="118"/>
        <w:snapToGrid w:val="0"/>
        <w:ind w:firstLine="420" w:firstLineChars="175"/>
        <w:rPr>
          <w:rFonts w:ascii="仿宋" w:hAnsi="仿宋" w:eastAsia="仿宋" w:cs="仿宋_GB2312"/>
          <w:b/>
          <w:szCs w:val="24"/>
          <w:highlight w:val="none"/>
        </w:rPr>
      </w:pPr>
      <w:r>
        <w:rPr>
          <w:rFonts w:hint="eastAsia" w:ascii="仿宋" w:hAnsi="仿宋" w:eastAsia="仿宋"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_GB2312"/>
          <w:szCs w:val="24"/>
          <w:highlight w:val="none"/>
          <w:lang w:val="en-US" w:eastAsia="zh-CN"/>
        </w:rPr>
        <w:t>鼓励</w:t>
      </w:r>
      <w:r>
        <w:rPr>
          <w:rFonts w:hint="eastAsia" w:ascii="仿宋" w:hAnsi="仿宋" w:eastAsia="仿宋" w:cs="仿宋_GB2312"/>
          <w:szCs w:val="24"/>
          <w:highlight w:val="none"/>
        </w:rPr>
        <w:t>在收到评审报告当天</w:t>
      </w:r>
      <w:r>
        <w:rPr>
          <w:rFonts w:hint="eastAsia" w:ascii="仿宋" w:hAnsi="仿宋" w:eastAsia="仿宋" w:cs="仿宋_GB2312"/>
          <w:szCs w:val="24"/>
          <w:highlight w:val="none"/>
          <w:lang w:val="en-US" w:eastAsia="zh-CN"/>
        </w:rPr>
        <w:t>在线</w:t>
      </w:r>
      <w:r>
        <w:rPr>
          <w:rFonts w:hint="eastAsia" w:ascii="仿宋" w:hAnsi="仿宋" w:eastAsia="仿宋" w:cs="仿宋_GB2312"/>
          <w:szCs w:val="24"/>
          <w:highlight w:val="none"/>
        </w:rPr>
        <w:t>确定中标或者成交供应商。中标、成交通知书和中标、成交结果公告应当在规定时间内同时发出。</w:t>
      </w:r>
    </w:p>
    <w:p w14:paraId="22CA027E">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中标通知与中标结果公告</w:t>
      </w:r>
    </w:p>
    <w:p w14:paraId="2948EDFA">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自中标人确定之日起2个工作日内，采购代理机构通过电子交易平台向中标人发出中标通知书，同时编制发布采购结果公告。采购代理机构也可以以纸质形式进行中标通知。</w:t>
      </w:r>
    </w:p>
    <w:p w14:paraId="01D75C0C">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2D1300C1">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公告期限为1个工作日。</w:t>
      </w:r>
    </w:p>
    <w:p w14:paraId="3CD3DB72">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由于中标、成交供应商原因导致重新采购的，应当承担支付代理费和专家评审费等费用在内的赔偿责任</w:t>
      </w:r>
      <w:r>
        <w:rPr>
          <w:rFonts w:hint="eastAsia" w:ascii="仿宋" w:hAnsi="仿宋" w:eastAsia="仿宋"/>
          <w:bCs/>
          <w:sz w:val="24"/>
          <w:highlight w:val="none"/>
          <w:lang w:eastAsia="zh-CN"/>
        </w:rPr>
        <w:t>。</w:t>
      </w:r>
    </w:p>
    <w:p w14:paraId="3C8043B2">
      <w:pPr>
        <w:rPr>
          <w:rFonts w:ascii="仿宋" w:hAnsi="仿宋" w:eastAsia="仿宋"/>
          <w:highlight w:val="none"/>
        </w:rPr>
      </w:pPr>
    </w:p>
    <w:p w14:paraId="493825D2">
      <w:pPr>
        <w:snapToGrid w:val="0"/>
        <w:spacing w:line="360" w:lineRule="auto"/>
        <w:jc w:val="center"/>
        <w:outlineLvl w:val="1"/>
        <w:rPr>
          <w:rFonts w:ascii="仿宋" w:hAnsi="仿宋" w:eastAsia="仿宋" w:cs="仿宋_GB2312"/>
          <w:b/>
          <w:sz w:val="36"/>
          <w:szCs w:val="36"/>
          <w:highlight w:val="none"/>
        </w:rPr>
      </w:pPr>
      <w:bookmarkStart w:id="31" w:name="_Toc12684"/>
      <w:bookmarkStart w:id="32" w:name="_Toc144713062"/>
      <w:bookmarkStart w:id="33" w:name="_Toc16906"/>
      <w:r>
        <w:rPr>
          <w:rFonts w:hint="eastAsia" w:ascii="仿宋" w:hAnsi="仿宋" w:eastAsia="仿宋" w:cs="仿宋_GB2312"/>
          <w:b/>
          <w:sz w:val="36"/>
          <w:szCs w:val="36"/>
          <w:highlight w:val="none"/>
        </w:rPr>
        <w:t>七、合同授予</w:t>
      </w:r>
      <w:bookmarkEnd w:id="31"/>
      <w:bookmarkEnd w:id="32"/>
      <w:bookmarkEnd w:id="33"/>
    </w:p>
    <w:p w14:paraId="50366125">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合同授予</w:t>
      </w:r>
    </w:p>
    <w:p w14:paraId="1B0A3CBC">
      <w:pPr>
        <w:widowControl/>
        <w:shd w:val="clear" w:color="auto" w:fill="FFFFFF"/>
        <w:spacing w:line="360" w:lineRule="auto"/>
        <w:ind w:firstLine="420"/>
        <w:jc w:val="left"/>
        <w:rPr>
          <w:rFonts w:ascii="仿宋" w:hAnsi="仿宋" w:eastAsia="仿宋" w:cs="仿宋_GB2312"/>
          <w:b/>
          <w:highlight w:val="none"/>
        </w:rPr>
      </w:pPr>
      <w:r>
        <w:rPr>
          <w:rFonts w:hint="eastAsia" w:ascii="仿宋" w:hAnsi="仿宋" w:eastAsia="仿宋" w:cs="仿宋_GB2312"/>
          <w:sz w:val="24"/>
          <w:highlight w:val="none"/>
        </w:rPr>
        <w:t>合同主要条款详见第五部分拟签订的合同文本。</w:t>
      </w:r>
    </w:p>
    <w:p w14:paraId="3C4C88C8">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合同的签订</w:t>
      </w:r>
    </w:p>
    <w:p w14:paraId="1D76086D">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45D36F">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rPr>
      </w:pPr>
      <w:r>
        <w:rPr>
          <w:rFonts w:hint="eastAsia" w:ascii="仿宋" w:hAnsi="仿宋" w:eastAsia="仿宋"/>
          <w:bCs/>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4352DC">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如签订合同并生效后，供应商无故拒绝或延期，除按照合同条款处理外，列入不良行为记录一次，并给予通报。</w:t>
      </w:r>
    </w:p>
    <w:p w14:paraId="450EDBBF">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439E4465">
      <w:pPr>
        <w:numPr>
          <w:ilvl w:val="1"/>
          <w:numId w:val="4"/>
        </w:numPr>
        <w:tabs>
          <w:tab w:val="left" w:pos="210"/>
          <w:tab w:val="left" w:pos="640"/>
        </w:tabs>
        <w:snapToGrid w:val="0"/>
        <w:spacing w:line="360" w:lineRule="auto"/>
        <w:ind w:left="629" w:hanging="629"/>
        <w:jc w:val="left"/>
        <w:rPr>
          <w:rFonts w:ascii="仿宋" w:hAnsi="仿宋" w:eastAsia="仿宋" w:cs="仿宋_GB2312"/>
          <w:b/>
          <w:highlight w:val="none"/>
        </w:rPr>
      </w:pPr>
      <w:r>
        <w:rPr>
          <w:rFonts w:hint="eastAsia" w:ascii="仿宋" w:hAnsi="仿宋" w:eastAsia="仿宋"/>
          <w:bCs/>
          <w:sz w:val="24"/>
          <w:highlight w:val="none"/>
          <w:lang w:val="zh-CN"/>
        </w:rPr>
        <w:t>采购合同由采购人与中标供应商根据招标文件、投标文件等内容通过政府采购电子交易平台在线签订，自动备案。</w:t>
      </w:r>
    </w:p>
    <w:p w14:paraId="4DB83044">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履约保证金</w:t>
      </w:r>
    </w:p>
    <w:p w14:paraId="1807501D">
      <w:pPr>
        <w:numPr>
          <w:ilvl w:val="1"/>
          <w:numId w:val="4"/>
        </w:numPr>
        <w:tabs>
          <w:tab w:val="left" w:pos="210"/>
          <w:tab w:val="left" w:pos="640"/>
        </w:tabs>
        <w:snapToGrid w:val="0"/>
        <w:spacing w:line="360" w:lineRule="auto"/>
        <w:ind w:left="627" w:hanging="627"/>
        <w:jc w:val="left"/>
        <w:rPr>
          <w:rFonts w:ascii="仿宋" w:hAnsi="仿宋" w:eastAsia="仿宋"/>
          <w:bCs/>
          <w:sz w:val="24"/>
          <w:highlight w:val="none"/>
          <w:lang w:val="zh-CN"/>
        </w:rPr>
      </w:pPr>
      <w:r>
        <w:rPr>
          <w:rFonts w:hint="eastAsia" w:ascii="仿宋" w:hAnsi="仿宋" w:eastAsia="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bCs/>
          <w:sz w:val="24"/>
          <w:highlight w:val="none"/>
        </w:rPr>
        <w:t>1.0</w:t>
      </w:r>
      <w:r>
        <w:rPr>
          <w:rFonts w:hint="eastAsia" w:ascii="仿宋" w:hAnsi="仿宋" w:eastAsia="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28B7E729">
      <w:pPr>
        <w:numPr>
          <w:ilvl w:val="1"/>
          <w:numId w:val="4"/>
        </w:numPr>
        <w:tabs>
          <w:tab w:val="left" w:pos="210"/>
          <w:tab w:val="left" w:pos="640"/>
        </w:tabs>
        <w:snapToGrid w:val="0"/>
        <w:spacing w:line="360" w:lineRule="auto"/>
        <w:ind w:left="627" w:hanging="627"/>
        <w:jc w:val="left"/>
        <w:rPr>
          <w:rFonts w:ascii="仿宋" w:hAnsi="仿宋" w:eastAsia="仿宋"/>
          <w:bCs/>
          <w:sz w:val="24"/>
          <w:highlight w:val="none"/>
          <w:lang w:val="zh-CN"/>
        </w:rPr>
      </w:pPr>
      <w:r>
        <w:rPr>
          <w:rFonts w:hint="eastAsia" w:ascii="仿宋" w:hAnsi="仿宋" w:eastAsia="仿宋"/>
          <w:bCs/>
          <w:sz w:val="24"/>
          <w:highlight w:val="none"/>
          <w:lang w:val="zh-CN"/>
        </w:rPr>
        <w:t>供应商</w:t>
      </w:r>
      <w:r>
        <w:rPr>
          <w:rFonts w:hint="eastAsia" w:ascii="仿宋" w:hAnsi="仿宋" w:eastAsia="仿宋"/>
          <w:bCs/>
          <w:sz w:val="24"/>
          <w:highlight w:val="none"/>
        </w:rPr>
        <w:t>可</w:t>
      </w:r>
      <w:r>
        <w:rPr>
          <w:rFonts w:hint="eastAsia" w:ascii="仿宋" w:hAnsi="仿宋" w:eastAsia="仿宋"/>
          <w:bCs/>
          <w:sz w:val="24"/>
          <w:highlight w:val="none"/>
          <w:lang w:val="zh-CN"/>
        </w:rPr>
        <w:t>登录政采云平台-【金融服务】—【我的项目】—【已备案合同】以保函形式提供：</w:t>
      </w:r>
    </w:p>
    <w:p w14:paraId="3282D266">
      <w:pPr>
        <w:numPr>
          <w:ilvl w:val="2"/>
          <w:numId w:val="4"/>
        </w:numPr>
        <w:tabs>
          <w:tab w:val="left" w:pos="210"/>
        </w:tabs>
        <w:snapToGrid w:val="0"/>
        <w:spacing w:line="360" w:lineRule="auto"/>
        <w:jc w:val="left"/>
        <w:rPr>
          <w:rFonts w:ascii="仿宋" w:hAnsi="仿宋" w:eastAsia="仿宋"/>
          <w:bCs/>
          <w:sz w:val="24"/>
          <w:highlight w:val="none"/>
          <w:lang w:val="zh-CN"/>
        </w:rPr>
      </w:pPr>
      <w:r>
        <w:rPr>
          <w:rFonts w:hint="eastAsia" w:ascii="仿宋" w:hAnsi="仿宋" w:eastAsia="仿宋"/>
          <w:bCs/>
          <w:sz w:val="24"/>
          <w:highlight w:val="none"/>
          <w:lang w:val="zh-CN"/>
        </w:rPr>
        <w:t>供应商在合同列表选择需要投保的合同，点击【保函推荐】。</w:t>
      </w:r>
    </w:p>
    <w:p w14:paraId="13E96876">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lang w:val="zh-CN"/>
        </w:rPr>
        <w:t>在弹框里查看推荐的保函产品，供应商自行选择保函产品，点击【立即申请】。</w:t>
      </w:r>
    </w:p>
    <w:p w14:paraId="56DBBED4">
      <w:pPr>
        <w:numPr>
          <w:ilvl w:val="2"/>
          <w:numId w:val="4"/>
        </w:numPr>
        <w:tabs>
          <w:tab w:val="left" w:pos="210"/>
        </w:tabs>
        <w:snapToGrid w:val="0"/>
        <w:spacing w:line="360" w:lineRule="auto"/>
        <w:jc w:val="left"/>
        <w:rPr>
          <w:rFonts w:ascii="仿宋" w:hAnsi="仿宋" w:eastAsia="仿宋"/>
          <w:bCs/>
          <w:sz w:val="24"/>
          <w:highlight w:val="none"/>
        </w:rPr>
      </w:pPr>
      <w:r>
        <w:rPr>
          <w:rFonts w:hint="eastAsia" w:ascii="仿宋" w:hAnsi="仿宋" w:eastAsia="仿宋"/>
          <w:bCs/>
          <w:sz w:val="24"/>
          <w:highlight w:val="none"/>
          <w:lang w:val="zh-CN"/>
        </w:rPr>
        <w:t>在弹框里填写保函申请信息。具体步骤：选择产品—填写供应商信息—选择中标项目—确认信息—等待保险/保函受理—确认保单—支付保费—成功出单。政采云金融专线</w:t>
      </w:r>
      <w:r>
        <w:rPr>
          <w:rFonts w:hint="eastAsia" w:ascii="仿宋" w:hAnsi="仿宋" w:eastAsia="仿宋"/>
          <w:bCs/>
          <w:sz w:val="24"/>
          <w:highlight w:val="none"/>
          <w:lang w:val="zh-CN" w:eastAsia="zh-CN"/>
        </w:rPr>
        <w:t>95763</w:t>
      </w:r>
      <w:r>
        <w:rPr>
          <w:rFonts w:hint="eastAsia" w:ascii="仿宋" w:hAnsi="仿宋" w:eastAsia="仿宋"/>
          <w:bCs/>
          <w:sz w:val="24"/>
          <w:highlight w:val="none"/>
          <w:lang w:val="zh-CN"/>
        </w:rPr>
        <w:t>。</w:t>
      </w:r>
    </w:p>
    <w:p w14:paraId="4B80408C">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预付款</w:t>
      </w:r>
    </w:p>
    <w:p w14:paraId="65CCF13C">
      <w:pPr>
        <w:tabs>
          <w:tab w:val="left" w:pos="210"/>
          <w:tab w:val="left" w:pos="640"/>
        </w:tabs>
        <w:snapToGrid w:val="0"/>
        <w:spacing w:line="360" w:lineRule="auto"/>
        <w:ind w:firstLine="480" w:firstLineChars="200"/>
        <w:jc w:val="left"/>
        <w:rPr>
          <w:rFonts w:ascii="仿宋" w:hAnsi="仿宋" w:eastAsia="仿宋"/>
          <w:bCs/>
          <w:sz w:val="24"/>
          <w:highlight w:val="none"/>
        </w:rPr>
      </w:pPr>
      <w:r>
        <w:rPr>
          <w:rFonts w:hint="eastAsia" w:ascii="仿宋" w:hAnsi="仿宋" w:eastAsia="仿宋"/>
          <w:bCs/>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292079C">
      <w:pPr>
        <w:snapToGrid w:val="0"/>
        <w:spacing w:line="360" w:lineRule="auto"/>
        <w:ind w:firstLine="3357" w:firstLineChars="1045"/>
        <w:rPr>
          <w:rFonts w:ascii="仿宋" w:hAnsi="仿宋" w:eastAsia="仿宋" w:cs="仿宋_GB2312"/>
          <w:b/>
          <w:sz w:val="32"/>
          <w:highlight w:val="none"/>
        </w:rPr>
      </w:pPr>
    </w:p>
    <w:p w14:paraId="1EB8FD46">
      <w:pPr>
        <w:snapToGrid w:val="0"/>
        <w:spacing w:line="360" w:lineRule="auto"/>
        <w:jc w:val="center"/>
        <w:outlineLvl w:val="1"/>
        <w:rPr>
          <w:rFonts w:ascii="仿宋" w:hAnsi="仿宋" w:eastAsia="仿宋" w:cs="仿宋_GB2312"/>
          <w:b/>
          <w:sz w:val="36"/>
          <w:szCs w:val="36"/>
          <w:highlight w:val="none"/>
        </w:rPr>
      </w:pPr>
      <w:bookmarkStart w:id="34" w:name="_Toc24890"/>
      <w:bookmarkStart w:id="35" w:name="_Toc144713063"/>
      <w:r>
        <w:rPr>
          <w:rFonts w:hint="eastAsia" w:ascii="仿宋" w:hAnsi="仿宋" w:eastAsia="仿宋" w:cs="仿宋_GB2312"/>
          <w:b/>
          <w:sz w:val="36"/>
          <w:szCs w:val="36"/>
          <w:highlight w:val="none"/>
        </w:rPr>
        <w:t>八、电子交易活动的中止</w:t>
      </w:r>
      <w:bookmarkEnd w:id="34"/>
      <w:bookmarkEnd w:id="35"/>
    </w:p>
    <w:p w14:paraId="12F42953">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电子交易活动的中止</w:t>
      </w:r>
    </w:p>
    <w:p w14:paraId="1DB5AC52">
      <w:pPr>
        <w:pStyle w:val="118"/>
        <w:snapToGrid w:val="0"/>
        <w:ind w:firstLine="480"/>
        <w:rPr>
          <w:rFonts w:ascii="仿宋" w:hAnsi="仿宋" w:eastAsia="仿宋" w:cs="仿宋_GB2312"/>
          <w:highlight w:val="none"/>
        </w:rPr>
      </w:pPr>
      <w:r>
        <w:rPr>
          <w:rFonts w:hint="eastAsia" w:ascii="仿宋" w:hAnsi="仿宋" w:eastAsia="仿宋" w:cs="仿宋_GB2312"/>
          <w:highlight w:val="none"/>
        </w:rPr>
        <w:t>采购过程中出现以下情形，导致电子交易平台无法正常运行，或者无法保证电子交易的公平、公正和安全时，采购代理机构可中止电子交易活动：</w:t>
      </w:r>
    </w:p>
    <w:p w14:paraId="5F129D98">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 xml:space="preserve">电子交易平台发生故障而无法登录访问的； </w:t>
      </w:r>
    </w:p>
    <w:p w14:paraId="26BB5A74">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电子交易平台应用或数据库出现错误，不能进行正常操作的；</w:t>
      </w:r>
    </w:p>
    <w:p w14:paraId="22F2E565">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电子交易平台发现严重安全漏洞，有潜在泄密危险的；</w:t>
      </w:r>
    </w:p>
    <w:p w14:paraId="03CAA44A">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 xml:space="preserve">病毒发作导致不能进行正常操作的； </w:t>
      </w:r>
    </w:p>
    <w:p w14:paraId="33869DE8">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其他无法保证电子交易的公平、公正和安全的情况。</w:t>
      </w:r>
    </w:p>
    <w:p w14:paraId="69C05F8C">
      <w:pPr>
        <w:numPr>
          <w:ilvl w:val="0"/>
          <w:numId w:val="4"/>
        </w:numPr>
        <w:tabs>
          <w:tab w:val="left" w:pos="210"/>
        </w:tabs>
        <w:snapToGrid w:val="0"/>
        <w:spacing w:line="360" w:lineRule="auto"/>
        <w:ind w:left="403" w:hanging="403"/>
        <w:jc w:val="left"/>
        <w:outlineLvl w:val="2"/>
        <w:rPr>
          <w:rFonts w:ascii="仿宋" w:hAnsi="仿宋" w:eastAsia="仿宋"/>
          <w:b/>
          <w:sz w:val="24"/>
          <w:highlight w:val="none"/>
        </w:rPr>
      </w:pPr>
      <w:r>
        <w:rPr>
          <w:rFonts w:hint="eastAsia" w:ascii="仿宋" w:hAnsi="仿宋" w:eastAsia="仿宋"/>
          <w:b/>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F4F71FB">
      <w:pPr>
        <w:tabs>
          <w:tab w:val="left" w:pos="0"/>
        </w:tabs>
        <w:spacing w:line="360" w:lineRule="auto"/>
        <w:ind w:firstLine="480"/>
        <w:rPr>
          <w:rFonts w:ascii="仿宋" w:hAnsi="仿宋" w:eastAsia="仿宋"/>
          <w:sz w:val="24"/>
          <w:highlight w:val="none"/>
        </w:rPr>
      </w:pPr>
    </w:p>
    <w:p w14:paraId="0343D9D3">
      <w:pPr>
        <w:snapToGrid w:val="0"/>
        <w:spacing w:line="360" w:lineRule="auto"/>
        <w:jc w:val="center"/>
        <w:outlineLvl w:val="1"/>
        <w:rPr>
          <w:rFonts w:ascii="仿宋" w:hAnsi="仿宋" w:eastAsia="仿宋" w:cs="仿宋_GB2312"/>
          <w:b/>
          <w:sz w:val="36"/>
          <w:szCs w:val="36"/>
          <w:highlight w:val="none"/>
        </w:rPr>
      </w:pPr>
      <w:bookmarkStart w:id="36" w:name="_Toc18624"/>
      <w:bookmarkStart w:id="37" w:name="_Toc144713064"/>
      <w:r>
        <w:rPr>
          <w:rFonts w:hint="eastAsia" w:ascii="仿宋" w:hAnsi="仿宋" w:eastAsia="仿宋" w:cs="仿宋_GB2312"/>
          <w:b/>
          <w:sz w:val="36"/>
          <w:szCs w:val="36"/>
          <w:highlight w:val="none"/>
        </w:rPr>
        <w:t>九、验收</w:t>
      </w:r>
      <w:bookmarkEnd w:id="36"/>
      <w:bookmarkEnd w:id="37"/>
    </w:p>
    <w:p w14:paraId="3D8D7A5A">
      <w:pPr>
        <w:numPr>
          <w:ilvl w:val="0"/>
          <w:numId w:val="4"/>
        </w:numPr>
        <w:tabs>
          <w:tab w:val="left" w:pos="210"/>
        </w:tabs>
        <w:snapToGrid w:val="0"/>
        <w:spacing w:line="360" w:lineRule="auto"/>
        <w:jc w:val="left"/>
        <w:outlineLvl w:val="2"/>
        <w:rPr>
          <w:rFonts w:ascii="仿宋" w:hAnsi="仿宋" w:eastAsia="仿宋"/>
          <w:b/>
          <w:sz w:val="24"/>
          <w:highlight w:val="none"/>
        </w:rPr>
      </w:pPr>
      <w:r>
        <w:rPr>
          <w:rFonts w:hint="eastAsia" w:ascii="仿宋" w:hAnsi="仿宋" w:eastAsia="仿宋"/>
          <w:b/>
          <w:sz w:val="24"/>
          <w:highlight w:val="none"/>
        </w:rPr>
        <w:t>验收</w:t>
      </w:r>
    </w:p>
    <w:p w14:paraId="75E55FFF">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4A67E">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采购人可以邀请参加本项目的其他投标人或者第三方机构参与验收。参与验收的投标人或者第三方机构的意见作为验收书的参考资料一并存档。</w:t>
      </w:r>
    </w:p>
    <w:p w14:paraId="5599590C">
      <w:pPr>
        <w:numPr>
          <w:ilvl w:val="1"/>
          <w:numId w:val="4"/>
        </w:numPr>
        <w:tabs>
          <w:tab w:val="left" w:pos="210"/>
          <w:tab w:val="left" w:pos="640"/>
        </w:tabs>
        <w:snapToGrid w:val="0"/>
        <w:spacing w:line="360" w:lineRule="auto"/>
        <w:ind w:left="629" w:hanging="629"/>
        <w:jc w:val="left"/>
        <w:rPr>
          <w:rFonts w:ascii="仿宋" w:hAnsi="仿宋" w:eastAsia="仿宋"/>
          <w:bCs/>
          <w:sz w:val="24"/>
          <w:highlight w:val="none"/>
          <w:lang w:val="zh-CN"/>
        </w:rPr>
      </w:pPr>
      <w:r>
        <w:rPr>
          <w:rFonts w:hint="eastAsia" w:ascii="仿宋" w:hAnsi="仿宋" w:eastAsia="仿宋"/>
          <w:bCs/>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4F5FCB">
      <w:pPr>
        <w:numPr>
          <w:ilvl w:val="1"/>
          <w:numId w:val="4"/>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bCs/>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3CF24E">
      <w:pPr>
        <w:numPr>
          <w:ilvl w:val="1"/>
          <w:numId w:val="4"/>
        </w:numPr>
        <w:tabs>
          <w:tab w:val="left" w:pos="210"/>
          <w:tab w:val="left" w:pos="640"/>
        </w:tabs>
        <w:snapToGrid w:val="0"/>
        <w:spacing w:line="360" w:lineRule="auto"/>
        <w:ind w:left="627" w:hanging="627"/>
        <w:jc w:val="left"/>
        <w:outlineLvl w:val="2"/>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对于满足合同约定的采购资金支付条件的，供应商可通过政采云平台提起在线支付申请、查询支付结果，路径为政采云-我的工作台-</w:t>
      </w:r>
      <w:r>
        <w:rPr>
          <w:rFonts w:hint="eastAsia" w:ascii="仿宋" w:hAnsi="仿宋" w:eastAsia="仿宋" w:cs="仿宋"/>
          <w:bCs/>
          <w:sz w:val="24"/>
          <w:highlight w:val="none"/>
          <w:lang w:val="zh-CN" w:eastAsia="zh-CN"/>
        </w:rPr>
        <w:t>合同管理</w:t>
      </w:r>
      <w:r>
        <w:rPr>
          <w:rFonts w:hint="eastAsia" w:ascii="仿宋" w:hAnsi="仿宋" w:eastAsia="仿宋" w:cs="仿宋"/>
          <w:bCs/>
          <w:sz w:val="24"/>
          <w:highlight w:val="none"/>
          <w:lang w:val="zh-CN"/>
        </w:rPr>
        <w:t>-支付管理。对于供应商提起在线支付申请的，采购</w:t>
      </w:r>
      <w:r>
        <w:rPr>
          <w:rFonts w:hint="eastAsia" w:ascii="仿宋" w:hAnsi="仿宋" w:eastAsia="仿宋" w:cs="仿宋"/>
          <w:bCs/>
          <w:sz w:val="24"/>
          <w:highlight w:val="none"/>
          <w:lang w:val="zh-CN" w:eastAsia="zh-CN"/>
        </w:rPr>
        <w:t>人</w:t>
      </w:r>
      <w:r>
        <w:rPr>
          <w:rFonts w:hint="eastAsia" w:ascii="仿宋" w:hAnsi="仿宋" w:eastAsia="仿宋" w:cs="仿宋"/>
          <w:bCs/>
          <w:sz w:val="24"/>
          <w:highlight w:val="none"/>
          <w:lang w:val="zh-CN"/>
        </w:rPr>
        <w:t>应当</w:t>
      </w:r>
      <w:r>
        <w:rPr>
          <w:rFonts w:hint="eastAsia" w:ascii="仿宋" w:hAnsi="仿宋" w:eastAsia="仿宋" w:cs="仿宋"/>
          <w:bCs/>
          <w:sz w:val="24"/>
          <w:highlight w:val="none"/>
          <w:lang w:val="zh-CN" w:eastAsia="zh-CN"/>
        </w:rPr>
        <w:t>按规定</w:t>
      </w:r>
      <w:r>
        <w:rPr>
          <w:rFonts w:hint="eastAsia" w:ascii="仿宋" w:hAnsi="仿宋" w:eastAsia="仿宋" w:cs="仿宋"/>
          <w:bCs/>
          <w:sz w:val="24"/>
          <w:highlight w:val="none"/>
          <w:lang w:val="zh-CN"/>
        </w:rPr>
        <w:t>做好审核并完成支付。</w:t>
      </w:r>
    </w:p>
    <w:p w14:paraId="1F7D7775">
      <w:pPr>
        <w:adjustRightInd w:val="0"/>
        <w:snapToGrid w:val="0"/>
        <w:spacing w:before="120" w:beforeLines="50" w:after="120" w:afterLines="50" w:line="360" w:lineRule="auto"/>
        <w:jc w:val="center"/>
        <w:outlineLvl w:val="0"/>
        <w:rPr>
          <w:rFonts w:hint="eastAsia" w:ascii="仿宋" w:hAnsi="仿宋" w:eastAsia="仿宋" w:cs="仿宋"/>
          <w:sz w:val="36"/>
          <w:highlight w:val="none"/>
        </w:rPr>
      </w:pPr>
      <w:r>
        <w:rPr>
          <w:rFonts w:hint="eastAsia" w:ascii="仿宋" w:hAnsi="仿宋" w:eastAsia="仿宋" w:cs="仿宋"/>
          <w:b/>
          <w:bCs/>
          <w:sz w:val="28"/>
          <w:szCs w:val="21"/>
          <w:highlight w:val="none"/>
        </w:rPr>
        <w:br w:type="page"/>
      </w:r>
      <w:bookmarkStart w:id="38" w:name="_Toc31190"/>
      <w:bookmarkStart w:id="39" w:name="_Toc83616202"/>
      <w:bookmarkStart w:id="40" w:name="_Toc242012796"/>
      <w:bookmarkStart w:id="41" w:name="_Toc8274"/>
      <w:r>
        <w:rPr>
          <w:rFonts w:hint="eastAsia" w:ascii="仿宋" w:hAnsi="仿宋" w:eastAsia="仿宋" w:cs="仿宋"/>
          <w:b/>
          <w:sz w:val="30"/>
          <w:szCs w:val="30"/>
          <w:highlight w:val="none"/>
        </w:rPr>
        <w:t>第三部分</w:t>
      </w:r>
      <w:bookmarkEnd w:id="38"/>
      <w:bookmarkEnd w:id="39"/>
      <w:bookmarkEnd w:id="40"/>
      <w:r>
        <w:rPr>
          <w:rFonts w:hint="eastAsia" w:ascii="仿宋" w:hAnsi="仿宋" w:eastAsia="仿宋" w:cs="仿宋"/>
          <w:b/>
          <w:sz w:val="30"/>
          <w:szCs w:val="30"/>
          <w:highlight w:val="none"/>
        </w:rPr>
        <w:t xml:space="preserve">  采购需求</w:t>
      </w:r>
      <w:bookmarkEnd w:id="41"/>
    </w:p>
    <w:p w14:paraId="15A743E3">
      <w:pPr>
        <w:pStyle w:val="3"/>
        <w:snapToGrid w:val="0"/>
        <w:spacing w:before="120" w:beforeLines="50" w:after="120" w:afterLines="50" w:line="360" w:lineRule="auto"/>
        <w:rPr>
          <w:rFonts w:hint="eastAsia" w:ascii="仿宋" w:hAnsi="仿宋" w:eastAsia="仿宋" w:cs="仿宋"/>
          <w:sz w:val="24"/>
          <w:szCs w:val="24"/>
          <w:highlight w:val="none"/>
        </w:rPr>
      </w:pPr>
      <w:bookmarkStart w:id="42" w:name="_Toc22520"/>
      <w:bookmarkStart w:id="43" w:name="_Toc24281"/>
      <w:bookmarkStart w:id="44" w:name="_Toc10152"/>
      <w:bookmarkStart w:id="45" w:name="_Toc25979"/>
      <w:bookmarkStart w:id="46" w:name="_Toc13758"/>
      <w:bookmarkStart w:id="47" w:name="_Toc31232"/>
      <w:bookmarkStart w:id="48" w:name="_Toc204483585"/>
      <w:bookmarkStart w:id="49" w:name="_Toc498002349"/>
      <w:bookmarkStart w:id="50" w:name="_Toc437972390"/>
      <w:bookmarkStart w:id="51" w:name="_Toc294777238"/>
      <w:bookmarkStart w:id="52" w:name="_Toc19097"/>
      <w:bookmarkStart w:id="53" w:name="_Toc236047431"/>
      <w:bookmarkStart w:id="54" w:name="_Toc203558307"/>
      <w:bookmarkStart w:id="55" w:name="_Toc12471"/>
      <w:bookmarkStart w:id="56" w:name="_Toc194983818"/>
      <w:bookmarkStart w:id="57" w:name="_Toc306304665"/>
      <w:bookmarkStart w:id="58" w:name="_Toc342633574"/>
      <w:r>
        <w:rPr>
          <w:rFonts w:hint="eastAsia" w:ascii="仿宋" w:hAnsi="仿宋" w:eastAsia="仿宋" w:cs="仿宋"/>
          <w:sz w:val="24"/>
          <w:szCs w:val="24"/>
          <w:highlight w:val="none"/>
        </w:rPr>
        <w:t>一、项目</w:t>
      </w:r>
      <w:bookmarkEnd w:id="42"/>
      <w:bookmarkEnd w:id="43"/>
      <w:r>
        <w:rPr>
          <w:rFonts w:hint="eastAsia" w:ascii="仿宋" w:hAnsi="仿宋" w:eastAsia="仿宋" w:cs="仿宋"/>
          <w:sz w:val="24"/>
          <w:szCs w:val="24"/>
          <w:highlight w:val="none"/>
        </w:rPr>
        <w:t>概况</w:t>
      </w:r>
      <w:bookmarkEnd w:id="44"/>
      <w:bookmarkEnd w:id="45"/>
      <w:bookmarkEnd w:id="46"/>
      <w:bookmarkEnd w:id="47"/>
    </w:p>
    <w:p w14:paraId="1CE40E9A">
      <w:pPr>
        <w:adjustRightInd w:val="0"/>
        <w:snapToGrid w:val="0"/>
        <w:spacing w:line="360" w:lineRule="auto"/>
        <w:ind w:firstLine="480" w:firstLineChars="200"/>
        <w:rPr>
          <w:rFonts w:hint="eastAsia" w:ascii="仿宋" w:hAnsi="仿宋" w:eastAsia="仿宋" w:cs="仿宋"/>
          <w:snapToGrid w:val="0"/>
          <w:kern w:val="0"/>
          <w:sz w:val="24"/>
          <w:highlight w:val="none"/>
        </w:rPr>
      </w:pPr>
      <w:bookmarkStart w:id="59" w:name="_Toc4021"/>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项目名称：</w:t>
      </w:r>
      <w:r>
        <w:rPr>
          <w:rFonts w:hint="eastAsia" w:ascii="仿宋" w:hAnsi="仿宋" w:eastAsia="仿宋" w:cs="仿宋"/>
          <w:snapToGrid w:val="0"/>
          <w:kern w:val="0"/>
          <w:sz w:val="24"/>
          <w:highlight w:val="none"/>
          <w:lang w:val="en-US" w:eastAsia="zh-CN"/>
        </w:rPr>
        <w:t>杭州中国动漫博物馆</w:t>
      </w:r>
      <w:r>
        <w:rPr>
          <w:rFonts w:hint="eastAsia" w:ascii="仿宋" w:hAnsi="仿宋" w:eastAsia="仿宋" w:cs="仿宋"/>
          <w:snapToGrid w:val="0"/>
          <w:kern w:val="0"/>
          <w:sz w:val="24"/>
          <w:highlight w:val="none"/>
          <w:lang w:eastAsia="zh-CN"/>
        </w:rPr>
        <w:t>2025年</w:t>
      </w:r>
      <w:r>
        <w:rPr>
          <w:rFonts w:hint="eastAsia" w:ascii="仿宋" w:hAnsi="仿宋" w:eastAsia="仿宋" w:cs="仿宋"/>
          <w:snapToGrid w:val="0"/>
          <w:kern w:val="0"/>
          <w:sz w:val="24"/>
          <w:highlight w:val="none"/>
          <w:lang w:val="en-US" w:eastAsia="zh-CN"/>
        </w:rPr>
        <w:t>专业技术服务</w:t>
      </w:r>
      <w:r>
        <w:rPr>
          <w:rFonts w:hint="eastAsia" w:ascii="仿宋" w:hAnsi="仿宋" w:eastAsia="仿宋" w:cs="仿宋"/>
          <w:snapToGrid w:val="0"/>
          <w:kern w:val="0"/>
          <w:sz w:val="24"/>
          <w:highlight w:val="none"/>
        </w:rPr>
        <w:t>。</w:t>
      </w:r>
    </w:p>
    <w:p w14:paraId="04813489">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主要内容：根据采购人要求，为杭州中国动漫博物馆提供讲解社教服务、场馆专业化服务、宣传推广服务、其他服务等，保障动博馆日常开馆运行及各项馆内活动顺利开展，为到馆参观游客提供较高质量的观展体验，提升动博馆人气及知名度</w:t>
      </w:r>
      <w:r>
        <w:rPr>
          <w:rFonts w:hint="eastAsia" w:ascii="仿宋" w:hAnsi="仿宋" w:eastAsia="仿宋" w:cs="仿宋"/>
          <w:sz w:val="24"/>
          <w:highlight w:val="none"/>
        </w:rPr>
        <w:t>。</w:t>
      </w:r>
    </w:p>
    <w:p w14:paraId="1F6572E5">
      <w:pPr>
        <w:adjustRightInd w:val="0"/>
        <w:snapToGrid w:val="0"/>
        <w:spacing w:line="360" w:lineRule="auto"/>
        <w:ind w:firstLine="480" w:firstLineChars="200"/>
        <w:rPr>
          <w:rFonts w:hint="eastAsia" w:ascii="仿宋" w:hAnsi="仿宋" w:eastAsia="仿宋" w:cs="仿宋"/>
          <w:snapToGrid w:val="0"/>
          <w:kern w:val="0"/>
          <w:sz w:val="24"/>
          <w:highlight w:val="none"/>
        </w:rPr>
      </w:pPr>
      <w:bookmarkStart w:id="60" w:name="bookmark4"/>
      <w:bookmarkEnd w:id="60"/>
      <w:r>
        <w:rPr>
          <w:rFonts w:hint="eastAsia" w:ascii="仿宋" w:hAnsi="仿宋" w:eastAsia="仿宋" w:cs="仿宋"/>
          <w:snapToGrid w:val="0"/>
          <w:kern w:val="0"/>
          <w:sz w:val="24"/>
          <w:highlight w:val="none"/>
        </w:rPr>
        <w:t>3</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时间：</w:t>
      </w:r>
      <w:r>
        <w:rPr>
          <w:rFonts w:hint="eastAsia" w:ascii="仿宋" w:hAnsi="仿宋" w:eastAsia="仿宋" w:cs="仿宋"/>
          <w:sz w:val="24"/>
          <w:szCs w:val="24"/>
          <w:highlight w:val="none"/>
        </w:rPr>
        <w:t>从2025年1月</w:t>
      </w:r>
      <w:r>
        <w:rPr>
          <w:rFonts w:hint="eastAsia" w:ascii="仿宋" w:hAnsi="仿宋" w:eastAsia="仿宋" w:cs="仿宋"/>
          <w:sz w:val="24"/>
          <w:szCs w:val="24"/>
          <w:highlight w:val="none"/>
          <w:lang w:val="en-US" w:eastAsia="zh-CN"/>
        </w:rPr>
        <w:t>1日起</w:t>
      </w:r>
      <w:r>
        <w:rPr>
          <w:rFonts w:hint="eastAsia" w:ascii="仿宋" w:hAnsi="仿宋" w:eastAsia="仿宋" w:cs="仿宋"/>
          <w:sz w:val="24"/>
          <w:szCs w:val="24"/>
          <w:highlight w:val="none"/>
        </w:rPr>
        <w:t>至2026年3月</w:t>
      </w:r>
      <w:r>
        <w:rPr>
          <w:rFonts w:hint="eastAsia" w:ascii="仿宋" w:hAnsi="仿宋" w:eastAsia="仿宋" w:cs="仿宋"/>
          <w:sz w:val="24"/>
          <w:szCs w:val="24"/>
          <w:highlight w:val="none"/>
          <w:lang w:val="en-US" w:eastAsia="zh-CN"/>
        </w:rPr>
        <w:t>31日</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具体时间按</w:t>
      </w:r>
      <w:r>
        <w:rPr>
          <w:rFonts w:hint="eastAsia" w:ascii="仿宋" w:hAnsi="仿宋" w:eastAsia="仿宋" w:cs="仿宋"/>
          <w:snapToGrid w:val="0"/>
          <w:kern w:val="0"/>
          <w:sz w:val="24"/>
          <w:highlight w:val="none"/>
        </w:rPr>
        <w:t>合同要求开始实施</w:t>
      </w:r>
      <w:bookmarkStart w:id="61" w:name="bookmark5"/>
      <w:bookmarkEnd w:id="61"/>
      <w:r>
        <w:rPr>
          <w:rFonts w:hint="eastAsia" w:ascii="仿宋" w:hAnsi="仿宋" w:eastAsia="仿宋" w:cs="仿宋"/>
          <w:snapToGrid w:val="0"/>
          <w:kern w:val="0"/>
          <w:sz w:val="24"/>
          <w:highlight w:val="none"/>
        </w:rPr>
        <w:t>。</w:t>
      </w:r>
    </w:p>
    <w:p w14:paraId="5D2619A6">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en-US" w:eastAsia="zh-CN"/>
        </w:rPr>
        <w:t>.</w:t>
      </w:r>
      <w:r>
        <w:rPr>
          <w:rFonts w:hint="eastAsia" w:ascii="仿宋" w:hAnsi="仿宋" w:eastAsia="仿宋" w:cs="仿宋"/>
          <w:snapToGrid w:val="0"/>
          <w:kern w:val="0"/>
          <w:sz w:val="24"/>
          <w:highlight w:val="none"/>
        </w:rPr>
        <w:t>地点：中国动漫博物馆等场所。具体活动地点由采购人根据实际情况确定，中标人负责落实。</w:t>
      </w:r>
      <w:bookmarkStart w:id="62" w:name="bookmark6"/>
      <w:bookmarkEnd w:id="62"/>
    </w:p>
    <w:p w14:paraId="68EAE5B7">
      <w:pPr>
        <w:pStyle w:val="3"/>
        <w:snapToGrid w:val="0"/>
        <w:spacing w:before="120" w:beforeLines="50" w:after="120" w:afterLines="50" w:line="360" w:lineRule="auto"/>
        <w:rPr>
          <w:rFonts w:hint="eastAsia" w:ascii="仿宋" w:hAnsi="仿宋" w:eastAsia="仿宋" w:cs="仿宋"/>
          <w:sz w:val="24"/>
          <w:szCs w:val="24"/>
          <w:highlight w:val="none"/>
        </w:rPr>
      </w:pPr>
      <w:bookmarkStart w:id="63" w:name="_Toc29623"/>
      <w:bookmarkStart w:id="64" w:name="_Toc14453"/>
      <w:bookmarkStart w:id="65" w:name="_Toc30178"/>
      <w:bookmarkStart w:id="66" w:name="_Toc13554"/>
      <w:bookmarkStart w:id="67" w:name="_Toc11871"/>
      <w:r>
        <w:rPr>
          <w:rFonts w:hint="eastAsia" w:ascii="仿宋" w:hAnsi="仿宋" w:eastAsia="仿宋" w:cs="仿宋"/>
          <w:sz w:val="24"/>
          <w:szCs w:val="24"/>
          <w:highlight w:val="none"/>
        </w:rPr>
        <w:t>二、服务相关内容</w:t>
      </w:r>
      <w:bookmarkEnd w:id="63"/>
      <w:bookmarkEnd w:id="64"/>
      <w:r>
        <w:rPr>
          <w:rFonts w:hint="eastAsia" w:ascii="仿宋" w:hAnsi="仿宋" w:eastAsia="仿宋" w:cs="仿宋"/>
          <w:sz w:val="24"/>
          <w:szCs w:val="24"/>
          <w:highlight w:val="none"/>
        </w:rPr>
        <w:t>及要求</w:t>
      </w:r>
      <w:bookmarkEnd w:id="65"/>
      <w:bookmarkEnd w:id="66"/>
      <w:bookmarkEnd w:id="67"/>
    </w:p>
    <w:p w14:paraId="678652D0">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（一）现状</w:t>
      </w:r>
    </w:p>
    <w:p w14:paraId="2004812A">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1.场馆介绍</w:t>
      </w:r>
    </w:p>
    <w:p w14:paraId="322662B8">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lang w:eastAsia="zh-CN"/>
        </w:rPr>
        <w:t>杭州</w:t>
      </w:r>
      <w:r>
        <w:rPr>
          <w:rFonts w:hint="eastAsia" w:ascii="仿宋" w:hAnsi="仿宋" w:eastAsia="仿宋" w:cs="仿宋"/>
          <w:snapToGrid w:val="0"/>
          <w:kern w:val="0"/>
          <w:sz w:val="24"/>
          <w:highlight w:val="none"/>
        </w:rPr>
        <w:t>中国动漫博物馆（以下简称“动博馆”）</w:t>
      </w:r>
      <w:r>
        <w:rPr>
          <w:rFonts w:hint="eastAsia" w:ascii="仿宋" w:hAnsi="仿宋" w:eastAsia="仿宋" w:cs="仿宋"/>
          <w:snapToGrid w:val="0"/>
          <w:kern w:val="0"/>
          <w:sz w:val="24"/>
          <w:highlight w:val="none"/>
          <w:lang w:eastAsia="zh-Hans"/>
        </w:rPr>
        <w:t>是国家广电总局和中国动画学会批准</w:t>
      </w:r>
      <w:r>
        <w:rPr>
          <w:rFonts w:hint="eastAsia" w:ascii="仿宋" w:hAnsi="仿宋" w:eastAsia="仿宋" w:cs="仿宋"/>
          <w:snapToGrid w:val="0"/>
          <w:kern w:val="0"/>
          <w:sz w:val="24"/>
          <w:highlight w:val="none"/>
          <w:lang w:val="en-US" w:eastAsia="zh-CN"/>
        </w:rPr>
        <w:t>筹建</w:t>
      </w:r>
      <w:r>
        <w:rPr>
          <w:rFonts w:hint="eastAsia" w:ascii="仿宋" w:hAnsi="仿宋" w:eastAsia="仿宋" w:cs="仿宋"/>
          <w:snapToGrid w:val="0"/>
          <w:kern w:val="0"/>
          <w:sz w:val="24"/>
          <w:highlight w:val="none"/>
          <w:lang w:eastAsia="zh-Hans"/>
        </w:rPr>
        <w:t>的动漫</w:t>
      </w:r>
      <w:r>
        <w:rPr>
          <w:rFonts w:hint="eastAsia" w:ascii="仿宋" w:hAnsi="仿宋" w:eastAsia="仿宋" w:cs="仿宋"/>
          <w:snapToGrid w:val="0"/>
          <w:kern w:val="0"/>
          <w:sz w:val="24"/>
          <w:highlight w:val="none"/>
          <w:lang w:val="en-US" w:eastAsia="zh-CN"/>
        </w:rPr>
        <w:t>专题</w:t>
      </w:r>
      <w:r>
        <w:rPr>
          <w:rFonts w:hint="eastAsia" w:ascii="仿宋" w:hAnsi="仿宋" w:eastAsia="仿宋" w:cs="仿宋"/>
          <w:snapToGrid w:val="0"/>
          <w:kern w:val="0"/>
          <w:sz w:val="24"/>
          <w:highlight w:val="none"/>
          <w:lang w:eastAsia="zh-Hans"/>
        </w:rPr>
        <w:t>博物馆</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eastAsia="zh-Hans"/>
        </w:rPr>
        <w:t>是杭州市委、市政府打造“</w:t>
      </w:r>
      <w:r>
        <w:rPr>
          <w:rFonts w:hint="eastAsia" w:ascii="仿宋" w:hAnsi="仿宋" w:eastAsia="仿宋" w:cs="仿宋"/>
          <w:snapToGrid w:val="0"/>
          <w:kern w:val="0"/>
          <w:sz w:val="24"/>
          <w:highlight w:val="none"/>
          <w:lang w:val="en-US" w:eastAsia="zh-CN"/>
        </w:rPr>
        <w:t>国际</w:t>
      </w:r>
      <w:r>
        <w:rPr>
          <w:rFonts w:hint="eastAsia" w:ascii="仿宋" w:hAnsi="仿宋" w:eastAsia="仿宋" w:cs="仿宋"/>
          <w:snapToGrid w:val="0"/>
          <w:kern w:val="0"/>
          <w:sz w:val="24"/>
          <w:highlight w:val="none"/>
          <w:lang w:eastAsia="zh-Hans"/>
        </w:rPr>
        <w:t>文化创意中心”和“</w:t>
      </w:r>
      <w:r>
        <w:rPr>
          <w:rFonts w:hint="eastAsia" w:ascii="仿宋" w:hAnsi="仿宋" w:eastAsia="仿宋" w:cs="仿宋"/>
          <w:snapToGrid w:val="0"/>
          <w:kern w:val="0"/>
          <w:sz w:val="24"/>
          <w:highlight w:val="none"/>
          <w:lang w:val="en-US" w:eastAsia="zh-CN"/>
        </w:rPr>
        <w:t>国际</w:t>
      </w:r>
      <w:r>
        <w:rPr>
          <w:rFonts w:hint="eastAsia" w:ascii="仿宋" w:hAnsi="仿宋" w:eastAsia="仿宋" w:cs="仿宋"/>
          <w:snapToGrid w:val="0"/>
          <w:kern w:val="0"/>
          <w:sz w:val="24"/>
          <w:highlight w:val="none"/>
          <w:lang w:eastAsia="zh-Hans"/>
        </w:rPr>
        <w:t>动漫之都”重大举措</w:t>
      </w:r>
      <w:r>
        <w:rPr>
          <w:rFonts w:hint="eastAsia" w:ascii="仿宋" w:hAnsi="仿宋" w:eastAsia="仿宋" w:cs="仿宋"/>
          <w:snapToGrid w:val="0"/>
          <w:kern w:val="0"/>
          <w:sz w:val="24"/>
          <w:highlight w:val="none"/>
        </w:rPr>
        <w:t>，集展陈、收藏、教育、体验、学术等多种功能于一体，旨在建设国内规模最大、展品最丰富、内容最权威，国内首创、国际一流的现代动漫博物馆。</w:t>
      </w:r>
    </w:p>
    <w:p w14:paraId="55B1454A">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2.地理位置</w:t>
      </w:r>
    </w:p>
    <w:p w14:paraId="391A7584">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动博馆位于杭州市滨江区长河街道白马湖路375号，白马湖生态创意城动漫广场东侧的岛屿上，规划用地2.77公顷，主体建筑面积约为30167平方米。</w:t>
      </w:r>
    </w:p>
    <w:p w14:paraId="54E6839E">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3.场馆设施</w:t>
      </w:r>
    </w:p>
    <w:p w14:paraId="3EC37966">
      <w:pPr>
        <w:adjustRightInd w:val="0"/>
        <w:snapToGrid w:val="0"/>
        <w:spacing w:line="360" w:lineRule="auto"/>
        <w:ind w:firstLine="480" w:firstLineChars="200"/>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动博馆主体建筑共有7层（含地下一层），1-4层为主要展区，分别设有“动漫你的遐想”“动漫你的过去”“动漫你的今天”“动漫你的未来”四大展厅，</w:t>
      </w:r>
      <w:r>
        <w:rPr>
          <w:rFonts w:hint="eastAsia" w:ascii="仿宋" w:hAnsi="仿宋" w:eastAsia="仿宋" w:cs="仿宋"/>
          <w:snapToGrid w:val="0"/>
          <w:kern w:val="0"/>
          <w:sz w:val="24"/>
          <w:highlight w:val="none"/>
          <w:lang w:eastAsia="zh-CN"/>
        </w:rPr>
        <w:t>拥有动漫星光</w:t>
      </w:r>
      <w:r>
        <w:rPr>
          <w:rFonts w:hint="eastAsia" w:ascii="仿宋" w:hAnsi="仿宋" w:eastAsia="仿宋" w:cs="仿宋"/>
          <w:snapToGrid w:val="0"/>
          <w:kern w:val="0"/>
          <w:sz w:val="24"/>
          <w:highlight w:val="none"/>
        </w:rPr>
        <w:t>剧场、标准影厅、5D影厅、沉浸式影厅、图书馆</w:t>
      </w:r>
      <w:r>
        <w:rPr>
          <w:rFonts w:hint="eastAsia" w:ascii="仿宋" w:hAnsi="仿宋" w:eastAsia="仿宋" w:cs="仿宋"/>
          <w:snapToGrid w:val="0"/>
          <w:kern w:val="0"/>
          <w:sz w:val="24"/>
          <w:highlight w:val="none"/>
          <w:lang w:eastAsia="zh-CN"/>
        </w:rPr>
        <w:t>等配套设施</w:t>
      </w:r>
      <w:r>
        <w:rPr>
          <w:rFonts w:hint="eastAsia" w:ascii="仿宋" w:hAnsi="仿宋" w:eastAsia="仿宋" w:cs="仿宋"/>
          <w:snapToGrid w:val="0"/>
          <w:kern w:val="0"/>
          <w:sz w:val="24"/>
          <w:highlight w:val="none"/>
          <w:lang w:val="en-US" w:eastAsia="zh-CN"/>
        </w:rPr>
        <w:t>。</w:t>
      </w:r>
    </w:p>
    <w:p w14:paraId="1DB12751">
      <w:pPr>
        <w:adjustRightInd w:val="0"/>
        <w:snapToGrid w:val="0"/>
        <w:spacing w:line="360" w:lineRule="auto"/>
        <w:ind w:firstLine="482" w:firstLineChars="200"/>
        <w:jc w:val="left"/>
        <w:outlineLvl w:val="2"/>
        <w:rPr>
          <w:rFonts w:hint="eastAsia" w:ascii="仿宋" w:hAnsi="仿宋" w:eastAsia="仿宋" w:cs="仿宋"/>
          <w:b/>
          <w:bCs/>
          <w:sz w:val="24"/>
          <w:highlight w:val="none"/>
        </w:rPr>
      </w:pPr>
      <w:r>
        <w:rPr>
          <w:rFonts w:hint="eastAsia" w:ascii="仿宋" w:hAnsi="仿宋" w:eastAsia="仿宋" w:cs="仿宋"/>
          <w:b/>
          <w:bCs/>
          <w:sz w:val="24"/>
          <w:highlight w:val="none"/>
        </w:rPr>
        <w:t>（二）主要服务内容</w:t>
      </w:r>
    </w:p>
    <w:p w14:paraId="4AAD8C61">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本项目按各技术服务技术特点分为讲解社教服务、场馆专业化服务、宣传推广服务、其他服务四类。中标人需围绕动博馆功能定位、主题特点、设施布局等各条件，提供专业技术服务，开展相关工作。</w:t>
      </w:r>
    </w:p>
    <w:p w14:paraId="7C11D7FC">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1.讲解社教服务</w:t>
      </w:r>
    </w:p>
    <w:p w14:paraId="3DEEEC27">
      <w:pPr>
        <w:adjustRightInd w:val="0"/>
        <w:snapToGrid w:val="0"/>
        <w:spacing w:line="360" w:lineRule="auto"/>
        <w:ind w:firstLine="480" w:firstLineChars="200"/>
        <w:jc w:val="left"/>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w:t>
      </w:r>
      <w:r>
        <w:rPr>
          <w:rFonts w:hint="eastAsia" w:ascii="仿宋" w:hAnsi="仿宋" w:eastAsia="仿宋" w:cs="仿宋"/>
          <w:snapToGrid w:val="0"/>
          <w:kern w:val="0"/>
          <w:sz w:val="24"/>
          <w:highlight w:val="none"/>
          <w:lang w:val="en-US" w:eastAsia="zh-CN"/>
        </w:rPr>
        <w:t>配合采购人完成各类接待任务，承担动博馆各类中英文讲解工作，参与讲解词的撰写、修改、编排等工作；根据受众对象及参观时长的要求，合理设计参观动线，熟练掌握不同版本讲解内容与技巧，满足动博馆常设展区、临时展览和重点活动的讲解需求；在项目期限内提供公益及其他讲解服务不少于320场次。</w:t>
      </w:r>
    </w:p>
    <w:p w14:paraId="6DC7EC8F">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（2）配合</w:t>
      </w:r>
      <w:r>
        <w:rPr>
          <w:rFonts w:hint="eastAsia" w:ascii="仿宋" w:hAnsi="仿宋" w:eastAsia="仿宋" w:cs="仿宋"/>
          <w:snapToGrid w:val="0"/>
          <w:kern w:val="0"/>
          <w:sz w:val="24"/>
          <w:highlight w:val="none"/>
          <w:lang w:val="en-US" w:eastAsia="zh-CN"/>
        </w:rPr>
        <w:t>本馆</w:t>
      </w:r>
      <w:r>
        <w:rPr>
          <w:rFonts w:hint="eastAsia" w:ascii="仿宋" w:hAnsi="仿宋" w:eastAsia="仿宋" w:cs="仿宋"/>
          <w:snapToGrid w:val="0"/>
          <w:kern w:val="0"/>
          <w:sz w:val="24"/>
          <w:highlight w:val="none"/>
        </w:rPr>
        <w:t>社教课程执行计划，根据实际需求，准备相应设施设备，</w:t>
      </w:r>
      <w:r>
        <w:rPr>
          <w:rFonts w:hint="eastAsia" w:ascii="仿宋" w:hAnsi="仿宋" w:eastAsia="仿宋" w:cs="仿宋"/>
          <w:snapToGrid w:val="0"/>
          <w:kern w:val="0"/>
          <w:sz w:val="24"/>
          <w:highlight w:val="none"/>
          <w:lang w:eastAsia="zh-CN"/>
        </w:rPr>
        <w:t>完成</w:t>
      </w:r>
      <w:r>
        <w:rPr>
          <w:rFonts w:hint="eastAsia" w:ascii="仿宋" w:hAnsi="仿宋" w:eastAsia="仿宋" w:cs="仿宋"/>
          <w:snapToGrid w:val="0"/>
          <w:kern w:val="0"/>
          <w:sz w:val="24"/>
          <w:highlight w:val="none"/>
        </w:rPr>
        <w:t>馆内及流动博物馆等各类授课服务，</w:t>
      </w:r>
      <w:r>
        <w:rPr>
          <w:rFonts w:hint="eastAsia" w:ascii="仿宋" w:hAnsi="仿宋" w:eastAsia="仿宋" w:cs="仿宋"/>
          <w:snapToGrid w:val="0"/>
          <w:kern w:val="0"/>
          <w:sz w:val="24"/>
          <w:highlight w:val="none"/>
          <w:lang w:val="en-US" w:eastAsia="zh-CN"/>
        </w:rPr>
        <w:t>做好材料包配套保障，</w:t>
      </w:r>
      <w:r>
        <w:rPr>
          <w:rFonts w:hint="eastAsia" w:ascii="仿宋" w:hAnsi="仿宋" w:eastAsia="仿宋" w:cs="仿宋"/>
          <w:snapToGrid w:val="0"/>
          <w:kern w:val="0"/>
          <w:sz w:val="24"/>
          <w:highlight w:val="none"/>
          <w:lang w:eastAsia="zh-CN"/>
        </w:rPr>
        <w:t>并</w:t>
      </w:r>
      <w:r>
        <w:rPr>
          <w:rFonts w:hint="eastAsia" w:ascii="仿宋" w:hAnsi="仿宋" w:eastAsia="仿宋" w:cs="仿宋"/>
          <w:snapToGrid w:val="0"/>
          <w:kern w:val="0"/>
          <w:sz w:val="24"/>
          <w:highlight w:val="none"/>
          <w:lang w:val="en-US" w:eastAsia="zh-CN"/>
        </w:rPr>
        <w:t>协助</w:t>
      </w:r>
      <w:r>
        <w:rPr>
          <w:rFonts w:hint="eastAsia" w:ascii="仿宋" w:hAnsi="仿宋" w:eastAsia="仿宋" w:cs="仿宋"/>
          <w:snapToGrid w:val="0"/>
          <w:kern w:val="0"/>
          <w:sz w:val="24"/>
          <w:highlight w:val="none"/>
          <w:lang w:eastAsia="zh-CN"/>
        </w:rPr>
        <w:t>做好课程研发，</w:t>
      </w:r>
      <w:r>
        <w:rPr>
          <w:rFonts w:hint="eastAsia" w:ascii="仿宋" w:hAnsi="仿宋" w:eastAsia="仿宋" w:cs="仿宋"/>
          <w:snapToGrid w:val="0"/>
          <w:kern w:val="0"/>
          <w:sz w:val="24"/>
          <w:highlight w:val="none"/>
        </w:rPr>
        <w:t>助力打造动博特色品牌课程。在项目期限内开展</w:t>
      </w:r>
      <w:r>
        <w:rPr>
          <w:rFonts w:hint="eastAsia" w:ascii="仿宋" w:hAnsi="仿宋" w:eastAsia="仿宋" w:cs="仿宋"/>
          <w:snapToGrid w:val="0"/>
          <w:kern w:val="0"/>
          <w:sz w:val="24"/>
          <w:highlight w:val="none"/>
          <w:lang w:eastAsia="zh-CN"/>
        </w:rPr>
        <w:t>公益类</w:t>
      </w:r>
      <w:r>
        <w:rPr>
          <w:rFonts w:hint="eastAsia" w:ascii="仿宋" w:hAnsi="仿宋" w:eastAsia="仿宋" w:cs="仿宋"/>
          <w:snapToGrid w:val="0"/>
          <w:kern w:val="0"/>
          <w:sz w:val="24"/>
          <w:highlight w:val="none"/>
        </w:rPr>
        <w:t>社教课程数量不少于</w:t>
      </w:r>
      <w:r>
        <w:rPr>
          <w:rFonts w:hint="eastAsia" w:ascii="仿宋" w:hAnsi="仿宋" w:eastAsia="仿宋" w:cs="仿宋"/>
          <w:snapToGrid w:val="0"/>
          <w:kern w:val="0"/>
          <w:sz w:val="24"/>
          <w:highlight w:val="none"/>
          <w:lang w:val="en-US" w:eastAsia="zh-CN"/>
        </w:rPr>
        <w:t>150</w:t>
      </w:r>
      <w:r>
        <w:rPr>
          <w:rFonts w:hint="eastAsia" w:ascii="仿宋" w:hAnsi="仿宋" w:eastAsia="仿宋" w:cs="仿宋"/>
          <w:snapToGrid w:val="0"/>
          <w:kern w:val="0"/>
          <w:sz w:val="24"/>
          <w:highlight w:val="none"/>
        </w:rPr>
        <w:t>场次</w:t>
      </w:r>
      <w:r>
        <w:rPr>
          <w:rFonts w:hint="eastAsia" w:ascii="仿宋" w:hAnsi="仿宋" w:eastAsia="仿宋" w:cs="仿宋"/>
          <w:snapToGrid w:val="0"/>
          <w:kern w:val="0"/>
          <w:sz w:val="24"/>
          <w:highlight w:val="none"/>
          <w:lang w:eastAsia="zh-CN"/>
        </w:rPr>
        <w:t>，课程形式包含但不限于日常社教课程、</w:t>
      </w:r>
      <w:r>
        <w:rPr>
          <w:rFonts w:hint="eastAsia" w:ascii="仿宋" w:hAnsi="仿宋" w:eastAsia="仿宋" w:cs="仿宋"/>
          <w:snapToGrid w:val="0"/>
          <w:kern w:val="0"/>
          <w:sz w:val="24"/>
          <w:highlight w:val="none"/>
          <w:lang w:val="en-US" w:eastAsia="zh-CN"/>
        </w:rPr>
        <w:t>配合临展等项目的研学活动等。</w:t>
      </w:r>
    </w:p>
    <w:p w14:paraId="177FD8C6">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（3）配合</w:t>
      </w:r>
      <w:r>
        <w:rPr>
          <w:rFonts w:hint="eastAsia" w:ascii="仿宋" w:hAnsi="仿宋" w:eastAsia="仿宋" w:cs="仿宋"/>
          <w:snapToGrid w:val="0"/>
          <w:kern w:val="0"/>
          <w:sz w:val="24"/>
          <w:highlight w:val="none"/>
          <w:lang w:val="en-US" w:eastAsia="zh-CN"/>
        </w:rPr>
        <w:t>本馆</w:t>
      </w:r>
      <w:r>
        <w:rPr>
          <w:rFonts w:hint="eastAsia" w:ascii="仿宋" w:hAnsi="仿宋" w:eastAsia="仿宋" w:cs="仿宋"/>
          <w:snapToGrid w:val="0"/>
          <w:kern w:val="0"/>
          <w:sz w:val="24"/>
          <w:highlight w:val="none"/>
        </w:rPr>
        <w:t>中心工作、重大项目、</w:t>
      </w:r>
      <w:r>
        <w:rPr>
          <w:rFonts w:hint="eastAsia" w:ascii="仿宋" w:hAnsi="仿宋" w:eastAsia="仿宋" w:cs="仿宋"/>
          <w:snapToGrid w:val="0"/>
          <w:kern w:val="0"/>
          <w:sz w:val="24"/>
          <w:highlight w:val="none"/>
          <w:lang w:eastAsia="zh-CN"/>
        </w:rPr>
        <w:t>寒</w:t>
      </w:r>
      <w:r>
        <w:rPr>
          <w:rFonts w:hint="eastAsia" w:ascii="仿宋" w:hAnsi="仿宋" w:eastAsia="仿宋" w:cs="仿宋"/>
          <w:snapToGrid w:val="0"/>
          <w:kern w:val="0"/>
          <w:sz w:val="24"/>
          <w:highlight w:val="none"/>
        </w:rPr>
        <w:t>暑假等重要时段，做好相应重点活动的</w:t>
      </w:r>
      <w:r>
        <w:rPr>
          <w:rFonts w:hint="eastAsia" w:ascii="仿宋" w:hAnsi="仿宋" w:eastAsia="仿宋" w:cs="仿宋"/>
          <w:snapToGrid w:val="0"/>
          <w:kern w:val="0"/>
          <w:sz w:val="24"/>
          <w:highlight w:val="none"/>
          <w:lang w:eastAsia="zh-CN"/>
        </w:rPr>
        <w:t>配合</w:t>
      </w:r>
      <w:r>
        <w:rPr>
          <w:rFonts w:hint="eastAsia" w:ascii="仿宋" w:hAnsi="仿宋" w:eastAsia="仿宋" w:cs="仿宋"/>
          <w:snapToGrid w:val="0"/>
          <w:kern w:val="0"/>
          <w:sz w:val="24"/>
          <w:highlight w:val="none"/>
        </w:rPr>
        <w:t>执行工作。配合</w:t>
      </w:r>
      <w:r>
        <w:rPr>
          <w:rFonts w:hint="eastAsia" w:ascii="仿宋" w:hAnsi="仿宋" w:eastAsia="仿宋" w:cs="仿宋"/>
          <w:snapToGrid w:val="0"/>
          <w:kern w:val="0"/>
          <w:sz w:val="24"/>
          <w:highlight w:val="none"/>
          <w:lang w:eastAsia="zh-CN"/>
        </w:rPr>
        <w:t>采购人</w:t>
      </w:r>
      <w:r>
        <w:rPr>
          <w:rFonts w:hint="eastAsia" w:ascii="仿宋" w:hAnsi="仿宋" w:eastAsia="仿宋" w:cs="仿宋"/>
          <w:snapToGrid w:val="0"/>
          <w:kern w:val="0"/>
          <w:sz w:val="24"/>
          <w:highlight w:val="none"/>
        </w:rPr>
        <w:t>完成传统节气、节庆、纪念日等常规主题活动</w:t>
      </w:r>
      <w:r>
        <w:rPr>
          <w:rFonts w:hint="eastAsia" w:ascii="仿宋" w:hAnsi="仿宋" w:eastAsia="仿宋" w:cs="仿宋"/>
          <w:snapToGrid w:val="0"/>
          <w:kern w:val="0"/>
          <w:sz w:val="24"/>
          <w:highlight w:val="none"/>
          <w:lang w:eastAsia="zh-CN"/>
        </w:rPr>
        <w:t>，以及流动博物馆、第二课堂等品牌项目和活动</w:t>
      </w:r>
      <w:r>
        <w:rPr>
          <w:rFonts w:hint="eastAsia" w:ascii="仿宋" w:hAnsi="仿宋" w:eastAsia="仿宋" w:cs="仿宋"/>
          <w:snapToGrid w:val="0"/>
          <w:kern w:val="0"/>
          <w:sz w:val="24"/>
          <w:highlight w:val="none"/>
        </w:rPr>
        <w:t>的</w:t>
      </w:r>
      <w:r>
        <w:rPr>
          <w:rFonts w:hint="eastAsia" w:ascii="仿宋" w:hAnsi="仿宋" w:eastAsia="仿宋" w:cs="仿宋"/>
          <w:snapToGrid w:val="0"/>
          <w:kern w:val="0"/>
          <w:sz w:val="24"/>
          <w:highlight w:val="none"/>
          <w:lang w:eastAsia="zh-CN"/>
        </w:rPr>
        <w:t>配合</w:t>
      </w:r>
      <w:r>
        <w:rPr>
          <w:rFonts w:hint="eastAsia" w:ascii="仿宋" w:hAnsi="仿宋" w:eastAsia="仿宋" w:cs="仿宋"/>
          <w:snapToGrid w:val="0"/>
          <w:kern w:val="0"/>
          <w:sz w:val="24"/>
          <w:highlight w:val="none"/>
        </w:rPr>
        <w:t>执行工作，并做好氛围布置等</w:t>
      </w:r>
      <w:r>
        <w:rPr>
          <w:rFonts w:hint="eastAsia" w:ascii="仿宋" w:hAnsi="仿宋" w:eastAsia="仿宋" w:cs="仿宋"/>
          <w:snapToGrid w:val="0"/>
          <w:kern w:val="0"/>
          <w:sz w:val="24"/>
          <w:highlight w:val="none"/>
          <w:lang w:eastAsia="zh-CN"/>
        </w:rPr>
        <w:t>相关</w:t>
      </w:r>
      <w:r>
        <w:rPr>
          <w:rFonts w:hint="eastAsia" w:ascii="仿宋" w:hAnsi="仿宋" w:eastAsia="仿宋" w:cs="仿宋"/>
          <w:snapToGrid w:val="0"/>
          <w:kern w:val="0"/>
          <w:sz w:val="24"/>
          <w:highlight w:val="none"/>
        </w:rPr>
        <w:t>准备工作。</w:t>
      </w:r>
    </w:p>
    <w:p w14:paraId="4CE9619D">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2.场馆专业化服务</w:t>
      </w:r>
    </w:p>
    <w:p w14:paraId="037DB4B5">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（1）承担场馆观众及志愿者服务中心相关工作，包括但不限于服务问询、</w:t>
      </w:r>
      <w:r>
        <w:rPr>
          <w:rFonts w:hint="eastAsia" w:ascii="仿宋" w:hAnsi="仿宋" w:eastAsia="仿宋" w:cs="仿宋"/>
          <w:snapToGrid w:val="0"/>
          <w:kern w:val="0"/>
          <w:sz w:val="24"/>
          <w:highlight w:val="none"/>
          <w:lang w:eastAsia="zh-CN"/>
        </w:rPr>
        <w:t>失物管理</w:t>
      </w:r>
      <w:r>
        <w:rPr>
          <w:rFonts w:hint="eastAsia" w:ascii="仿宋" w:hAnsi="仿宋" w:eastAsia="仿宋" w:cs="仿宋"/>
          <w:snapToGrid w:val="0"/>
          <w:kern w:val="0"/>
          <w:sz w:val="24"/>
          <w:highlight w:val="none"/>
        </w:rPr>
        <w:t>等服务工作，负责参观接待信息的记录、整理、反馈等工作。</w:t>
      </w:r>
    </w:p>
    <w:p w14:paraId="734111D9">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（2）协助采购人确保展区、图书馆、影剧院及其他配套区域的正常运行。</w:t>
      </w:r>
    </w:p>
    <w:p w14:paraId="6C0EF7E7">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（3）协助保障场馆设施设备的正常操作使用，及时做好发现、上报和反馈工作。</w:t>
      </w:r>
    </w:p>
    <w:p w14:paraId="326F7C66">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（4）配合采购人监督各类设计制作、场景搭建的落地执行等工作。</w:t>
      </w:r>
    </w:p>
    <w:p w14:paraId="0C840A95">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3.宣传推广服务</w:t>
      </w:r>
    </w:p>
    <w:p w14:paraId="5372CC58">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（1）围绕上述服务内容，配合关键时间节点，承担做好提升馆内氛围相应视觉设计工作，包括但不限于海报、折页、</w:t>
      </w:r>
      <w:r>
        <w:rPr>
          <w:rFonts w:hint="eastAsia" w:ascii="仿宋" w:hAnsi="仿宋" w:eastAsia="仿宋" w:cs="仿宋"/>
          <w:snapToGrid w:val="0"/>
          <w:kern w:val="0"/>
          <w:sz w:val="24"/>
          <w:highlight w:val="none"/>
          <w:lang w:eastAsia="zh-CN"/>
        </w:rPr>
        <w:t>屏幕广告、标识标牌、</w:t>
      </w:r>
      <w:r>
        <w:rPr>
          <w:rFonts w:hint="eastAsia" w:ascii="仿宋" w:hAnsi="仿宋" w:eastAsia="仿宋" w:cs="仿宋"/>
          <w:snapToGrid w:val="0"/>
          <w:kern w:val="0"/>
          <w:sz w:val="24"/>
          <w:highlight w:val="none"/>
        </w:rPr>
        <w:t>UI界面等设计内容</w:t>
      </w:r>
      <w:r>
        <w:rPr>
          <w:rFonts w:hint="eastAsia" w:ascii="仿宋" w:hAnsi="仿宋" w:eastAsia="仿宋" w:cs="仿宋"/>
          <w:snapToGrid w:val="0"/>
          <w:kern w:val="0"/>
          <w:sz w:val="24"/>
          <w:highlight w:val="none"/>
          <w:lang w:eastAsia="zh-CN"/>
        </w:rPr>
        <w:t>，并根据采购人需求提供外语设计版本</w:t>
      </w:r>
      <w:r>
        <w:rPr>
          <w:rFonts w:hint="eastAsia" w:ascii="仿宋" w:hAnsi="仿宋" w:eastAsia="仿宋" w:cs="仿宋"/>
          <w:snapToGrid w:val="0"/>
          <w:kern w:val="0"/>
          <w:sz w:val="24"/>
          <w:highlight w:val="none"/>
        </w:rPr>
        <w:t>。</w:t>
      </w:r>
    </w:p>
    <w:p w14:paraId="5E0CC60B">
      <w:pPr>
        <w:adjustRightInd w:val="0"/>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rPr>
        <w:t>（2）提升观众参观体验感，根据</w:t>
      </w:r>
      <w:r>
        <w:rPr>
          <w:rFonts w:hint="eastAsia" w:ascii="仿宋" w:hAnsi="仿宋" w:eastAsia="仿宋" w:cs="仿宋"/>
          <w:snapToGrid w:val="0"/>
          <w:kern w:val="0"/>
          <w:sz w:val="24"/>
          <w:highlight w:val="none"/>
          <w:lang w:eastAsia="zh-CN"/>
        </w:rPr>
        <w:t>采购人</w:t>
      </w:r>
      <w:r>
        <w:rPr>
          <w:rFonts w:hint="eastAsia" w:ascii="仿宋" w:hAnsi="仿宋" w:eastAsia="仿宋" w:cs="仿宋"/>
          <w:snapToGrid w:val="0"/>
          <w:kern w:val="0"/>
          <w:sz w:val="24"/>
          <w:highlight w:val="none"/>
        </w:rPr>
        <w:t>实际需求，配合做好相应讲解视频录制、活动</w:t>
      </w:r>
      <w:r>
        <w:rPr>
          <w:rFonts w:hint="eastAsia" w:ascii="仿宋" w:hAnsi="仿宋" w:eastAsia="仿宋" w:cs="仿宋"/>
          <w:snapToGrid w:val="0"/>
          <w:kern w:val="0"/>
          <w:sz w:val="24"/>
          <w:highlight w:val="none"/>
          <w:lang w:eastAsia="zh-CN"/>
        </w:rPr>
        <w:t>拍摄</w:t>
      </w:r>
      <w:r>
        <w:rPr>
          <w:rFonts w:hint="eastAsia" w:ascii="仿宋" w:hAnsi="仿宋" w:eastAsia="仿宋" w:cs="仿宋"/>
          <w:snapToGrid w:val="0"/>
          <w:kern w:val="0"/>
          <w:sz w:val="24"/>
          <w:highlight w:val="none"/>
        </w:rPr>
        <w:t>剪辑</w:t>
      </w:r>
      <w:r>
        <w:rPr>
          <w:rFonts w:hint="eastAsia" w:ascii="仿宋" w:hAnsi="仿宋" w:eastAsia="仿宋" w:cs="仿宋"/>
          <w:snapToGrid w:val="0"/>
          <w:kern w:val="0"/>
          <w:sz w:val="24"/>
          <w:highlight w:val="none"/>
          <w:lang w:eastAsia="zh-CN"/>
        </w:rPr>
        <w:t>、主题及日常视频拍摄制作</w:t>
      </w:r>
      <w:r>
        <w:rPr>
          <w:rFonts w:hint="eastAsia" w:ascii="仿宋" w:hAnsi="仿宋" w:eastAsia="仿宋" w:cs="仿宋"/>
          <w:snapToGrid w:val="0"/>
          <w:kern w:val="0"/>
          <w:sz w:val="24"/>
          <w:highlight w:val="none"/>
        </w:rPr>
        <w:t>等配套内容制作工作</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服务周期内视频成片总时长不少于45分钟。</w:t>
      </w:r>
    </w:p>
    <w:p w14:paraId="37CE5BF5">
      <w:pPr>
        <w:adjustRightInd w:val="0"/>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3</w:t>
      </w:r>
      <w:r>
        <w:rPr>
          <w:rFonts w:hint="eastAsia" w:ascii="仿宋" w:hAnsi="仿宋" w:eastAsia="仿宋" w:cs="仿宋"/>
          <w:snapToGrid w:val="0"/>
          <w:kern w:val="0"/>
          <w:sz w:val="24"/>
          <w:highlight w:val="none"/>
          <w:lang w:eastAsia="zh-CN"/>
        </w:rPr>
        <w:t>）根据采购人需求，配合做好自媒体运营工作，包括但不限于公众号、视频号、小红书、微博、抖音等平台的推文、视频编辑发布。</w:t>
      </w:r>
    </w:p>
    <w:p w14:paraId="218779BC">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4.其他服务</w:t>
      </w:r>
    </w:p>
    <w:p w14:paraId="5D6C64C7">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（1）提供保障上述服务质量和效率的相关场馆服务设施设备和劳动工具，包括但不限于服务人员工作制服、讲解设备、课程教具、服务设施等。</w:t>
      </w:r>
    </w:p>
    <w:p w14:paraId="48CBD243">
      <w:pPr>
        <w:adjustRightInd w:val="0"/>
        <w:snapToGrid w:val="0"/>
        <w:spacing w:line="360" w:lineRule="auto"/>
        <w:ind w:firstLine="480" w:firstLineChars="200"/>
        <w:rPr>
          <w:rFonts w:hint="default"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2</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在项目期限内</w:t>
      </w:r>
      <w:r>
        <w:rPr>
          <w:rFonts w:hint="eastAsia" w:ascii="仿宋" w:hAnsi="仿宋" w:eastAsia="仿宋" w:cs="仿宋"/>
          <w:snapToGrid w:val="0"/>
          <w:kern w:val="0"/>
          <w:sz w:val="24"/>
          <w:highlight w:val="none"/>
          <w:lang w:eastAsia="zh-CN"/>
        </w:rPr>
        <w:t>提供公益电影播映服务不少于</w:t>
      </w:r>
      <w:r>
        <w:rPr>
          <w:rFonts w:hint="eastAsia" w:ascii="仿宋" w:hAnsi="仿宋" w:eastAsia="仿宋" w:cs="仿宋"/>
          <w:snapToGrid w:val="0"/>
          <w:kern w:val="0"/>
          <w:sz w:val="24"/>
          <w:highlight w:val="none"/>
          <w:lang w:val="en-US" w:eastAsia="zh-CN"/>
        </w:rPr>
        <w:t>50场。</w:t>
      </w:r>
    </w:p>
    <w:p w14:paraId="1807D763">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3</w:t>
      </w:r>
      <w:r>
        <w:rPr>
          <w:rFonts w:hint="eastAsia" w:ascii="仿宋" w:hAnsi="仿宋" w:eastAsia="仿宋" w:cs="仿宋"/>
          <w:snapToGrid w:val="0"/>
          <w:kern w:val="0"/>
          <w:sz w:val="24"/>
          <w:highlight w:val="none"/>
        </w:rPr>
        <w:t>）与场馆运行相关的其他服务。</w:t>
      </w:r>
    </w:p>
    <w:p w14:paraId="2791D09A">
      <w:pPr>
        <w:adjustRightInd w:val="0"/>
        <w:snapToGrid w:val="0"/>
        <w:spacing w:line="360" w:lineRule="auto"/>
        <w:ind w:firstLine="482" w:firstLineChars="200"/>
        <w:jc w:val="left"/>
        <w:outlineLvl w:val="2"/>
        <w:rPr>
          <w:rFonts w:hint="eastAsia" w:ascii="仿宋" w:hAnsi="仿宋" w:eastAsia="仿宋" w:cs="仿宋"/>
          <w:b/>
          <w:bCs/>
          <w:sz w:val="24"/>
          <w:highlight w:val="none"/>
        </w:rPr>
      </w:pPr>
      <w:r>
        <w:rPr>
          <w:rFonts w:hint="eastAsia" w:ascii="仿宋" w:hAnsi="仿宋" w:eastAsia="仿宋" w:cs="仿宋"/>
          <w:b/>
          <w:bCs/>
          <w:sz w:val="24"/>
          <w:highlight w:val="none"/>
        </w:rPr>
        <w:t>（三）服务标准</w:t>
      </w:r>
    </w:p>
    <w:p w14:paraId="4FECC681">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1.服务时间</w:t>
      </w:r>
    </w:p>
    <w:p w14:paraId="332A061E">
      <w:pPr>
        <w:pStyle w:val="44"/>
        <w:widowControl/>
        <w:snapToGrid w:val="0"/>
        <w:ind w:firstLine="480"/>
        <w:rPr>
          <w:rFonts w:hint="eastAsia" w:ascii="仿宋" w:hAnsi="仿宋" w:eastAsia="仿宋" w:cs="仿宋"/>
          <w:sz w:val="32"/>
          <w:szCs w:val="32"/>
          <w:highlight w:val="none"/>
        </w:rPr>
      </w:pPr>
      <w:r>
        <w:rPr>
          <w:rFonts w:hint="eastAsia" w:ascii="仿宋" w:hAnsi="仿宋" w:eastAsia="仿宋" w:cs="仿宋"/>
          <w:snapToGrid w:val="0"/>
          <w:kern w:val="0"/>
          <w:szCs w:val="24"/>
          <w:highlight w:val="none"/>
        </w:rPr>
        <w:t>动博馆每周三至周日开馆，周一周二闭馆，国家法定节假日开闭馆时间另行安排。该项目服务期限从</w:t>
      </w:r>
      <w:r>
        <w:rPr>
          <w:rFonts w:hint="eastAsia" w:ascii="仿宋" w:hAnsi="仿宋" w:eastAsia="仿宋" w:cs="仿宋"/>
          <w:sz w:val="24"/>
          <w:szCs w:val="24"/>
          <w:highlight w:val="none"/>
        </w:rPr>
        <w:t>2025年1月</w:t>
      </w:r>
      <w:r>
        <w:rPr>
          <w:rFonts w:hint="eastAsia" w:ascii="仿宋" w:hAnsi="仿宋" w:eastAsia="仿宋" w:cs="仿宋"/>
          <w:sz w:val="24"/>
          <w:szCs w:val="24"/>
          <w:highlight w:val="none"/>
          <w:lang w:val="en-US" w:eastAsia="zh-CN"/>
        </w:rPr>
        <w:t>1日起</w:t>
      </w:r>
      <w:r>
        <w:rPr>
          <w:rFonts w:hint="eastAsia" w:ascii="仿宋" w:hAnsi="仿宋" w:eastAsia="仿宋" w:cs="仿宋"/>
          <w:sz w:val="24"/>
          <w:szCs w:val="24"/>
          <w:highlight w:val="none"/>
        </w:rPr>
        <w:t>至2026年3月</w:t>
      </w:r>
      <w:r>
        <w:rPr>
          <w:rFonts w:hint="eastAsia" w:ascii="仿宋" w:hAnsi="仿宋" w:eastAsia="仿宋" w:cs="仿宋"/>
          <w:sz w:val="24"/>
          <w:szCs w:val="24"/>
          <w:highlight w:val="none"/>
          <w:lang w:val="en-US" w:eastAsia="zh-CN"/>
        </w:rPr>
        <w:t>31日</w:t>
      </w:r>
      <w:r>
        <w:rPr>
          <w:rFonts w:hint="eastAsia" w:ascii="仿宋" w:hAnsi="仿宋" w:eastAsia="仿宋" w:cs="仿宋"/>
          <w:snapToGrid w:val="0"/>
          <w:kern w:val="0"/>
          <w:szCs w:val="24"/>
          <w:highlight w:val="none"/>
        </w:rPr>
        <w:t>，中标人需按照动博馆运行时间，全时段提供各项专业技术服务，确保服务不中断，并服从采购人工作安排，能配合重大项目或上级要求临时性任务抽调安排。</w:t>
      </w:r>
    </w:p>
    <w:p w14:paraId="784A959C">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2.服务团队</w:t>
      </w:r>
    </w:p>
    <w:p w14:paraId="55EE9AB0">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中标人需组建专业服务团队，根据采购人要求，在指定场所开展各项专业技术服务。团队人员应遵纪守法、品行端正，无犯罪和不良记录，有主人翁精神，熟悉场地规划与服务内容，能自觉服从工作安排，具备符合动博馆要求的专业技术能力。团队人员上岗时需统一着装，服装样式需经采购人认可，工作操作要求专业性、安全性、规范性，观众服务力求专业、高效、细致、周到。服务团队人员更换需提前征得采购人同意。</w:t>
      </w:r>
    </w:p>
    <w:p w14:paraId="290A21F5">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3.制度保障</w:t>
      </w:r>
    </w:p>
    <w:p w14:paraId="6AB84169">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中标人需建立相应的规章制度，在实施前要报告采购人，采购人具有审核权。中标人所有的工作除应按中标人的内部流程实施外还应接受采购人或第三方的检查。</w:t>
      </w:r>
    </w:p>
    <w:p w14:paraId="2C72D825">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4.台账整理</w:t>
      </w:r>
    </w:p>
    <w:p w14:paraId="5B58E55C">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中标人应整理详细完整的项目运行台账，包含宣教及培训、日常及特殊接待、活动组织等详细情况。</w:t>
      </w:r>
    </w:p>
    <w:p w14:paraId="7FAFB6FD">
      <w:pPr>
        <w:adjustRightInd w:val="0"/>
        <w:snapToGrid w:val="0"/>
        <w:spacing w:line="360" w:lineRule="auto"/>
        <w:ind w:firstLine="482" w:firstLineChars="200"/>
        <w:outlineLvl w:val="3"/>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5.其他要求</w:t>
      </w:r>
    </w:p>
    <w:p w14:paraId="6EC0A94C">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（1）保密相关要求：投标人应当对涉及采购人的信息严格保密，未经采购人许可，不得将信息泄露给第三方。否则，采购人有保留追究法律责任的权利。</w:t>
      </w:r>
    </w:p>
    <w:p w14:paraId="7E344DF9">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（2）安全管理相关要求：投标人应做好安保方案和安全防范措施，做好日常服务、相关活动过程中涉及人员及设施设备的人身/财产安全。</w:t>
      </w:r>
    </w:p>
    <w:p w14:paraId="1027A3DC">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（3）应急预案相关要求：包括建立对外协调机制和内部服务反应机制，以及突发事件处理机制（例如舆情应对处理）等。</w:t>
      </w:r>
    </w:p>
    <w:p w14:paraId="07F03C76">
      <w:pPr>
        <w:pStyle w:val="44"/>
        <w:widowControl/>
        <w:snapToGrid w:val="0"/>
        <w:ind w:firstLine="480"/>
        <w:rPr>
          <w:rFonts w:hint="eastAsia" w:ascii="仿宋" w:hAnsi="仿宋" w:eastAsia="仿宋" w:cs="仿宋"/>
          <w:szCs w:val="24"/>
          <w:highlight w:val="none"/>
        </w:rPr>
      </w:pPr>
      <w:r>
        <w:rPr>
          <w:rFonts w:hint="eastAsia" w:ascii="仿宋" w:hAnsi="仿宋" w:eastAsia="仿宋" w:cs="仿宋"/>
          <w:snapToGrid w:val="0"/>
          <w:kern w:val="0"/>
          <w:szCs w:val="24"/>
          <w:highlight w:val="none"/>
        </w:rPr>
        <w:t>（4）知识产权保护：①</w:t>
      </w:r>
      <w:r>
        <w:rPr>
          <w:rFonts w:hint="eastAsia" w:ascii="仿宋" w:hAnsi="仿宋" w:eastAsia="仿宋" w:cs="仿宋"/>
          <w:szCs w:val="24"/>
          <w:highlight w:val="none"/>
        </w:rPr>
        <w:t>项目所有文字及执行方为本项目专门摄制和设计制作的视频图片，其包括著作权在内的所有知识产权及所有权均归属采购人，执行方仅在项目执行期内拥有使用权。②执行方自行提供的用于本项目的视频及图片，需确保视频及图片不会侵犯任何第三方的知识产权，不存在任何版权纠纷。采购人有权永久免费使用，并有权留存备份。</w:t>
      </w:r>
    </w:p>
    <w:p w14:paraId="42F8586D">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（5）投标人应承诺：</w:t>
      </w:r>
    </w:p>
    <w:p w14:paraId="32169D41">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①承诺配合动博馆运行时间提供全时段服务。</w:t>
      </w:r>
    </w:p>
    <w:p w14:paraId="2A5BC23B">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②对于突发事件、投诉、纠纷等情况，承诺24小时内提供解决方案，经采购人同意后妥善处理。</w:t>
      </w:r>
    </w:p>
    <w:p w14:paraId="2CE598B5">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③承诺合同签订后一个月内，根据采购人要求调整完善各项方案，并按照本项目采购人安排和执行进度安排开展工作。</w:t>
      </w:r>
    </w:p>
    <w:p w14:paraId="49CC2DE1">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④承诺在举办大型活动时，投标人要配合采购人需求提供服务且不另外增加服务费用。</w:t>
      </w:r>
    </w:p>
    <w:p w14:paraId="625DC96B">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⑤承诺服务团队在服务期间遵守采购人各项规章制度，接受采购人对服务质量的定期考核。中标人达不到采购人要求及各项服务承诺，采购人有权要求其整改，直至扣款或终止合同。</w:t>
      </w:r>
    </w:p>
    <w:p w14:paraId="7A964D22">
      <w:pPr>
        <w:pStyle w:val="44"/>
        <w:widowControl/>
        <w:snapToGrid w:val="0"/>
        <w:ind w:firstLine="480"/>
        <w:rPr>
          <w:rFonts w:hint="eastAsia" w:ascii="仿宋" w:hAnsi="仿宋" w:eastAsia="仿宋" w:cs="仿宋"/>
          <w:snapToGrid w:val="0"/>
          <w:kern w:val="0"/>
          <w:szCs w:val="24"/>
          <w:highlight w:val="none"/>
        </w:rPr>
      </w:pPr>
      <w:r>
        <w:rPr>
          <w:rFonts w:hint="eastAsia" w:ascii="仿宋" w:hAnsi="仿宋" w:eastAsia="仿宋" w:cs="仿宋"/>
          <w:snapToGrid w:val="0"/>
          <w:kern w:val="0"/>
          <w:szCs w:val="24"/>
          <w:highlight w:val="none"/>
        </w:rPr>
        <w:t>⑥在处理特殊、紧急和突发事故时，采购人对提供专业技术服务人员有直接指挥权。</w:t>
      </w:r>
    </w:p>
    <w:p w14:paraId="5EE423F4">
      <w:pPr>
        <w:pStyle w:val="3"/>
        <w:snapToGrid w:val="0"/>
        <w:spacing w:before="120" w:beforeLines="50" w:after="120" w:afterLines="50" w:line="360" w:lineRule="auto"/>
        <w:rPr>
          <w:rFonts w:hint="eastAsia" w:ascii="仿宋" w:hAnsi="仿宋" w:eastAsia="仿宋" w:cs="仿宋"/>
          <w:sz w:val="24"/>
          <w:szCs w:val="24"/>
          <w:highlight w:val="none"/>
        </w:rPr>
      </w:pPr>
      <w:bookmarkStart w:id="68" w:name="_Toc29286"/>
      <w:bookmarkStart w:id="69" w:name="_Toc3617"/>
      <w:bookmarkStart w:id="70" w:name="_Toc17765"/>
      <w:r>
        <w:rPr>
          <w:rFonts w:hint="eastAsia" w:ascii="仿宋" w:hAnsi="仿宋" w:eastAsia="仿宋" w:cs="仿宋"/>
          <w:sz w:val="24"/>
          <w:szCs w:val="24"/>
          <w:highlight w:val="none"/>
        </w:rPr>
        <w:t>三、商务要求</w:t>
      </w:r>
      <w:bookmarkEnd w:id="68"/>
      <w:bookmarkEnd w:id="69"/>
      <w:bookmarkEnd w:id="70"/>
    </w:p>
    <w:p w14:paraId="27546E2E">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（一）投标报价</w:t>
      </w:r>
    </w:p>
    <w:p w14:paraId="00F23428">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1、本项目为总价包干方式。</w:t>
      </w:r>
    </w:p>
    <w:p w14:paraId="7D52D9CD">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投标人的报价包含达到本项目服务内容和要求所需的全部费用。如中标，采购人不支付其他费用。</w:t>
      </w:r>
    </w:p>
    <w:p w14:paraId="0CBA6CC7">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z w:val="24"/>
          <w:highlight w:val="none"/>
        </w:rPr>
        <w:t>投标人报价低于项目预算50%的（不含），应当在报价文件中详细阐述不影响产品/服务质量或者诚信履约的具体原因。</w:t>
      </w:r>
    </w:p>
    <w:p w14:paraId="50503935">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（二）履约担保</w:t>
      </w:r>
    </w:p>
    <w:p w14:paraId="38A499D2">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1、合同签订后10日内，中标人向采购人支付合同总价1%的金额作为履约保证金。项目最终履约验收合格后，履约保证金退还（如有违约内容，则扣除相应违约款项后退回）。</w:t>
      </w:r>
    </w:p>
    <w:p w14:paraId="01C03635">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2、履约保证金缴纳形式：支票、汇票、本票或者金融机构、担保机构出具的保函等非现金形式提交。</w:t>
      </w:r>
    </w:p>
    <w:p w14:paraId="272D63AC">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（三）付款方式</w:t>
      </w:r>
    </w:p>
    <w:p w14:paraId="7C01168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1、预付款</w:t>
      </w:r>
    </w:p>
    <w:p w14:paraId="4D787B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（1）合同生效后具备实施条件5个工作日内，采购人向中标人支付合同总价的40%作为预付款；</w:t>
      </w:r>
    </w:p>
    <w:p w14:paraId="6DA315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（2）支付了预付款的，采购人有权要求中标人提供预付款金额等额的且不可撤销的预付款保函。预付款金额可抵扣合同款；</w:t>
      </w:r>
    </w:p>
    <w:p w14:paraId="7AD4FB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bCs/>
          <w:sz w:val="24"/>
          <w:highlight w:val="none"/>
        </w:rPr>
        <w:t>（3）在签订合同时，中标人明确表示无需预付款或者主动要求降低预付款比例的，可不适用预付款相关规定。</w:t>
      </w:r>
    </w:p>
    <w:p w14:paraId="2B29B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2、合同款支付</w:t>
      </w:r>
    </w:p>
    <w:p w14:paraId="07A0E1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第一次付款：合同生效具备实施条件5个工作日内，采购人向中标人支付合同总额的40%；</w:t>
      </w:r>
    </w:p>
    <w:p w14:paraId="70C720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第二次付款：</w:t>
      </w:r>
      <w:r>
        <w:rPr>
          <w:rFonts w:hint="eastAsia" w:ascii="仿宋" w:hAnsi="仿宋" w:eastAsia="仿宋" w:cs="仿宋"/>
          <w:snapToGrid w:val="0"/>
          <w:kern w:val="0"/>
          <w:sz w:val="24"/>
          <w:highlight w:val="none"/>
          <w:lang w:val="en-US" w:eastAsia="zh-CN"/>
        </w:rPr>
        <w:t>在履约满8个月后，项目经中期考核且合格后，</w:t>
      </w:r>
      <w:r>
        <w:rPr>
          <w:rFonts w:hint="eastAsia" w:ascii="仿宋" w:hAnsi="仿宋" w:eastAsia="仿宋" w:cs="仿宋"/>
          <w:snapToGrid w:val="0"/>
          <w:kern w:val="0"/>
          <w:sz w:val="24"/>
          <w:highlight w:val="none"/>
        </w:rPr>
        <w:t>采购人向中标人</w:t>
      </w:r>
      <w:r>
        <w:rPr>
          <w:rFonts w:hint="eastAsia" w:ascii="仿宋" w:hAnsi="仿宋" w:eastAsia="仿宋" w:cs="仿宋"/>
          <w:snapToGrid w:val="0"/>
          <w:kern w:val="0"/>
          <w:sz w:val="24"/>
          <w:highlight w:val="none"/>
          <w:lang w:val="en-US" w:eastAsia="zh-CN"/>
        </w:rPr>
        <w:t>支付合同款的</w:t>
      </w:r>
      <w:r>
        <w:rPr>
          <w:rFonts w:hint="eastAsia" w:ascii="仿宋" w:hAnsi="仿宋" w:eastAsia="仿宋" w:cs="仿宋"/>
          <w:snapToGrid w:val="0"/>
          <w:kern w:val="0"/>
          <w:sz w:val="24"/>
          <w:highlight w:val="none"/>
          <w:lang w:val="en-US" w:eastAsia="zh"/>
        </w:rPr>
        <w:t>40</w:t>
      </w:r>
      <w:r>
        <w:rPr>
          <w:rFonts w:hint="eastAsia" w:ascii="仿宋" w:hAnsi="仿宋" w:eastAsia="仿宋" w:cs="仿宋"/>
          <w:snapToGrid w:val="0"/>
          <w:kern w:val="0"/>
          <w:sz w:val="24"/>
          <w:highlight w:val="none"/>
          <w:lang w:val="en-US" w:eastAsia="zh-CN"/>
        </w:rPr>
        <w:t>%；</w:t>
      </w:r>
    </w:p>
    <w:p w14:paraId="32B91D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lang w:val="en-US" w:eastAsia="zh-CN"/>
        </w:rPr>
      </w:pPr>
      <w:r>
        <w:rPr>
          <w:rFonts w:hint="eastAsia" w:ascii="仿宋" w:hAnsi="仿宋" w:eastAsia="仿宋" w:cs="仿宋"/>
          <w:snapToGrid w:val="0"/>
          <w:kern w:val="0"/>
          <w:sz w:val="24"/>
          <w:highlight w:val="none"/>
          <w:lang w:val="en-US" w:eastAsia="zh-CN"/>
        </w:rPr>
        <w:t>第三次付款：</w:t>
      </w:r>
      <w:r>
        <w:rPr>
          <w:rFonts w:hint="eastAsia" w:ascii="仿宋" w:hAnsi="仿宋" w:eastAsia="仿宋" w:cs="仿宋"/>
          <w:snapToGrid w:val="0"/>
          <w:kern w:val="0"/>
          <w:sz w:val="24"/>
          <w:highlight w:val="none"/>
          <w:lang w:val="en-US" w:eastAsia="zh-CN"/>
        </w:rPr>
        <w:t>项目完成，履约验收合格后</w:t>
      </w:r>
      <w:r>
        <w:rPr>
          <w:rFonts w:hint="eastAsia" w:ascii="仿宋" w:hAnsi="仿宋" w:eastAsia="仿宋" w:cs="仿宋"/>
          <w:snapToGrid w:val="0"/>
          <w:kern w:val="0"/>
          <w:sz w:val="24"/>
          <w:highlight w:val="none"/>
          <w:lang w:val="en-US" w:eastAsia="zh-CN"/>
        </w:rPr>
        <w:t>5个工作日内，采购人向中标人支付合同款的</w:t>
      </w:r>
      <w:r>
        <w:rPr>
          <w:rFonts w:hint="eastAsia" w:ascii="仿宋" w:hAnsi="仿宋" w:eastAsia="仿宋" w:cs="仿宋"/>
          <w:snapToGrid w:val="0"/>
          <w:kern w:val="0"/>
          <w:sz w:val="24"/>
          <w:highlight w:val="none"/>
          <w:lang w:val="en-US" w:eastAsia="zh"/>
        </w:rPr>
        <w:t>20</w:t>
      </w:r>
      <w:r>
        <w:rPr>
          <w:rFonts w:hint="eastAsia" w:ascii="仿宋" w:hAnsi="仿宋" w:eastAsia="仿宋" w:cs="仿宋"/>
          <w:snapToGrid w:val="0"/>
          <w:kern w:val="0"/>
          <w:sz w:val="24"/>
          <w:highlight w:val="none"/>
          <w:lang w:val="en-US" w:eastAsia="zh-CN"/>
        </w:rPr>
        <w:t>%。</w:t>
      </w:r>
    </w:p>
    <w:p w14:paraId="50047A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注：付款前中标人应按照以上付款条件开具等额发票。</w:t>
      </w:r>
    </w:p>
    <w:p w14:paraId="605884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因项目开展过程中可能存在不确定性，如因不可抗拒因素导致部分项目内容无法执行，所产生费用按实际消耗费用结算。结算时，中标人需提交本次项目的详细决算清单、相应的证明，作为尾款支付的必备材料。</w:t>
      </w:r>
    </w:p>
    <w:p w14:paraId="11F650A9">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bookmarkStart w:id="71" w:name="_Toc21037"/>
      <w:r>
        <w:rPr>
          <w:rFonts w:hint="eastAsia" w:ascii="仿宋" w:hAnsi="仿宋" w:eastAsia="仿宋" w:cs="仿宋"/>
          <w:b/>
          <w:bCs/>
          <w:snapToGrid w:val="0"/>
          <w:kern w:val="0"/>
          <w:sz w:val="24"/>
          <w:highlight w:val="none"/>
        </w:rPr>
        <w:t>（五）验收要求</w:t>
      </w:r>
      <w:bookmarkEnd w:id="71"/>
    </w:p>
    <w:p w14:paraId="3755E565">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1、本项目需根据《杭州市政府采购履约验收暂行办法》杭财采监〔2019〕10 号文，进行履约验收，验收合格报告作为项目支付的依据。</w:t>
      </w:r>
    </w:p>
    <w:p w14:paraId="0806955B">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验收依据：①采购文件确定的技术指标或者服务要求；②投标文件承诺、询标回复；③服务合同、采购人制定的考核标准。未进行相应约定的，应当符合国家强制性规定、政策要求、安全标准、行业或企业有关标准等。</w:t>
      </w:r>
    </w:p>
    <w:p w14:paraId="719BD4E1">
      <w:pPr>
        <w:pStyle w:val="3"/>
        <w:snapToGrid w:val="0"/>
        <w:spacing w:before="120" w:beforeLines="50" w:after="120" w:afterLines="50" w:line="360" w:lineRule="auto"/>
        <w:rPr>
          <w:rFonts w:hint="eastAsia" w:ascii="仿宋" w:hAnsi="仿宋" w:eastAsia="仿宋" w:cs="仿宋"/>
          <w:sz w:val="24"/>
          <w:szCs w:val="24"/>
          <w:highlight w:val="none"/>
        </w:rPr>
      </w:pPr>
      <w:bookmarkStart w:id="72" w:name="_Toc29245"/>
      <w:bookmarkStart w:id="73" w:name="_Toc23685"/>
      <w:bookmarkStart w:id="74" w:name="_Toc16971"/>
      <w:r>
        <w:rPr>
          <w:rFonts w:hint="eastAsia" w:ascii="仿宋" w:hAnsi="仿宋" w:eastAsia="仿宋" w:cs="仿宋"/>
          <w:sz w:val="24"/>
          <w:szCs w:val="24"/>
          <w:highlight w:val="none"/>
        </w:rPr>
        <w:t>四、投标相关要求</w:t>
      </w:r>
      <w:bookmarkEnd w:id="72"/>
      <w:bookmarkEnd w:id="73"/>
      <w:bookmarkEnd w:id="74"/>
    </w:p>
    <w:p w14:paraId="515DA595">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（一）投标人的要求</w:t>
      </w:r>
    </w:p>
    <w:p w14:paraId="4BF53BB8">
      <w:pPr>
        <w:pStyle w:val="17"/>
        <w:adjustRightInd w:val="0"/>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1、为确保项目的顺利实施，投标人应有类似项目业绩经验。本项目中，类似项目系指类似的</w:t>
      </w:r>
      <w:r>
        <w:rPr>
          <w:rFonts w:hint="eastAsia" w:ascii="仿宋" w:hAnsi="仿宋" w:eastAsia="仿宋" w:cs="仿宋"/>
          <w:kern w:val="0"/>
          <w:sz w:val="24"/>
          <w:highlight w:val="none"/>
          <w:lang w:bidi="ar"/>
        </w:rPr>
        <w:t>展馆技术服务的业绩经验。</w:t>
      </w:r>
    </w:p>
    <w:p w14:paraId="53F13B2E">
      <w:pPr>
        <w:adjustRightInd w:val="0"/>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2、投标人应具有有效的质量管理体系认证证书和环境管理体系认证证书。</w:t>
      </w:r>
    </w:p>
    <w:p w14:paraId="2173F668">
      <w:pPr>
        <w:adjustRightInd w:val="0"/>
        <w:snapToGrid w:val="0"/>
        <w:spacing w:line="360" w:lineRule="auto"/>
        <w:ind w:firstLine="482" w:firstLineChars="200"/>
        <w:outlineLvl w:val="2"/>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（二）</w:t>
      </w:r>
      <w:bookmarkStart w:id="75" w:name="_Toc24740"/>
      <w:bookmarkStart w:id="76" w:name="_Toc17161"/>
      <w:r>
        <w:rPr>
          <w:rFonts w:hint="eastAsia" w:ascii="仿宋" w:hAnsi="仿宋" w:eastAsia="仿宋" w:cs="仿宋"/>
          <w:b/>
          <w:bCs/>
          <w:snapToGrid w:val="0"/>
          <w:kern w:val="0"/>
          <w:sz w:val="24"/>
          <w:highlight w:val="none"/>
        </w:rPr>
        <w:t>项目团队要求</w:t>
      </w:r>
      <w:bookmarkEnd w:id="75"/>
      <w:bookmarkEnd w:id="76"/>
    </w:p>
    <w:p w14:paraId="2D8AB18F">
      <w:pPr>
        <w:adjustRightInd w:val="0"/>
        <w:snapToGrid w:val="0"/>
        <w:spacing w:line="360" w:lineRule="auto"/>
        <w:ind w:firstLine="480" w:firstLineChars="200"/>
        <w:rPr>
          <w:rFonts w:hint="eastAsia" w:ascii="仿宋" w:hAnsi="仿宋" w:eastAsia="仿宋" w:cs="仿宋"/>
          <w:snapToGrid w:val="0"/>
          <w:kern w:val="0"/>
          <w:sz w:val="24"/>
          <w:highlight w:val="none"/>
        </w:rPr>
      </w:pPr>
      <w:bookmarkStart w:id="77" w:name="_Toc949"/>
      <w:r>
        <w:rPr>
          <w:rFonts w:hint="eastAsia" w:ascii="仿宋" w:hAnsi="仿宋" w:eastAsia="仿宋" w:cs="仿宋"/>
          <w:snapToGrid w:val="0"/>
          <w:kern w:val="0"/>
          <w:sz w:val="24"/>
          <w:highlight w:val="none"/>
        </w:rPr>
        <w:t>1、投标人为本项目组建项目团队。项目团队人员应提供姓名、身份证号码，以及具备投标人为其缴纳的、</w:t>
      </w:r>
      <w:r>
        <w:rPr>
          <w:rFonts w:hint="eastAsia" w:ascii="仿宋" w:hAnsi="仿宋" w:eastAsia="仿宋" w:cs="仿宋"/>
          <w:snapToGrid w:val="0"/>
          <w:color w:val="auto"/>
          <w:kern w:val="0"/>
          <w:sz w:val="24"/>
          <w:highlight w:val="none"/>
          <w:lang w:val="en-US" w:eastAsia="zh-CN"/>
        </w:rPr>
        <w:t>2024年8月1日至今</w:t>
      </w:r>
      <w:r>
        <w:rPr>
          <w:rFonts w:hint="eastAsia" w:ascii="仿宋" w:hAnsi="仿宋" w:eastAsia="仿宋" w:cs="仿宋"/>
          <w:snapToGrid w:val="0"/>
          <w:kern w:val="0"/>
          <w:sz w:val="24"/>
          <w:highlight w:val="none"/>
        </w:rPr>
        <w:t>任意时间出具的社保证明，否则不予认可。</w:t>
      </w:r>
    </w:p>
    <w:p w14:paraId="036D0CB9">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2、设项目负责人1名，应为管理</w:t>
      </w:r>
      <w:r>
        <w:rPr>
          <w:rFonts w:hint="eastAsia" w:ascii="仿宋" w:hAnsi="仿宋" w:eastAsia="仿宋" w:cs="仿宋"/>
          <w:snapToGrid w:val="0"/>
          <w:kern w:val="0"/>
          <w:sz w:val="24"/>
          <w:highlight w:val="none"/>
          <w:lang w:val="en-US" w:eastAsia="zh-CN"/>
        </w:rPr>
        <w:t>类</w:t>
      </w:r>
      <w:r>
        <w:rPr>
          <w:rFonts w:hint="eastAsia" w:ascii="仿宋" w:hAnsi="仿宋" w:eastAsia="仿宋" w:cs="仿宋"/>
          <w:snapToGrid w:val="0"/>
          <w:kern w:val="0"/>
          <w:sz w:val="24"/>
          <w:highlight w:val="none"/>
        </w:rPr>
        <w:t>相关专业，</w:t>
      </w:r>
      <w:r>
        <w:rPr>
          <w:rFonts w:hint="eastAsia" w:ascii="仿宋" w:hAnsi="仿宋" w:eastAsia="仿宋" w:cs="仿宋"/>
          <w:sz w:val="24"/>
          <w:highlight w:val="none"/>
        </w:rPr>
        <w:t>有五年以上从事相关专业的经验</w:t>
      </w:r>
      <w:r>
        <w:rPr>
          <w:rFonts w:hint="eastAsia" w:ascii="仿宋" w:hAnsi="仿宋" w:eastAsia="仿宋" w:cs="仿宋"/>
          <w:snapToGrid w:val="0"/>
          <w:kern w:val="0"/>
          <w:sz w:val="24"/>
          <w:highlight w:val="none"/>
        </w:rPr>
        <w:t>，提供简历、证书等，须全过程参与项目工作。</w:t>
      </w:r>
    </w:p>
    <w:p w14:paraId="0E759456">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3、项目团队组织架构合理，人员配置充足，建议项目团队成员有类似项目参与经验。为胜任本项目涉及的讲解社教服务、场馆专业化服务、宣传推广服务、其他服务等相关工作，人员有如下要求：</w:t>
      </w:r>
    </w:p>
    <w:p w14:paraId="5550EBFC">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（1）至少有1人</w:t>
      </w:r>
      <w:r>
        <w:rPr>
          <w:rFonts w:hint="eastAsia" w:ascii="仿宋" w:hAnsi="仿宋" w:eastAsia="仿宋" w:cs="仿宋"/>
          <w:snapToGrid w:val="0"/>
          <w:color w:val="auto"/>
          <w:kern w:val="0"/>
          <w:sz w:val="24"/>
          <w:highlight w:val="none"/>
          <w:lang w:val="en-US" w:eastAsia="zh-CN"/>
        </w:rPr>
        <w:t>具备编辑类、管理类初级职称或以上</w:t>
      </w:r>
      <w:r>
        <w:rPr>
          <w:rFonts w:hint="eastAsia" w:ascii="仿宋" w:hAnsi="仿宋" w:eastAsia="仿宋" w:cs="仿宋"/>
          <w:snapToGrid w:val="0"/>
          <w:kern w:val="0"/>
          <w:sz w:val="24"/>
          <w:highlight w:val="none"/>
        </w:rPr>
        <w:t>；</w:t>
      </w:r>
    </w:p>
    <w:p w14:paraId="15460BDD">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（2）至少有1名具有外语特长（外语专业毕业、外语专业等级证书等）；</w:t>
      </w:r>
    </w:p>
    <w:p w14:paraId="65918A41">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（3）从业人员具有国家承认的大学专科及以上学历，比例不少于60%（取整），至少有1个专业涉及动漫类、播音类及艺术类。</w:t>
      </w:r>
    </w:p>
    <w:p w14:paraId="50335A24">
      <w:pPr>
        <w:adjustRightInd w:val="0"/>
        <w:snapToGrid w:val="0"/>
        <w:spacing w:line="360" w:lineRule="auto"/>
        <w:ind w:firstLine="42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highlight w:val="none"/>
        </w:rPr>
        <w:t>4、</w:t>
      </w:r>
      <w:r>
        <w:rPr>
          <w:rFonts w:hint="eastAsia" w:ascii="仿宋" w:hAnsi="仿宋" w:eastAsia="仿宋" w:cs="仿宋"/>
          <w:snapToGrid w:val="0"/>
          <w:kern w:val="0"/>
          <w:sz w:val="24"/>
          <w:highlight w:val="none"/>
        </w:rPr>
        <w:t>未经采购人许可，本项目投入人员不得擅自更换。工作期间，要求及时响应采购人的要求，必要时及时提交修改意见。</w:t>
      </w:r>
      <w:bookmarkEnd w:id="77"/>
    </w:p>
    <w:p w14:paraId="00FD76A1">
      <w:pPr>
        <w:adjustRightInd w:val="0"/>
        <w:snapToGrid w:val="0"/>
        <w:spacing w:line="360" w:lineRule="auto"/>
        <w:ind w:firstLine="482" w:firstLineChars="200"/>
        <w:jc w:val="left"/>
        <w:outlineLvl w:val="2"/>
        <w:rPr>
          <w:rFonts w:hint="eastAsia" w:ascii="仿宋" w:hAnsi="仿宋" w:eastAsia="仿宋" w:cs="仿宋"/>
          <w:b/>
          <w:bCs/>
          <w:sz w:val="24"/>
          <w:highlight w:val="none"/>
        </w:rPr>
      </w:pPr>
      <w:r>
        <w:rPr>
          <w:rFonts w:hint="eastAsia" w:ascii="仿宋" w:hAnsi="仿宋" w:eastAsia="仿宋" w:cs="仿宋"/>
          <w:b/>
          <w:bCs/>
          <w:sz w:val="24"/>
          <w:highlight w:val="none"/>
        </w:rPr>
        <w:t>（三）与评审有关的方案要求</w:t>
      </w:r>
    </w:p>
    <w:p w14:paraId="0094FEF9">
      <w:pPr>
        <w:pStyle w:val="19"/>
        <w:snapToGrid w:val="0"/>
        <w:ind w:firstLine="480" w:firstLineChars="200"/>
        <w:rPr>
          <w:rFonts w:hint="eastAsia" w:ascii="仿宋" w:hAnsi="仿宋" w:eastAsia="仿宋" w:cs="仿宋"/>
          <w:kern w:val="0"/>
          <w:highlight w:val="none"/>
        </w:rPr>
      </w:pPr>
      <w:r>
        <w:rPr>
          <w:rFonts w:hint="eastAsia" w:ascii="仿宋" w:hAnsi="仿宋" w:eastAsia="仿宋" w:cs="仿宋"/>
          <w:kern w:val="0"/>
          <w:highlight w:val="none"/>
        </w:rPr>
        <w:t>1、结合采购人对场馆现状的介绍</w:t>
      </w:r>
      <w:r>
        <w:rPr>
          <w:rFonts w:hint="eastAsia" w:ascii="仿宋" w:hAnsi="仿宋" w:eastAsia="仿宋" w:cs="仿宋"/>
          <w:bCs/>
          <w:highlight w:val="none"/>
        </w:rPr>
        <w:t>，</w:t>
      </w:r>
      <w:r>
        <w:rPr>
          <w:rFonts w:hint="eastAsia" w:ascii="仿宋" w:hAnsi="仿宋" w:eastAsia="仿宋" w:cs="仿宋"/>
          <w:kern w:val="0"/>
          <w:highlight w:val="none"/>
        </w:rPr>
        <w:t>投标人通过自身经验</w:t>
      </w:r>
      <w:r>
        <w:rPr>
          <w:rFonts w:hint="eastAsia" w:ascii="仿宋" w:hAnsi="仿宋" w:eastAsia="仿宋" w:cs="仿宋"/>
          <w:bCs/>
          <w:highlight w:val="none"/>
        </w:rPr>
        <w:t>，</w:t>
      </w:r>
      <w:r>
        <w:rPr>
          <w:rFonts w:hint="eastAsia" w:ascii="仿宋" w:hAnsi="仿宋" w:eastAsia="仿宋" w:cs="仿宋"/>
          <w:highlight w:val="none"/>
        </w:rPr>
        <w:t>对项目开展的重难点进行分析，</w:t>
      </w:r>
      <w:r>
        <w:rPr>
          <w:rFonts w:hint="eastAsia" w:ascii="仿宋" w:hAnsi="仿宋" w:eastAsia="仿宋" w:cs="仿宋"/>
          <w:kern w:val="0"/>
          <w:highlight w:val="none"/>
        </w:rPr>
        <w:t>并提出相应措施及合理化建议，为采购人提供参考。</w:t>
      </w:r>
    </w:p>
    <w:p w14:paraId="536CCB87">
      <w:pPr>
        <w:pStyle w:val="19"/>
        <w:snapToGrid w:val="0"/>
        <w:ind w:firstLine="480" w:firstLineChars="200"/>
        <w:rPr>
          <w:rFonts w:hint="eastAsia" w:ascii="仿宋" w:hAnsi="仿宋" w:eastAsia="仿宋" w:cs="仿宋"/>
          <w:kern w:val="0"/>
          <w:highlight w:val="none"/>
        </w:rPr>
      </w:pPr>
      <w:r>
        <w:rPr>
          <w:rFonts w:hint="eastAsia" w:ascii="仿宋" w:hAnsi="仿宋" w:eastAsia="仿宋" w:cs="仿宋"/>
          <w:kern w:val="0"/>
          <w:highlight w:val="none"/>
        </w:rPr>
        <w:t>2、针对主要服务内容（讲解</w:t>
      </w:r>
      <w:r>
        <w:rPr>
          <w:rFonts w:hint="eastAsia" w:ascii="仿宋" w:hAnsi="仿宋" w:eastAsia="仿宋" w:cs="仿宋"/>
          <w:kern w:val="0"/>
          <w:highlight w:val="none"/>
          <w:lang w:val="en-US" w:eastAsia="zh-CN"/>
        </w:rPr>
        <w:t>社教服务</w:t>
      </w:r>
      <w:r>
        <w:rPr>
          <w:rFonts w:hint="eastAsia" w:ascii="仿宋" w:hAnsi="仿宋" w:eastAsia="仿宋" w:cs="仿宋"/>
          <w:kern w:val="0"/>
          <w:highlight w:val="none"/>
        </w:rPr>
        <w:t>、场馆</w:t>
      </w:r>
      <w:r>
        <w:rPr>
          <w:rFonts w:hint="eastAsia" w:ascii="仿宋" w:hAnsi="仿宋" w:eastAsia="仿宋" w:cs="仿宋"/>
          <w:kern w:val="0"/>
          <w:highlight w:val="none"/>
          <w:lang w:val="en-US" w:eastAsia="zh-CN"/>
        </w:rPr>
        <w:t>专业化</w:t>
      </w:r>
      <w:r>
        <w:rPr>
          <w:rFonts w:hint="eastAsia" w:ascii="仿宋" w:hAnsi="仿宋" w:eastAsia="仿宋" w:cs="仿宋"/>
          <w:kern w:val="0"/>
          <w:highlight w:val="none"/>
        </w:rPr>
        <w:t>服务、</w:t>
      </w:r>
      <w:r>
        <w:rPr>
          <w:rFonts w:hint="eastAsia" w:ascii="仿宋" w:hAnsi="仿宋" w:eastAsia="仿宋" w:cs="仿宋"/>
          <w:kern w:val="0"/>
          <w:highlight w:val="none"/>
          <w:lang w:val="en-US" w:eastAsia="zh-CN"/>
        </w:rPr>
        <w:t>宣传推广服务、其他服务等</w:t>
      </w:r>
      <w:r>
        <w:rPr>
          <w:rFonts w:hint="eastAsia" w:ascii="仿宋" w:hAnsi="仿宋" w:eastAsia="仿宋" w:cs="仿宋"/>
          <w:kern w:val="0"/>
          <w:highlight w:val="none"/>
        </w:rPr>
        <w:t>），投标人应有完整的、可行的服务方案，对采购文件提出的工作内容及相关要求予以响应。</w:t>
      </w:r>
    </w:p>
    <w:p w14:paraId="7240DB24">
      <w:pPr>
        <w:pStyle w:val="19"/>
        <w:snapToGrid w:val="0"/>
        <w:ind w:firstLine="480" w:firstLineChars="200"/>
        <w:rPr>
          <w:rFonts w:hint="eastAsia" w:ascii="仿宋" w:hAnsi="仿宋" w:eastAsia="仿宋" w:cs="仿宋"/>
          <w:kern w:val="0"/>
          <w:highlight w:val="none"/>
        </w:rPr>
      </w:pPr>
      <w:r>
        <w:rPr>
          <w:rFonts w:hint="eastAsia" w:ascii="仿宋" w:hAnsi="仿宋" w:eastAsia="仿宋" w:cs="仿宋"/>
          <w:kern w:val="0"/>
          <w:highlight w:val="none"/>
        </w:rPr>
        <w:t>3、</w:t>
      </w:r>
      <w:r>
        <w:rPr>
          <w:rFonts w:hint="eastAsia" w:ascii="仿宋" w:hAnsi="仿宋" w:eastAsia="仿宋" w:cs="仿宋"/>
          <w:snapToGrid w:val="0"/>
          <w:kern w:val="0"/>
          <w:szCs w:val="24"/>
          <w:highlight w:val="none"/>
        </w:rPr>
        <w:t>项目管理团队配备情况。</w:t>
      </w:r>
    </w:p>
    <w:p w14:paraId="2731C93D">
      <w:pPr>
        <w:pStyle w:val="19"/>
        <w:snapToGrid w:val="0"/>
        <w:ind w:firstLine="480" w:firstLineChars="200"/>
        <w:rPr>
          <w:rFonts w:hint="eastAsia" w:ascii="仿宋" w:hAnsi="仿宋" w:eastAsia="仿宋" w:cs="仿宋"/>
          <w:bCs/>
          <w:highlight w:val="none"/>
        </w:rPr>
      </w:pPr>
      <w:r>
        <w:rPr>
          <w:rFonts w:hint="eastAsia" w:ascii="仿宋" w:hAnsi="仿宋" w:eastAsia="仿宋" w:cs="仿宋"/>
          <w:kern w:val="0"/>
          <w:highlight w:val="none"/>
        </w:rPr>
        <w:t>4、</w:t>
      </w:r>
      <w:r>
        <w:rPr>
          <w:rFonts w:hint="eastAsia" w:ascii="仿宋" w:hAnsi="仿宋" w:eastAsia="仿宋" w:cs="仿宋"/>
          <w:bCs/>
          <w:szCs w:val="24"/>
          <w:highlight w:val="none"/>
        </w:rPr>
        <w:t>投标人需针对本项目的实际情况与需求，制定完善的管理制度。包括：①人员职责、交接班制度；②建立和完善档案管理制度等，体现标准化服务、及时组织及上交采购人需要的材料;③建立自我考核、激励、监督机制，保障人员稳定性及服务质量有效提升；⑦建立反馈与处理机制；⑧建立管理指标承诺达到管理标准。且相关制度需能体现标准化服务。</w:t>
      </w:r>
    </w:p>
    <w:p w14:paraId="55E8268F">
      <w:pPr>
        <w:pStyle w:val="214"/>
        <w:rPr>
          <w:rFonts w:hint="eastAsia" w:ascii="仿宋" w:hAnsi="仿宋" w:eastAsia="仿宋" w:cs="仿宋"/>
          <w:snapToGrid w:val="0"/>
          <w:kern w:val="0"/>
          <w:szCs w:val="24"/>
          <w:highlight w:val="none"/>
        </w:rPr>
      </w:pPr>
      <w:r>
        <w:rPr>
          <w:rFonts w:hint="eastAsia" w:ascii="仿宋" w:hAnsi="仿宋" w:eastAsia="仿宋" w:cs="仿宋"/>
          <w:bCs/>
          <w:highlight w:val="none"/>
        </w:rPr>
        <w:t>5</w:t>
      </w:r>
      <w:r>
        <w:rPr>
          <w:rFonts w:hint="eastAsia" w:ascii="仿宋" w:hAnsi="仿宋" w:eastAsia="仿宋" w:cs="仿宋"/>
          <w:snapToGrid w:val="0"/>
          <w:kern w:val="0"/>
          <w:szCs w:val="24"/>
          <w:highlight w:val="none"/>
        </w:rPr>
        <w:t>、保密、安全管理、应急预案等相关方案。</w:t>
      </w:r>
    </w:p>
    <w:p w14:paraId="619FE39B">
      <w:pPr>
        <w:pStyle w:val="214"/>
        <w:adjustRightInd w:val="0"/>
        <w:snapToGrid w:val="0"/>
        <w:rPr>
          <w:rFonts w:hint="eastAsia" w:ascii="仿宋" w:hAnsi="仿宋" w:eastAsia="仿宋" w:cs="仿宋"/>
          <w:bCs/>
          <w:highlight w:val="none"/>
        </w:rPr>
      </w:pPr>
      <w:r>
        <w:rPr>
          <w:rFonts w:hint="eastAsia" w:ascii="仿宋" w:hAnsi="仿宋" w:eastAsia="仿宋" w:cs="仿宋"/>
          <w:snapToGrid w:val="0"/>
          <w:kern w:val="0"/>
          <w:szCs w:val="24"/>
          <w:highlight w:val="none"/>
        </w:rPr>
        <w:t>6、其他。</w:t>
      </w:r>
      <w:bookmarkEnd w:id="48"/>
      <w:bookmarkEnd w:id="49"/>
      <w:bookmarkEnd w:id="50"/>
      <w:bookmarkEnd w:id="51"/>
      <w:bookmarkEnd w:id="52"/>
      <w:bookmarkEnd w:id="53"/>
      <w:bookmarkEnd w:id="59"/>
    </w:p>
    <w:p w14:paraId="597111C6">
      <w:pPr>
        <w:pStyle w:val="3"/>
        <w:spacing w:before="120" w:after="120" w:line="360" w:lineRule="auto"/>
        <w:rPr>
          <w:rFonts w:hint="eastAsia" w:ascii="仿宋" w:hAnsi="仿宋" w:eastAsia="仿宋" w:cs="仿宋"/>
          <w:sz w:val="24"/>
          <w:szCs w:val="24"/>
          <w:highlight w:val="none"/>
        </w:rPr>
      </w:pPr>
      <w:bookmarkStart w:id="78" w:name="_Toc13152"/>
      <w:bookmarkStart w:id="79" w:name="_Toc32615"/>
      <w:bookmarkStart w:id="80" w:name="_Toc5760"/>
      <w:bookmarkStart w:id="81" w:name="_Toc12194"/>
      <w:bookmarkStart w:id="82" w:name="_Toc5721"/>
      <w:r>
        <w:rPr>
          <w:rFonts w:hint="eastAsia" w:ascii="仿宋" w:hAnsi="仿宋" w:eastAsia="仿宋" w:cs="仿宋"/>
          <w:sz w:val="24"/>
          <w:szCs w:val="24"/>
          <w:highlight w:val="none"/>
        </w:rPr>
        <w:t>五、其他</w:t>
      </w:r>
      <w:bookmarkEnd w:id="78"/>
      <w:bookmarkEnd w:id="79"/>
      <w:bookmarkEnd w:id="80"/>
      <w:bookmarkEnd w:id="81"/>
      <w:bookmarkEnd w:id="82"/>
    </w:p>
    <w:p w14:paraId="3B992A83">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1、中标人自行负责其工作人员的食宿、交通、相关保险等费用。</w:t>
      </w:r>
    </w:p>
    <w:p w14:paraId="562864FF">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2、因项目参与、涉及人员众多，中标人必须做好与招标人、其他单位的配合、协调工作。</w:t>
      </w:r>
    </w:p>
    <w:p w14:paraId="503BAE27">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z w:val="24"/>
          <w:highlight w:val="none"/>
        </w:rPr>
        <w:t>3</w:t>
      </w: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zh-CN"/>
        </w:rPr>
        <w:t>投标时的证明材料要确保真实有效。如核实虚假的，采购人有权向监管部门反映，取消该投标人的中标资格并追究其法律责任。</w:t>
      </w:r>
    </w:p>
    <w:p w14:paraId="6A2AEDA8">
      <w:pPr>
        <w:adjustRightInd w:val="0"/>
        <w:snapToGrid w:val="0"/>
        <w:spacing w:line="360" w:lineRule="auto"/>
        <w:ind w:firstLine="480" w:firstLineChars="200"/>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rPr>
        <w:t>4、</w:t>
      </w:r>
      <w:r>
        <w:rPr>
          <w:rFonts w:hint="eastAsia" w:ascii="仿宋" w:hAnsi="仿宋" w:eastAsia="仿宋" w:cs="仿宋"/>
          <w:snapToGrid w:val="0"/>
          <w:kern w:val="0"/>
          <w:sz w:val="24"/>
          <w:highlight w:val="none"/>
          <w:lang w:val="zh-CN"/>
        </w:rPr>
        <w:t>未尽事宜可进一步参阅合同条款、</w:t>
      </w:r>
      <w:r>
        <w:rPr>
          <w:rFonts w:hint="eastAsia" w:ascii="仿宋" w:hAnsi="仿宋" w:eastAsia="仿宋" w:cs="仿宋"/>
          <w:snapToGrid w:val="0"/>
          <w:kern w:val="0"/>
          <w:sz w:val="24"/>
          <w:highlight w:val="none"/>
        </w:rPr>
        <w:t>招标文件其他内容、</w:t>
      </w:r>
      <w:r>
        <w:rPr>
          <w:rFonts w:hint="eastAsia" w:ascii="仿宋" w:hAnsi="仿宋" w:eastAsia="仿宋" w:cs="仿宋"/>
          <w:snapToGrid w:val="0"/>
          <w:kern w:val="0"/>
          <w:sz w:val="24"/>
          <w:highlight w:val="none"/>
          <w:lang w:val="zh-CN"/>
        </w:rPr>
        <w:t>相关附件。</w:t>
      </w:r>
    </w:p>
    <w:p w14:paraId="03AA9840">
      <w:pPr>
        <w:adjustRightInd w:val="0"/>
        <w:snapToGrid w:val="0"/>
        <w:spacing w:line="360" w:lineRule="auto"/>
        <w:ind w:firstLine="480" w:firstLineChars="200"/>
        <w:rPr>
          <w:rFonts w:hint="eastAsia" w:ascii="仿宋" w:hAnsi="仿宋" w:eastAsia="仿宋" w:cs="仿宋"/>
          <w:snapToGrid w:val="0"/>
          <w:kern w:val="0"/>
          <w:sz w:val="24"/>
          <w:highlight w:val="none"/>
          <w:lang w:val="zh-CN"/>
        </w:rPr>
      </w:pPr>
    </w:p>
    <w:p w14:paraId="3DBBD325">
      <w:pPr>
        <w:rPr>
          <w:rFonts w:hint="eastAsia" w:ascii="仿宋" w:hAnsi="仿宋" w:eastAsia="仿宋" w:cs="仿宋"/>
          <w:snapToGrid w:val="0"/>
          <w:kern w:val="0"/>
          <w:sz w:val="24"/>
          <w:highlight w:val="none"/>
          <w:lang w:val="zh-CN"/>
        </w:rPr>
      </w:pPr>
      <w:r>
        <w:rPr>
          <w:rFonts w:hint="eastAsia" w:ascii="仿宋" w:hAnsi="仿宋" w:eastAsia="仿宋" w:cs="仿宋"/>
          <w:snapToGrid w:val="0"/>
          <w:kern w:val="0"/>
          <w:sz w:val="24"/>
          <w:highlight w:val="none"/>
          <w:lang w:val="zh-CN"/>
        </w:rPr>
        <w:br w:type="page"/>
      </w:r>
    </w:p>
    <w:p w14:paraId="5DD595FC">
      <w:pPr>
        <w:pStyle w:val="32"/>
        <w:rPr>
          <w:rFonts w:hint="eastAsia"/>
          <w:highlight w:val="none"/>
          <w:lang w:val="zh-CN"/>
        </w:rPr>
      </w:pPr>
    </w:p>
    <w:bookmarkEnd w:id="54"/>
    <w:bookmarkEnd w:id="55"/>
    <w:bookmarkEnd w:id="56"/>
    <w:bookmarkEnd w:id="57"/>
    <w:p w14:paraId="6966F969">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bookmarkStart w:id="83" w:name="_Toc14349"/>
      <w:bookmarkStart w:id="84" w:name="_Toc22766"/>
      <w:r>
        <w:rPr>
          <w:rFonts w:hint="eastAsia" w:ascii="仿宋" w:hAnsi="仿宋" w:eastAsia="仿宋" w:cs="仿宋"/>
          <w:b/>
          <w:sz w:val="30"/>
          <w:szCs w:val="30"/>
          <w:highlight w:val="none"/>
        </w:rPr>
        <w:t>第四部分  评标办法</w:t>
      </w:r>
      <w:bookmarkEnd w:id="83"/>
      <w:bookmarkEnd w:id="84"/>
    </w:p>
    <w:p w14:paraId="47C8C35B">
      <w:pPr>
        <w:pStyle w:val="3"/>
        <w:snapToGrid w:val="0"/>
        <w:spacing w:before="120" w:beforeLines="50" w:after="120" w:afterLines="50" w:line="360" w:lineRule="auto"/>
        <w:rPr>
          <w:rFonts w:hint="eastAsia" w:ascii="仿宋" w:hAnsi="仿宋" w:eastAsia="仿宋" w:cs="仿宋"/>
          <w:sz w:val="24"/>
          <w:szCs w:val="24"/>
          <w:highlight w:val="none"/>
        </w:rPr>
      </w:pPr>
      <w:bookmarkStart w:id="85" w:name="_Toc5120"/>
      <w:bookmarkStart w:id="86" w:name="_Toc16598"/>
      <w:r>
        <w:rPr>
          <w:rFonts w:hint="eastAsia" w:ascii="仿宋" w:hAnsi="仿宋" w:eastAsia="仿宋" w:cs="仿宋"/>
          <w:sz w:val="24"/>
          <w:szCs w:val="24"/>
          <w:highlight w:val="none"/>
        </w:rPr>
        <w:t>评标办法前附表</w:t>
      </w:r>
      <w:bookmarkEnd w:id="85"/>
      <w:bookmarkEnd w:id="86"/>
    </w:p>
    <w:p w14:paraId="675E4670">
      <w:pPr>
        <w:adjustRightInd w:val="0"/>
        <w:snapToGrid w:val="0"/>
        <w:spacing w:line="360" w:lineRule="auto"/>
        <w:ind w:firstLine="480" w:firstLineChars="200"/>
        <w:rPr>
          <w:rFonts w:hint="eastAsia" w:ascii="仿宋" w:hAnsi="仿宋" w:eastAsia="仿宋" w:cs="仿宋"/>
          <w:snapToGrid w:val="0"/>
          <w:kern w:val="0"/>
          <w:sz w:val="24"/>
          <w:highlight w:val="none"/>
        </w:rPr>
      </w:pP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892"/>
        <w:gridCol w:w="1033"/>
      </w:tblGrid>
      <w:tr w14:paraId="7817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jc w:val="center"/>
        </w:trPr>
        <w:tc>
          <w:tcPr>
            <w:tcW w:w="654" w:type="dxa"/>
            <w:noWrap w:val="0"/>
            <w:vAlign w:val="center"/>
          </w:tcPr>
          <w:p w14:paraId="139ECB5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14:paraId="62B2A8C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14:paraId="6416E328">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892" w:type="dxa"/>
            <w:noWrap w:val="0"/>
            <w:vAlign w:val="center"/>
          </w:tcPr>
          <w:p w14:paraId="27840310">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主观分/客观分属性</w:t>
            </w:r>
          </w:p>
        </w:tc>
        <w:tc>
          <w:tcPr>
            <w:tcW w:w="1033" w:type="dxa"/>
            <w:noWrap w:val="0"/>
            <w:vAlign w:val="center"/>
          </w:tcPr>
          <w:p w14:paraId="35A91BB4">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14:paraId="2B2F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14:paraId="51FFB893">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797" w:type="dxa"/>
            <w:noWrap w:val="0"/>
            <w:vAlign w:val="center"/>
          </w:tcPr>
          <w:p w14:paraId="5C1C35ED">
            <w:pPr>
              <w:adjustRightInd w:val="0"/>
              <w:snapToGrid w:val="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投标人资信情况</w:t>
            </w:r>
          </w:p>
        </w:tc>
        <w:tc>
          <w:tcPr>
            <w:tcW w:w="1080" w:type="dxa"/>
            <w:noWrap w:val="0"/>
            <w:vAlign w:val="center"/>
          </w:tcPr>
          <w:p w14:paraId="77085B76">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14:paraId="284BD62A">
            <w:pPr>
              <w:adjustRightInd w:val="0"/>
              <w:snapToGrid w:val="0"/>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w:t>
            </w:r>
          </w:p>
        </w:tc>
        <w:tc>
          <w:tcPr>
            <w:tcW w:w="1033" w:type="dxa"/>
            <w:noWrap w:val="0"/>
            <w:vAlign w:val="center"/>
          </w:tcPr>
          <w:p w14:paraId="4C1EC0C5">
            <w:pPr>
              <w:adjustRightInd w:val="0"/>
              <w:snapToGrid w:val="0"/>
              <w:jc w:val="center"/>
              <w:rPr>
                <w:rFonts w:hint="eastAsia" w:ascii="仿宋" w:hAnsi="仿宋" w:eastAsia="仿宋" w:cs="仿宋_GB2312"/>
                <w:bCs/>
                <w:color w:val="auto"/>
                <w:sz w:val="24"/>
                <w:highlight w:val="none"/>
              </w:rPr>
            </w:pPr>
          </w:p>
        </w:tc>
      </w:tr>
      <w:tr w14:paraId="271B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14:paraId="51682A04">
            <w:pPr>
              <w:keepNext w:val="0"/>
              <w:keepLines w:val="0"/>
              <w:widowControl/>
              <w:suppressLineNumbers w:val="0"/>
              <w:jc w:val="center"/>
              <w:textAlignment w:val="center"/>
              <w:rPr>
                <w:rFonts w:hint="default" w:ascii="仿宋" w:hAnsi="仿宋" w:eastAsia="仿宋" w:cs="仿宋"/>
                <w:bCs/>
                <w:color w:val="auto"/>
                <w:sz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1.1</w:t>
            </w:r>
          </w:p>
        </w:tc>
        <w:tc>
          <w:tcPr>
            <w:tcW w:w="5797" w:type="dxa"/>
            <w:noWrap w:val="0"/>
            <w:vAlign w:val="center"/>
          </w:tcPr>
          <w:p w14:paraId="251B045E">
            <w:pPr>
              <w:snapToGrid w:val="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2021年1月1日以来，投标人提供类似项目的合同业绩，每个合同业绩得0.25分，最高得1分。</w:t>
            </w:r>
          </w:p>
          <w:p w14:paraId="5A97F47B">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说明：①类似项目系指展馆类</w:t>
            </w:r>
            <w:r>
              <w:rPr>
                <w:rFonts w:hint="eastAsia" w:ascii="仿宋" w:hAnsi="仿宋" w:eastAsia="仿宋" w:cs="仿宋"/>
                <w:bCs/>
                <w:color w:val="auto"/>
                <w:sz w:val="24"/>
                <w:highlight w:val="none"/>
                <w:lang w:val="en-US" w:eastAsia="zh-CN"/>
              </w:rPr>
              <w:t>技术</w:t>
            </w:r>
            <w:r>
              <w:rPr>
                <w:rFonts w:hint="eastAsia" w:ascii="仿宋" w:hAnsi="仿宋" w:eastAsia="仿宋" w:cs="仿宋"/>
                <w:bCs/>
                <w:color w:val="auto"/>
                <w:sz w:val="24"/>
                <w:highlight w:val="none"/>
              </w:rPr>
              <w:t>服务项目相关</w:t>
            </w:r>
            <w:r>
              <w:rPr>
                <w:rFonts w:hint="eastAsia" w:ascii="仿宋" w:hAnsi="仿宋" w:eastAsia="仿宋" w:cs="仿宋"/>
                <w:bCs/>
                <w:color w:val="auto"/>
                <w:sz w:val="24"/>
                <w:highlight w:val="none"/>
                <w:lang w:val="en-US" w:eastAsia="zh-CN"/>
              </w:rPr>
              <w:t>业绩</w:t>
            </w:r>
            <w:r>
              <w:rPr>
                <w:rFonts w:hint="eastAsia" w:ascii="仿宋" w:hAnsi="仿宋" w:eastAsia="仿宋" w:cs="仿宋"/>
                <w:bCs/>
                <w:color w:val="auto"/>
                <w:kern w:val="0"/>
                <w:sz w:val="24"/>
                <w:highlight w:val="none"/>
                <w:lang w:val="en-US" w:eastAsia="zh-CN"/>
              </w:rPr>
              <w:t>；②证明材料为合同的复印件或扫描件，以合同签署时间为准；③类似项目不限地域、行业及规模。</w:t>
            </w:r>
          </w:p>
        </w:tc>
        <w:tc>
          <w:tcPr>
            <w:tcW w:w="1080" w:type="dxa"/>
            <w:noWrap w:val="0"/>
            <w:vAlign w:val="center"/>
          </w:tcPr>
          <w:p w14:paraId="66C3235B">
            <w:pPr>
              <w:keepNext w:val="0"/>
              <w:keepLines w:val="0"/>
              <w:widowControl/>
              <w:suppressLineNumbers w:val="0"/>
              <w:jc w:val="center"/>
              <w:textAlignment w:val="center"/>
              <w:rPr>
                <w:rFonts w:hint="eastAsia" w:ascii="仿宋" w:hAnsi="仿宋" w:eastAsia="仿宋" w:cs="仿宋"/>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92" w:type="dxa"/>
            <w:noWrap w:val="0"/>
            <w:vAlign w:val="center"/>
          </w:tcPr>
          <w:p w14:paraId="0B927AE8">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2D70B96B">
            <w:pPr>
              <w:adjustRightInd w:val="0"/>
              <w:snapToGrid w:val="0"/>
              <w:jc w:val="center"/>
              <w:rPr>
                <w:rFonts w:hint="eastAsia" w:ascii="仿宋" w:hAnsi="仿宋" w:eastAsia="仿宋" w:cs="仿宋"/>
                <w:b/>
                <w:color w:val="auto"/>
                <w:sz w:val="24"/>
                <w:highlight w:val="none"/>
              </w:rPr>
            </w:pPr>
          </w:p>
        </w:tc>
      </w:tr>
      <w:tr w14:paraId="0CAE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44884E04">
            <w:pPr>
              <w:keepNext w:val="0"/>
              <w:keepLines w:val="0"/>
              <w:widowControl/>
              <w:suppressLineNumbers w:val="0"/>
              <w:jc w:val="center"/>
              <w:textAlignment w:val="center"/>
              <w:rPr>
                <w:rFonts w:hint="default" w:ascii="仿宋" w:hAnsi="仿宋" w:eastAsia="仿宋" w:cs="仿宋"/>
                <w:b w:val="0"/>
                <w:bCs w:val="0"/>
                <w:color w:val="auto"/>
                <w:sz w:val="24"/>
                <w:highlight w:val="none"/>
                <w:lang w:val="en-US"/>
              </w:rPr>
            </w:pPr>
            <w:r>
              <w:rPr>
                <w:rFonts w:hint="eastAsia" w:ascii="宋体" w:hAnsi="宋体" w:cs="宋体"/>
                <w:b w:val="0"/>
                <w:bCs w:val="0"/>
                <w:i w:val="0"/>
                <w:iCs w:val="0"/>
                <w:color w:val="auto"/>
                <w:kern w:val="0"/>
                <w:sz w:val="24"/>
                <w:szCs w:val="24"/>
                <w:highlight w:val="none"/>
                <w:u w:val="none"/>
                <w:lang w:val="en-US" w:eastAsia="zh-CN" w:bidi="ar"/>
              </w:rPr>
              <w:t>1.2</w:t>
            </w:r>
          </w:p>
        </w:tc>
        <w:tc>
          <w:tcPr>
            <w:tcW w:w="5797" w:type="dxa"/>
            <w:noWrap w:val="0"/>
            <w:vAlign w:val="center"/>
          </w:tcPr>
          <w:p w14:paraId="4BE26458">
            <w:pPr>
              <w:snapToGrid w:val="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投标人具有有效的质量管理体系认证证书、环境管理体系认证证书，每具备一种得1分，最高得3分。</w:t>
            </w:r>
          </w:p>
          <w:p w14:paraId="64920C1E">
            <w:pPr>
              <w:snapToGrid w:val="0"/>
              <w:rPr>
                <w:rFonts w:hint="eastAsia" w:ascii="仿宋" w:hAnsi="仿宋" w:eastAsia="仿宋" w:cs="仿宋"/>
                <w:b w:val="0"/>
                <w:bCs w:val="0"/>
                <w:color w:val="auto"/>
                <w:sz w:val="24"/>
                <w:highlight w:val="none"/>
                <w:lang w:eastAsia="zh-CN"/>
              </w:rPr>
            </w:pPr>
            <w:r>
              <w:rPr>
                <w:rFonts w:hint="eastAsia" w:ascii="仿宋" w:hAnsi="仿宋" w:eastAsia="仿宋" w:cs="仿宋"/>
                <w:bCs/>
                <w:color w:val="auto"/>
                <w:kern w:val="0"/>
                <w:sz w:val="24"/>
                <w:highlight w:val="none"/>
                <w:lang w:val="en-US" w:eastAsia="zh-CN"/>
              </w:rPr>
              <w:t>说明：提供证书的复印件或扫描件；证书在全国认证认可信息公共服务平台查询的状态为有效。</w:t>
            </w:r>
          </w:p>
        </w:tc>
        <w:tc>
          <w:tcPr>
            <w:tcW w:w="1080" w:type="dxa"/>
            <w:noWrap w:val="0"/>
            <w:vAlign w:val="center"/>
          </w:tcPr>
          <w:p w14:paraId="7614676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2" w:type="dxa"/>
            <w:noWrap w:val="0"/>
            <w:vAlign w:val="center"/>
          </w:tcPr>
          <w:p w14:paraId="6B315542">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16CAD8E9">
            <w:pPr>
              <w:adjustRightInd w:val="0"/>
              <w:snapToGrid w:val="0"/>
              <w:jc w:val="center"/>
              <w:rPr>
                <w:rFonts w:hint="eastAsia" w:ascii="仿宋" w:hAnsi="仿宋" w:eastAsia="仿宋" w:cs="仿宋"/>
                <w:color w:val="auto"/>
                <w:sz w:val="24"/>
                <w:highlight w:val="none"/>
              </w:rPr>
            </w:pPr>
          </w:p>
        </w:tc>
      </w:tr>
      <w:tr w14:paraId="501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2049673F">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p>
        </w:tc>
        <w:tc>
          <w:tcPr>
            <w:tcW w:w="5797" w:type="dxa"/>
            <w:noWrap w:val="0"/>
            <w:vAlign w:val="center"/>
          </w:tcPr>
          <w:p w14:paraId="3930B844">
            <w:pPr>
              <w:snapToGrid w:val="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现状分析</w:t>
            </w:r>
          </w:p>
        </w:tc>
        <w:tc>
          <w:tcPr>
            <w:tcW w:w="1080" w:type="dxa"/>
            <w:noWrap w:val="0"/>
            <w:vAlign w:val="center"/>
          </w:tcPr>
          <w:p w14:paraId="463B1E7C">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14:paraId="14B3F651">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2DA2823C">
            <w:pPr>
              <w:adjustRightInd w:val="0"/>
              <w:snapToGrid w:val="0"/>
              <w:jc w:val="center"/>
              <w:rPr>
                <w:rFonts w:hint="eastAsia" w:ascii="仿宋" w:hAnsi="仿宋" w:eastAsia="仿宋" w:cs="仿宋"/>
                <w:color w:val="auto"/>
                <w:sz w:val="24"/>
                <w:highlight w:val="none"/>
              </w:rPr>
            </w:pPr>
          </w:p>
        </w:tc>
      </w:tr>
      <w:tr w14:paraId="5407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2CDF33FF">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2.1</w:t>
            </w:r>
          </w:p>
        </w:tc>
        <w:tc>
          <w:tcPr>
            <w:tcW w:w="5797" w:type="dxa"/>
            <w:noWrap w:val="0"/>
            <w:vAlign w:val="center"/>
          </w:tcPr>
          <w:p w14:paraId="7B985B72">
            <w:pPr>
              <w:keepNext w:val="0"/>
              <w:keepLines w:val="0"/>
              <w:widowControl/>
              <w:suppressLineNumbers w:val="0"/>
              <w:jc w:val="left"/>
              <w:textAlignment w:val="center"/>
              <w:rPr>
                <w:rStyle w:val="55"/>
                <w:rFonts w:hint="default"/>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根据场馆、地理位置、场馆设置现状情况，结合</w:t>
            </w:r>
            <w:r>
              <w:rPr>
                <w:rFonts w:hint="eastAsia" w:ascii="仿宋" w:hAnsi="仿宋" w:eastAsia="仿宋" w:cs="仿宋"/>
                <w:snapToGrid w:val="0"/>
                <w:color w:val="auto"/>
                <w:kern w:val="0"/>
                <w:sz w:val="24"/>
                <w:highlight w:val="none"/>
                <w:lang w:val="en-US" w:eastAsia="zh-CN"/>
              </w:rPr>
              <w:t>本项目所需服务，</w:t>
            </w:r>
            <w:r>
              <w:rPr>
                <w:rFonts w:hint="eastAsia" w:ascii="仿宋" w:hAnsi="仿宋" w:eastAsia="仿宋" w:cs="仿宋"/>
                <w:b w:val="0"/>
                <w:bCs w:val="0"/>
                <w:i w:val="0"/>
                <w:iCs w:val="0"/>
                <w:color w:val="auto"/>
                <w:kern w:val="0"/>
                <w:sz w:val="24"/>
                <w:szCs w:val="24"/>
                <w:highlight w:val="none"/>
                <w:u w:val="none"/>
                <w:lang w:val="en-US" w:eastAsia="zh-CN" w:bidi="ar"/>
              </w:rPr>
              <w:t>提供</w:t>
            </w:r>
            <w:r>
              <w:rPr>
                <w:rFonts w:hint="eastAsia" w:ascii="仿宋" w:hAnsi="仿宋" w:eastAsia="仿宋" w:cs="仿宋"/>
                <w:color w:val="auto"/>
                <w:sz w:val="24"/>
                <w:highlight w:val="none"/>
                <w:lang w:val="en-US" w:eastAsia="zh-CN"/>
              </w:rPr>
              <w:t>重难点分析，</w:t>
            </w:r>
            <w:r>
              <w:rPr>
                <w:rFonts w:hint="eastAsia" w:ascii="仿宋" w:hAnsi="仿宋" w:eastAsia="仿宋" w:cs="仿宋"/>
                <w:color w:val="auto"/>
                <w:kern w:val="0"/>
                <w:sz w:val="24"/>
                <w:highlight w:val="none"/>
                <w:lang w:val="en-US" w:eastAsia="zh-CN"/>
              </w:rPr>
              <w:t>分析周密、合理</w:t>
            </w:r>
            <w:r>
              <w:rPr>
                <w:rFonts w:hint="eastAsia" w:ascii="仿宋" w:hAnsi="仿宋" w:eastAsia="仿宋" w:cs="仿宋"/>
                <w:color w:val="auto"/>
                <w:kern w:val="0"/>
                <w:sz w:val="24"/>
                <w:highlight w:val="none"/>
                <w:lang w:eastAsia="zh-CN"/>
              </w:rPr>
              <w:t>且与项目匹配度好的得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分析较为周到、合理性较好，</w:t>
            </w:r>
            <w:r>
              <w:rPr>
                <w:rFonts w:hint="eastAsia" w:ascii="仿宋" w:hAnsi="仿宋" w:eastAsia="仿宋" w:cs="仿宋"/>
                <w:color w:val="auto"/>
                <w:kern w:val="0"/>
                <w:sz w:val="24"/>
                <w:highlight w:val="none"/>
                <w:lang w:eastAsia="zh-CN"/>
              </w:rPr>
              <w:t>与项目匹配度较好的得</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分析合理性一般，</w:t>
            </w:r>
            <w:r>
              <w:rPr>
                <w:rFonts w:hint="eastAsia" w:ascii="仿宋" w:hAnsi="仿宋" w:eastAsia="仿宋" w:cs="仿宋"/>
                <w:color w:val="auto"/>
                <w:kern w:val="0"/>
                <w:sz w:val="24"/>
                <w:highlight w:val="none"/>
                <w:lang w:eastAsia="zh-CN"/>
              </w:rPr>
              <w:t>与项目匹配度一般的</w:t>
            </w:r>
            <w:r>
              <w:rPr>
                <w:rFonts w:hint="eastAsia" w:ascii="仿宋" w:hAnsi="仿宋" w:eastAsia="仿宋" w:cs="仿宋"/>
                <w:color w:val="auto"/>
                <w:kern w:val="0"/>
                <w:sz w:val="24"/>
                <w:highlight w:val="none"/>
                <w:lang w:val="en-US" w:eastAsia="zh-CN"/>
              </w:rPr>
              <w:t>得2分；</w:t>
            </w:r>
            <w:r>
              <w:rPr>
                <w:rFonts w:hint="eastAsia" w:ascii="仿宋" w:hAnsi="仿宋" w:eastAsia="仿宋" w:cs="仿宋"/>
                <w:color w:val="auto"/>
                <w:kern w:val="0"/>
                <w:sz w:val="24"/>
                <w:highlight w:val="none"/>
                <w:lang w:eastAsia="zh-CN"/>
              </w:rPr>
              <w:t>存在欠缺或与</w:t>
            </w:r>
            <w:r>
              <w:rPr>
                <w:rFonts w:hint="eastAsia" w:ascii="仿宋" w:hAnsi="仿宋" w:eastAsia="仿宋" w:cs="仿宋"/>
                <w:color w:val="auto"/>
                <w:kern w:val="0"/>
                <w:sz w:val="24"/>
                <w:highlight w:val="none"/>
                <w:lang w:val="en-US" w:eastAsia="zh-CN"/>
              </w:rPr>
              <w:t>针对性不足</w:t>
            </w:r>
            <w:r>
              <w:rPr>
                <w:rFonts w:hint="eastAsia" w:ascii="仿宋" w:hAnsi="仿宋" w:eastAsia="仿宋" w:cs="仿宋"/>
                <w:color w:val="auto"/>
                <w:kern w:val="0"/>
                <w:sz w:val="24"/>
                <w:highlight w:val="none"/>
                <w:lang w:eastAsia="zh-CN"/>
              </w:rPr>
              <w:t>的得</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eastAsia="zh-CN"/>
              </w:rPr>
              <w:t>分；方案内容缺失严重或与项目不匹配的得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分；</w:t>
            </w:r>
            <w:r>
              <w:rPr>
                <w:rFonts w:hint="eastAsia" w:ascii="仿宋" w:hAnsi="仿宋" w:eastAsia="仿宋" w:cs="仿宋"/>
                <w:color w:val="auto"/>
                <w:kern w:val="0"/>
                <w:sz w:val="24"/>
                <w:highlight w:val="none"/>
                <w:lang w:val="en-US" w:eastAsia="zh-CN"/>
              </w:rPr>
              <w:t>其余不得分</w:t>
            </w:r>
            <w:r>
              <w:rPr>
                <w:rFonts w:hint="eastAsia" w:ascii="仿宋" w:hAnsi="仿宋" w:eastAsia="仿宋" w:cs="仿宋"/>
                <w:color w:val="auto"/>
                <w:kern w:val="0"/>
                <w:sz w:val="24"/>
                <w:highlight w:val="none"/>
                <w:lang w:eastAsia="zh-CN"/>
              </w:rPr>
              <w:t>。</w:t>
            </w:r>
          </w:p>
        </w:tc>
        <w:tc>
          <w:tcPr>
            <w:tcW w:w="1080" w:type="dxa"/>
            <w:noWrap w:val="0"/>
            <w:vAlign w:val="center"/>
          </w:tcPr>
          <w:p w14:paraId="35B6762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2" w:type="dxa"/>
            <w:noWrap w:val="0"/>
            <w:vAlign w:val="center"/>
          </w:tcPr>
          <w:p w14:paraId="0B37F6D1">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2F8A56AF">
            <w:pPr>
              <w:adjustRightInd w:val="0"/>
              <w:snapToGrid w:val="0"/>
              <w:jc w:val="center"/>
              <w:rPr>
                <w:rFonts w:hint="eastAsia" w:ascii="仿宋" w:hAnsi="仿宋" w:eastAsia="仿宋" w:cs="仿宋"/>
                <w:color w:val="auto"/>
                <w:sz w:val="24"/>
                <w:highlight w:val="none"/>
              </w:rPr>
            </w:pPr>
          </w:p>
        </w:tc>
      </w:tr>
      <w:tr w14:paraId="6040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4CC5B5A8">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2.2</w:t>
            </w:r>
          </w:p>
        </w:tc>
        <w:tc>
          <w:tcPr>
            <w:tcW w:w="5797" w:type="dxa"/>
            <w:noWrap w:val="0"/>
            <w:vAlign w:val="center"/>
          </w:tcPr>
          <w:p w14:paraId="38D855B7">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kern w:val="0"/>
                <w:sz w:val="24"/>
                <w:highlight w:val="none"/>
              </w:rPr>
              <w:t>针对</w:t>
            </w:r>
            <w:r>
              <w:rPr>
                <w:rFonts w:hint="eastAsia" w:ascii="仿宋" w:hAnsi="仿宋" w:eastAsia="仿宋" w:cs="仿宋"/>
                <w:color w:val="auto"/>
                <w:kern w:val="0"/>
                <w:sz w:val="24"/>
                <w:highlight w:val="none"/>
                <w:lang w:val="en-US" w:eastAsia="zh-CN"/>
              </w:rPr>
              <w:t>分析提出的</w:t>
            </w:r>
            <w:r>
              <w:rPr>
                <w:rFonts w:hint="eastAsia" w:ascii="仿宋" w:hAnsi="仿宋" w:eastAsia="仿宋" w:cs="仿宋"/>
                <w:color w:val="auto"/>
                <w:sz w:val="24"/>
                <w:highlight w:val="none"/>
                <w:lang w:val="en-US" w:eastAsia="zh-CN"/>
              </w:rPr>
              <w:t>整体工作思路</w:t>
            </w:r>
            <w:r>
              <w:rPr>
                <w:rFonts w:hint="eastAsia" w:ascii="仿宋" w:hAnsi="仿宋" w:eastAsia="仿宋" w:cs="仿宋"/>
                <w:color w:val="auto"/>
                <w:kern w:val="0"/>
                <w:sz w:val="24"/>
                <w:highlight w:val="none"/>
              </w:rPr>
              <w:t>，及合理化建议</w:t>
            </w:r>
            <w:r>
              <w:rPr>
                <w:rFonts w:hint="eastAsia" w:ascii="仿宋" w:hAnsi="仿宋" w:eastAsia="仿宋" w:cs="仿宋"/>
                <w:color w:val="auto"/>
                <w:kern w:val="0"/>
                <w:sz w:val="24"/>
                <w:highlight w:val="none"/>
                <w:lang w:val="en-US" w:eastAsia="zh-CN"/>
              </w:rPr>
              <w:t>方案。</w:t>
            </w:r>
            <w:r>
              <w:rPr>
                <w:rFonts w:hint="eastAsia" w:ascii="仿宋" w:hAnsi="仿宋" w:eastAsia="仿宋" w:cs="仿宋"/>
                <w:i w:val="0"/>
                <w:color w:val="000000"/>
                <w:kern w:val="0"/>
                <w:sz w:val="24"/>
                <w:szCs w:val="24"/>
                <w:highlight w:val="none"/>
                <w:u w:val="none"/>
                <w:lang w:val="en-US" w:eastAsia="zh-CN" w:bidi="ar"/>
              </w:rPr>
              <w:t>工作思路清晰、目标任务匹配度高、针对性和可行性好得3分；有工作思路、目标任务较为匹配、针对性和可行性较好得2.5分；方案一般得2分；</w:t>
            </w:r>
            <w:r>
              <w:rPr>
                <w:rFonts w:hint="eastAsia" w:ascii="仿宋" w:hAnsi="仿宋" w:eastAsia="仿宋" w:cs="仿宋"/>
                <w:color w:val="auto"/>
                <w:sz w:val="24"/>
                <w:highlight w:val="none"/>
                <w:lang w:val="en-US" w:eastAsia="zh-CN"/>
              </w:rPr>
              <w:t>存在较大欠缺得1.5分；有方案但可操作性不佳得1分；其余不得分。</w:t>
            </w:r>
          </w:p>
        </w:tc>
        <w:tc>
          <w:tcPr>
            <w:tcW w:w="1080" w:type="dxa"/>
            <w:noWrap w:val="0"/>
            <w:vAlign w:val="center"/>
          </w:tcPr>
          <w:p w14:paraId="305696F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2" w:type="dxa"/>
            <w:noWrap w:val="0"/>
            <w:vAlign w:val="center"/>
          </w:tcPr>
          <w:p w14:paraId="46C8AA32">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5AE6644B">
            <w:pPr>
              <w:adjustRightInd w:val="0"/>
              <w:snapToGrid w:val="0"/>
              <w:jc w:val="center"/>
              <w:rPr>
                <w:rFonts w:hint="eastAsia" w:ascii="仿宋" w:hAnsi="仿宋" w:eastAsia="仿宋" w:cs="仿宋"/>
                <w:color w:val="auto"/>
                <w:sz w:val="24"/>
                <w:highlight w:val="none"/>
              </w:rPr>
            </w:pPr>
          </w:p>
        </w:tc>
      </w:tr>
      <w:tr w14:paraId="5650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0117FF44">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p>
        </w:tc>
        <w:tc>
          <w:tcPr>
            <w:tcW w:w="5797" w:type="dxa"/>
            <w:noWrap w:val="0"/>
            <w:vAlign w:val="center"/>
          </w:tcPr>
          <w:p w14:paraId="3D57C4F4">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服务响应情况</w:t>
            </w:r>
          </w:p>
        </w:tc>
        <w:tc>
          <w:tcPr>
            <w:tcW w:w="1080" w:type="dxa"/>
            <w:noWrap w:val="0"/>
            <w:vAlign w:val="center"/>
          </w:tcPr>
          <w:p w14:paraId="59CAB98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92" w:type="dxa"/>
            <w:noWrap w:val="0"/>
            <w:vAlign w:val="center"/>
          </w:tcPr>
          <w:p w14:paraId="1F89C266">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73AEF184">
            <w:pPr>
              <w:adjustRightInd w:val="0"/>
              <w:snapToGrid w:val="0"/>
              <w:jc w:val="center"/>
              <w:rPr>
                <w:rFonts w:hint="eastAsia" w:ascii="仿宋" w:hAnsi="仿宋" w:eastAsia="仿宋" w:cs="仿宋"/>
                <w:color w:val="auto"/>
                <w:sz w:val="24"/>
                <w:highlight w:val="none"/>
              </w:rPr>
            </w:pPr>
          </w:p>
        </w:tc>
      </w:tr>
      <w:tr w14:paraId="78A3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02D887B1">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3.1</w:t>
            </w:r>
          </w:p>
        </w:tc>
        <w:tc>
          <w:tcPr>
            <w:tcW w:w="5797" w:type="dxa"/>
            <w:noWrap w:val="0"/>
            <w:vAlign w:val="center"/>
          </w:tcPr>
          <w:p w14:paraId="735AB5E6">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讲解社教服务相关方案</w:t>
            </w:r>
          </w:p>
        </w:tc>
        <w:tc>
          <w:tcPr>
            <w:tcW w:w="1080" w:type="dxa"/>
            <w:noWrap w:val="0"/>
            <w:vAlign w:val="center"/>
          </w:tcPr>
          <w:p w14:paraId="6729838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92" w:type="dxa"/>
            <w:noWrap w:val="0"/>
            <w:vAlign w:val="center"/>
          </w:tcPr>
          <w:p w14:paraId="26190E0B">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34E34B8E">
            <w:pPr>
              <w:adjustRightInd w:val="0"/>
              <w:snapToGrid w:val="0"/>
              <w:jc w:val="center"/>
              <w:rPr>
                <w:rFonts w:hint="eastAsia" w:ascii="仿宋" w:hAnsi="仿宋" w:eastAsia="仿宋" w:cs="仿宋"/>
                <w:color w:val="auto"/>
                <w:sz w:val="24"/>
                <w:highlight w:val="none"/>
              </w:rPr>
            </w:pPr>
          </w:p>
        </w:tc>
      </w:tr>
      <w:tr w14:paraId="31A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01AF1CE4">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10ABCF65">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snapToGrid w:val="0"/>
                <w:color w:val="auto"/>
                <w:kern w:val="0"/>
                <w:sz w:val="24"/>
                <w:szCs w:val="24"/>
                <w:highlight w:val="none"/>
                <w:lang w:val="en-US" w:eastAsia="zh-CN" w:bidi="ar-SA"/>
              </w:rPr>
              <w:t>配合采购人完成各类接待任务，承担动博馆各类中英文讲解工作，参与讲解词的撰写、修改、编排等工作；根据受众对象及参观时长的要求，合理设计参观动线，熟练掌握不同版本讲解内容与技巧</w:t>
            </w:r>
            <w:r>
              <w:rPr>
                <w:rFonts w:hint="eastAsia" w:ascii="仿宋" w:hAnsi="仿宋" w:eastAsia="仿宋" w:cs="仿宋"/>
                <w:snapToGrid w:val="0"/>
                <w:kern w:val="0"/>
                <w:sz w:val="24"/>
                <w:highlight w:val="none"/>
                <w:lang w:val="en-US" w:eastAsia="zh-CN"/>
              </w:rPr>
              <w:t>，满足动博馆常设展区、临时展览和重点活动的讲解需求</w:t>
            </w:r>
            <w:r>
              <w:rPr>
                <w:rFonts w:hint="eastAsia" w:ascii="仿宋" w:hAnsi="仿宋" w:eastAsia="仿宋" w:cs="仿宋"/>
                <w:snapToGrid w:val="0"/>
                <w:color w:val="auto"/>
                <w:kern w:val="0"/>
                <w:sz w:val="24"/>
                <w:szCs w:val="24"/>
                <w:highlight w:val="none"/>
                <w:lang w:val="en-US" w:eastAsia="zh-CN" w:bidi="ar-SA"/>
              </w:rPr>
              <w:t>。提供上述工作及服务方案，</w:t>
            </w:r>
            <w:r>
              <w:rPr>
                <w:rFonts w:hint="eastAsia" w:ascii="仿宋" w:hAnsi="仿宋" w:eastAsia="仿宋" w:cs="仿宋"/>
                <w:i w:val="0"/>
                <w:iCs w:val="0"/>
                <w:color w:val="auto"/>
                <w:kern w:val="0"/>
                <w:sz w:val="24"/>
                <w:szCs w:val="24"/>
                <w:highlight w:val="none"/>
                <w:u w:val="none"/>
                <w:lang w:val="en-US" w:eastAsia="zh-CN" w:bidi="ar"/>
              </w:rPr>
              <w:t>方案完整、可操作性强的得4分；方案较完整、可操作性较强得3.5分；方案完整性、可操作性一般得3分；方案不够完整、操作性存在不足的得2分；方案有较大欠缺的得1分；其余不得分。</w:t>
            </w:r>
          </w:p>
        </w:tc>
        <w:tc>
          <w:tcPr>
            <w:tcW w:w="1080" w:type="dxa"/>
            <w:noWrap w:val="0"/>
            <w:vAlign w:val="center"/>
          </w:tcPr>
          <w:p w14:paraId="1909185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92" w:type="dxa"/>
            <w:noWrap w:val="0"/>
            <w:vAlign w:val="center"/>
          </w:tcPr>
          <w:p w14:paraId="1D8F58BA">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033" w:type="dxa"/>
            <w:noWrap w:val="0"/>
            <w:vAlign w:val="center"/>
          </w:tcPr>
          <w:p w14:paraId="50E216B9">
            <w:pPr>
              <w:adjustRightInd w:val="0"/>
              <w:snapToGrid w:val="0"/>
              <w:jc w:val="center"/>
              <w:rPr>
                <w:rFonts w:hint="eastAsia" w:ascii="仿宋" w:hAnsi="仿宋" w:eastAsia="仿宋" w:cs="仿宋"/>
                <w:color w:val="auto"/>
                <w:sz w:val="24"/>
                <w:highlight w:val="none"/>
              </w:rPr>
            </w:pPr>
          </w:p>
        </w:tc>
      </w:tr>
      <w:tr w14:paraId="35C7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7B0C205F">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0C54AABE">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snapToGrid w:val="0"/>
                <w:color w:val="auto"/>
                <w:kern w:val="0"/>
                <w:sz w:val="24"/>
                <w:szCs w:val="24"/>
                <w:highlight w:val="none"/>
                <w:lang w:val="en-US" w:eastAsia="zh-CN" w:bidi="ar-SA"/>
              </w:rPr>
              <w:t>配合馆内社教课程执行计划，根据实际需求，准备相应设施设备，做好馆内及流动博物馆等各类授课服务，助力打造动博特色品牌课程。提供上述工作及服务方案，</w:t>
            </w:r>
            <w:r>
              <w:rPr>
                <w:rFonts w:hint="eastAsia" w:ascii="仿宋" w:hAnsi="仿宋" w:eastAsia="仿宋" w:cs="仿宋"/>
                <w:i w:val="0"/>
                <w:iCs w:val="0"/>
                <w:color w:val="auto"/>
                <w:kern w:val="0"/>
                <w:sz w:val="24"/>
                <w:szCs w:val="24"/>
                <w:highlight w:val="none"/>
                <w:u w:val="none"/>
                <w:lang w:val="en-US" w:eastAsia="zh-CN" w:bidi="ar"/>
              </w:rPr>
              <w:t>方案完整、可操作性强的得4分；方案较完整、可操作性较强得3.5分；方案完整性、可操作性一般得3分；方案不够完整、操作性存在不足的得2分；方案有较大欠缺的得1分；其余不得分。</w:t>
            </w:r>
          </w:p>
        </w:tc>
        <w:tc>
          <w:tcPr>
            <w:tcW w:w="1080" w:type="dxa"/>
            <w:noWrap w:val="0"/>
            <w:vAlign w:val="center"/>
          </w:tcPr>
          <w:p w14:paraId="31555F8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92" w:type="dxa"/>
            <w:noWrap w:val="0"/>
            <w:vAlign w:val="center"/>
          </w:tcPr>
          <w:p w14:paraId="2785E16C">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033" w:type="dxa"/>
            <w:noWrap w:val="0"/>
            <w:vAlign w:val="center"/>
          </w:tcPr>
          <w:p w14:paraId="5B6186BC">
            <w:pPr>
              <w:adjustRightInd w:val="0"/>
              <w:snapToGrid w:val="0"/>
              <w:jc w:val="center"/>
              <w:rPr>
                <w:rFonts w:hint="eastAsia" w:ascii="仿宋" w:hAnsi="仿宋" w:eastAsia="仿宋" w:cs="仿宋"/>
                <w:color w:val="auto"/>
                <w:sz w:val="24"/>
                <w:highlight w:val="none"/>
              </w:rPr>
            </w:pPr>
          </w:p>
        </w:tc>
      </w:tr>
      <w:tr w14:paraId="78CF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1DC17579">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5D3894EA">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snapToGrid w:val="0"/>
                <w:color w:val="auto"/>
                <w:kern w:val="0"/>
                <w:sz w:val="24"/>
                <w:szCs w:val="24"/>
                <w:highlight w:val="none"/>
                <w:lang w:val="en-US" w:eastAsia="zh-CN" w:bidi="ar-SA"/>
              </w:rPr>
              <w:t>配合馆内中心工作、重大项目、暑假等重要时段，做好相应重点活动的执行和接待工作。配合采购人完成传统节气、节庆、纪念日等常规主题活动的执行工作，并做好氛围布置等相关准备工作。提供上述工作及服务方案，</w:t>
            </w:r>
            <w:r>
              <w:rPr>
                <w:rFonts w:hint="eastAsia" w:ascii="仿宋" w:hAnsi="仿宋" w:eastAsia="仿宋" w:cs="仿宋"/>
                <w:i w:val="0"/>
                <w:iCs w:val="0"/>
                <w:color w:val="auto"/>
                <w:kern w:val="0"/>
                <w:sz w:val="24"/>
                <w:szCs w:val="24"/>
                <w:highlight w:val="none"/>
                <w:u w:val="none"/>
                <w:lang w:val="en-US" w:eastAsia="zh-CN" w:bidi="ar"/>
              </w:rPr>
              <w:t>方案完整、可操作性强的得4分；方案较完整、可操作性较强得3分；方案完整性、可操作性一般得2分；方案不够完整、操作性存在不足的得1分；其余不得分。</w:t>
            </w:r>
          </w:p>
        </w:tc>
        <w:tc>
          <w:tcPr>
            <w:tcW w:w="1080" w:type="dxa"/>
            <w:noWrap w:val="0"/>
            <w:vAlign w:val="center"/>
          </w:tcPr>
          <w:p w14:paraId="5221BF7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92" w:type="dxa"/>
            <w:noWrap w:val="0"/>
            <w:vAlign w:val="center"/>
          </w:tcPr>
          <w:p w14:paraId="7FE47BEF">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6B1A3A52">
            <w:pPr>
              <w:adjustRightInd w:val="0"/>
              <w:snapToGrid w:val="0"/>
              <w:jc w:val="center"/>
              <w:rPr>
                <w:rFonts w:hint="eastAsia" w:ascii="仿宋" w:hAnsi="仿宋" w:eastAsia="仿宋" w:cs="仿宋"/>
                <w:color w:val="auto"/>
                <w:sz w:val="24"/>
                <w:highlight w:val="none"/>
              </w:rPr>
            </w:pPr>
          </w:p>
        </w:tc>
      </w:tr>
      <w:tr w14:paraId="6C9A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7330FB62">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3C594D93">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（4）承诺</w:t>
            </w:r>
            <w:r>
              <w:rPr>
                <w:rFonts w:hint="eastAsia" w:ascii="仿宋" w:hAnsi="仿宋" w:eastAsia="仿宋" w:cs="仿宋"/>
                <w:snapToGrid w:val="0"/>
                <w:color w:val="auto"/>
                <w:kern w:val="0"/>
                <w:sz w:val="24"/>
                <w:szCs w:val="24"/>
                <w:highlight w:val="none"/>
                <w:lang w:val="en-US" w:eastAsia="zh-CN" w:bidi="ar-SA"/>
              </w:rPr>
              <w:t>在项目期限内提供讲解服务不少于320场次。有承诺得3分，其余不得分。</w:t>
            </w:r>
          </w:p>
        </w:tc>
        <w:tc>
          <w:tcPr>
            <w:tcW w:w="1080" w:type="dxa"/>
            <w:noWrap w:val="0"/>
            <w:vAlign w:val="center"/>
          </w:tcPr>
          <w:p w14:paraId="492DBBD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2" w:type="dxa"/>
            <w:noWrap w:val="0"/>
            <w:vAlign w:val="center"/>
          </w:tcPr>
          <w:p w14:paraId="32855C31">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70FC23A9">
            <w:pPr>
              <w:adjustRightInd w:val="0"/>
              <w:snapToGrid w:val="0"/>
              <w:jc w:val="center"/>
              <w:rPr>
                <w:rFonts w:hint="eastAsia" w:ascii="仿宋" w:hAnsi="仿宋" w:eastAsia="仿宋" w:cs="仿宋"/>
                <w:color w:val="auto"/>
                <w:sz w:val="24"/>
                <w:highlight w:val="none"/>
              </w:rPr>
            </w:pPr>
          </w:p>
        </w:tc>
      </w:tr>
      <w:tr w14:paraId="36EB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750558FF">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5AD3A683">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（5）承诺</w:t>
            </w:r>
            <w:r>
              <w:rPr>
                <w:rFonts w:hint="eastAsia" w:ascii="仿宋" w:hAnsi="仿宋" w:eastAsia="仿宋" w:cs="仿宋"/>
                <w:snapToGrid w:val="0"/>
                <w:color w:val="auto"/>
                <w:kern w:val="0"/>
                <w:sz w:val="24"/>
                <w:szCs w:val="24"/>
                <w:highlight w:val="none"/>
                <w:lang w:val="en-US" w:eastAsia="zh-CN" w:bidi="ar-SA"/>
              </w:rPr>
              <w:t>在项目期限内开展社教课程数量不少于150场次。有承诺得3分，其余不得分。</w:t>
            </w:r>
          </w:p>
        </w:tc>
        <w:tc>
          <w:tcPr>
            <w:tcW w:w="1080" w:type="dxa"/>
            <w:noWrap w:val="0"/>
            <w:vAlign w:val="center"/>
          </w:tcPr>
          <w:p w14:paraId="211E19F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2" w:type="dxa"/>
            <w:noWrap w:val="0"/>
            <w:vAlign w:val="center"/>
          </w:tcPr>
          <w:p w14:paraId="3DF03426">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0F85ABCA">
            <w:pPr>
              <w:adjustRightInd w:val="0"/>
              <w:snapToGrid w:val="0"/>
              <w:jc w:val="center"/>
              <w:rPr>
                <w:rFonts w:hint="eastAsia" w:ascii="仿宋" w:hAnsi="仿宋" w:eastAsia="仿宋" w:cs="仿宋"/>
                <w:color w:val="auto"/>
                <w:sz w:val="24"/>
                <w:highlight w:val="none"/>
              </w:rPr>
            </w:pPr>
          </w:p>
        </w:tc>
      </w:tr>
      <w:tr w14:paraId="1797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65FAECDE">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3.2</w:t>
            </w:r>
          </w:p>
        </w:tc>
        <w:tc>
          <w:tcPr>
            <w:tcW w:w="5797" w:type="dxa"/>
            <w:noWrap w:val="0"/>
            <w:vAlign w:val="center"/>
          </w:tcPr>
          <w:p w14:paraId="08096965">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场馆专业化服务相关方案</w:t>
            </w:r>
          </w:p>
        </w:tc>
        <w:tc>
          <w:tcPr>
            <w:tcW w:w="1080" w:type="dxa"/>
            <w:noWrap w:val="0"/>
            <w:vAlign w:val="center"/>
          </w:tcPr>
          <w:p w14:paraId="4549B7E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92" w:type="dxa"/>
            <w:noWrap w:val="0"/>
            <w:vAlign w:val="center"/>
          </w:tcPr>
          <w:p w14:paraId="4A5085DA">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6F568822">
            <w:pPr>
              <w:adjustRightInd w:val="0"/>
              <w:snapToGrid w:val="0"/>
              <w:jc w:val="center"/>
              <w:rPr>
                <w:rFonts w:hint="eastAsia" w:ascii="仿宋" w:hAnsi="仿宋" w:eastAsia="仿宋" w:cs="仿宋"/>
                <w:color w:val="auto"/>
                <w:sz w:val="24"/>
                <w:highlight w:val="none"/>
              </w:rPr>
            </w:pPr>
          </w:p>
        </w:tc>
      </w:tr>
      <w:tr w14:paraId="7328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767A5BB6">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3BAE3B27">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snapToGrid w:val="0"/>
                <w:color w:val="auto"/>
                <w:kern w:val="0"/>
                <w:sz w:val="24"/>
                <w:szCs w:val="24"/>
                <w:highlight w:val="none"/>
                <w:lang w:val="en-US" w:eastAsia="zh-CN" w:bidi="ar-SA"/>
              </w:rPr>
              <w:t>承担场馆观众及志愿者服务中心相关工作，包括但不限于服务问询、失物管理等服务工作，负责参观接待信息的记录、整理、反馈等工作。提供上述工作及服务方案，</w:t>
            </w:r>
            <w:r>
              <w:rPr>
                <w:rFonts w:hint="eastAsia" w:ascii="仿宋" w:hAnsi="仿宋" w:eastAsia="仿宋" w:cs="仿宋"/>
                <w:i w:val="0"/>
                <w:iCs w:val="0"/>
                <w:color w:val="auto"/>
                <w:kern w:val="0"/>
                <w:sz w:val="24"/>
                <w:szCs w:val="24"/>
                <w:highlight w:val="none"/>
                <w:u w:val="none"/>
                <w:lang w:val="en-US" w:eastAsia="zh-CN" w:bidi="ar"/>
              </w:rPr>
              <w:t>方案完整、可操作性强的得3分；方案较完整、可操作性较强得2.5分；方案完整性、可操作性一般得2分；方案不够完整、操作性存在不足的得1.5分；方案有较大欠缺的得1分；其余不得分。</w:t>
            </w:r>
          </w:p>
        </w:tc>
        <w:tc>
          <w:tcPr>
            <w:tcW w:w="1080" w:type="dxa"/>
            <w:noWrap w:val="0"/>
            <w:vAlign w:val="center"/>
          </w:tcPr>
          <w:p w14:paraId="1232EBC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2" w:type="dxa"/>
            <w:noWrap w:val="0"/>
            <w:vAlign w:val="center"/>
          </w:tcPr>
          <w:p w14:paraId="0DF95F67">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18A98DD6">
            <w:pPr>
              <w:adjustRightInd w:val="0"/>
              <w:snapToGrid w:val="0"/>
              <w:jc w:val="center"/>
              <w:rPr>
                <w:rFonts w:hint="eastAsia" w:ascii="仿宋" w:hAnsi="仿宋" w:eastAsia="仿宋" w:cs="仿宋"/>
                <w:color w:val="auto"/>
                <w:sz w:val="24"/>
                <w:highlight w:val="none"/>
              </w:rPr>
            </w:pPr>
          </w:p>
        </w:tc>
      </w:tr>
      <w:tr w14:paraId="33D8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48A895E0">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777E62BE">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（2）承诺</w:t>
            </w:r>
            <w:r>
              <w:rPr>
                <w:rFonts w:hint="eastAsia" w:ascii="仿宋" w:hAnsi="仿宋" w:eastAsia="仿宋" w:cs="仿宋"/>
                <w:snapToGrid w:val="0"/>
                <w:color w:val="auto"/>
                <w:kern w:val="0"/>
                <w:sz w:val="24"/>
                <w:szCs w:val="24"/>
                <w:highlight w:val="none"/>
                <w:lang w:val="en-US" w:eastAsia="zh-CN" w:bidi="ar-SA"/>
              </w:rPr>
              <w:t>协助采购人确保展区、图书馆、影剧院及其他配套区域的正常运行。有承诺得2分，其余不得分。</w:t>
            </w:r>
          </w:p>
        </w:tc>
        <w:tc>
          <w:tcPr>
            <w:tcW w:w="1080" w:type="dxa"/>
            <w:noWrap w:val="0"/>
            <w:vAlign w:val="center"/>
          </w:tcPr>
          <w:p w14:paraId="41502BC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38BBB547">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7CBFBE32">
            <w:pPr>
              <w:adjustRightInd w:val="0"/>
              <w:snapToGrid w:val="0"/>
              <w:jc w:val="center"/>
              <w:rPr>
                <w:rFonts w:hint="eastAsia" w:ascii="仿宋" w:hAnsi="仿宋" w:eastAsia="仿宋" w:cs="仿宋"/>
                <w:color w:val="auto"/>
                <w:sz w:val="24"/>
                <w:highlight w:val="none"/>
              </w:rPr>
            </w:pPr>
          </w:p>
        </w:tc>
      </w:tr>
      <w:tr w14:paraId="6C64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3C125333">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0114EE56">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（3）承诺</w:t>
            </w:r>
            <w:r>
              <w:rPr>
                <w:rFonts w:hint="eastAsia" w:ascii="仿宋" w:hAnsi="仿宋" w:eastAsia="仿宋" w:cs="仿宋"/>
                <w:snapToGrid w:val="0"/>
                <w:color w:val="auto"/>
                <w:kern w:val="0"/>
                <w:sz w:val="24"/>
                <w:szCs w:val="24"/>
                <w:highlight w:val="none"/>
                <w:lang w:val="en-US" w:eastAsia="zh-CN" w:bidi="ar-SA"/>
              </w:rPr>
              <w:t>协助保障场馆设施设备的正常操作使用，及时做好发现、上报和反馈工作。有承诺得2分，其余不得分。</w:t>
            </w:r>
          </w:p>
        </w:tc>
        <w:tc>
          <w:tcPr>
            <w:tcW w:w="1080" w:type="dxa"/>
            <w:noWrap w:val="0"/>
            <w:vAlign w:val="center"/>
          </w:tcPr>
          <w:p w14:paraId="7DF4821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798B9456">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1EBB7923">
            <w:pPr>
              <w:adjustRightInd w:val="0"/>
              <w:snapToGrid w:val="0"/>
              <w:jc w:val="center"/>
              <w:rPr>
                <w:rFonts w:hint="eastAsia" w:ascii="仿宋" w:hAnsi="仿宋" w:eastAsia="仿宋" w:cs="仿宋"/>
                <w:color w:val="auto"/>
                <w:sz w:val="24"/>
                <w:highlight w:val="none"/>
              </w:rPr>
            </w:pPr>
          </w:p>
        </w:tc>
      </w:tr>
      <w:tr w14:paraId="70ED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54" w:type="dxa"/>
            <w:noWrap w:val="0"/>
            <w:vAlign w:val="center"/>
          </w:tcPr>
          <w:p w14:paraId="4E81B6DD">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4CFE0554">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（4）承诺</w:t>
            </w:r>
            <w:r>
              <w:rPr>
                <w:rFonts w:hint="eastAsia" w:ascii="仿宋" w:hAnsi="仿宋" w:eastAsia="仿宋" w:cs="仿宋"/>
                <w:snapToGrid w:val="0"/>
                <w:color w:val="auto"/>
                <w:kern w:val="0"/>
                <w:sz w:val="24"/>
                <w:szCs w:val="24"/>
                <w:highlight w:val="none"/>
                <w:lang w:val="en-US" w:eastAsia="zh-CN" w:bidi="ar-SA"/>
              </w:rPr>
              <w:t>配合采购人监督各类设计制作、场景搭建的落地执行等工作。有承诺得2分，其余不得分。</w:t>
            </w:r>
          </w:p>
        </w:tc>
        <w:tc>
          <w:tcPr>
            <w:tcW w:w="1080" w:type="dxa"/>
            <w:noWrap w:val="0"/>
            <w:vAlign w:val="center"/>
          </w:tcPr>
          <w:p w14:paraId="0D3A36D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331F3192">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50BF9F7D">
            <w:pPr>
              <w:adjustRightInd w:val="0"/>
              <w:snapToGrid w:val="0"/>
              <w:jc w:val="center"/>
              <w:rPr>
                <w:rFonts w:hint="eastAsia" w:ascii="仿宋" w:hAnsi="仿宋" w:eastAsia="仿宋" w:cs="仿宋"/>
                <w:color w:val="auto"/>
                <w:sz w:val="24"/>
                <w:highlight w:val="none"/>
              </w:rPr>
            </w:pPr>
          </w:p>
        </w:tc>
      </w:tr>
      <w:tr w14:paraId="2F4E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26EC6A25">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3.3</w:t>
            </w:r>
          </w:p>
        </w:tc>
        <w:tc>
          <w:tcPr>
            <w:tcW w:w="5797" w:type="dxa"/>
            <w:noWrap w:val="0"/>
            <w:vAlign w:val="center"/>
          </w:tcPr>
          <w:p w14:paraId="40383A72">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宣传推广服务相关方案</w:t>
            </w:r>
          </w:p>
        </w:tc>
        <w:tc>
          <w:tcPr>
            <w:tcW w:w="1080" w:type="dxa"/>
            <w:noWrap w:val="0"/>
            <w:vAlign w:val="center"/>
          </w:tcPr>
          <w:p w14:paraId="08A78C8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92" w:type="dxa"/>
            <w:noWrap w:val="0"/>
            <w:vAlign w:val="center"/>
          </w:tcPr>
          <w:p w14:paraId="440E465B">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26582309">
            <w:pPr>
              <w:adjustRightInd w:val="0"/>
              <w:snapToGrid w:val="0"/>
              <w:jc w:val="center"/>
              <w:rPr>
                <w:rFonts w:hint="eastAsia" w:ascii="仿宋" w:hAnsi="仿宋" w:eastAsia="仿宋" w:cs="仿宋"/>
                <w:color w:val="auto"/>
                <w:sz w:val="24"/>
                <w:highlight w:val="none"/>
              </w:rPr>
            </w:pPr>
          </w:p>
        </w:tc>
      </w:tr>
      <w:tr w14:paraId="29C4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6B89D372">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56B528C4">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snapToGrid w:val="0"/>
                <w:color w:val="auto"/>
                <w:kern w:val="0"/>
                <w:sz w:val="24"/>
                <w:szCs w:val="24"/>
                <w:highlight w:val="none"/>
                <w:lang w:val="en-US" w:eastAsia="zh-CN" w:bidi="ar-SA"/>
              </w:rPr>
              <w:t>围绕本项目服务内容，配合关键时间节点，承担协助做好提升馆内氛围的相应的视觉设计工作，包括但不限于海报、折页、UI界面等设计内容，并根据采购人需求提供外语设计版本。提供上述工作及服务方案，</w:t>
            </w:r>
            <w:r>
              <w:rPr>
                <w:rFonts w:hint="eastAsia" w:ascii="仿宋" w:hAnsi="仿宋" w:eastAsia="仿宋" w:cs="仿宋"/>
                <w:i w:val="0"/>
                <w:iCs w:val="0"/>
                <w:color w:val="auto"/>
                <w:kern w:val="0"/>
                <w:sz w:val="24"/>
                <w:szCs w:val="24"/>
                <w:highlight w:val="none"/>
                <w:u w:val="none"/>
                <w:lang w:val="en-US" w:eastAsia="zh-CN" w:bidi="ar"/>
              </w:rPr>
              <w:t>方案完整、可操作性强的得4分；方案较完整、可操作性较强得3分；方案完整性、可操作性一般得2分；方案不够完整、操作性存在不足的得1分；其余不得分。</w:t>
            </w:r>
          </w:p>
        </w:tc>
        <w:tc>
          <w:tcPr>
            <w:tcW w:w="1080" w:type="dxa"/>
            <w:noWrap w:val="0"/>
            <w:vAlign w:val="center"/>
          </w:tcPr>
          <w:p w14:paraId="1D72290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92" w:type="dxa"/>
            <w:noWrap w:val="0"/>
            <w:vAlign w:val="center"/>
          </w:tcPr>
          <w:p w14:paraId="0D631EBF">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2679D5D4">
            <w:pPr>
              <w:adjustRightInd w:val="0"/>
              <w:snapToGrid w:val="0"/>
              <w:jc w:val="center"/>
              <w:rPr>
                <w:rFonts w:hint="eastAsia" w:ascii="仿宋" w:hAnsi="仿宋" w:eastAsia="仿宋" w:cs="仿宋"/>
                <w:color w:val="auto"/>
                <w:sz w:val="24"/>
                <w:highlight w:val="none"/>
              </w:rPr>
            </w:pPr>
          </w:p>
        </w:tc>
      </w:tr>
      <w:tr w14:paraId="0B84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5014CFBE">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7BEDCE99">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snapToGrid w:val="0"/>
                <w:color w:val="auto"/>
                <w:kern w:val="0"/>
                <w:sz w:val="24"/>
                <w:szCs w:val="24"/>
                <w:highlight w:val="none"/>
                <w:lang w:val="en-US" w:eastAsia="zh-CN" w:bidi="ar-SA"/>
              </w:rPr>
              <w:t>提升观众参观体验感，根据采购人实际需求，配合做好相应讲解视频录制、观众参观记录、年度活动拍摄剪辑等配套内容制作工作。提供上述工作及服务方案，</w:t>
            </w:r>
            <w:r>
              <w:rPr>
                <w:rFonts w:hint="eastAsia" w:ascii="仿宋" w:hAnsi="仿宋" w:eastAsia="仿宋" w:cs="仿宋"/>
                <w:i w:val="0"/>
                <w:iCs w:val="0"/>
                <w:color w:val="auto"/>
                <w:kern w:val="0"/>
                <w:sz w:val="24"/>
                <w:szCs w:val="24"/>
                <w:highlight w:val="none"/>
                <w:u w:val="none"/>
                <w:lang w:val="en-US" w:eastAsia="zh-CN" w:bidi="ar"/>
              </w:rPr>
              <w:t>方案完整、可操作性强的得4分；方案较完整、可操作性较强得3分；方案完整性、可操作性一般得2分；方案不够完整、操作性存在不足的得1分；其余不得分。</w:t>
            </w:r>
          </w:p>
        </w:tc>
        <w:tc>
          <w:tcPr>
            <w:tcW w:w="1080" w:type="dxa"/>
            <w:noWrap w:val="0"/>
            <w:vAlign w:val="center"/>
          </w:tcPr>
          <w:p w14:paraId="2C0B375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92" w:type="dxa"/>
            <w:noWrap w:val="0"/>
            <w:vAlign w:val="center"/>
          </w:tcPr>
          <w:p w14:paraId="0B8B1705">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74AAB66F">
            <w:pPr>
              <w:adjustRightInd w:val="0"/>
              <w:snapToGrid w:val="0"/>
              <w:jc w:val="center"/>
              <w:rPr>
                <w:rFonts w:hint="eastAsia" w:ascii="仿宋" w:hAnsi="仿宋" w:eastAsia="仿宋" w:cs="仿宋"/>
                <w:color w:val="auto"/>
                <w:sz w:val="24"/>
                <w:highlight w:val="none"/>
              </w:rPr>
            </w:pPr>
          </w:p>
        </w:tc>
      </w:tr>
      <w:tr w14:paraId="14F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0060A34D">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5084E517">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highlight w:val="none"/>
                <w:lang w:val="en-US" w:eastAsia="zh-CN"/>
              </w:rPr>
              <w:t>承诺</w:t>
            </w:r>
            <w:r>
              <w:rPr>
                <w:rFonts w:hint="eastAsia" w:ascii="仿宋" w:hAnsi="仿宋" w:eastAsia="仿宋" w:cs="仿宋"/>
                <w:snapToGrid w:val="0"/>
                <w:color w:val="auto"/>
                <w:kern w:val="0"/>
                <w:sz w:val="24"/>
                <w:szCs w:val="24"/>
                <w:highlight w:val="none"/>
                <w:lang w:val="en-US" w:eastAsia="zh-CN" w:bidi="ar-SA"/>
              </w:rPr>
              <w:t>在</w:t>
            </w:r>
            <w:r>
              <w:rPr>
                <w:rFonts w:hint="eastAsia" w:ascii="仿宋" w:hAnsi="仿宋" w:eastAsia="仿宋" w:cs="仿宋"/>
                <w:snapToGrid w:val="0"/>
                <w:kern w:val="0"/>
                <w:sz w:val="24"/>
                <w:highlight w:val="none"/>
                <w:lang w:val="en-US" w:eastAsia="zh-CN"/>
              </w:rPr>
              <w:t>服务周期内视频成片总时长不少于45分钟</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snapToGrid w:val="0"/>
                <w:color w:val="auto"/>
                <w:kern w:val="0"/>
                <w:sz w:val="24"/>
                <w:szCs w:val="24"/>
                <w:highlight w:val="none"/>
                <w:lang w:val="en-US" w:eastAsia="zh-CN" w:bidi="ar-SA"/>
              </w:rPr>
              <w:t>有承诺得2分，其余不得分。</w:t>
            </w:r>
          </w:p>
        </w:tc>
        <w:tc>
          <w:tcPr>
            <w:tcW w:w="1080" w:type="dxa"/>
            <w:noWrap w:val="0"/>
            <w:vAlign w:val="center"/>
          </w:tcPr>
          <w:p w14:paraId="043357B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0A5437BD">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34EEEB57">
            <w:pPr>
              <w:adjustRightInd w:val="0"/>
              <w:snapToGrid w:val="0"/>
              <w:jc w:val="center"/>
              <w:rPr>
                <w:rFonts w:hint="eastAsia" w:ascii="仿宋" w:hAnsi="仿宋" w:eastAsia="仿宋" w:cs="仿宋"/>
                <w:color w:val="auto"/>
                <w:sz w:val="24"/>
                <w:highlight w:val="none"/>
              </w:rPr>
            </w:pPr>
          </w:p>
        </w:tc>
      </w:tr>
      <w:tr w14:paraId="7ABF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3588B583">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0C723478">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（4）承诺</w:t>
            </w:r>
            <w:r>
              <w:rPr>
                <w:rFonts w:hint="eastAsia" w:ascii="仿宋" w:hAnsi="仿宋" w:eastAsia="仿宋" w:cs="仿宋"/>
                <w:color w:val="auto"/>
                <w:kern w:val="0"/>
                <w:sz w:val="24"/>
                <w:szCs w:val="24"/>
                <w:highlight w:val="none"/>
                <w:lang w:eastAsia="zh-CN"/>
              </w:rPr>
              <w:t>根据采购人需求，配合做好自媒体运营工作，包括但不限于公众号、视频号、小红书、微博、抖音等平台的推文、视频编辑发布。</w:t>
            </w:r>
            <w:r>
              <w:rPr>
                <w:rFonts w:hint="eastAsia" w:ascii="仿宋" w:hAnsi="仿宋" w:eastAsia="仿宋" w:cs="仿宋"/>
                <w:snapToGrid w:val="0"/>
                <w:color w:val="auto"/>
                <w:kern w:val="0"/>
                <w:sz w:val="24"/>
                <w:szCs w:val="24"/>
                <w:highlight w:val="none"/>
                <w:lang w:val="en-US" w:eastAsia="zh-CN" w:bidi="ar-SA"/>
              </w:rPr>
              <w:t>有承诺得2分，其余不得分。</w:t>
            </w:r>
          </w:p>
        </w:tc>
        <w:tc>
          <w:tcPr>
            <w:tcW w:w="1080" w:type="dxa"/>
            <w:noWrap w:val="0"/>
            <w:vAlign w:val="center"/>
          </w:tcPr>
          <w:p w14:paraId="1894268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2BA5A30C">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1FE51BD0">
            <w:pPr>
              <w:adjustRightInd w:val="0"/>
              <w:snapToGrid w:val="0"/>
              <w:jc w:val="center"/>
              <w:rPr>
                <w:rFonts w:hint="eastAsia" w:ascii="仿宋" w:hAnsi="仿宋" w:eastAsia="仿宋" w:cs="仿宋"/>
                <w:color w:val="auto"/>
                <w:sz w:val="24"/>
                <w:highlight w:val="none"/>
              </w:rPr>
            </w:pPr>
          </w:p>
        </w:tc>
      </w:tr>
      <w:tr w14:paraId="6B6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4266C8C9">
            <w:pPr>
              <w:keepNext w:val="0"/>
              <w:keepLines w:val="0"/>
              <w:widowControl/>
              <w:suppressLineNumbers w:val="0"/>
              <w:jc w:val="center"/>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3.4</w:t>
            </w:r>
          </w:p>
        </w:tc>
        <w:tc>
          <w:tcPr>
            <w:tcW w:w="5797" w:type="dxa"/>
            <w:noWrap w:val="0"/>
            <w:vAlign w:val="center"/>
          </w:tcPr>
          <w:p w14:paraId="3D8BE1A1">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其他服务响应情况</w:t>
            </w:r>
          </w:p>
        </w:tc>
        <w:tc>
          <w:tcPr>
            <w:tcW w:w="1080" w:type="dxa"/>
            <w:noWrap w:val="0"/>
            <w:vAlign w:val="center"/>
          </w:tcPr>
          <w:p w14:paraId="0AD540A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892" w:type="dxa"/>
            <w:noWrap w:val="0"/>
            <w:vAlign w:val="center"/>
          </w:tcPr>
          <w:p w14:paraId="1706C37E">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3357243D">
            <w:pPr>
              <w:adjustRightInd w:val="0"/>
              <w:snapToGrid w:val="0"/>
              <w:jc w:val="center"/>
              <w:rPr>
                <w:rFonts w:hint="eastAsia" w:ascii="仿宋" w:hAnsi="仿宋" w:eastAsia="仿宋" w:cs="仿宋"/>
                <w:color w:val="auto"/>
                <w:sz w:val="24"/>
                <w:highlight w:val="none"/>
              </w:rPr>
            </w:pPr>
          </w:p>
        </w:tc>
      </w:tr>
      <w:tr w14:paraId="1D70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6AE02E31">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502068FB">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snapToGrid w:val="0"/>
                <w:color w:val="auto"/>
                <w:kern w:val="0"/>
                <w:sz w:val="24"/>
                <w:szCs w:val="24"/>
                <w:highlight w:val="none"/>
                <w:lang w:val="en-US" w:eastAsia="zh-CN" w:bidi="ar-SA"/>
              </w:rPr>
              <w:t>提供保障上述服务质量和效率的相关场馆服务设施设备和劳动工具。</w:t>
            </w:r>
            <w:r>
              <w:rPr>
                <w:rFonts w:hint="eastAsia" w:ascii="仿宋" w:hAnsi="仿宋" w:eastAsia="仿宋" w:cs="仿宋"/>
                <w:i w:val="0"/>
                <w:iCs w:val="0"/>
                <w:color w:val="auto"/>
                <w:kern w:val="0"/>
                <w:sz w:val="24"/>
                <w:szCs w:val="24"/>
                <w:highlight w:val="none"/>
                <w:u w:val="none"/>
                <w:lang w:val="en-US" w:eastAsia="zh-CN" w:bidi="ar"/>
              </w:rPr>
              <w:t>根据数量充足、准备充分、与项目需求匹配性进行打分。</w:t>
            </w:r>
            <w:r>
              <w:rPr>
                <w:rFonts w:hint="eastAsia" w:ascii="仿宋" w:hAnsi="仿宋" w:eastAsia="仿宋" w:cs="仿宋"/>
                <w:color w:val="auto"/>
                <w:sz w:val="24"/>
                <w:highlight w:val="none"/>
                <w:lang w:val="en-US" w:eastAsia="zh-CN"/>
              </w:rPr>
              <w:t>完整性、可行性、项目匹配性好得4分；完整性、可行性、项目匹配性较好得3.5分；完整性、可行性、项目匹配性一般得3分；存在较大欠缺得2分；有方案但可操作性不佳得1分；其余不得分。</w:t>
            </w:r>
          </w:p>
        </w:tc>
        <w:tc>
          <w:tcPr>
            <w:tcW w:w="1080" w:type="dxa"/>
            <w:noWrap w:val="0"/>
            <w:vAlign w:val="center"/>
          </w:tcPr>
          <w:p w14:paraId="2973219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92" w:type="dxa"/>
            <w:noWrap w:val="0"/>
            <w:vAlign w:val="center"/>
          </w:tcPr>
          <w:p w14:paraId="16AF3CCC">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5A4F0219">
            <w:pPr>
              <w:adjustRightInd w:val="0"/>
              <w:snapToGrid w:val="0"/>
              <w:jc w:val="center"/>
              <w:rPr>
                <w:rFonts w:hint="eastAsia" w:ascii="仿宋" w:hAnsi="仿宋" w:eastAsia="仿宋" w:cs="仿宋"/>
                <w:color w:val="auto"/>
                <w:sz w:val="24"/>
                <w:highlight w:val="none"/>
              </w:rPr>
            </w:pPr>
          </w:p>
        </w:tc>
      </w:tr>
      <w:tr w14:paraId="1177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511FCFB6">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09FCAF94">
            <w:pPr>
              <w:keepNext w:val="0"/>
              <w:keepLines w:val="0"/>
              <w:widowControl/>
              <w:suppressLineNumbers w:val="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（2）承诺提供</w:t>
            </w:r>
            <w:r>
              <w:rPr>
                <w:rFonts w:hint="eastAsia" w:ascii="仿宋" w:hAnsi="仿宋" w:eastAsia="仿宋" w:cs="仿宋"/>
                <w:snapToGrid w:val="0"/>
                <w:color w:val="auto"/>
                <w:kern w:val="0"/>
                <w:sz w:val="24"/>
                <w:szCs w:val="24"/>
                <w:highlight w:val="none"/>
                <w:lang w:val="en-US" w:eastAsia="zh-CN" w:bidi="ar-SA"/>
              </w:rPr>
              <w:t>与场馆运行相关的其他服务。有承诺得2分，其余不得分。</w:t>
            </w:r>
          </w:p>
        </w:tc>
        <w:tc>
          <w:tcPr>
            <w:tcW w:w="1080" w:type="dxa"/>
            <w:noWrap w:val="0"/>
            <w:vAlign w:val="center"/>
          </w:tcPr>
          <w:p w14:paraId="13C15F8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21E47ADE">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501A2700">
            <w:pPr>
              <w:adjustRightInd w:val="0"/>
              <w:snapToGrid w:val="0"/>
              <w:jc w:val="center"/>
              <w:rPr>
                <w:rFonts w:hint="eastAsia" w:ascii="仿宋" w:hAnsi="仿宋" w:eastAsia="仿宋" w:cs="仿宋"/>
                <w:color w:val="auto"/>
                <w:sz w:val="24"/>
                <w:highlight w:val="none"/>
              </w:rPr>
            </w:pPr>
          </w:p>
        </w:tc>
      </w:tr>
      <w:tr w14:paraId="157E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4" w:type="dxa"/>
            <w:noWrap w:val="0"/>
            <w:vAlign w:val="center"/>
          </w:tcPr>
          <w:p w14:paraId="1A2DE336">
            <w:pPr>
              <w:keepNext w:val="0"/>
              <w:keepLines w:val="0"/>
              <w:widowControl/>
              <w:suppressLineNumbers w:val="0"/>
              <w:jc w:val="center"/>
              <w:textAlignment w:val="center"/>
              <w:rPr>
                <w:rFonts w:hint="eastAsia" w:ascii="宋体" w:hAnsi="宋体" w:cs="宋体"/>
                <w:b w:val="0"/>
                <w:bCs w:val="0"/>
                <w:i w:val="0"/>
                <w:iCs w:val="0"/>
                <w:color w:val="auto"/>
                <w:kern w:val="0"/>
                <w:sz w:val="24"/>
                <w:szCs w:val="24"/>
                <w:highlight w:val="none"/>
                <w:u w:val="none"/>
                <w:lang w:val="en-US" w:eastAsia="zh-CN" w:bidi="ar"/>
              </w:rPr>
            </w:pPr>
          </w:p>
        </w:tc>
        <w:tc>
          <w:tcPr>
            <w:tcW w:w="5797" w:type="dxa"/>
            <w:noWrap w:val="0"/>
            <w:vAlign w:val="center"/>
          </w:tcPr>
          <w:p w14:paraId="07C3CEC8">
            <w:pPr>
              <w:keepNext w:val="0"/>
              <w:keepLines w:val="0"/>
              <w:widowControl/>
              <w:suppressLineNumbers w:val="0"/>
              <w:jc w:val="left"/>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（3）承诺</w:t>
            </w:r>
            <w:r>
              <w:rPr>
                <w:rFonts w:hint="eastAsia" w:ascii="仿宋" w:hAnsi="仿宋" w:eastAsia="仿宋" w:cs="仿宋"/>
                <w:snapToGrid w:val="0"/>
                <w:color w:val="auto"/>
                <w:kern w:val="0"/>
                <w:sz w:val="24"/>
                <w:szCs w:val="24"/>
                <w:highlight w:val="none"/>
                <w:lang w:val="en-US" w:eastAsia="zh-CN" w:bidi="ar-SA"/>
              </w:rPr>
              <w:t>在项目期限内</w:t>
            </w:r>
            <w:r>
              <w:rPr>
                <w:rFonts w:hint="eastAsia" w:ascii="仿宋" w:hAnsi="仿宋" w:eastAsia="仿宋" w:cs="仿宋"/>
                <w:color w:val="auto"/>
                <w:kern w:val="0"/>
                <w:sz w:val="24"/>
                <w:szCs w:val="24"/>
                <w:highlight w:val="none"/>
                <w:lang w:eastAsia="zh-CN"/>
              </w:rPr>
              <w:t>提供公益电影播映服务不少于</w:t>
            </w:r>
            <w:r>
              <w:rPr>
                <w:rFonts w:hint="eastAsia" w:ascii="仿宋" w:hAnsi="仿宋" w:eastAsia="仿宋" w:cs="仿宋"/>
                <w:color w:val="auto"/>
                <w:kern w:val="0"/>
                <w:sz w:val="24"/>
                <w:szCs w:val="24"/>
                <w:highlight w:val="none"/>
                <w:lang w:val="en-US" w:eastAsia="zh-CN"/>
              </w:rPr>
              <w:t>50场</w:t>
            </w:r>
            <w:r>
              <w:rPr>
                <w:rFonts w:hint="eastAsia" w:ascii="仿宋" w:hAnsi="仿宋" w:eastAsia="仿宋" w:cs="仿宋"/>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bidi="ar-SA"/>
              </w:rPr>
              <w:t>有承诺得2分，其余不得分。</w:t>
            </w:r>
          </w:p>
        </w:tc>
        <w:tc>
          <w:tcPr>
            <w:tcW w:w="1080" w:type="dxa"/>
            <w:noWrap w:val="0"/>
            <w:vAlign w:val="center"/>
          </w:tcPr>
          <w:p w14:paraId="4801698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28647BEF">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7BA65C7A">
            <w:pPr>
              <w:adjustRightInd w:val="0"/>
              <w:snapToGrid w:val="0"/>
              <w:jc w:val="center"/>
              <w:rPr>
                <w:rFonts w:hint="eastAsia" w:ascii="仿宋" w:hAnsi="仿宋" w:eastAsia="仿宋" w:cs="仿宋"/>
                <w:color w:val="auto"/>
                <w:sz w:val="24"/>
                <w:highlight w:val="none"/>
              </w:rPr>
            </w:pPr>
          </w:p>
        </w:tc>
      </w:tr>
      <w:tr w14:paraId="51A1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44D58D91">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97" w:type="dxa"/>
            <w:noWrap w:val="0"/>
            <w:vAlign w:val="center"/>
          </w:tcPr>
          <w:p w14:paraId="139AB0EE">
            <w:pPr>
              <w:keepNext w:val="0"/>
              <w:keepLines w:val="0"/>
              <w:widowControl/>
              <w:suppressLineNumbers w:val="0"/>
              <w:jc w:val="left"/>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人员响应情况。</w:t>
            </w:r>
            <w:r>
              <w:rPr>
                <w:rFonts w:hint="eastAsia" w:ascii="仿宋" w:hAnsi="仿宋" w:eastAsia="仿宋" w:cs="仿宋"/>
                <w:snapToGrid w:val="0"/>
                <w:color w:val="auto"/>
                <w:kern w:val="0"/>
                <w:sz w:val="24"/>
                <w:highlight w:val="none"/>
                <w:lang w:val="en-US" w:eastAsia="zh-CN"/>
              </w:rPr>
              <w:t>项目团队人员应提供姓名、身份证号码，以及具备投标人为其缴纳的、2024年8月1日至今任意时间出具的社保证明，否则不予认可</w:t>
            </w:r>
          </w:p>
        </w:tc>
        <w:tc>
          <w:tcPr>
            <w:tcW w:w="1080" w:type="dxa"/>
            <w:noWrap w:val="0"/>
            <w:vAlign w:val="center"/>
          </w:tcPr>
          <w:p w14:paraId="06010603">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14:paraId="40625D2A">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2BCB9ACA">
            <w:pPr>
              <w:adjustRightInd w:val="0"/>
              <w:snapToGrid w:val="0"/>
              <w:jc w:val="center"/>
              <w:rPr>
                <w:rFonts w:hint="eastAsia" w:ascii="仿宋" w:hAnsi="仿宋" w:eastAsia="仿宋" w:cs="仿宋"/>
                <w:color w:val="auto"/>
                <w:sz w:val="24"/>
                <w:highlight w:val="none"/>
              </w:rPr>
            </w:pPr>
          </w:p>
        </w:tc>
      </w:tr>
      <w:tr w14:paraId="3097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4FB94686">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w:t>
            </w:r>
          </w:p>
        </w:tc>
        <w:tc>
          <w:tcPr>
            <w:tcW w:w="5797" w:type="dxa"/>
            <w:noWrap w:val="0"/>
            <w:vAlign w:val="center"/>
          </w:tcPr>
          <w:p w14:paraId="22505025">
            <w:pPr>
              <w:keepNext w:val="0"/>
              <w:keepLines w:val="0"/>
              <w:widowControl/>
              <w:suppressLineNumbers w:val="0"/>
              <w:jc w:val="left"/>
              <w:textAlignment w:val="center"/>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项目团队成员大学专科及以上学历率60%（含）-70%（不含）得1分；大学专科及以上学历率70%（含）-80%（不含）得2分；大学专科及以上学历率80%（含）-90%（不含）得3分；大学专科及以上学历率90%（含）以上得4分。</w:t>
            </w:r>
          </w:p>
          <w:p w14:paraId="102B1EA4">
            <w:pPr>
              <w:keepNext w:val="0"/>
              <w:keepLines w:val="0"/>
              <w:widowControl/>
              <w:suppressLineNumbers w:val="0"/>
              <w:jc w:val="left"/>
              <w:textAlignment w:val="center"/>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说明：①提供人员的学历证书复印件或者学信网截图；②比例取整。</w:t>
            </w:r>
          </w:p>
        </w:tc>
        <w:tc>
          <w:tcPr>
            <w:tcW w:w="1080" w:type="dxa"/>
            <w:noWrap w:val="0"/>
            <w:vAlign w:val="center"/>
          </w:tcPr>
          <w:p w14:paraId="7F98DE2F">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2" w:type="dxa"/>
            <w:noWrap w:val="0"/>
            <w:vAlign w:val="center"/>
          </w:tcPr>
          <w:p w14:paraId="6B0E4A05">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274E9D23">
            <w:pPr>
              <w:adjustRightInd w:val="0"/>
              <w:snapToGrid w:val="0"/>
              <w:jc w:val="center"/>
              <w:rPr>
                <w:rFonts w:hint="eastAsia" w:ascii="仿宋" w:hAnsi="仿宋" w:eastAsia="仿宋" w:cs="仿宋"/>
                <w:color w:val="auto"/>
                <w:sz w:val="24"/>
                <w:highlight w:val="none"/>
              </w:rPr>
            </w:pPr>
          </w:p>
        </w:tc>
      </w:tr>
      <w:tr w14:paraId="161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2150EF9B">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5797" w:type="dxa"/>
            <w:noWrap w:val="0"/>
            <w:vAlign w:val="center"/>
          </w:tcPr>
          <w:p w14:paraId="469DE5DC">
            <w:pPr>
              <w:keepNext w:val="0"/>
              <w:keepLines w:val="0"/>
              <w:widowControl/>
              <w:suppressLineNumbers w:val="0"/>
              <w:jc w:val="left"/>
              <w:textAlignment w:val="center"/>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rPr>
              <w:t>项目负责人，</w:t>
            </w:r>
            <w:r>
              <w:rPr>
                <w:rFonts w:hint="eastAsia" w:ascii="仿宋" w:hAnsi="仿宋" w:eastAsia="仿宋" w:cs="仿宋"/>
                <w:snapToGrid w:val="0"/>
                <w:color w:val="auto"/>
                <w:kern w:val="0"/>
                <w:sz w:val="24"/>
                <w:highlight w:val="none"/>
                <w:lang w:val="en-US" w:eastAsia="zh-CN"/>
              </w:rPr>
              <w:t>为</w:t>
            </w:r>
            <w:r>
              <w:rPr>
                <w:rFonts w:hint="eastAsia" w:ascii="仿宋" w:hAnsi="仿宋" w:eastAsia="仿宋" w:cs="仿宋"/>
                <w:snapToGrid w:val="0"/>
                <w:kern w:val="0"/>
                <w:sz w:val="24"/>
                <w:highlight w:val="none"/>
              </w:rPr>
              <w:t>管理</w:t>
            </w:r>
            <w:r>
              <w:rPr>
                <w:rFonts w:hint="eastAsia" w:ascii="仿宋" w:hAnsi="仿宋" w:eastAsia="仿宋" w:cs="仿宋"/>
                <w:snapToGrid w:val="0"/>
                <w:kern w:val="0"/>
                <w:sz w:val="24"/>
                <w:highlight w:val="none"/>
                <w:lang w:val="en-US" w:eastAsia="zh-CN"/>
              </w:rPr>
              <w:t>类</w:t>
            </w:r>
            <w:r>
              <w:rPr>
                <w:rFonts w:hint="eastAsia" w:ascii="仿宋" w:hAnsi="仿宋" w:eastAsia="仿宋" w:cs="仿宋"/>
                <w:snapToGrid w:val="0"/>
                <w:kern w:val="0"/>
                <w:sz w:val="24"/>
                <w:highlight w:val="none"/>
              </w:rPr>
              <w:t>相关专业</w:t>
            </w:r>
            <w:r>
              <w:rPr>
                <w:rFonts w:hint="eastAsia" w:ascii="仿宋" w:hAnsi="仿宋" w:eastAsia="仿宋" w:cs="仿宋"/>
                <w:snapToGrid w:val="0"/>
                <w:color w:val="auto"/>
                <w:kern w:val="0"/>
                <w:sz w:val="24"/>
                <w:highlight w:val="none"/>
                <w:lang w:val="en-US" w:eastAsia="zh-CN"/>
              </w:rPr>
              <w:t>得2分；</w:t>
            </w:r>
            <w:r>
              <w:rPr>
                <w:rFonts w:hint="eastAsia" w:ascii="仿宋" w:hAnsi="仿宋" w:eastAsia="仿宋" w:cs="仿宋"/>
                <w:color w:val="auto"/>
                <w:sz w:val="24"/>
                <w:szCs w:val="24"/>
                <w:highlight w:val="none"/>
              </w:rPr>
              <w:t>有</w:t>
            </w:r>
            <w:r>
              <w:rPr>
                <w:rFonts w:hint="eastAsia" w:ascii="仿宋" w:hAnsi="仿宋" w:eastAsia="仿宋" w:cs="仿宋"/>
                <w:color w:val="auto"/>
                <w:sz w:val="24"/>
                <w:szCs w:val="24"/>
                <w:highlight w:val="none"/>
                <w:lang w:val="en-US" w:eastAsia="zh-CN"/>
              </w:rPr>
              <w:t>6个月</w:t>
            </w:r>
            <w:r>
              <w:rPr>
                <w:rFonts w:hint="eastAsia" w:ascii="仿宋" w:hAnsi="仿宋" w:eastAsia="仿宋" w:cs="仿宋"/>
                <w:color w:val="auto"/>
                <w:sz w:val="24"/>
                <w:szCs w:val="24"/>
                <w:highlight w:val="none"/>
              </w:rPr>
              <w:t>以上从事相关专业的经验</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snapToGrid w:val="0"/>
                <w:color w:val="auto"/>
                <w:kern w:val="0"/>
                <w:sz w:val="24"/>
                <w:highlight w:val="none"/>
                <w:lang w:eastAsia="zh-CN"/>
              </w:rPr>
              <w:t>。</w:t>
            </w:r>
          </w:p>
          <w:p w14:paraId="3ADED89C">
            <w:pPr>
              <w:keepNext w:val="0"/>
              <w:keepLines w:val="0"/>
              <w:widowControl/>
              <w:suppressLineNumbers w:val="0"/>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highlight w:val="none"/>
                <w:lang w:val="en-US" w:eastAsia="zh-CN"/>
              </w:rPr>
              <w:t>说明：</w:t>
            </w:r>
            <w:r>
              <w:rPr>
                <w:rFonts w:hint="eastAsia" w:ascii="仿宋" w:hAnsi="仿宋" w:eastAsia="仿宋" w:cs="仿宋"/>
                <w:snapToGrid w:val="0"/>
                <w:color w:val="auto"/>
                <w:kern w:val="0"/>
                <w:sz w:val="24"/>
                <w:highlight w:val="none"/>
              </w:rPr>
              <w:t>提供简历、证书等，须全过程参与项目工作</w:t>
            </w:r>
          </w:p>
        </w:tc>
        <w:tc>
          <w:tcPr>
            <w:tcW w:w="1080" w:type="dxa"/>
            <w:noWrap w:val="0"/>
            <w:vAlign w:val="center"/>
          </w:tcPr>
          <w:p w14:paraId="73EC413E">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2" w:type="dxa"/>
            <w:noWrap w:val="0"/>
            <w:vAlign w:val="center"/>
          </w:tcPr>
          <w:p w14:paraId="5955CBB9">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41F07FDD">
            <w:pPr>
              <w:adjustRightInd w:val="0"/>
              <w:snapToGrid w:val="0"/>
              <w:jc w:val="center"/>
              <w:rPr>
                <w:rFonts w:hint="eastAsia" w:ascii="仿宋" w:hAnsi="仿宋" w:eastAsia="仿宋" w:cs="仿宋"/>
                <w:color w:val="auto"/>
                <w:sz w:val="24"/>
                <w:highlight w:val="none"/>
              </w:rPr>
            </w:pPr>
          </w:p>
        </w:tc>
      </w:tr>
      <w:tr w14:paraId="7EBA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6EB051CA">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w:t>
            </w:r>
          </w:p>
        </w:tc>
        <w:tc>
          <w:tcPr>
            <w:tcW w:w="5797" w:type="dxa"/>
            <w:noWrap w:val="0"/>
            <w:vAlign w:val="center"/>
          </w:tcPr>
          <w:p w14:paraId="61CF7F7F">
            <w:pPr>
              <w:keepNext w:val="0"/>
              <w:keepLines w:val="0"/>
              <w:widowControl/>
              <w:suppressLineNumbers w:val="0"/>
              <w:jc w:val="left"/>
              <w:textAlignment w:val="center"/>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有1人具备编辑类、管理类初级职称或以上得0.5分；本项最多1分。</w:t>
            </w:r>
          </w:p>
        </w:tc>
        <w:tc>
          <w:tcPr>
            <w:tcW w:w="1080" w:type="dxa"/>
            <w:noWrap w:val="0"/>
            <w:vAlign w:val="center"/>
          </w:tcPr>
          <w:p w14:paraId="39D268D8">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5D8D4196">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569F85DF">
            <w:pPr>
              <w:adjustRightInd w:val="0"/>
              <w:snapToGrid w:val="0"/>
              <w:jc w:val="center"/>
              <w:rPr>
                <w:rFonts w:hint="eastAsia" w:ascii="仿宋" w:hAnsi="仿宋" w:eastAsia="仿宋" w:cs="仿宋"/>
                <w:color w:val="auto"/>
                <w:sz w:val="24"/>
                <w:highlight w:val="none"/>
              </w:rPr>
            </w:pPr>
          </w:p>
        </w:tc>
      </w:tr>
      <w:tr w14:paraId="457C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4" w:type="dxa"/>
            <w:noWrap w:val="0"/>
            <w:vAlign w:val="center"/>
          </w:tcPr>
          <w:p w14:paraId="4BD6017A">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w:t>
            </w:r>
          </w:p>
        </w:tc>
        <w:tc>
          <w:tcPr>
            <w:tcW w:w="5797" w:type="dxa"/>
            <w:noWrap w:val="0"/>
            <w:vAlign w:val="center"/>
          </w:tcPr>
          <w:p w14:paraId="782C2F62">
            <w:pPr>
              <w:keepNext w:val="0"/>
              <w:keepLines w:val="0"/>
              <w:widowControl/>
              <w:suppressLineNumbers w:val="0"/>
              <w:jc w:val="left"/>
              <w:textAlignment w:val="center"/>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至少有1名</w:t>
            </w:r>
            <w:r>
              <w:rPr>
                <w:rFonts w:hint="eastAsia" w:ascii="仿宋" w:hAnsi="仿宋" w:eastAsia="仿宋" w:cs="仿宋"/>
                <w:snapToGrid w:val="0"/>
                <w:kern w:val="0"/>
                <w:sz w:val="24"/>
                <w:highlight w:val="none"/>
              </w:rPr>
              <w:t>具有外语特长（外语专业毕业、外语专业等级证书等）</w:t>
            </w:r>
            <w:r>
              <w:rPr>
                <w:rFonts w:hint="eastAsia" w:ascii="仿宋" w:hAnsi="仿宋" w:eastAsia="仿宋" w:cs="仿宋"/>
                <w:snapToGrid w:val="0"/>
                <w:color w:val="auto"/>
                <w:kern w:val="0"/>
                <w:sz w:val="24"/>
                <w:highlight w:val="none"/>
                <w:lang w:val="en-US" w:eastAsia="zh-CN"/>
              </w:rPr>
              <w:t>，得1分</w:t>
            </w:r>
          </w:p>
        </w:tc>
        <w:tc>
          <w:tcPr>
            <w:tcW w:w="1080" w:type="dxa"/>
            <w:noWrap w:val="0"/>
            <w:vAlign w:val="center"/>
          </w:tcPr>
          <w:p w14:paraId="7EE98B51">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2EC1E8E2">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47371A52">
            <w:pPr>
              <w:adjustRightInd w:val="0"/>
              <w:snapToGrid w:val="0"/>
              <w:jc w:val="center"/>
              <w:rPr>
                <w:rFonts w:hint="eastAsia" w:ascii="仿宋" w:hAnsi="仿宋" w:eastAsia="仿宋" w:cs="仿宋"/>
                <w:color w:val="auto"/>
                <w:sz w:val="24"/>
                <w:highlight w:val="none"/>
              </w:rPr>
            </w:pPr>
          </w:p>
        </w:tc>
      </w:tr>
      <w:tr w14:paraId="738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6607A898">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w:t>
            </w:r>
          </w:p>
        </w:tc>
        <w:tc>
          <w:tcPr>
            <w:tcW w:w="5797" w:type="dxa"/>
            <w:noWrap w:val="0"/>
            <w:vAlign w:val="center"/>
          </w:tcPr>
          <w:p w14:paraId="411E013F">
            <w:pPr>
              <w:keepNext w:val="0"/>
              <w:keepLines w:val="0"/>
              <w:widowControl/>
              <w:suppressLineNumbers w:val="0"/>
              <w:jc w:val="left"/>
              <w:textAlignment w:val="center"/>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除项目负责人外，至少有1名专业涉及动漫类、播音类及艺术类得1分</w:t>
            </w:r>
          </w:p>
        </w:tc>
        <w:tc>
          <w:tcPr>
            <w:tcW w:w="1080" w:type="dxa"/>
            <w:noWrap w:val="0"/>
            <w:vAlign w:val="center"/>
          </w:tcPr>
          <w:p w14:paraId="46B9EB2E">
            <w:pPr>
              <w:keepNext w:val="0"/>
              <w:keepLines w:val="0"/>
              <w:widowControl/>
              <w:suppressLineNumbers w:val="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4A2B91EC">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7E552320">
            <w:pPr>
              <w:adjustRightInd w:val="0"/>
              <w:snapToGrid w:val="0"/>
              <w:jc w:val="center"/>
              <w:rPr>
                <w:rFonts w:hint="eastAsia" w:ascii="仿宋" w:hAnsi="仿宋" w:eastAsia="仿宋" w:cs="仿宋"/>
                <w:color w:val="auto"/>
                <w:sz w:val="24"/>
                <w:highlight w:val="none"/>
              </w:rPr>
            </w:pPr>
          </w:p>
        </w:tc>
      </w:tr>
      <w:tr w14:paraId="16C9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4F312D10">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4.6</w:t>
            </w:r>
          </w:p>
        </w:tc>
        <w:tc>
          <w:tcPr>
            <w:tcW w:w="5797" w:type="dxa"/>
            <w:noWrap w:val="0"/>
            <w:vAlign w:val="center"/>
          </w:tcPr>
          <w:p w14:paraId="0FD4FCA5">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根据服务人员数量及其岗位划分，评价项目团队整体的工作职责适应性、能力与项目需求匹配性。人员职责适应性好、能力强、与项目需求匹配性好得4分；人员职责适应性、能力较好或与项目匹配性较好得3.5分；人员职责适应性、能力或与项目匹配性一般得3分；人员数量存在不足，能力或与项目匹配性不佳得2分；有较大欠缺得1分；未提供或不符合能力要求不得分。</w:t>
            </w:r>
          </w:p>
        </w:tc>
        <w:tc>
          <w:tcPr>
            <w:tcW w:w="1080" w:type="dxa"/>
            <w:noWrap w:val="0"/>
            <w:vAlign w:val="center"/>
          </w:tcPr>
          <w:p w14:paraId="5296B472">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92" w:type="dxa"/>
            <w:noWrap w:val="0"/>
            <w:vAlign w:val="center"/>
          </w:tcPr>
          <w:p w14:paraId="7EF47E61">
            <w:pPr>
              <w:adjustRightInd w:val="0"/>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033" w:type="dxa"/>
            <w:noWrap w:val="0"/>
            <w:vAlign w:val="center"/>
          </w:tcPr>
          <w:p w14:paraId="034DFE9E">
            <w:pPr>
              <w:adjustRightInd w:val="0"/>
              <w:snapToGrid w:val="0"/>
              <w:jc w:val="center"/>
              <w:rPr>
                <w:rFonts w:hint="eastAsia" w:ascii="仿宋" w:hAnsi="仿宋" w:eastAsia="仿宋" w:cs="仿宋"/>
                <w:color w:val="auto"/>
                <w:sz w:val="24"/>
                <w:highlight w:val="none"/>
              </w:rPr>
            </w:pPr>
          </w:p>
        </w:tc>
      </w:tr>
      <w:tr w14:paraId="2765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328DCB4E">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4.7</w:t>
            </w:r>
          </w:p>
        </w:tc>
        <w:tc>
          <w:tcPr>
            <w:tcW w:w="5797" w:type="dxa"/>
            <w:noWrap w:val="0"/>
            <w:vAlign w:val="center"/>
          </w:tcPr>
          <w:p w14:paraId="48368A48">
            <w:pPr>
              <w:keepNext w:val="0"/>
              <w:keepLines w:val="0"/>
              <w:widowControl/>
              <w:suppressLineNumbers w:val="0"/>
              <w:jc w:val="left"/>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0"/>
                <w:sz w:val="24"/>
                <w:highlight w:val="none"/>
                <w:lang w:val="en-US" w:eastAsia="zh-CN"/>
              </w:rPr>
              <w:t>承诺为项目服务人员和相应服务内容提供相应工具的得1分；没有不得分。</w:t>
            </w:r>
          </w:p>
        </w:tc>
        <w:tc>
          <w:tcPr>
            <w:tcW w:w="1080" w:type="dxa"/>
            <w:noWrap w:val="0"/>
            <w:vAlign w:val="center"/>
          </w:tcPr>
          <w:p w14:paraId="24B4F32D">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892" w:type="dxa"/>
            <w:noWrap w:val="0"/>
            <w:vAlign w:val="center"/>
          </w:tcPr>
          <w:p w14:paraId="2CDBCB41">
            <w:pPr>
              <w:adjustRightInd w:val="0"/>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6495791D">
            <w:pPr>
              <w:adjustRightInd w:val="0"/>
              <w:snapToGrid w:val="0"/>
              <w:jc w:val="center"/>
              <w:rPr>
                <w:rFonts w:hint="eastAsia" w:ascii="仿宋" w:hAnsi="仿宋" w:eastAsia="仿宋" w:cs="仿宋"/>
                <w:color w:val="auto"/>
                <w:sz w:val="24"/>
                <w:highlight w:val="none"/>
              </w:rPr>
            </w:pPr>
          </w:p>
        </w:tc>
      </w:tr>
      <w:tr w14:paraId="2286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4B81F038">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97" w:type="dxa"/>
            <w:noWrap w:val="0"/>
            <w:vAlign w:val="center"/>
          </w:tcPr>
          <w:p w14:paraId="77BB9536">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保障服务质量的制度建设情况</w:t>
            </w:r>
          </w:p>
        </w:tc>
        <w:tc>
          <w:tcPr>
            <w:tcW w:w="1080" w:type="dxa"/>
            <w:noWrap w:val="0"/>
            <w:vAlign w:val="center"/>
          </w:tcPr>
          <w:p w14:paraId="78C6A139">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14:paraId="7538E66C">
            <w:pPr>
              <w:adjustRightInd w:val="0"/>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033" w:type="dxa"/>
            <w:noWrap w:val="0"/>
            <w:vAlign w:val="center"/>
          </w:tcPr>
          <w:p w14:paraId="7D158E90">
            <w:pPr>
              <w:adjustRightInd w:val="0"/>
              <w:snapToGrid w:val="0"/>
              <w:jc w:val="center"/>
              <w:rPr>
                <w:rFonts w:hint="eastAsia" w:ascii="仿宋" w:hAnsi="仿宋" w:eastAsia="仿宋" w:cs="仿宋"/>
                <w:color w:val="auto"/>
                <w:sz w:val="24"/>
                <w:highlight w:val="none"/>
              </w:rPr>
            </w:pPr>
          </w:p>
        </w:tc>
      </w:tr>
      <w:tr w14:paraId="2786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43BD20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5.1</w:t>
            </w:r>
          </w:p>
        </w:tc>
        <w:tc>
          <w:tcPr>
            <w:tcW w:w="5797" w:type="dxa"/>
            <w:noWrap w:val="0"/>
            <w:vAlign w:val="center"/>
          </w:tcPr>
          <w:p w14:paraId="04CD42F3">
            <w:pPr>
              <w:pStyle w:val="63"/>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bCs/>
                <w:color w:val="auto"/>
                <w:sz w:val="24"/>
                <w:szCs w:val="24"/>
                <w:highlight w:val="none"/>
                <w:lang w:val="en-US" w:eastAsia="zh-CN"/>
              </w:rPr>
              <w:t>人员职责、交接班制度等，</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14:paraId="58CC58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3764E1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033" w:type="dxa"/>
            <w:noWrap w:val="0"/>
            <w:vAlign w:val="center"/>
          </w:tcPr>
          <w:p w14:paraId="56B20DD6">
            <w:pPr>
              <w:adjustRightInd w:val="0"/>
              <w:snapToGrid w:val="0"/>
              <w:jc w:val="center"/>
              <w:rPr>
                <w:rFonts w:hint="eastAsia" w:ascii="仿宋" w:hAnsi="仿宋" w:eastAsia="仿宋" w:cs="仿宋"/>
                <w:color w:val="auto"/>
                <w:sz w:val="24"/>
                <w:highlight w:val="none"/>
              </w:rPr>
            </w:pPr>
          </w:p>
        </w:tc>
      </w:tr>
      <w:tr w14:paraId="5684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0C8E86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5.2</w:t>
            </w:r>
          </w:p>
        </w:tc>
        <w:tc>
          <w:tcPr>
            <w:tcW w:w="5797" w:type="dxa"/>
            <w:noWrap w:val="0"/>
            <w:vAlign w:val="center"/>
          </w:tcPr>
          <w:p w14:paraId="3EF75371">
            <w:pPr>
              <w:pStyle w:val="63"/>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bCs/>
                <w:color w:val="auto"/>
                <w:sz w:val="24"/>
                <w:szCs w:val="24"/>
                <w:highlight w:val="none"/>
                <w:lang w:val="en-US" w:eastAsia="zh-CN"/>
              </w:rPr>
              <w:t>档案管理制度，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14:paraId="0FCCD7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323346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033" w:type="dxa"/>
            <w:noWrap w:val="0"/>
            <w:vAlign w:val="center"/>
          </w:tcPr>
          <w:p w14:paraId="2785726F">
            <w:pPr>
              <w:adjustRightInd w:val="0"/>
              <w:snapToGrid w:val="0"/>
              <w:jc w:val="center"/>
              <w:rPr>
                <w:rFonts w:hint="eastAsia" w:ascii="仿宋" w:hAnsi="仿宋" w:eastAsia="仿宋" w:cs="仿宋"/>
                <w:color w:val="auto"/>
                <w:sz w:val="24"/>
                <w:highlight w:val="none"/>
              </w:rPr>
            </w:pPr>
          </w:p>
        </w:tc>
      </w:tr>
      <w:tr w14:paraId="3F02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46E7B9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5.3</w:t>
            </w:r>
          </w:p>
        </w:tc>
        <w:tc>
          <w:tcPr>
            <w:tcW w:w="5797" w:type="dxa"/>
            <w:noWrap w:val="0"/>
            <w:vAlign w:val="center"/>
          </w:tcPr>
          <w:p w14:paraId="3779EBA9">
            <w:pPr>
              <w:pStyle w:val="63"/>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color w:val="auto"/>
                <w:sz w:val="24"/>
                <w:szCs w:val="24"/>
                <w:highlight w:val="none"/>
                <w:lang w:val="en-US" w:eastAsia="zh-CN"/>
              </w:rPr>
              <w:t>自我</w:t>
            </w:r>
            <w:r>
              <w:rPr>
                <w:rFonts w:hint="eastAsia" w:ascii="仿宋" w:hAnsi="仿宋" w:eastAsia="仿宋" w:cs="仿宋"/>
                <w:bCs/>
                <w:color w:val="auto"/>
                <w:sz w:val="24"/>
                <w:szCs w:val="24"/>
                <w:highlight w:val="none"/>
              </w:rPr>
              <w:t>考核</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激励</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监督</w:t>
            </w:r>
            <w:r>
              <w:rPr>
                <w:rFonts w:hint="eastAsia" w:ascii="仿宋" w:hAnsi="仿宋" w:eastAsia="仿宋" w:cs="仿宋"/>
                <w:bCs/>
                <w:color w:val="auto"/>
                <w:sz w:val="24"/>
                <w:szCs w:val="24"/>
                <w:highlight w:val="none"/>
                <w:lang w:val="en-US" w:eastAsia="zh-CN"/>
              </w:rPr>
              <w:t>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14:paraId="608ED0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5DF480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033" w:type="dxa"/>
            <w:noWrap w:val="0"/>
            <w:vAlign w:val="center"/>
          </w:tcPr>
          <w:p w14:paraId="00F081B6">
            <w:pPr>
              <w:adjustRightInd w:val="0"/>
              <w:snapToGrid w:val="0"/>
              <w:jc w:val="center"/>
              <w:rPr>
                <w:rFonts w:hint="eastAsia" w:ascii="仿宋" w:hAnsi="仿宋" w:eastAsia="仿宋" w:cs="仿宋"/>
                <w:color w:val="auto"/>
                <w:sz w:val="24"/>
                <w:highlight w:val="none"/>
              </w:rPr>
            </w:pPr>
          </w:p>
        </w:tc>
      </w:tr>
      <w:tr w14:paraId="7AF5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38F96E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5.4</w:t>
            </w:r>
          </w:p>
        </w:tc>
        <w:tc>
          <w:tcPr>
            <w:tcW w:w="5797" w:type="dxa"/>
            <w:noWrap w:val="0"/>
            <w:vAlign w:val="center"/>
          </w:tcPr>
          <w:p w14:paraId="277C1A81">
            <w:pPr>
              <w:pStyle w:val="63"/>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Cs/>
                <w:color w:val="auto"/>
                <w:sz w:val="24"/>
                <w:szCs w:val="24"/>
                <w:highlight w:val="none"/>
                <w:lang w:val="en-US" w:eastAsia="zh-CN"/>
              </w:rPr>
              <w:t>及时反馈与处理制度，</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制度的可落实性、与项目的匹配性进行评分。制度落实性好，项目匹配度好的得2分；制度落实性一般，项目匹配度一般的得1分；制度难以落实、与项目不匹配的不得分。</w:t>
            </w:r>
          </w:p>
        </w:tc>
        <w:tc>
          <w:tcPr>
            <w:tcW w:w="1080" w:type="dxa"/>
            <w:noWrap w:val="0"/>
            <w:vAlign w:val="center"/>
          </w:tcPr>
          <w:p w14:paraId="4A65A5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665789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033" w:type="dxa"/>
            <w:noWrap w:val="0"/>
            <w:vAlign w:val="center"/>
          </w:tcPr>
          <w:p w14:paraId="0FD9F8B6">
            <w:pPr>
              <w:adjustRightInd w:val="0"/>
              <w:snapToGrid w:val="0"/>
              <w:jc w:val="center"/>
              <w:rPr>
                <w:rFonts w:hint="eastAsia" w:ascii="仿宋" w:hAnsi="仿宋" w:eastAsia="仿宋" w:cs="仿宋"/>
                <w:color w:val="auto"/>
                <w:sz w:val="24"/>
                <w:highlight w:val="none"/>
              </w:rPr>
            </w:pPr>
          </w:p>
        </w:tc>
      </w:tr>
      <w:tr w14:paraId="4664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306716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lang w:val="en-US" w:eastAsia="zh-CN"/>
              </w:rPr>
              <w:t>5.5</w:t>
            </w:r>
          </w:p>
        </w:tc>
        <w:tc>
          <w:tcPr>
            <w:tcW w:w="5797" w:type="dxa"/>
            <w:noWrap w:val="0"/>
            <w:vAlign w:val="center"/>
          </w:tcPr>
          <w:p w14:paraId="536FCF20">
            <w:pPr>
              <w:pStyle w:val="63"/>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bCs/>
                <w:color w:val="auto"/>
                <w:sz w:val="24"/>
                <w:szCs w:val="24"/>
                <w:highlight w:val="none"/>
                <w:lang w:val="en-US" w:eastAsia="zh-CN"/>
              </w:rPr>
              <w:t>管理指标达到管理标准的实现方案。</w:t>
            </w: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szCs w:val="24"/>
                <w:highlight w:val="none"/>
                <w:lang w:val="en-US" w:eastAsia="zh-CN"/>
              </w:rPr>
              <w:t>方案的可行性、与项目的匹配性进行评分。方案可行，项目匹配度好的得2分；方案一般，项目匹配度一般的得1分；方案不完整、与项目不匹配的不得分。</w:t>
            </w:r>
          </w:p>
        </w:tc>
        <w:tc>
          <w:tcPr>
            <w:tcW w:w="1080" w:type="dxa"/>
            <w:noWrap w:val="0"/>
            <w:vAlign w:val="center"/>
          </w:tcPr>
          <w:p w14:paraId="241383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w:t>
            </w:r>
          </w:p>
        </w:tc>
        <w:tc>
          <w:tcPr>
            <w:tcW w:w="892" w:type="dxa"/>
            <w:noWrap w:val="0"/>
            <w:vAlign w:val="center"/>
          </w:tcPr>
          <w:p w14:paraId="7F7D8E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033" w:type="dxa"/>
            <w:noWrap w:val="0"/>
            <w:vAlign w:val="center"/>
          </w:tcPr>
          <w:p w14:paraId="454D2712">
            <w:pPr>
              <w:adjustRightInd w:val="0"/>
              <w:snapToGrid w:val="0"/>
              <w:jc w:val="center"/>
              <w:rPr>
                <w:rFonts w:hint="eastAsia" w:ascii="仿宋" w:hAnsi="仿宋" w:eastAsia="仿宋" w:cs="仿宋"/>
                <w:color w:val="auto"/>
                <w:sz w:val="24"/>
                <w:highlight w:val="none"/>
              </w:rPr>
            </w:pPr>
          </w:p>
        </w:tc>
      </w:tr>
      <w:tr w14:paraId="20C7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6D2693B8">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97" w:type="dxa"/>
            <w:noWrap w:val="0"/>
            <w:vAlign w:val="center"/>
          </w:tcPr>
          <w:p w14:paraId="5BD1880D">
            <w:pPr>
              <w:keepNext w:val="0"/>
              <w:keepLines w:val="0"/>
              <w:widowControl/>
              <w:suppressLineNumbers w:val="0"/>
              <w:jc w:val="left"/>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保密、安全、应急预案等响应情况。</w:t>
            </w:r>
            <w:r>
              <w:rPr>
                <w:rFonts w:hint="eastAsia" w:ascii="仿宋" w:hAnsi="仿宋" w:eastAsia="仿宋" w:cs="仿宋"/>
                <w:color w:val="auto"/>
                <w:sz w:val="24"/>
                <w:szCs w:val="24"/>
                <w:highlight w:val="none"/>
                <w:lang w:val="en-US" w:eastAsia="zh-CN"/>
              </w:rPr>
              <w:t>方案全面，针对性强的得3分；方案较全面，针对性较强的得2.5分；方案基本可行，针对性一般的得2分；有方案但只能基本满足采购需求的得1.5分；有较大欠缺得1分；其余不得分。</w:t>
            </w:r>
          </w:p>
        </w:tc>
        <w:tc>
          <w:tcPr>
            <w:tcW w:w="1080" w:type="dxa"/>
            <w:noWrap w:val="0"/>
            <w:vAlign w:val="center"/>
          </w:tcPr>
          <w:p w14:paraId="40A4B54E">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i w:val="0"/>
                <w:color w:val="000000"/>
                <w:kern w:val="0"/>
                <w:sz w:val="24"/>
                <w:szCs w:val="24"/>
                <w:highlight w:val="none"/>
                <w:u w:val="none"/>
                <w:lang w:val="en-US" w:eastAsia="zh-CN" w:bidi="ar"/>
              </w:rPr>
              <w:t>3</w:t>
            </w:r>
          </w:p>
        </w:tc>
        <w:tc>
          <w:tcPr>
            <w:tcW w:w="892" w:type="dxa"/>
            <w:noWrap w:val="0"/>
            <w:vAlign w:val="center"/>
          </w:tcPr>
          <w:p w14:paraId="0C3149A1">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033" w:type="dxa"/>
            <w:noWrap w:val="0"/>
            <w:vAlign w:val="center"/>
          </w:tcPr>
          <w:p w14:paraId="5D9DEEDE">
            <w:pPr>
              <w:adjustRightInd w:val="0"/>
              <w:snapToGrid w:val="0"/>
              <w:jc w:val="center"/>
              <w:rPr>
                <w:rFonts w:hint="eastAsia" w:ascii="仿宋" w:hAnsi="仿宋" w:eastAsia="仿宋" w:cs="仿宋"/>
                <w:color w:val="auto"/>
                <w:sz w:val="24"/>
                <w:highlight w:val="none"/>
              </w:rPr>
            </w:pPr>
          </w:p>
        </w:tc>
      </w:tr>
      <w:tr w14:paraId="7698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55AE29FF">
            <w:pPr>
              <w:keepNext w:val="0"/>
              <w:keepLines w:val="0"/>
              <w:widowControl/>
              <w:suppressLineNumbers w:val="0"/>
              <w:jc w:val="center"/>
              <w:textAlignment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w:t>
            </w:r>
          </w:p>
        </w:tc>
        <w:tc>
          <w:tcPr>
            <w:tcW w:w="5797" w:type="dxa"/>
            <w:noWrap w:val="0"/>
            <w:vAlign w:val="center"/>
          </w:tcPr>
          <w:p w14:paraId="53DEC2F6">
            <w:pPr>
              <w:keepNext w:val="0"/>
              <w:keepLines w:val="0"/>
              <w:widowControl/>
              <w:suppressLineNumbers w:val="0"/>
              <w:jc w:val="left"/>
              <w:textAlignment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相关承诺</w:t>
            </w:r>
          </w:p>
        </w:tc>
        <w:tc>
          <w:tcPr>
            <w:tcW w:w="1080" w:type="dxa"/>
            <w:noWrap w:val="0"/>
            <w:vAlign w:val="center"/>
          </w:tcPr>
          <w:p w14:paraId="6CDD9C1D">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2" w:type="dxa"/>
            <w:noWrap w:val="0"/>
            <w:vAlign w:val="center"/>
          </w:tcPr>
          <w:p w14:paraId="5A3D8C93">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033" w:type="dxa"/>
            <w:noWrap w:val="0"/>
            <w:vAlign w:val="center"/>
          </w:tcPr>
          <w:p w14:paraId="2D57AC99">
            <w:pPr>
              <w:adjustRightInd w:val="0"/>
              <w:snapToGrid w:val="0"/>
              <w:jc w:val="center"/>
              <w:rPr>
                <w:rFonts w:hint="eastAsia" w:ascii="仿宋" w:hAnsi="仿宋" w:eastAsia="仿宋" w:cs="仿宋"/>
                <w:color w:val="auto"/>
                <w:sz w:val="24"/>
                <w:highlight w:val="none"/>
              </w:rPr>
            </w:pPr>
          </w:p>
        </w:tc>
      </w:tr>
      <w:tr w14:paraId="7A47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01D29EAE">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w:t>
            </w:r>
          </w:p>
        </w:tc>
        <w:tc>
          <w:tcPr>
            <w:tcW w:w="5797" w:type="dxa"/>
            <w:noWrap w:val="0"/>
            <w:vAlign w:val="center"/>
          </w:tcPr>
          <w:p w14:paraId="13003303">
            <w:pPr>
              <w:keepNext w:val="0"/>
              <w:keepLines w:val="0"/>
              <w:widowControl/>
              <w:suppressLineNumbers w:val="0"/>
              <w:jc w:val="left"/>
              <w:textAlignment w:val="center"/>
              <w:rPr>
                <w:rFonts w:hint="default" w:ascii="仿宋" w:hAnsi="仿宋" w:eastAsia="仿宋_GB2312"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承诺配合动博馆运行时间提供全时段服务。有承诺得1分，其余不得分。</w:t>
            </w:r>
          </w:p>
        </w:tc>
        <w:tc>
          <w:tcPr>
            <w:tcW w:w="1080" w:type="dxa"/>
            <w:noWrap w:val="0"/>
            <w:vAlign w:val="center"/>
          </w:tcPr>
          <w:p w14:paraId="7B5599AC">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7982DE50">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1A84F064">
            <w:pPr>
              <w:adjustRightInd w:val="0"/>
              <w:snapToGrid w:val="0"/>
              <w:jc w:val="center"/>
              <w:rPr>
                <w:rFonts w:hint="eastAsia" w:ascii="仿宋" w:hAnsi="仿宋" w:eastAsia="仿宋" w:cs="仿宋"/>
                <w:color w:val="auto"/>
                <w:sz w:val="24"/>
                <w:highlight w:val="none"/>
              </w:rPr>
            </w:pPr>
          </w:p>
        </w:tc>
      </w:tr>
      <w:tr w14:paraId="7853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54" w:type="dxa"/>
            <w:noWrap w:val="0"/>
            <w:vAlign w:val="center"/>
          </w:tcPr>
          <w:p w14:paraId="00CEB8C4">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w:t>
            </w:r>
          </w:p>
        </w:tc>
        <w:tc>
          <w:tcPr>
            <w:tcW w:w="5797" w:type="dxa"/>
            <w:noWrap w:val="0"/>
            <w:vAlign w:val="center"/>
          </w:tcPr>
          <w:p w14:paraId="04D2C5D1">
            <w:pPr>
              <w:keepNext w:val="0"/>
              <w:keepLines w:val="0"/>
              <w:widowControl/>
              <w:suppressLineNumbers w:val="0"/>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对于突发事件、投诉、纠纷等情况，承诺24小时内提供解决方案，经采购人同意后妥善处理。有承诺得1分，其余不得分。</w:t>
            </w:r>
          </w:p>
        </w:tc>
        <w:tc>
          <w:tcPr>
            <w:tcW w:w="1080" w:type="dxa"/>
            <w:noWrap w:val="0"/>
            <w:vAlign w:val="center"/>
          </w:tcPr>
          <w:p w14:paraId="2175387C">
            <w:pPr>
              <w:keepNext w:val="0"/>
              <w:keepLines w:val="0"/>
              <w:widowControl/>
              <w:suppressLineNumbers w:val="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352B0409">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5DB5115C">
            <w:pPr>
              <w:adjustRightInd w:val="0"/>
              <w:snapToGrid w:val="0"/>
              <w:jc w:val="center"/>
              <w:rPr>
                <w:rFonts w:hint="eastAsia" w:ascii="仿宋" w:hAnsi="仿宋" w:eastAsia="仿宋" w:cs="仿宋"/>
                <w:color w:val="auto"/>
                <w:sz w:val="24"/>
                <w:highlight w:val="none"/>
              </w:rPr>
            </w:pPr>
          </w:p>
        </w:tc>
      </w:tr>
      <w:tr w14:paraId="1F8B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noWrap w:val="0"/>
            <w:vAlign w:val="center"/>
          </w:tcPr>
          <w:p w14:paraId="426B52DC">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w:t>
            </w:r>
          </w:p>
        </w:tc>
        <w:tc>
          <w:tcPr>
            <w:tcW w:w="5797" w:type="dxa"/>
            <w:noWrap w:val="0"/>
            <w:vAlign w:val="center"/>
          </w:tcPr>
          <w:p w14:paraId="56954518">
            <w:pPr>
              <w:adjustRightInd w:val="0"/>
              <w:snapToGrid w:val="0"/>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承诺合同签订后一个月内，根据采购人要求调整完善各项方案，并按照本项目采购人安排和执行进度安排开展工作。有承诺得1分，其余不得分。</w:t>
            </w:r>
          </w:p>
        </w:tc>
        <w:tc>
          <w:tcPr>
            <w:tcW w:w="1080" w:type="dxa"/>
            <w:noWrap w:val="0"/>
            <w:vAlign w:val="center"/>
          </w:tcPr>
          <w:p w14:paraId="2314C91E">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793051AF">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34B53E41">
            <w:pPr>
              <w:adjustRightInd w:val="0"/>
              <w:snapToGrid w:val="0"/>
              <w:jc w:val="center"/>
              <w:rPr>
                <w:rFonts w:hint="eastAsia" w:ascii="仿宋" w:hAnsi="仿宋" w:eastAsia="仿宋" w:cs="仿宋"/>
                <w:color w:val="auto"/>
                <w:sz w:val="24"/>
                <w:highlight w:val="none"/>
              </w:rPr>
            </w:pPr>
          </w:p>
        </w:tc>
      </w:tr>
      <w:tr w14:paraId="1102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4" w:type="dxa"/>
            <w:noWrap w:val="0"/>
            <w:vAlign w:val="center"/>
          </w:tcPr>
          <w:p w14:paraId="35207E5E">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7.4</w:t>
            </w:r>
          </w:p>
        </w:tc>
        <w:tc>
          <w:tcPr>
            <w:tcW w:w="5797" w:type="dxa"/>
            <w:noWrap w:val="0"/>
            <w:vAlign w:val="center"/>
          </w:tcPr>
          <w:p w14:paraId="5DD77AE6">
            <w:pPr>
              <w:keepNext w:val="0"/>
              <w:keepLines w:val="0"/>
              <w:widowControl/>
              <w:suppressLineNumbers w:val="0"/>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承诺在举办大型活动时，投标人要配合采购人需求提供服务且不另外增加服务费用。有承诺得1分，其余不得分。</w:t>
            </w:r>
          </w:p>
        </w:tc>
        <w:tc>
          <w:tcPr>
            <w:tcW w:w="1080" w:type="dxa"/>
            <w:noWrap w:val="0"/>
            <w:vAlign w:val="center"/>
          </w:tcPr>
          <w:p w14:paraId="3390550A">
            <w:pPr>
              <w:keepNext w:val="0"/>
              <w:keepLines w:val="0"/>
              <w:widowControl/>
              <w:suppressLineNumbers w:val="0"/>
              <w:jc w:val="center"/>
              <w:textAlignment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100C497E">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51CB95E6">
            <w:pPr>
              <w:adjustRightInd w:val="0"/>
              <w:snapToGrid w:val="0"/>
              <w:jc w:val="center"/>
              <w:rPr>
                <w:rFonts w:hint="eastAsia" w:ascii="仿宋" w:hAnsi="仿宋" w:eastAsia="仿宋" w:cs="仿宋"/>
                <w:color w:val="auto"/>
                <w:sz w:val="24"/>
                <w:highlight w:val="none"/>
              </w:rPr>
            </w:pPr>
          </w:p>
        </w:tc>
      </w:tr>
      <w:tr w14:paraId="05D5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54" w:type="dxa"/>
            <w:noWrap w:val="0"/>
            <w:vAlign w:val="center"/>
          </w:tcPr>
          <w:p w14:paraId="1D96A838">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7.5</w:t>
            </w:r>
          </w:p>
        </w:tc>
        <w:tc>
          <w:tcPr>
            <w:tcW w:w="5797" w:type="dxa"/>
            <w:noWrap w:val="0"/>
            <w:vAlign w:val="center"/>
          </w:tcPr>
          <w:p w14:paraId="6CA1D20D">
            <w:pPr>
              <w:adjustRightInd w:val="0"/>
              <w:snapToGrid w:val="0"/>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4"/>
                <w:highlight w:val="none"/>
                <w:lang w:val="en-US" w:eastAsia="zh-CN" w:bidi="ar-SA"/>
              </w:rPr>
              <w:t>承诺服务团队在服务期间遵守采购人各项规章制度，接受采购人对服务质量的定期考核。中标人达不到采购人要求及各项服务承诺，采购人有权要求其整改，直至扣款或终止合同。有承诺得1分，其余不得分。</w:t>
            </w:r>
          </w:p>
        </w:tc>
        <w:tc>
          <w:tcPr>
            <w:tcW w:w="1080" w:type="dxa"/>
            <w:noWrap w:val="0"/>
            <w:vAlign w:val="center"/>
          </w:tcPr>
          <w:p w14:paraId="02736958">
            <w:pPr>
              <w:keepNext w:val="0"/>
              <w:keepLines w:val="0"/>
              <w:widowControl/>
              <w:suppressLineNumbers w:val="0"/>
              <w:jc w:val="center"/>
              <w:textAlignment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62CABA52">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68313B84">
            <w:pPr>
              <w:adjustRightInd w:val="0"/>
              <w:snapToGrid w:val="0"/>
              <w:jc w:val="center"/>
              <w:rPr>
                <w:rFonts w:hint="eastAsia" w:ascii="仿宋" w:hAnsi="仿宋" w:eastAsia="仿宋" w:cs="仿宋"/>
                <w:color w:val="auto"/>
                <w:sz w:val="24"/>
                <w:highlight w:val="none"/>
              </w:rPr>
            </w:pPr>
          </w:p>
        </w:tc>
      </w:tr>
      <w:tr w14:paraId="6CF9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14:paraId="5D68FFC9">
            <w:pPr>
              <w:keepNext w:val="0"/>
              <w:keepLines w:val="0"/>
              <w:widowControl/>
              <w:suppressLineNumbers w:val="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7.6</w:t>
            </w:r>
          </w:p>
        </w:tc>
        <w:tc>
          <w:tcPr>
            <w:tcW w:w="5797" w:type="dxa"/>
            <w:noWrap w:val="0"/>
            <w:vAlign w:val="center"/>
          </w:tcPr>
          <w:p w14:paraId="5049075D">
            <w:pPr>
              <w:keepNext w:val="0"/>
              <w:keepLines w:val="0"/>
              <w:widowControl/>
              <w:suppressLineNumbers w:val="0"/>
              <w:jc w:val="left"/>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在处理特殊、紧急和突发事故时，采购人对提供专业技术服务人员有直接指挥权。</w:t>
            </w:r>
            <w:r>
              <w:rPr>
                <w:rFonts w:hint="eastAsia" w:ascii="仿宋" w:hAnsi="仿宋" w:eastAsia="仿宋" w:cs="仿宋"/>
                <w:snapToGrid w:val="0"/>
                <w:color w:val="auto"/>
                <w:kern w:val="0"/>
                <w:sz w:val="24"/>
                <w:szCs w:val="24"/>
                <w:highlight w:val="none"/>
                <w:lang w:val="en-US" w:eastAsia="zh-CN" w:bidi="ar-SA"/>
              </w:rPr>
              <w:t>有承诺得1分，其余不得分。</w:t>
            </w:r>
          </w:p>
        </w:tc>
        <w:tc>
          <w:tcPr>
            <w:tcW w:w="1080" w:type="dxa"/>
            <w:noWrap w:val="0"/>
            <w:vAlign w:val="center"/>
          </w:tcPr>
          <w:p w14:paraId="16D9D960">
            <w:pPr>
              <w:keepNext w:val="0"/>
              <w:keepLines w:val="0"/>
              <w:widowControl/>
              <w:suppressLineNumbers w:val="0"/>
              <w:jc w:val="center"/>
              <w:textAlignment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2" w:type="dxa"/>
            <w:noWrap w:val="0"/>
            <w:vAlign w:val="center"/>
          </w:tcPr>
          <w:p w14:paraId="76A90873">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033" w:type="dxa"/>
            <w:noWrap w:val="0"/>
            <w:vAlign w:val="center"/>
          </w:tcPr>
          <w:p w14:paraId="2F318A3E">
            <w:pPr>
              <w:adjustRightInd w:val="0"/>
              <w:snapToGrid w:val="0"/>
              <w:jc w:val="center"/>
              <w:rPr>
                <w:rFonts w:hint="eastAsia" w:ascii="仿宋" w:hAnsi="仿宋" w:eastAsia="仿宋" w:cs="仿宋"/>
                <w:color w:val="auto"/>
                <w:sz w:val="24"/>
                <w:highlight w:val="none"/>
              </w:rPr>
            </w:pPr>
          </w:p>
        </w:tc>
      </w:tr>
    </w:tbl>
    <w:p w14:paraId="311DE280">
      <w:pPr>
        <w:snapToGrid w:val="0"/>
        <w:spacing w:line="360" w:lineRule="auto"/>
        <w:rPr>
          <w:rFonts w:hint="eastAsia" w:ascii="仿宋" w:hAnsi="仿宋" w:eastAsia="仿宋" w:cs="仿宋"/>
          <w:sz w:val="24"/>
          <w:highlight w:val="none"/>
        </w:rPr>
      </w:pPr>
    </w:p>
    <w:p w14:paraId="21662F54">
      <w:pPr>
        <w:pStyle w:val="44"/>
        <w:ind w:firstLine="480"/>
        <w:rPr>
          <w:rFonts w:hint="eastAsia" w:ascii="仿宋" w:hAnsi="仿宋" w:eastAsia="仿宋" w:cs="仿宋"/>
          <w:highlight w:val="none"/>
        </w:rPr>
      </w:pPr>
    </w:p>
    <w:p w14:paraId="6148AE6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报价部分（权重为10）</w:t>
      </w:r>
    </w:p>
    <w:p w14:paraId="278AD16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有效投标报价的最低价作为评标基准价，其最低报价为满分；按［投标报价得分=（评标基准价/投标报价）*权重］的计算公式计算。</w:t>
      </w:r>
    </w:p>
    <w:p w14:paraId="71ACBAA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14:paraId="0D4DD66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w:t>
      </w:r>
    </w:p>
    <w:p w14:paraId="34C534F0">
      <w:pPr>
        <w:snapToGrid w:val="0"/>
        <w:spacing w:line="360" w:lineRule="auto"/>
        <w:rPr>
          <w:rFonts w:hint="eastAsia" w:ascii="仿宋" w:hAnsi="仿宋" w:eastAsia="仿宋" w:cs="仿宋"/>
          <w:highlight w:val="none"/>
        </w:rPr>
      </w:pPr>
    </w:p>
    <w:p w14:paraId="277E4FD5">
      <w:pPr>
        <w:pStyle w:val="19"/>
        <w:rPr>
          <w:rFonts w:hint="eastAsia" w:ascii="仿宋" w:hAnsi="仿宋" w:eastAsia="仿宋" w:cs="仿宋"/>
          <w:highlight w:val="none"/>
        </w:rPr>
      </w:pPr>
    </w:p>
    <w:p w14:paraId="33378565">
      <w:pPr>
        <w:pStyle w:val="17"/>
        <w:rPr>
          <w:rFonts w:hint="eastAsia" w:ascii="仿宋" w:hAnsi="仿宋" w:eastAsia="仿宋" w:cs="仿宋"/>
          <w:b/>
          <w:sz w:val="32"/>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40646C30">
      <w:pPr>
        <w:rPr>
          <w:rFonts w:hint="eastAsia" w:ascii="仿宋" w:hAnsi="仿宋" w:eastAsia="仿宋" w:cs="仿宋"/>
          <w:b/>
          <w:sz w:val="32"/>
          <w:highlight w:val="none"/>
        </w:rPr>
      </w:pPr>
    </w:p>
    <w:p w14:paraId="64F7EB8A">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 w:hAnsi="仿宋" w:eastAsia="仿宋" w:cs="仿宋"/>
          <w:b/>
          <w:color w:val="auto"/>
          <w:sz w:val="28"/>
          <w:szCs w:val="28"/>
          <w:highlight w:val="none"/>
        </w:rPr>
      </w:pPr>
      <w:bookmarkStart w:id="87" w:name="_Toc9192"/>
      <w:r>
        <w:rPr>
          <w:rFonts w:hint="eastAsia" w:ascii="仿宋" w:hAnsi="仿宋" w:eastAsia="仿宋" w:cs="仿宋"/>
          <w:sz w:val="24"/>
          <w:highlight w:val="none"/>
        </w:rPr>
        <w:br w:type="page"/>
      </w:r>
      <w:bookmarkEnd w:id="87"/>
      <w:bookmarkStart w:id="88" w:name="_Toc19686"/>
      <w:bookmarkStart w:id="89" w:name="_Toc28508"/>
      <w:bookmarkStart w:id="90" w:name="_Toc14163"/>
      <w:r>
        <w:rPr>
          <w:rFonts w:hint="eastAsia" w:ascii="仿宋" w:hAnsi="仿宋" w:eastAsia="仿宋" w:cs="仿宋"/>
          <w:b/>
          <w:color w:val="auto"/>
          <w:sz w:val="28"/>
          <w:szCs w:val="28"/>
          <w:highlight w:val="none"/>
        </w:rPr>
        <w:t>评标方法</w:t>
      </w:r>
      <w:bookmarkEnd w:id="88"/>
      <w:bookmarkEnd w:id="89"/>
      <w:bookmarkEnd w:id="90"/>
    </w:p>
    <w:p w14:paraId="21E71BC1">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kern w:val="0"/>
          <w:sz w:val="24"/>
          <w:highlight w:val="none"/>
        </w:rPr>
        <w:t>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209B0162">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91" w:name="_Toc9220"/>
      <w:bookmarkStart w:id="92" w:name="_Toc25354"/>
      <w:bookmarkStart w:id="93" w:name="_Toc19233"/>
      <w:bookmarkStart w:id="94" w:name="_Toc5897"/>
      <w:bookmarkStart w:id="95" w:name="_Toc9518"/>
      <w:r>
        <w:rPr>
          <w:rFonts w:hint="eastAsia" w:ascii="仿宋" w:hAnsi="仿宋" w:eastAsia="仿宋" w:cs="仿宋"/>
          <w:b/>
          <w:sz w:val="28"/>
          <w:szCs w:val="28"/>
          <w:highlight w:val="none"/>
        </w:rPr>
        <w:t>评标标准</w:t>
      </w:r>
      <w:bookmarkEnd w:id="91"/>
      <w:bookmarkEnd w:id="92"/>
      <w:bookmarkEnd w:id="93"/>
      <w:bookmarkEnd w:id="94"/>
      <w:bookmarkEnd w:id="95"/>
    </w:p>
    <w:p w14:paraId="666B258A">
      <w:pPr>
        <w:numPr>
          <w:ilvl w:val="0"/>
          <w:numId w:val="6"/>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评标标准：</w:t>
      </w:r>
      <w:r>
        <w:rPr>
          <w:rFonts w:hint="eastAsia" w:ascii="仿宋" w:hAnsi="仿宋" w:eastAsia="仿宋" w:cs="仿宋"/>
          <w:kern w:val="0"/>
          <w:sz w:val="24"/>
          <w:highlight w:val="none"/>
        </w:rPr>
        <w:t>见评标办法前附表。</w:t>
      </w:r>
    </w:p>
    <w:p w14:paraId="4938609E">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96" w:name="_Toc26738"/>
      <w:bookmarkStart w:id="97" w:name="_Toc1897"/>
      <w:bookmarkStart w:id="98" w:name="_Toc17122"/>
      <w:bookmarkStart w:id="99" w:name="_Toc4050"/>
      <w:r>
        <w:rPr>
          <w:rFonts w:hint="eastAsia" w:ascii="仿宋" w:hAnsi="仿宋" w:eastAsia="仿宋" w:cs="仿宋"/>
          <w:b/>
          <w:sz w:val="28"/>
          <w:szCs w:val="28"/>
          <w:highlight w:val="none"/>
        </w:rPr>
        <w:t>评标程序</w:t>
      </w:r>
      <w:bookmarkEnd w:id="96"/>
      <w:bookmarkEnd w:id="97"/>
      <w:bookmarkEnd w:id="98"/>
      <w:bookmarkEnd w:id="99"/>
    </w:p>
    <w:p w14:paraId="124A2D3A">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621FB47C">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3BD53C41">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4F794C14">
      <w:pPr>
        <w:tabs>
          <w:tab w:val="left" w:pos="210"/>
        </w:tabs>
        <w:spacing w:line="360" w:lineRule="auto"/>
        <w:ind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257AD41C">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报价评审。</w:t>
      </w:r>
    </w:p>
    <w:p w14:paraId="1F8A33E2">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投标文件报价出现前后不一致的，按照下列规定修正：</w:t>
      </w:r>
    </w:p>
    <w:p w14:paraId="026450BE">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投标文件中开标一览表(报价表)内容与投标文件中相应内容不一致的，以开标一览表(报价表)为准;</w:t>
      </w:r>
    </w:p>
    <w:p w14:paraId="27B2F059">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大写金额和小写金额不一致的，以大写金额为准;</w:t>
      </w:r>
    </w:p>
    <w:p w14:paraId="6F1FA6CE">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单价金额小数点或者百分比有明显错位的，以开标一览表的总价为准，并修改单价;</w:t>
      </w:r>
    </w:p>
    <w:p w14:paraId="721F9C81">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总价金额与按单价汇总金额不一致的，以单价金额计算结果为准。</w:t>
      </w:r>
    </w:p>
    <w:p w14:paraId="68C50B31">
      <w:pPr>
        <w:numPr>
          <w:ilvl w:val="3"/>
          <w:numId w:val="7"/>
        </w:numPr>
        <w:tabs>
          <w:tab w:val="left" w:pos="210"/>
          <w:tab w:val="left" w:pos="1050"/>
        </w:tabs>
        <w:spacing w:line="360" w:lineRule="auto"/>
        <w:ind w:left="1050" w:hanging="1050"/>
        <w:rPr>
          <w:rFonts w:hint="eastAsia" w:ascii="仿宋" w:hAnsi="仿宋" w:eastAsia="仿宋" w:cs="仿宋"/>
          <w:kern w:val="0"/>
          <w:sz w:val="24"/>
          <w:highlight w:val="none"/>
        </w:rPr>
      </w:pPr>
      <w:r>
        <w:rPr>
          <w:rFonts w:hint="eastAsia" w:ascii="仿宋" w:hAnsi="仿宋" w:eastAsia="仿宋" w:cs="仿宋"/>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4F583D6F">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投标文件出现不是唯一的、有选择性投标报价的，投标无效。</w:t>
      </w:r>
    </w:p>
    <w:p w14:paraId="54133ACB">
      <w:pPr>
        <w:numPr>
          <w:ilvl w:val="2"/>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投标报价超过招标文件中规定的预算金额或者最高限价的，投标无效。</w:t>
      </w:r>
    </w:p>
    <w:p w14:paraId="580FF0BD">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投标人不能证明其报价合理性的，评标委员会应当将其作为无效投标处理。</w:t>
      </w:r>
    </w:p>
    <w:p w14:paraId="2FE84D82">
      <w:pPr>
        <w:numPr>
          <w:ilvl w:val="2"/>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 w:val="24"/>
          <w:highlight w:val="none"/>
        </w:rPr>
        <w:t>10%</w:t>
      </w:r>
      <w:r>
        <w:rPr>
          <w:rFonts w:hint="eastAsia" w:ascii="仿宋" w:hAnsi="仿宋" w:eastAsia="仿宋" w:cs="仿宋"/>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 w:val="24"/>
          <w:highlight w:val="none"/>
        </w:rPr>
        <w:t>4%</w:t>
      </w:r>
      <w:r>
        <w:rPr>
          <w:rFonts w:hint="eastAsia" w:ascii="仿宋" w:hAnsi="仿宋" w:eastAsia="仿宋" w:cs="仿宋"/>
          <w:kern w:val="0"/>
          <w:sz w:val="24"/>
          <w:highlight w:val="none"/>
        </w:rPr>
        <w:t>的扣除，用扣除后的价格参加评审。组成联合体或者接受分包的小微企业与联合体内其他企业、分包企业之间存在直接控股、管理关系的，不享受价格扣除优惠政策。</w:t>
      </w:r>
    </w:p>
    <w:p w14:paraId="228A3BB3">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排序与推荐。</w:t>
      </w:r>
    </w:p>
    <w:p w14:paraId="7199C09E">
      <w:pPr>
        <w:adjustRightInd w:val="0"/>
        <w:snapToGrid w:val="0"/>
        <w:spacing w:line="360" w:lineRule="auto"/>
        <w:ind w:firstLine="480" w:firstLineChars="200"/>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F8FC716">
      <w:pPr>
        <w:adjustRightInd w:val="0"/>
        <w:snapToGrid w:val="0"/>
        <w:spacing w:line="360" w:lineRule="auto"/>
        <w:ind w:firstLine="482" w:firstLineChars="200"/>
        <w:rPr>
          <w:rFonts w:hint="eastAsia" w:ascii="仿宋" w:hAnsi="仿宋" w:eastAsia="仿宋" w:cs="仿宋"/>
          <w:snapToGrid w:val="0"/>
          <w:kern w:val="28"/>
          <w:sz w:val="24"/>
          <w:highlight w:val="none"/>
          <w:lang w:val="en-US" w:eastAsia="zh-CN"/>
        </w:rPr>
      </w:pPr>
      <w:r>
        <w:rPr>
          <w:rFonts w:hint="eastAsia" w:ascii="仿宋" w:hAnsi="仿宋" w:eastAsia="仿宋" w:cs="仿宋"/>
          <w:b/>
          <w:bCs/>
          <w:color w:val="auto"/>
          <w:kern w:val="0"/>
          <w:sz w:val="24"/>
          <w:highlight w:val="none"/>
          <w:lang w:val="en-US" w:eastAsia="zh-CN"/>
        </w:rPr>
        <w:t>注：</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p>
    <w:p w14:paraId="318F7800">
      <w:pPr>
        <w:numPr>
          <w:ilvl w:val="1"/>
          <w:numId w:val="7"/>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评分时保留小数点后1位小数，计算评分值时保留小数点后2位小数。</w:t>
      </w:r>
    </w:p>
    <w:p w14:paraId="14287FB6">
      <w:pPr>
        <w:numPr>
          <w:ilvl w:val="1"/>
          <w:numId w:val="7"/>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A55057">
      <w:pPr>
        <w:numPr>
          <w:ilvl w:val="0"/>
          <w:numId w:val="5"/>
        </w:numPr>
        <w:adjustRightInd w:val="0"/>
        <w:snapToGrid w:val="0"/>
        <w:spacing w:before="120" w:beforeLines="50" w:after="120" w:afterLines="50" w:line="360" w:lineRule="auto"/>
        <w:ind w:firstLine="0"/>
        <w:jc w:val="left"/>
        <w:outlineLvl w:val="1"/>
        <w:rPr>
          <w:rFonts w:hint="eastAsia" w:ascii="仿宋" w:hAnsi="仿宋" w:eastAsia="仿宋" w:cs="仿宋"/>
          <w:b/>
          <w:sz w:val="28"/>
          <w:szCs w:val="28"/>
          <w:highlight w:val="none"/>
        </w:rPr>
      </w:pPr>
      <w:bookmarkStart w:id="100" w:name="_Toc6871"/>
      <w:bookmarkStart w:id="101" w:name="_Toc16391"/>
      <w:bookmarkStart w:id="102" w:name="_Toc25049"/>
      <w:bookmarkStart w:id="103" w:name="_Toc5821"/>
      <w:bookmarkStart w:id="104" w:name="_Toc14486"/>
      <w:r>
        <w:rPr>
          <w:rFonts w:hint="eastAsia" w:ascii="仿宋" w:hAnsi="仿宋" w:eastAsia="仿宋" w:cs="仿宋"/>
          <w:b/>
          <w:sz w:val="28"/>
          <w:szCs w:val="28"/>
          <w:highlight w:val="none"/>
        </w:rPr>
        <w:t>评标中的其他事项</w:t>
      </w:r>
      <w:bookmarkEnd w:id="100"/>
      <w:bookmarkEnd w:id="101"/>
      <w:bookmarkEnd w:id="102"/>
      <w:bookmarkEnd w:id="103"/>
      <w:bookmarkEnd w:id="104"/>
    </w:p>
    <w:p w14:paraId="5DD9384D">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投标人澄清、说明或者补正。</w:t>
      </w:r>
      <w:r>
        <w:rPr>
          <w:rFonts w:hint="eastAsia" w:ascii="仿宋" w:hAnsi="仿宋" w:eastAsia="仿宋" w:cs="仿宋"/>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91330">
      <w:pPr>
        <w:numPr>
          <w:ilvl w:val="1"/>
          <w:numId w:val="8"/>
        </w:numPr>
        <w:tabs>
          <w:tab w:val="left" w:pos="210"/>
        </w:tabs>
        <w:spacing w:line="360" w:lineRule="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投标无效。有下列情况之一的，投标无效：</w:t>
      </w:r>
    </w:p>
    <w:p w14:paraId="3B625494">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投标人不具备招标文件中规定的资格要求的（投标人未提供有效的资格文件的，视为投标人不具备招标文件中规定的资格要求）；</w:t>
      </w:r>
    </w:p>
    <w:p w14:paraId="727A6D49">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投标文件未按照招标文件要求签署、盖章的；</w:t>
      </w:r>
    </w:p>
    <w:p w14:paraId="3A7D3DB9">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479AC1FF">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投标文件含有采购人不能接受的附加条件的；</w:t>
      </w:r>
    </w:p>
    <w:p w14:paraId="1563C505">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投标文件中承诺的投标有效期少于招标文件中载明的投标有效期的；</w:t>
      </w:r>
    </w:p>
    <w:p w14:paraId="684CDC29">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投标文件出现不是唯一的、有选择性投标报价的;</w:t>
      </w:r>
    </w:p>
    <w:p w14:paraId="72D03C4B">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投标报价超过招标文件中规定的预算金额或者最高限价的;</w:t>
      </w:r>
    </w:p>
    <w:p w14:paraId="5215AA09">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《中小企业声明函》填写企业类型错误或者未填写企业类型的，投标无效；</w:t>
      </w:r>
    </w:p>
    <w:p w14:paraId="1F8F0D5D">
      <w:pPr>
        <w:numPr>
          <w:ilvl w:val="2"/>
          <w:numId w:val="8"/>
        </w:numPr>
        <w:tabs>
          <w:tab w:val="left" w:pos="210"/>
          <w:tab w:val="left" w:pos="84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投标人对根据修正原则修正后的报价不确认的；</w:t>
      </w:r>
    </w:p>
    <w:p w14:paraId="0E509659">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投标人提供虚假材料投标的；</w:t>
      </w:r>
    </w:p>
    <w:p w14:paraId="193EECA2">
      <w:pPr>
        <w:numPr>
          <w:ilvl w:val="2"/>
          <w:numId w:val="8"/>
        </w:numPr>
        <w:tabs>
          <w:tab w:val="left" w:pos="210"/>
          <w:tab w:val="left" w:pos="840"/>
          <w:tab w:val="left" w:pos="1050"/>
          <w:tab w:val="left" w:pos="1260"/>
        </w:tabs>
        <w:spacing w:line="360" w:lineRule="auto"/>
        <w:ind w:left="829" w:hanging="829"/>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投标人有恶意串通、妨碍其他投标人的竞争行为、损害采购人或者其他投标人的合法权益情形的；</w:t>
      </w:r>
    </w:p>
    <w:p w14:paraId="4454804A">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0D94406">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投标人仅提交备份投标文件，没有在电子交易平台传输递交投标文件的，投标无效；</w:t>
      </w:r>
    </w:p>
    <w:p w14:paraId="04917373">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投标文件不满足招标文件的其它实质性要求的；</w:t>
      </w:r>
    </w:p>
    <w:p w14:paraId="6B3600C0">
      <w:pPr>
        <w:numPr>
          <w:ilvl w:val="2"/>
          <w:numId w:val="8"/>
        </w:numPr>
        <w:tabs>
          <w:tab w:val="left" w:pos="210"/>
          <w:tab w:val="left" w:pos="840"/>
          <w:tab w:val="left" w:pos="1050"/>
          <w:tab w:val="left" w:pos="1260"/>
        </w:tabs>
        <w:spacing w:line="360" w:lineRule="auto"/>
        <w:ind w:left="1049" w:hanging="1049"/>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法律、法规、规章（适用本市的）及省级以上规范性文件（适用本市的）规定的其他无效情形。</w:t>
      </w:r>
    </w:p>
    <w:p w14:paraId="62ACD70F">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废标。</w:t>
      </w:r>
      <w:r>
        <w:rPr>
          <w:rFonts w:hint="eastAsia" w:ascii="仿宋" w:hAnsi="仿宋" w:eastAsia="仿宋" w:cs="仿宋"/>
          <w:kern w:val="0"/>
          <w:sz w:val="24"/>
          <w:highlight w:val="none"/>
        </w:rPr>
        <w:t>根据《中华人民共和国政府采购法》第三十六条之规定，在采购中，出现下列情形之一的，应予废标：</w:t>
      </w:r>
    </w:p>
    <w:p w14:paraId="5A84B6F7">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符合专业条件的供应商或者对招标文件作实质响应的供应商不足3家的；</w:t>
      </w:r>
    </w:p>
    <w:p w14:paraId="34A21E7B">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出现影响采购公正的违法、违规行为的；</w:t>
      </w:r>
    </w:p>
    <w:p w14:paraId="0E0E34C0">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投标人的报价均超过了采购预算，采购人不能支付的；</w:t>
      </w:r>
    </w:p>
    <w:p w14:paraId="01A473A7">
      <w:pPr>
        <w:numPr>
          <w:ilvl w:val="1"/>
          <w:numId w:val="8"/>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因重大变故，采购任务取消的。</w:t>
      </w:r>
    </w:p>
    <w:p w14:paraId="52EEA9D0">
      <w:pPr>
        <w:pStyle w:val="19"/>
        <w:snapToGrid w:val="0"/>
        <w:rPr>
          <w:rFonts w:hint="eastAsia" w:ascii="仿宋" w:hAnsi="仿宋" w:eastAsia="仿宋" w:cs="仿宋"/>
          <w:highlight w:val="none"/>
        </w:rPr>
      </w:pPr>
      <w:r>
        <w:rPr>
          <w:rFonts w:hint="eastAsia" w:ascii="仿宋" w:hAnsi="仿宋" w:eastAsia="仿宋" w:cs="仿宋"/>
          <w:highlight w:val="none"/>
        </w:rPr>
        <w:t>废标后，采购代理机构应当将废标理由通知所有投标人。</w:t>
      </w:r>
    </w:p>
    <w:p w14:paraId="678A1129">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修改招标文件，重新组织采购活动。</w:t>
      </w:r>
      <w:r>
        <w:rPr>
          <w:rFonts w:hint="eastAsia" w:ascii="仿宋" w:hAnsi="仿宋" w:eastAsia="仿宋" w:cs="仿宋"/>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AF4F12">
      <w:pPr>
        <w:numPr>
          <w:ilvl w:val="0"/>
          <w:numId w:val="8"/>
        </w:numPr>
        <w:tabs>
          <w:tab w:val="left" w:pos="210"/>
          <w:tab w:val="clear" w:pos="399"/>
        </w:tabs>
        <w:spacing w:line="360" w:lineRule="auto"/>
        <w:rPr>
          <w:rFonts w:hint="eastAsia" w:ascii="仿宋" w:hAnsi="仿宋" w:eastAsia="仿宋" w:cs="仿宋"/>
          <w:kern w:val="0"/>
          <w:sz w:val="24"/>
          <w:highlight w:val="none"/>
        </w:rPr>
      </w:pPr>
      <w:r>
        <w:rPr>
          <w:rFonts w:hint="eastAsia" w:ascii="仿宋" w:hAnsi="仿宋" w:eastAsia="仿宋" w:cs="仿宋"/>
          <w:b/>
          <w:bCs/>
          <w:kern w:val="0"/>
          <w:sz w:val="24"/>
          <w:highlight w:val="none"/>
        </w:rPr>
        <w:t>重新开展采购。</w:t>
      </w:r>
      <w:r>
        <w:rPr>
          <w:rFonts w:hint="eastAsia" w:ascii="仿宋" w:hAnsi="仿宋" w:eastAsia="仿宋" w:cs="仿宋"/>
          <w:kern w:val="0"/>
          <w:sz w:val="24"/>
          <w:highlight w:val="none"/>
        </w:rPr>
        <w:t>有政府采购法第七十一条、第七十二条规定的违法行为之一，影响或者可能影响中标、成交结果的，依照下列规定处理：</w:t>
      </w:r>
    </w:p>
    <w:p w14:paraId="0515AF3E">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未确定中标或者中标人的，终止本次政府采购活动，重新开展政府采购活动。</w:t>
      </w:r>
    </w:p>
    <w:p w14:paraId="086CB1C4">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672091F0">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政府采购合同已签订但尚未履行的，撤销合同，从合格的中标或者成交候选人中另行确定中标或者中标人；没有合格的中标或者成交候选人的，重新开展政府采购活动。</w:t>
      </w:r>
    </w:p>
    <w:p w14:paraId="0244C66B">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政府采购合同已经履行，给采购人、供应商造成损失的，由责任人承担赔偿责任。</w:t>
      </w:r>
    </w:p>
    <w:p w14:paraId="7918F667">
      <w:pPr>
        <w:numPr>
          <w:ilvl w:val="1"/>
          <w:numId w:val="9"/>
        </w:numPr>
        <w:tabs>
          <w:tab w:val="left" w:pos="210"/>
        </w:tabs>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 w:hAnsi="仿宋" w:eastAsia="仿宋" w:cs="仿宋"/>
          <w:b w:val="0"/>
          <w:bCs w:val="0"/>
          <w:color w:val="auto"/>
          <w:kern w:val="0"/>
          <w:sz w:val="24"/>
          <w:highlight w:val="none"/>
        </w:rPr>
        <w:t>。</w:t>
      </w:r>
    </w:p>
    <w:p w14:paraId="4D9B5173">
      <w:pPr>
        <w:pStyle w:val="19"/>
        <w:snapToGrid w:val="0"/>
        <w:rPr>
          <w:rFonts w:hint="eastAsia" w:ascii="仿宋" w:hAnsi="仿宋" w:eastAsia="仿宋" w:cs="仿宋"/>
          <w:kern w:val="0"/>
          <w:highlight w:val="none"/>
        </w:rPr>
      </w:pPr>
    </w:p>
    <w:p w14:paraId="000884C9">
      <w:pPr>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bookmarkEnd w:id="58"/>
    <w:p w14:paraId="4FBD0D81">
      <w:pPr>
        <w:adjustRightInd w:val="0"/>
        <w:snapToGrid w:val="0"/>
        <w:spacing w:before="120" w:beforeLines="50" w:after="120" w:afterLines="50" w:line="360" w:lineRule="auto"/>
        <w:jc w:val="center"/>
        <w:outlineLvl w:val="0"/>
        <w:rPr>
          <w:rFonts w:hint="eastAsia" w:ascii="仿宋" w:hAnsi="仿宋" w:eastAsia="仿宋" w:cs="仿宋"/>
          <w:sz w:val="36"/>
          <w:highlight w:val="none"/>
        </w:rPr>
      </w:pPr>
      <w:bookmarkStart w:id="105" w:name="_Toc242012824"/>
      <w:bookmarkStart w:id="106" w:name="_Toc19650"/>
      <w:bookmarkStart w:id="107" w:name="_Toc15723"/>
      <w:r>
        <w:rPr>
          <w:rFonts w:hint="eastAsia" w:ascii="仿宋" w:hAnsi="仿宋" w:eastAsia="仿宋" w:cs="仿宋"/>
          <w:b/>
          <w:sz w:val="30"/>
          <w:szCs w:val="30"/>
          <w:highlight w:val="none"/>
        </w:rPr>
        <w:t>第五部分  合同条款</w:t>
      </w:r>
      <w:bookmarkEnd w:id="105"/>
      <w:bookmarkEnd w:id="106"/>
      <w:bookmarkEnd w:id="107"/>
    </w:p>
    <w:p w14:paraId="58C9A74F">
      <w:pPr>
        <w:adjustRightInd w:val="0"/>
        <w:snapToGrid w:val="0"/>
        <w:spacing w:line="360" w:lineRule="auto"/>
        <w:ind w:firstLine="420" w:firstLineChars="200"/>
        <w:rPr>
          <w:rFonts w:hint="eastAsia" w:ascii="仿宋" w:hAnsi="仿宋" w:eastAsia="仿宋" w:cs="仿宋"/>
          <w:snapToGrid w:val="0"/>
          <w:kern w:val="0"/>
          <w:szCs w:val="21"/>
          <w:highlight w:val="none"/>
        </w:rPr>
      </w:pPr>
      <w:bookmarkStart w:id="108" w:name="_Toc251566661"/>
      <w:bookmarkStart w:id="109" w:name="_Hlk534720381"/>
      <w:bookmarkStart w:id="110" w:name="_Toc249760790"/>
      <w:r>
        <w:rPr>
          <w:rFonts w:hint="eastAsia" w:ascii="仿宋" w:hAnsi="仿宋" w:eastAsia="仿宋" w:cs="仿宋"/>
          <w:snapToGrid w:val="0"/>
          <w:kern w:val="0"/>
          <w:szCs w:val="21"/>
          <w:highlight w:val="none"/>
        </w:rPr>
        <w:t>合同将由杭州中国动漫博物馆（以下简称甲方）与经评审最终确定的项目中标人（以下简称乙方）结合本项目具体情况协商后签订。以下为采购人提出涉及乙方的主要条款，投标人在投标文件中应对其进行确认或拒绝。如投标人在其投标文件中未作拒绝或提出修改要求的，采购人将视作认同。</w:t>
      </w:r>
    </w:p>
    <w:p w14:paraId="18629058">
      <w:pPr>
        <w:snapToGrid w:val="0"/>
        <w:spacing w:before="120" w:beforeLines="50" w:after="120" w:afterLines="50"/>
        <w:jc w:val="center"/>
        <w:rPr>
          <w:rFonts w:hint="eastAsia" w:ascii="仿宋" w:hAnsi="仿宋" w:eastAsia="仿宋" w:cs="仿宋"/>
          <w:spacing w:val="-6"/>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r>
        <w:rPr>
          <w:rFonts w:hint="eastAsia" w:ascii="仿宋" w:hAnsi="仿宋" w:eastAsia="仿宋" w:cs="仿宋"/>
          <w:spacing w:val="-6"/>
          <w:highlight w:val="none"/>
        </w:rPr>
        <w:t>（本合同为合同样稿）</w:t>
      </w:r>
    </w:p>
    <w:bookmarkEnd w:id="108"/>
    <w:bookmarkEnd w:id="109"/>
    <w:bookmarkEnd w:id="110"/>
    <w:p w14:paraId="444F4574">
      <w:pPr>
        <w:adjustRightInd w:val="0"/>
        <w:snapToGrid w:val="0"/>
        <w:spacing w:line="360" w:lineRule="auto"/>
        <w:ind w:firstLine="482" w:firstLineChars="200"/>
        <w:rPr>
          <w:rFonts w:hint="eastAsia" w:ascii="仿宋" w:hAnsi="仿宋" w:eastAsia="仿宋" w:cs="仿宋"/>
          <w:b/>
          <w:bCs/>
          <w:sz w:val="24"/>
          <w:highlight w:val="none"/>
        </w:rPr>
      </w:pPr>
      <w:bookmarkStart w:id="111" w:name="_Toc251566662"/>
      <w:bookmarkStart w:id="112" w:name="_Toc249760791"/>
      <w:bookmarkStart w:id="113" w:name="_Toc295465366"/>
      <w:bookmarkStart w:id="114" w:name="_Toc415814139"/>
      <w:bookmarkStart w:id="115" w:name="_Toc367274988"/>
      <w:r>
        <w:rPr>
          <w:rFonts w:hint="eastAsia" w:ascii="仿宋" w:hAnsi="仿宋" w:eastAsia="仿宋" w:cs="仿宋"/>
          <w:b/>
          <w:bCs/>
          <w:sz w:val="24"/>
          <w:highlight w:val="none"/>
        </w:rPr>
        <w:t>合同参考格式</w:t>
      </w:r>
    </w:p>
    <w:p w14:paraId="3EF2B433">
      <w:pPr>
        <w:snapToGrid w:val="0"/>
        <w:spacing w:before="120" w:beforeLines="50" w:after="120" w:afterLines="50"/>
        <w:jc w:val="center"/>
        <w:rPr>
          <w:rFonts w:hint="eastAsia" w:ascii="仿宋" w:hAnsi="仿宋" w:eastAsia="仿宋" w:cs="仿宋"/>
          <w:b/>
          <w:sz w:val="32"/>
          <w:szCs w:val="32"/>
          <w:highlight w:val="none"/>
          <w:lang w:val="zh-CN"/>
        </w:rPr>
      </w:pPr>
    </w:p>
    <w:p w14:paraId="761F283C">
      <w:pPr>
        <w:snapToGrid w:val="0"/>
        <w:spacing w:before="120" w:beforeLines="50" w:after="120" w:afterLines="50"/>
        <w:jc w:val="cente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杭州中国动漫博物馆2025年度专业技术服务合同</w:t>
      </w:r>
    </w:p>
    <w:p w14:paraId="38B30B60">
      <w:pPr>
        <w:adjustRightInd w:val="0"/>
        <w:snapToGrid w:val="0"/>
        <w:spacing w:line="360" w:lineRule="auto"/>
        <w:ind w:firstLine="422" w:firstLineChars="200"/>
        <w:rPr>
          <w:rFonts w:hint="eastAsia" w:ascii="仿宋" w:hAnsi="仿宋" w:eastAsia="仿宋" w:cs="仿宋"/>
          <w:b/>
          <w:szCs w:val="21"/>
          <w:highlight w:val="none"/>
        </w:rPr>
      </w:pPr>
    </w:p>
    <w:p w14:paraId="1CDA1064">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甲方：杭州中国动漫博物馆</w:t>
      </w:r>
    </w:p>
    <w:p w14:paraId="2FFD6BD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w:t>
      </w:r>
    </w:p>
    <w:p w14:paraId="20D18BC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p>
    <w:p w14:paraId="703D4F9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374E1D5D">
      <w:pPr>
        <w:tabs>
          <w:tab w:val="left" w:pos="6237"/>
          <w:tab w:val="left" w:pos="6521"/>
        </w:tabs>
        <w:adjustRightInd w:val="0"/>
        <w:snapToGrid w:val="0"/>
        <w:spacing w:line="360" w:lineRule="auto"/>
        <w:ind w:firstLine="480" w:firstLineChars="200"/>
        <w:rPr>
          <w:rFonts w:hint="eastAsia" w:ascii="仿宋" w:hAnsi="仿宋" w:eastAsia="仿宋" w:cs="仿宋"/>
          <w:sz w:val="24"/>
          <w:highlight w:val="none"/>
        </w:rPr>
      </w:pPr>
    </w:p>
    <w:p w14:paraId="274D8161">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乙方：</w:t>
      </w:r>
    </w:p>
    <w:p w14:paraId="7736A0A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w:t>
      </w:r>
    </w:p>
    <w:p w14:paraId="0B76BF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w:t>
      </w:r>
    </w:p>
    <w:p w14:paraId="1B835E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统一社会信用代码：</w:t>
      </w:r>
    </w:p>
    <w:p w14:paraId="715F3D9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授权代表： </w:t>
      </w:r>
    </w:p>
    <w:p w14:paraId="5ACDC37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w:t>
      </w:r>
    </w:p>
    <w:p w14:paraId="38B2CD1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67CBEAA4">
      <w:pPr>
        <w:adjustRightInd w:val="0"/>
        <w:snapToGrid w:val="0"/>
        <w:spacing w:line="360" w:lineRule="auto"/>
        <w:ind w:firstLine="480" w:firstLineChars="200"/>
        <w:rPr>
          <w:rFonts w:hint="eastAsia" w:ascii="仿宋" w:hAnsi="仿宋" w:eastAsia="仿宋" w:cs="仿宋"/>
          <w:sz w:val="24"/>
          <w:highlight w:val="none"/>
        </w:rPr>
      </w:pPr>
    </w:p>
    <w:p w14:paraId="09A3837F">
      <w:pPr>
        <w:pStyle w:val="139"/>
        <w:adjustRightInd w:val="0"/>
        <w:snapToGrid w:val="0"/>
        <w:spacing w:before="0" w:beforeAutospacing="0" w:after="0" w:afterAutospacing="0"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依据《中华人民共和国政府采购法》、《</w:t>
      </w:r>
      <w:r>
        <w:rPr>
          <w:rFonts w:hint="eastAsia" w:ascii="仿宋" w:hAnsi="仿宋" w:eastAsia="仿宋" w:cs="仿宋"/>
          <w:szCs w:val="24"/>
          <w:highlight w:val="none"/>
          <w:lang w:val="zh-CN"/>
        </w:rPr>
        <w:t>中华人民共和国民法典</w:t>
      </w:r>
      <w:r>
        <w:rPr>
          <w:rFonts w:hint="eastAsia" w:ascii="仿宋" w:hAnsi="仿宋" w:eastAsia="仿宋" w:cs="仿宋"/>
          <w:szCs w:val="24"/>
          <w:highlight w:val="none"/>
        </w:rPr>
        <w:t>》等相关法律法规，以及</w:t>
      </w:r>
      <w:r>
        <w:rPr>
          <w:rFonts w:hint="eastAsia" w:ascii="仿宋" w:hAnsi="仿宋" w:eastAsia="仿宋" w:cs="仿宋"/>
          <w:highlight w:val="none"/>
          <w:u w:val="single"/>
          <w:lang w:eastAsia="zh-CN"/>
        </w:rPr>
        <w:t>杭州中国动漫博物馆2025年度专业技术服务</w:t>
      </w:r>
      <w:r>
        <w:rPr>
          <w:rFonts w:hint="eastAsia" w:ascii="仿宋" w:hAnsi="仿宋" w:eastAsia="仿宋" w:cs="仿宋"/>
          <w:szCs w:val="24"/>
          <w:highlight w:val="none"/>
        </w:rPr>
        <w:t>（项目编号：ZJ-</w:t>
      </w:r>
      <w:r>
        <w:rPr>
          <w:rFonts w:hint="eastAsia" w:ascii="仿宋" w:hAnsi="仿宋" w:eastAsia="仿宋" w:cs="仿宋"/>
          <w:szCs w:val="24"/>
          <w:highlight w:val="none"/>
          <w:lang w:eastAsia="zh-CN"/>
        </w:rPr>
        <w:t>2443350</w:t>
      </w:r>
      <w:r>
        <w:rPr>
          <w:rFonts w:hint="eastAsia" w:ascii="仿宋" w:hAnsi="仿宋" w:eastAsia="仿宋" w:cs="仿宋"/>
          <w:szCs w:val="24"/>
          <w:highlight w:val="none"/>
        </w:rPr>
        <w:t>）的中标结果，乙方为该项目承接单位。甲乙双方在平等自愿的基础上，同意按照下面的条款和条件，签署政府采购合同。</w:t>
      </w:r>
    </w:p>
    <w:p w14:paraId="0E68DC98">
      <w:pPr>
        <w:pStyle w:val="139"/>
        <w:adjustRightInd w:val="0"/>
        <w:snapToGrid w:val="0"/>
        <w:spacing w:before="0" w:beforeAutospacing="0" w:after="0" w:afterAutospacing="0" w:line="360" w:lineRule="auto"/>
        <w:ind w:firstLine="480" w:firstLineChars="200"/>
        <w:rPr>
          <w:rFonts w:hint="eastAsia" w:ascii="仿宋" w:hAnsi="仿宋" w:eastAsia="仿宋" w:cs="仿宋"/>
          <w:szCs w:val="24"/>
          <w:highlight w:val="none"/>
        </w:rPr>
      </w:pPr>
    </w:p>
    <w:p w14:paraId="105592B4">
      <w:pPr>
        <w:adjustRightInd w:val="0"/>
        <w:snapToGrid w:val="0"/>
        <w:spacing w:line="360" w:lineRule="auto"/>
        <w:ind w:firstLine="482" w:firstLineChars="200"/>
        <w:outlineLvl w:val="1"/>
        <w:rPr>
          <w:rFonts w:hint="eastAsia" w:ascii="仿宋" w:hAnsi="仿宋" w:eastAsia="仿宋" w:cs="仿宋"/>
          <w:b/>
          <w:sz w:val="24"/>
          <w:highlight w:val="none"/>
        </w:rPr>
      </w:pPr>
      <w:bookmarkStart w:id="116" w:name="_Toc30763"/>
      <w:bookmarkStart w:id="117" w:name="_Toc12150"/>
      <w:bookmarkStart w:id="118" w:name="_Toc7747"/>
      <w:bookmarkStart w:id="119" w:name="_Toc5780"/>
      <w:bookmarkStart w:id="120" w:name="_Toc17620"/>
      <w:bookmarkStart w:id="121" w:name="_Toc9726"/>
      <w:bookmarkStart w:id="122" w:name="_Toc114"/>
      <w:bookmarkStart w:id="123" w:name="_Toc15439"/>
      <w:bookmarkStart w:id="124" w:name="_Toc13785"/>
      <w:bookmarkStart w:id="125" w:name="_Toc5416"/>
      <w:bookmarkStart w:id="126" w:name="_Toc1602"/>
      <w:bookmarkStart w:id="127" w:name="_Toc25675"/>
      <w:bookmarkStart w:id="128" w:name="_Toc8191"/>
      <w:bookmarkStart w:id="129" w:name="_Toc18904"/>
      <w:bookmarkStart w:id="130" w:name="_Toc25298"/>
      <w:bookmarkStart w:id="131" w:name="_Toc20536"/>
      <w:bookmarkStart w:id="132" w:name="_Toc23598"/>
      <w:bookmarkStart w:id="133" w:name="_Toc17489"/>
      <w:bookmarkStart w:id="134" w:name="_Toc10896"/>
      <w:bookmarkStart w:id="135" w:name="_Toc15574"/>
      <w:bookmarkStart w:id="136" w:name="_Toc22037"/>
      <w:bookmarkStart w:id="137" w:name="_Toc29985"/>
      <w:bookmarkStart w:id="138" w:name="_Toc16068"/>
      <w:bookmarkStart w:id="139" w:name="_Toc18563"/>
      <w:bookmarkStart w:id="140" w:name="_Toc26493"/>
      <w:r>
        <w:rPr>
          <w:rFonts w:hint="eastAsia" w:ascii="仿宋" w:hAnsi="仿宋" w:eastAsia="仿宋" w:cs="仿宋"/>
          <w:b/>
          <w:sz w:val="24"/>
          <w:highlight w:val="none"/>
        </w:rPr>
        <w:t>第一条  合同组成</w:t>
      </w:r>
      <w:bookmarkEnd w:id="116"/>
      <w:bookmarkEnd w:id="117"/>
      <w:bookmarkEnd w:id="118"/>
      <w:bookmarkEnd w:id="119"/>
      <w:bookmarkEnd w:id="120"/>
      <w:bookmarkEnd w:id="121"/>
      <w:bookmarkEnd w:id="122"/>
      <w:bookmarkEnd w:id="123"/>
      <w:bookmarkEnd w:id="124"/>
      <w:bookmarkEnd w:id="125"/>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119B1658">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CF0C57">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1、本合同及其补充合同、变更协议（本合同的合同书优于合同专用条款优于合同一般条款）；</w:t>
      </w:r>
    </w:p>
    <w:p w14:paraId="18867337">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2、中标通知书；</w:t>
      </w:r>
    </w:p>
    <w:p w14:paraId="7FDE6B92">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3、投标文件（含澄清或者说明文件）；</w:t>
      </w:r>
    </w:p>
    <w:p w14:paraId="7A1F3703">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4、采购文件（含澄清或者修改文件）；</w:t>
      </w:r>
    </w:p>
    <w:p w14:paraId="0C348CE2">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5、其他相关采购文件；</w:t>
      </w:r>
    </w:p>
    <w:p w14:paraId="024531FD">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6、标准、规范及有关技术文件、技术要求。</w:t>
      </w:r>
    </w:p>
    <w:p w14:paraId="0FBED1C5">
      <w:pPr>
        <w:pStyle w:val="24"/>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（上述各项合同文件包括合同当事人就该项合同文件所作出的补充和修改，属于同一类内容的文件，应以最新签署的为准）</w:t>
      </w:r>
    </w:p>
    <w:p w14:paraId="2BDBCDDF">
      <w:pPr>
        <w:adjustRightInd w:val="0"/>
        <w:snapToGrid w:val="0"/>
        <w:spacing w:line="360" w:lineRule="auto"/>
        <w:ind w:firstLine="482" w:firstLineChars="200"/>
        <w:outlineLvl w:val="1"/>
        <w:rPr>
          <w:rFonts w:hint="eastAsia" w:ascii="仿宋" w:hAnsi="仿宋" w:eastAsia="仿宋" w:cs="仿宋"/>
          <w:b/>
          <w:sz w:val="24"/>
          <w:highlight w:val="none"/>
        </w:rPr>
      </w:pPr>
      <w:bookmarkStart w:id="141" w:name="_Toc25321"/>
      <w:bookmarkStart w:id="142" w:name="_Toc50451005"/>
      <w:bookmarkStart w:id="143" w:name="_Toc8063"/>
      <w:bookmarkStart w:id="144" w:name="_Toc24159"/>
      <w:bookmarkStart w:id="145" w:name="_Toc20156"/>
      <w:bookmarkStart w:id="146" w:name="_Toc27469057"/>
      <w:bookmarkStart w:id="147" w:name="_Toc17852"/>
      <w:bookmarkStart w:id="148" w:name="_Toc5168"/>
      <w:bookmarkStart w:id="149" w:name="_Toc30949"/>
      <w:bookmarkStart w:id="150" w:name="_Toc19675"/>
      <w:bookmarkStart w:id="151" w:name="_Toc53475858"/>
      <w:bookmarkStart w:id="152" w:name="_Toc20690"/>
      <w:bookmarkStart w:id="153" w:name="_Toc594"/>
      <w:bookmarkStart w:id="154" w:name="_Toc62235133"/>
      <w:bookmarkStart w:id="155" w:name="_Toc1375"/>
      <w:r>
        <w:rPr>
          <w:rFonts w:hint="eastAsia" w:ascii="仿宋" w:hAnsi="仿宋" w:eastAsia="仿宋" w:cs="仿宋"/>
          <w:b/>
          <w:sz w:val="24"/>
          <w:highlight w:val="none"/>
        </w:rPr>
        <w:t>第二条  合同范围</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5A17B74">
      <w:pPr>
        <w:adjustRightInd w:val="0"/>
        <w:snapToGrid w:val="0"/>
        <w:spacing w:line="360" w:lineRule="auto"/>
        <w:ind w:firstLine="480" w:firstLineChars="200"/>
        <w:rPr>
          <w:rFonts w:hint="eastAsia" w:ascii="仿宋" w:hAnsi="仿宋" w:eastAsia="仿宋" w:cs="仿宋"/>
          <w:sz w:val="24"/>
          <w:highlight w:val="none"/>
        </w:rPr>
      </w:pPr>
      <w:bookmarkStart w:id="156" w:name="_Toc27469058"/>
      <w:bookmarkStart w:id="157" w:name="_Toc4268"/>
      <w:bookmarkStart w:id="158" w:name="_Toc24815"/>
      <w:bookmarkStart w:id="159" w:name="_Toc20007"/>
      <w:bookmarkStart w:id="160" w:name="_Toc5663"/>
      <w:bookmarkStart w:id="161" w:name="_Toc19095"/>
      <w:bookmarkStart w:id="162" w:name="_Toc50451006"/>
      <w:bookmarkStart w:id="163" w:name="_Toc3908"/>
      <w:bookmarkStart w:id="164" w:name="_Toc53475859"/>
      <w:bookmarkStart w:id="165" w:name="_Toc62235134"/>
      <w:r>
        <w:rPr>
          <w:rFonts w:hint="eastAsia" w:ascii="仿宋" w:hAnsi="仿宋" w:eastAsia="仿宋" w:cs="仿宋"/>
          <w:sz w:val="24"/>
          <w:highlight w:val="none"/>
        </w:rPr>
        <w:t>1、乙方根据甲方要求，</w:t>
      </w:r>
      <w:r>
        <w:rPr>
          <w:rFonts w:hint="eastAsia" w:ascii="仿宋" w:hAnsi="仿宋" w:eastAsia="仿宋" w:cs="仿宋"/>
          <w:snapToGrid w:val="0"/>
          <w:kern w:val="0"/>
          <w:sz w:val="24"/>
          <w:highlight w:val="none"/>
        </w:rPr>
        <w:t>为杭州中国动漫博物馆提供讲解社教服务、场馆专业化服务、宣传推广服务、其他服务等，保障动博馆日常开馆运行及各项馆内活动顺利开展，为到馆参观游客提供较高质量的观展体验，提升动博馆人气及知名度</w:t>
      </w:r>
      <w:r>
        <w:rPr>
          <w:rFonts w:hint="eastAsia" w:ascii="仿宋" w:hAnsi="仿宋" w:eastAsia="仿宋" w:cs="仿宋"/>
          <w:sz w:val="24"/>
          <w:highlight w:val="none"/>
        </w:rPr>
        <w:t>。具体工作由甲方根据实际情况确定，乙方负责落实。</w:t>
      </w:r>
    </w:p>
    <w:p w14:paraId="7370B1AC">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2、本项目按各技术服务技术特点分为讲解社教服务、场馆专业化服务、宣传推广服务、其他服务四类。乙方需围绕动博馆功能定位、主题特点、设施布局等各条件，提供专业技术服务，开展相关工作。</w:t>
      </w:r>
    </w:p>
    <w:p w14:paraId="7045F389">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2.1讲解社教服务</w:t>
      </w:r>
    </w:p>
    <w:p w14:paraId="46BD9ABF">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（1）配合甲方完成各类接待任务，承担动博馆各类中英文讲解工作，参与讲解词的撰写、修改、编排等工作</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rPr>
        <w:t>根据受众对象及参观时长的要求，合理设计参观动线，熟练掌握不同版本讲解内容与技巧</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满足动博馆常设展区、临时展览和重点活动的讲解需求。</w:t>
      </w:r>
      <w:r>
        <w:rPr>
          <w:rFonts w:hint="eastAsia" w:ascii="仿宋" w:hAnsi="仿宋" w:eastAsia="仿宋" w:cs="仿宋"/>
          <w:snapToGrid w:val="0"/>
          <w:kern w:val="0"/>
          <w:sz w:val="24"/>
          <w:highlight w:val="none"/>
        </w:rPr>
        <w:t>在项目期限内提供讲解服务不少于</w:t>
      </w:r>
      <w:r>
        <w:rPr>
          <w:rFonts w:hint="eastAsia" w:ascii="仿宋" w:hAnsi="仿宋" w:eastAsia="仿宋" w:cs="仿宋"/>
          <w:snapToGrid w:val="0"/>
          <w:kern w:val="0"/>
          <w:sz w:val="24"/>
          <w:highlight w:val="none"/>
          <w:lang w:val="en-US" w:eastAsia="zh-CN"/>
        </w:rPr>
        <w:t>320</w:t>
      </w:r>
      <w:r>
        <w:rPr>
          <w:rFonts w:hint="eastAsia" w:ascii="仿宋" w:hAnsi="仿宋" w:eastAsia="仿宋" w:cs="仿宋"/>
          <w:snapToGrid w:val="0"/>
          <w:kern w:val="0"/>
          <w:sz w:val="24"/>
          <w:highlight w:val="none"/>
        </w:rPr>
        <w:t>场次。</w:t>
      </w:r>
    </w:p>
    <w:p w14:paraId="7EC904D5">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（2）配合馆内社教课程执行计划，根据实际需求，准备相应设施设备，做好馆内及流动博物馆等各类授课服务，助力打造动博特色品牌课程。在项目期限内开展社教课程数量不少于</w:t>
      </w:r>
      <w:r>
        <w:rPr>
          <w:rFonts w:hint="eastAsia" w:ascii="仿宋" w:hAnsi="仿宋" w:eastAsia="仿宋" w:cs="仿宋"/>
          <w:snapToGrid w:val="0"/>
          <w:kern w:val="0"/>
          <w:sz w:val="24"/>
          <w:highlight w:val="none"/>
          <w:lang w:val="en-US" w:eastAsia="zh-CN"/>
        </w:rPr>
        <w:t>150</w:t>
      </w:r>
      <w:r>
        <w:rPr>
          <w:rFonts w:hint="eastAsia" w:ascii="仿宋" w:hAnsi="仿宋" w:eastAsia="仿宋" w:cs="仿宋"/>
          <w:snapToGrid w:val="0"/>
          <w:kern w:val="0"/>
          <w:sz w:val="24"/>
          <w:highlight w:val="none"/>
        </w:rPr>
        <w:t>场次。</w:t>
      </w:r>
    </w:p>
    <w:p w14:paraId="4B2480BB">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（3）配合馆内中心工作、重大项目、暑假等重要时段，做好相应重点活动的</w:t>
      </w:r>
      <w:r>
        <w:rPr>
          <w:rFonts w:hint="eastAsia" w:ascii="仿宋" w:hAnsi="仿宋" w:eastAsia="仿宋" w:cs="仿宋"/>
          <w:snapToGrid w:val="0"/>
          <w:kern w:val="0"/>
          <w:sz w:val="24"/>
          <w:highlight w:val="none"/>
          <w:lang w:eastAsia="zh-CN"/>
        </w:rPr>
        <w:t>配合</w:t>
      </w:r>
      <w:r>
        <w:rPr>
          <w:rFonts w:hint="eastAsia" w:ascii="仿宋" w:hAnsi="仿宋" w:eastAsia="仿宋" w:cs="仿宋"/>
          <w:snapToGrid w:val="0"/>
          <w:kern w:val="0"/>
          <w:sz w:val="24"/>
          <w:highlight w:val="none"/>
        </w:rPr>
        <w:t>执行工作。配合甲方完成传统节气、节庆、纪念日等常规主题活动的执行工作，并做好氛围布置等</w:t>
      </w:r>
      <w:r>
        <w:rPr>
          <w:rFonts w:hint="eastAsia" w:ascii="仿宋" w:hAnsi="仿宋" w:eastAsia="仿宋" w:cs="仿宋"/>
          <w:snapToGrid w:val="0"/>
          <w:kern w:val="0"/>
          <w:sz w:val="24"/>
          <w:highlight w:val="none"/>
          <w:lang w:eastAsia="zh-CN"/>
        </w:rPr>
        <w:t>相关</w:t>
      </w:r>
      <w:r>
        <w:rPr>
          <w:rFonts w:hint="eastAsia" w:ascii="仿宋" w:hAnsi="仿宋" w:eastAsia="仿宋" w:cs="仿宋"/>
          <w:snapToGrid w:val="0"/>
          <w:kern w:val="0"/>
          <w:sz w:val="24"/>
          <w:highlight w:val="none"/>
        </w:rPr>
        <w:t>准备工作。</w:t>
      </w:r>
    </w:p>
    <w:p w14:paraId="5FE8729A">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2.2场馆专业化服务</w:t>
      </w:r>
    </w:p>
    <w:p w14:paraId="46837B91">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（1）承担场馆观众及志愿者服务中心相关工作，包括但不限于服务问询、</w:t>
      </w:r>
      <w:r>
        <w:rPr>
          <w:rFonts w:hint="eastAsia" w:ascii="仿宋" w:hAnsi="仿宋" w:eastAsia="仿宋" w:cs="仿宋"/>
          <w:snapToGrid w:val="0"/>
          <w:kern w:val="0"/>
          <w:sz w:val="24"/>
          <w:highlight w:val="none"/>
          <w:lang w:eastAsia="zh-CN"/>
        </w:rPr>
        <w:t>失物管理</w:t>
      </w:r>
      <w:r>
        <w:rPr>
          <w:rFonts w:hint="eastAsia" w:ascii="仿宋" w:hAnsi="仿宋" w:eastAsia="仿宋" w:cs="仿宋"/>
          <w:snapToGrid w:val="0"/>
          <w:kern w:val="0"/>
          <w:sz w:val="24"/>
          <w:highlight w:val="none"/>
        </w:rPr>
        <w:t>等服务工作，负责参观接待信息的记录、整理、反馈等工作。</w:t>
      </w:r>
    </w:p>
    <w:p w14:paraId="6FA69178">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（2）协助甲方确保展区、图书馆、影剧院及其他配套区域的正常运行。</w:t>
      </w:r>
    </w:p>
    <w:p w14:paraId="5B6FE5A1">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（3）协助保障场馆设施设备的正常操作使用，及时做好发现、上报和反馈工作。</w:t>
      </w:r>
    </w:p>
    <w:p w14:paraId="2E08CB70">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（4）配合甲方监督各类设计制作、场景搭建的落地执行等工作。</w:t>
      </w:r>
    </w:p>
    <w:p w14:paraId="2EC1E684">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2.3宣传推广服务</w:t>
      </w:r>
    </w:p>
    <w:p w14:paraId="73731276">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（1）围绕上述服务内容，配合关键时间节点，承担协助做好提升馆内氛围的相应的视觉设计工作，包括但不限于海报、折页、UI界面等设计内容，并根据甲方需求提供外语设计版本。</w:t>
      </w:r>
    </w:p>
    <w:p w14:paraId="0222E70E">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w:t>
      </w:r>
      <w:r>
        <w:rPr>
          <w:rFonts w:hint="eastAsia" w:ascii="仿宋" w:hAnsi="仿宋" w:eastAsia="仿宋" w:cs="仿宋"/>
          <w:snapToGrid w:val="0"/>
          <w:kern w:val="0"/>
          <w:sz w:val="24"/>
          <w:szCs w:val="24"/>
          <w:highlight w:val="none"/>
        </w:rPr>
        <w:t>提升观众参观体验感，根据</w:t>
      </w:r>
      <w:r>
        <w:rPr>
          <w:rFonts w:hint="eastAsia" w:ascii="仿宋" w:hAnsi="仿宋" w:eastAsia="仿宋" w:cs="仿宋"/>
          <w:snapToGrid w:val="0"/>
          <w:kern w:val="0"/>
          <w:sz w:val="24"/>
          <w:szCs w:val="24"/>
          <w:highlight w:val="none"/>
          <w:lang w:eastAsia="zh-CN"/>
        </w:rPr>
        <w:t>采购人</w:t>
      </w:r>
      <w:r>
        <w:rPr>
          <w:rFonts w:hint="eastAsia" w:ascii="仿宋" w:hAnsi="仿宋" w:eastAsia="仿宋" w:cs="仿宋"/>
          <w:snapToGrid w:val="0"/>
          <w:kern w:val="0"/>
          <w:sz w:val="24"/>
          <w:szCs w:val="24"/>
          <w:highlight w:val="none"/>
        </w:rPr>
        <w:t>实际需求，配合做好相应讲解视频录制、活动</w:t>
      </w:r>
      <w:r>
        <w:rPr>
          <w:rFonts w:hint="eastAsia" w:ascii="仿宋" w:hAnsi="仿宋" w:eastAsia="仿宋" w:cs="仿宋"/>
          <w:snapToGrid w:val="0"/>
          <w:kern w:val="0"/>
          <w:sz w:val="24"/>
          <w:szCs w:val="24"/>
          <w:highlight w:val="none"/>
          <w:lang w:eastAsia="zh-CN"/>
        </w:rPr>
        <w:t>拍摄</w:t>
      </w:r>
      <w:r>
        <w:rPr>
          <w:rFonts w:hint="eastAsia" w:ascii="仿宋" w:hAnsi="仿宋" w:eastAsia="仿宋" w:cs="仿宋"/>
          <w:snapToGrid w:val="0"/>
          <w:kern w:val="0"/>
          <w:sz w:val="24"/>
          <w:szCs w:val="24"/>
          <w:highlight w:val="none"/>
        </w:rPr>
        <w:t>剪辑</w:t>
      </w:r>
      <w:r>
        <w:rPr>
          <w:rFonts w:hint="eastAsia" w:ascii="仿宋" w:hAnsi="仿宋" w:eastAsia="仿宋" w:cs="仿宋"/>
          <w:snapToGrid w:val="0"/>
          <w:kern w:val="0"/>
          <w:sz w:val="24"/>
          <w:szCs w:val="24"/>
          <w:highlight w:val="none"/>
          <w:lang w:eastAsia="zh-CN"/>
        </w:rPr>
        <w:t>、主题及日常视频拍摄制作</w:t>
      </w:r>
      <w:r>
        <w:rPr>
          <w:rFonts w:hint="eastAsia" w:ascii="仿宋" w:hAnsi="仿宋" w:eastAsia="仿宋" w:cs="仿宋"/>
          <w:snapToGrid w:val="0"/>
          <w:kern w:val="0"/>
          <w:sz w:val="24"/>
          <w:szCs w:val="24"/>
          <w:highlight w:val="none"/>
        </w:rPr>
        <w:t>等配套内容制作工作</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服务周期内视频成片总时长不少于45分钟。</w:t>
      </w:r>
    </w:p>
    <w:p w14:paraId="4040E2D2">
      <w:pPr>
        <w:pStyle w:val="19"/>
        <w:rPr>
          <w:rFonts w:hint="default" w:ascii="仿宋" w:hAnsi="仿宋" w:eastAsia="仿宋" w:cs="仿宋"/>
          <w:snapToGrid w:val="0"/>
          <w:kern w:val="0"/>
          <w:sz w:val="24"/>
          <w:szCs w:val="24"/>
          <w:highlight w:val="none"/>
          <w:lang w:val="en-US" w:eastAsia="zh-CN" w:bidi="ar-SA"/>
        </w:rPr>
      </w:pPr>
      <w:r>
        <w:rPr>
          <w:rFonts w:hint="eastAsia" w:ascii="仿宋" w:hAnsi="仿宋" w:eastAsia="仿宋" w:cs="仿宋"/>
          <w:snapToGrid w:val="0"/>
          <w:kern w:val="0"/>
          <w:sz w:val="24"/>
          <w:szCs w:val="24"/>
          <w:highlight w:val="none"/>
          <w:lang w:val="en-US" w:eastAsia="zh-CN" w:bidi="ar-SA"/>
        </w:rPr>
        <w:t>（3）</w:t>
      </w:r>
      <w:r>
        <w:rPr>
          <w:rFonts w:hint="eastAsia" w:ascii="仿宋" w:hAnsi="仿宋" w:eastAsia="仿宋" w:cs="仿宋"/>
          <w:snapToGrid w:val="0"/>
          <w:kern w:val="0"/>
          <w:sz w:val="24"/>
          <w:szCs w:val="24"/>
          <w:highlight w:val="none"/>
          <w:lang w:eastAsia="zh-CN"/>
        </w:rPr>
        <w:t>根据采购人需求，配合做好自媒体运营工作，包括但不限于公众号、视频号、小红书、微博、抖音等平台的推文、视频编辑发布。</w:t>
      </w:r>
    </w:p>
    <w:p w14:paraId="2538250C">
      <w:pPr>
        <w:adjustRightInd w:val="0"/>
        <w:snapToGrid w:val="0"/>
        <w:spacing w:line="360" w:lineRule="auto"/>
        <w:ind w:firstLine="482" w:firstLineChars="200"/>
        <w:rPr>
          <w:rFonts w:hint="eastAsia" w:ascii="仿宋" w:hAnsi="仿宋" w:eastAsia="仿宋" w:cs="仿宋"/>
          <w:b/>
          <w:bCs/>
          <w:snapToGrid w:val="0"/>
          <w:kern w:val="0"/>
          <w:sz w:val="24"/>
          <w:highlight w:val="none"/>
        </w:rPr>
      </w:pPr>
      <w:r>
        <w:rPr>
          <w:rFonts w:hint="eastAsia" w:ascii="仿宋" w:hAnsi="仿宋" w:eastAsia="仿宋" w:cs="仿宋"/>
          <w:b/>
          <w:bCs/>
          <w:snapToGrid w:val="0"/>
          <w:kern w:val="0"/>
          <w:sz w:val="24"/>
          <w:highlight w:val="none"/>
        </w:rPr>
        <w:t>2.4其他服务</w:t>
      </w:r>
    </w:p>
    <w:p w14:paraId="0AD24997">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（1）提供保障上述服务质量和效率的相关场馆服务设施设备和劳动工具，包括但不限于服务人员工作制服、讲解设备、课程教具、服务设施等。</w:t>
      </w:r>
    </w:p>
    <w:p w14:paraId="6D2DAAFB">
      <w:pPr>
        <w:adjustRightInd w:val="0"/>
        <w:snapToGrid w:val="0"/>
        <w:spacing w:line="360" w:lineRule="auto"/>
        <w:ind w:firstLine="480" w:firstLineChars="200"/>
        <w:rPr>
          <w:rFonts w:hint="default" w:ascii="仿宋" w:hAnsi="仿宋" w:eastAsia="仿宋" w:cs="仿宋"/>
          <w:snapToGrid w:val="0"/>
          <w:kern w:val="0"/>
          <w:sz w:val="24"/>
          <w:highlight w:val="none"/>
          <w:lang w:val="en-US"/>
        </w:rPr>
      </w:pP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2</w:t>
      </w:r>
      <w:r>
        <w:rPr>
          <w:rFonts w:hint="eastAsia" w:ascii="仿宋" w:hAnsi="仿宋" w:eastAsia="仿宋" w:cs="仿宋"/>
          <w:snapToGrid w:val="0"/>
          <w:kern w:val="0"/>
          <w:sz w:val="24"/>
          <w:highlight w:val="none"/>
          <w:lang w:eastAsia="zh-CN"/>
        </w:rPr>
        <w:t>）</w:t>
      </w:r>
      <w:r>
        <w:rPr>
          <w:rFonts w:hint="eastAsia" w:ascii="仿宋" w:hAnsi="仿宋" w:eastAsia="仿宋" w:cs="仿宋"/>
          <w:snapToGrid w:val="0"/>
          <w:kern w:val="0"/>
          <w:sz w:val="24"/>
          <w:highlight w:val="none"/>
          <w:lang w:val="en-US" w:eastAsia="zh-CN"/>
        </w:rPr>
        <w:t>在项目期限内</w:t>
      </w:r>
      <w:r>
        <w:rPr>
          <w:rFonts w:hint="eastAsia" w:ascii="仿宋" w:hAnsi="仿宋" w:eastAsia="仿宋" w:cs="仿宋"/>
          <w:snapToGrid w:val="0"/>
          <w:kern w:val="0"/>
          <w:sz w:val="24"/>
          <w:highlight w:val="none"/>
          <w:lang w:eastAsia="zh-CN"/>
        </w:rPr>
        <w:t>提供公益电影播映服务不少于</w:t>
      </w:r>
      <w:r>
        <w:rPr>
          <w:rFonts w:hint="eastAsia" w:ascii="仿宋" w:hAnsi="仿宋" w:eastAsia="仿宋" w:cs="仿宋"/>
          <w:snapToGrid w:val="0"/>
          <w:kern w:val="0"/>
          <w:sz w:val="24"/>
          <w:highlight w:val="none"/>
          <w:lang w:val="en-US" w:eastAsia="zh-CN"/>
        </w:rPr>
        <w:t>50场。</w:t>
      </w:r>
    </w:p>
    <w:p w14:paraId="5371FCDE">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w:t>
      </w:r>
      <w:r>
        <w:rPr>
          <w:rFonts w:hint="eastAsia" w:ascii="仿宋" w:hAnsi="仿宋" w:eastAsia="仿宋" w:cs="仿宋"/>
          <w:snapToGrid w:val="0"/>
          <w:kern w:val="0"/>
          <w:sz w:val="24"/>
          <w:highlight w:val="none"/>
          <w:lang w:val="en-US" w:eastAsia="zh-CN"/>
        </w:rPr>
        <w:t>3</w:t>
      </w:r>
      <w:r>
        <w:rPr>
          <w:rFonts w:hint="eastAsia" w:ascii="仿宋" w:hAnsi="仿宋" w:eastAsia="仿宋" w:cs="仿宋"/>
          <w:snapToGrid w:val="0"/>
          <w:kern w:val="0"/>
          <w:sz w:val="24"/>
          <w:highlight w:val="none"/>
        </w:rPr>
        <w:t>）与场馆运行相关的其他服务。</w:t>
      </w:r>
    </w:p>
    <w:p w14:paraId="6AAE95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3、相关内容按甲方招标文件的采购需求、以及乙方投标文件响应内容。</w:t>
      </w:r>
    </w:p>
    <w:p w14:paraId="780D8B7B">
      <w:pPr>
        <w:adjustRightInd w:val="0"/>
        <w:snapToGrid w:val="0"/>
        <w:spacing w:line="360" w:lineRule="auto"/>
        <w:ind w:firstLine="482" w:firstLineChars="200"/>
        <w:outlineLvl w:val="1"/>
        <w:rPr>
          <w:rFonts w:hint="eastAsia" w:ascii="仿宋" w:hAnsi="仿宋" w:eastAsia="仿宋" w:cs="仿宋"/>
          <w:b/>
          <w:sz w:val="24"/>
          <w:highlight w:val="none"/>
        </w:rPr>
      </w:pPr>
      <w:bookmarkStart w:id="166" w:name="_Toc13124"/>
      <w:bookmarkStart w:id="167" w:name="_Toc24739"/>
      <w:bookmarkStart w:id="168" w:name="_Toc30107"/>
      <w:bookmarkStart w:id="169" w:name="_Toc24965"/>
      <w:bookmarkStart w:id="170" w:name="_Toc24488"/>
      <w:r>
        <w:rPr>
          <w:rFonts w:hint="eastAsia" w:ascii="仿宋" w:hAnsi="仿宋" w:eastAsia="仿宋" w:cs="仿宋"/>
          <w:b/>
          <w:sz w:val="24"/>
          <w:highlight w:val="none"/>
        </w:rPr>
        <w:t>第三条  合同价格</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A930B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1、本合同的总价格为￥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（大写：人民币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），合同价格的组成见本协议附件一“报价明细清单”。</w:t>
      </w:r>
    </w:p>
    <w:p w14:paraId="1731480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本合同的总价格即为乙方提供全部服务的服务费，以上合同总价是含税的，固定的且不可更改的。</w:t>
      </w:r>
      <w:bookmarkStart w:id="171" w:name="_Toc62235135"/>
      <w:bookmarkStart w:id="172" w:name="_Toc27469059"/>
      <w:bookmarkStart w:id="173" w:name="_Toc50451007"/>
    </w:p>
    <w:p w14:paraId="236B202E">
      <w:pPr>
        <w:pStyle w:val="18"/>
        <w:adjustRightInd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2、合同期限：动博馆每周三至周日开馆，周一周二闭馆，国家法定节假日开闭馆时间另行安排。该项目合同期限从</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日起至</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日止</w:t>
      </w:r>
      <w:r>
        <w:rPr>
          <w:rFonts w:hint="eastAsia" w:ascii="仿宋" w:hAnsi="仿宋" w:eastAsia="仿宋" w:cs="仿宋"/>
          <w:sz w:val="24"/>
          <w:highlight w:val="none"/>
        </w:rPr>
        <w:t>，乙方需按照动博馆运行时间，全时段提供各项专业技术服务，确保服务不中断，并服从甲方工作安排，能配合重大项目或上级要求临时性任务抽调安排。</w:t>
      </w:r>
    </w:p>
    <w:p w14:paraId="53D01AC4">
      <w:pPr>
        <w:adjustRightInd w:val="0"/>
        <w:snapToGrid w:val="0"/>
        <w:spacing w:line="360" w:lineRule="auto"/>
        <w:ind w:firstLine="482" w:firstLineChars="200"/>
        <w:outlineLvl w:val="1"/>
        <w:rPr>
          <w:rFonts w:hint="eastAsia" w:ascii="仿宋" w:hAnsi="仿宋" w:eastAsia="仿宋" w:cs="仿宋"/>
          <w:b/>
          <w:sz w:val="24"/>
          <w:highlight w:val="none"/>
        </w:rPr>
      </w:pPr>
      <w:bookmarkStart w:id="174" w:name="_Toc16273"/>
      <w:bookmarkStart w:id="175" w:name="_Toc9985"/>
      <w:bookmarkStart w:id="176" w:name="_Toc25967"/>
      <w:bookmarkStart w:id="177" w:name="_Toc27546"/>
      <w:bookmarkStart w:id="178" w:name="_Toc13875"/>
      <w:bookmarkStart w:id="179" w:name="_Toc10749"/>
      <w:bookmarkStart w:id="180" w:name="_Toc13922"/>
      <w:bookmarkStart w:id="181" w:name="_Toc5427"/>
      <w:bookmarkStart w:id="182" w:name="_Toc9366"/>
      <w:bookmarkStart w:id="183" w:name="_Toc9322"/>
      <w:bookmarkStart w:id="184" w:name="_Toc53475860"/>
      <w:bookmarkStart w:id="185" w:name="_Toc16905"/>
      <w:r>
        <w:rPr>
          <w:rFonts w:hint="eastAsia" w:ascii="仿宋" w:hAnsi="仿宋" w:eastAsia="仿宋" w:cs="仿宋"/>
          <w:b/>
          <w:sz w:val="24"/>
          <w:highlight w:val="none"/>
        </w:rPr>
        <w:t>第四条  履约担保及付款方式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19ECEE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1、履约担保</w:t>
      </w:r>
    </w:p>
    <w:p w14:paraId="2A820DAD">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（1）合同签订后10日内，乙方向甲方支付合同总价1%的金额作为履约保证金。项目最终履约验收合格后，履约保证金退还（如有违约内容，则扣除相应违约款项后退回）。</w:t>
      </w:r>
    </w:p>
    <w:p w14:paraId="7BDF26D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0"/>
          <w:sz w:val="24"/>
          <w:highlight w:val="none"/>
        </w:rPr>
        <w:t>（2）履约保证金缴纳形式：支票、汇票、本票或者金融机构、担保机构出具的保函等非现金形式提交。</w:t>
      </w:r>
    </w:p>
    <w:p w14:paraId="6C7FB4B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2、预付款</w:t>
      </w:r>
    </w:p>
    <w:p w14:paraId="7A3FDA84">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（1）合同生效后具备实施条件5个工作日内，甲方向乙方支付合同总价的40%作为预付款；</w:t>
      </w:r>
    </w:p>
    <w:p w14:paraId="0A0D99A8">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（2）支付了预付款的，甲方有权要求乙方提供预付款金额等额的且不可撤销的预付款保函。预付款金额可抵扣合同款；</w:t>
      </w:r>
    </w:p>
    <w:p w14:paraId="0033D97E">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（3）在签订合同时，乙方明确表示无需预付款或者主动要求降低预付款比例的，可不适用预付款相关规定。</w:t>
      </w:r>
    </w:p>
    <w:p w14:paraId="07B4106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3、合同款支付</w:t>
      </w:r>
    </w:p>
    <w:p w14:paraId="62CF35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（1）所有本合同的付款应通过银行电汇/转账。</w:t>
      </w:r>
    </w:p>
    <w:p w14:paraId="6570A99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（2）合同付款：分期付款。</w:t>
      </w:r>
    </w:p>
    <w:p w14:paraId="64445BD1">
      <w:pPr>
        <w:adjustRightInd w:val="0"/>
        <w:snapToGrid w:val="0"/>
        <w:spacing w:line="360" w:lineRule="auto"/>
        <w:ind w:firstLine="960" w:firstLineChars="400"/>
        <w:rPr>
          <w:rFonts w:hint="eastAsia" w:ascii="仿宋" w:hAnsi="仿宋" w:eastAsia="仿宋" w:cs="仿宋"/>
          <w:snapToGrid w:val="0"/>
          <w:kern w:val="0"/>
          <w:sz w:val="24"/>
          <w:highlight w:val="none"/>
        </w:rPr>
      </w:pPr>
      <w:bookmarkStart w:id="186" w:name="_Toc50451008"/>
      <w:bookmarkStart w:id="187" w:name="_Toc62235136"/>
      <w:bookmarkStart w:id="188" w:name="_Toc27469060"/>
      <w:r>
        <w:rPr>
          <w:rFonts w:hint="eastAsia" w:ascii="仿宋" w:hAnsi="仿宋" w:eastAsia="仿宋" w:cs="仿宋"/>
          <w:snapToGrid w:val="0"/>
          <w:kern w:val="0"/>
          <w:sz w:val="24"/>
          <w:highlight w:val="none"/>
        </w:rPr>
        <w:t>第一次付款：合同生效以及具备实施条件后5个工作日内，甲方向乙方支付合同总额的40％；</w:t>
      </w:r>
    </w:p>
    <w:p w14:paraId="1469446E">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 xml:space="preserve">   第二次付款：</w:t>
      </w:r>
      <w:r>
        <w:rPr>
          <w:rFonts w:hint="eastAsia" w:ascii="仿宋" w:hAnsi="仿宋" w:eastAsia="仿宋" w:cs="仿宋"/>
          <w:snapToGrid w:val="0"/>
          <w:kern w:val="0"/>
          <w:sz w:val="24"/>
          <w:szCs w:val="24"/>
          <w:highlight w:val="none"/>
          <w:lang w:val="en-US" w:eastAsia="zh-CN"/>
        </w:rPr>
        <w:t>在履约满8个月后，乙方经项目中期考核且合格后，甲方向乙方支付合同款的</w:t>
      </w:r>
      <w:r>
        <w:rPr>
          <w:rFonts w:hint="eastAsia" w:ascii="仿宋" w:hAnsi="仿宋" w:eastAsia="仿宋" w:cs="仿宋"/>
          <w:snapToGrid w:val="0"/>
          <w:kern w:val="0"/>
          <w:sz w:val="24"/>
          <w:szCs w:val="24"/>
          <w:highlight w:val="none"/>
          <w:lang w:val="en-US" w:eastAsia="zh"/>
        </w:rPr>
        <w:t>40</w:t>
      </w:r>
      <w:r>
        <w:rPr>
          <w:rFonts w:hint="eastAsia" w:ascii="仿宋" w:hAnsi="仿宋" w:eastAsia="仿宋" w:cs="仿宋"/>
          <w:snapToGrid w:val="0"/>
          <w:kern w:val="0"/>
          <w:sz w:val="24"/>
          <w:szCs w:val="24"/>
          <w:highlight w:val="none"/>
          <w:lang w:val="en-US" w:eastAsia="zh-CN"/>
        </w:rPr>
        <w:t>%；</w:t>
      </w:r>
      <w:r>
        <w:rPr>
          <w:rFonts w:hint="eastAsia" w:ascii="仿宋" w:hAnsi="仿宋" w:eastAsia="仿宋" w:cs="仿宋"/>
          <w:snapToGrid w:val="0"/>
          <w:kern w:val="0"/>
          <w:sz w:val="24"/>
          <w:highlight w:val="none"/>
        </w:rPr>
        <w:t>；</w:t>
      </w:r>
    </w:p>
    <w:p w14:paraId="386D9D7F">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 xml:space="preserve">   第三次付款：</w:t>
      </w:r>
      <w:r>
        <w:rPr>
          <w:rFonts w:hint="eastAsia" w:ascii="仿宋" w:hAnsi="仿宋" w:eastAsia="仿宋" w:cs="仿宋"/>
          <w:snapToGrid w:val="0"/>
          <w:kern w:val="0"/>
          <w:sz w:val="24"/>
          <w:highlight w:val="none"/>
          <w:lang w:val="en-US" w:eastAsia="zh-CN"/>
        </w:rPr>
        <w:t>项目完成，履约验收合格后</w:t>
      </w:r>
      <w:r>
        <w:rPr>
          <w:rFonts w:hint="eastAsia" w:ascii="仿宋" w:hAnsi="仿宋" w:eastAsia="仿宋" w:cs="仿宋"/>
          <w:snapToGrid w:val="0"/>
          <w:kern w:val="0"/>
          <w:sz w:val="24"/>
          <w:highlight w:val="none"/>
          <w:lang w:val="en-US" w:eastAsia="zh-CN"/>
        </w:rPr>
        <w:t>5个工作日内，</w:t>
      </w:r>
      <w:r>
        <w:rPr>
          <w:rFonts w:hint="eastAsia" w:ascii="仿宋" w:hAnsi="仿宋" w:eastAsia="仿宋" w:cs="仿宋"/>
          <w:snapToGrid w:val="0"/>
          <w:kern w:val="0"/>
          <w:sz w:val="24"/>
          <w:highlight w:val="none"/>
        </w:rPr>
        <w:t>甲方向乙方支付合同总额的</w:t>
      </w:r>
      <w:r>
        <w:rPr>
          <w:rFonts w:hint="eastAsia" w:ascii="仿宋" w:hAnsi="仿宋" w:eastAsia="仿宋" w:cs="仿宋"/>
          <w:snapToGrid w:val="0"/>
          <w:kern w:val="0"/>
          <w:sz w:val="24"/>
          <w:highlight w:val="none"/>
          <w:lang w:val="en-US" w:eastAsia="zh-CN"/>
        </w:rPr>
        <w:t>2</w:t>
      </w:r>
      <w:r>
        <w:rPr>
          <w:rFonts w:hint="eastAsia" w:ascii="仿宋" w:hAnsi="仿宋" w:eastAsia="仿宋" w:cs="仿宋"/>
          <w:snapToGrid w:val="0"/>
          <w:kern w:val="0"/>
          <w:sz w:val="24"/>
          <w:highlight w:val="none"/>
        </w:rPr>
        <w:t>0％。</w:t>
      </w:r>
    </w:p>
    <w:p w14:paraId="2C8AF59D">
      <w:pPr>
        <w:adjustRightInd w:val="0"/>
        <w:snapToGrid w:val="0"/>
        <w:spacing w:line="360" w:lineRule="auto"/>
        <w:ind w:firstLine="480" w:firstLineChars="200"/>
        <w:rPr>
          <w:rFonts w:hint="eastAsia" w:ascii="仿宋" w:hAnsi="仿宋" w:eastAsia="仿宋" w:cs="仿宋"/>
          <w:snapToGrid w:val="0"/>
          <w:kern w:val="0"/>
          <w:sz w:val="24"/>
          <w:highlight w:val="none"/>
        </w:rPr>
      </w:pPr>
      <w:r>
        <w:rPr>
          <w:rFonts w:hint="eastAsia" w:ascii="仿宋" w:hAnsi="仿宋" w:eastAsia="仿宋" w:cs="仿宋"/>
          <w:snapToGrid w:val="0"/>
          <w:kern w:val="0"/>
          <w:sz w:val="24"/>
          <w:highlight w:val="none"/>
        </w:rPr>
        <w:t>注：甲方凭乙方递交的支付申请书及发票进行付款。</w:t>
      </w:r>
    </w:p>
    <w:p w14:paraId="00AB0D2B">
      <w:pPr>
        <w:pStyle w:val="44"/>
        <w:widowControl/>
        <w:snapToGrid w:val="0"/>
        <w:ind w:firstLine="480"/>
        <w:rPr>
          <w:rFonts w:hint="eastAsia" w:ascii="仿宋" w:hAnsi="仿宋" w:eastAsia="仿宋" w:cs="仿宋"/>
          <w:snapToGrid w:val="0"/>
          <w:kern w:val="0"/>
          <w:highlight w:val="none"/>
        </w:rPr>
      </w:pPr>
      <w:r>
        <w:rPr>
          <w:rFonts w:hint="eastAsia" w:ascii="仿宋" w:hAnsi="仿宋" w:eastAsia="仿宋" w:cs="仿宋"/>
          <w:snapToGrid w:val="0"/>
          <w:kern w:val="0"/>
          <w:highlight w:val="none"/>
        </w:rPr>
        <w:t>4、因项目开展过程中可能存在不确定性。如因不可抗拒因素导致部分项目内容无法执行，所产生费用按实际消耗费用结算。结算时，乙方需提交本次项目的详细决算清单、相应的证明，作为尾款支付的必备材料。</w:t>
      </w:r>
    </w:p>
    <w:p w14:paraId="709D080E">
      <w:pPr>
        <w:pStyle w:val="44"/>
        <w:widowControl/>
        <w:snapToGrid w:val="0"/>
        <w:ind w:firstLine="480"/>
        <w:rPr>
          <w:rFonts w:hint="eastAsia" w:ascii="仿宋" w:hAnsi="仿宋" w:eastAsia="仿宋" w:cs="仿宋"/>
          <w:snapToGrid w:val="0"/>
          <w:kern w:val="0"/>
          <w:highlight w:val="none"/>
        </w:rPr>
      </w:pPr>
      <w:r>
        <w:rPr>
          <w:rFonts w:hint="eastAsia" w:ascii="仿宋" w:hAnsi="仿宋" w:eastAsia="仿宋" w:cs="仿宋"/>
          <w:snapToGrid w:val="0"/>
          <w:kern w:val="0"/>
          <w:szCs w:val="24"/>
          <w:highlight w:val="none"/>
        </w:rPr>
        <w:t>完成履约验收、甲方支付尾款后，乙方需承诺至本项目结束期间保质保量提供所有服务内容。</w:t>
      </w:r>
    </w:p>
    <w:bookmarkEnd w:id="186"/>
    <w:bookmarkEnd w:id="187"/>
    <w:bookmarkEnd w:id="188"/>
    <w:p w14:paraId="35B2BCAA">
      <w:pPr>
        <w:adjustRightInd w:val="0"/>
        <w:snapToGrid w:val="0"/>
        <w:spacing w:line="360" w:lineRule="auto"/>
        <w:ind w:firstLine="482" w:firstLineChars="200"/>
        <w:outlineLvl w:val="1"/>
        <w:rPr>
          <w:rFonts w:hint="eastAsia" w:ascii="仿宋" w:hAnsi="仿宋" w:eastAsia="仿宋" w:cs="仿宋"/>
          <w:b/>
          <w:sz w:val="24"/>
          <w:highlight w:val="none"/>
        </w:rPr>
      </w:pPr>
      <w:bookmarkStart w:id="189" w:name="_Toc31798"/>
      <w:bookmarkStart w:id="190" w:name="_Toc16446"/>
      <w:bookmarkStart w:id="191" w:name="_Toc9979"/>
      <w:bookmarkStart w:id="192" w:name="_Toc166"/>
      <w:bookmarkStart w:id="193" w:name="_Toc14670"/>
      <w:bookmarkStart w:id="194" w:name="_Toc28718"/>
      <w:bookmarkStart w:id="195" w:name="_Toc11069"/>
      <w:r>
        <w:rPr>
          <w:rFonts w:hint="eastAsia" w:ascii="仿宋" w:hAnsi="仿宋" w:eastAsia="仿宋" w:cs="仿宋"/>
          <w:b/>
          <w:sz w:val="24"/>
          <w:highlight w:val="none"/>
        </w:rPr>
        <w:t>第五条 人员、设备、材料供应</w:t>
      </w:r>
      <w:bookmarkEnd w:id="189"/>
      <w:bookmarkEnd w:id="190"/>
      <w:bookmarkEnd w:id="191"/>
      <w:bookmarkEnd w:id="192"/>
      <w:bookmarkEnd w:id="193"/>
      <w:bookmarkEnd w:id="194"/>
      <w:bookmarkEnd w:id="195"/>
      <w:r>
        <w:rPr>
          <w:rFonts w:hint="eastAsia" w:ascii="仿宋" w:hAnsi="仿宋" w:eastAsia="仿宋" w:cs="仿宋"/>
          <w:b/>
          <w:sz w:val="24"/>
          <w:highlight w:val="none"/>
        </w:rPr>
        <w:t xml:space="preserve"> </w:t>
      </w:r>
    </w:p>
    <w:p w14:paraId="7079DF9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1、乙方派遣的人员以附件形式提供，需明确姓名、岗位、联系方式。</w:t>
      </w:r>
    </w:p>
    <w:p w14:paraId="20F017A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2、本项目所用的全部设备、材料，除明确甲供的以外，均由乙方自行采购、保管（费用由乙方自理），但必须接受甲方的检查监督。具体清单以附件形式提供，需明确品种、品牌型号、数量等。</w:t>
      </w:r>
    </w:p>
    <w:p w14:paraId="2A2D811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3、乙方须确保设施、材料的质量，不得影响项目的正常开展及使用效果。</w:t>
      </w:r>
    </w:p>
    <w:p w14:paraId="3859517F">
      <w:pPr>
        <w:adjustRightInd w:val="0"/>
        <w:snapToGrid w:val="0"/>
        <w:spacing w:line="360" w:lineRule="auto"/>
        <w:ind w:firstLine="482" w:firstLineChars="200"/>
        <w:outlineLvl w:val="1"/>
        <w:rPr>
          <w:rFonts w:hint="eastAsia" w:ascii="仿宋" w:hAnsi="仿宋" w:eastAsia="仿宋" w:cs="仿宋"/>
          <w:b/>
          <w:sz w:val="24"/>
          <w:highlight w:val="none"/>
        </w:rPr>
      </w:pPr>
      <w:bookmarkStart w:id="196" w:name="_Toc19933"/>
      <w:bookmarkStart w:id="197" w:name="_Toc18367"/>
      <w:bookmarkStart w:id="198" w:name="_Toc20182"/>
      <w:bookmarkStart w:id="199" w:name="_Toc26428"/>
      <w:bookmarkStart w:id="200" w:name="_Toc28322"/>
      <w:bookmarkStart w:id="201" w:name="_Toc18219"/>
      <w:bookmarkStart w:id="202" w:name="_Toc10741"/>
      <w:r>
        <w:rPr>
          <w:rFonts w:hint="eastAsia" w:ascii="仿宋" w:hAnsi="仿宋" w:eastAsia="仿宋" w:cs="仿宋"/>
          <w:b/>
          <w:sz w:val="24"/>
          <w:highlight w:val="none"/>
        </w:rPr>
        <w:t xml:space="preserve">第六条 </w:t>
      </w:r>
      <w:bookmarkEnd w:id="196"/>
      <w:bookmarkEnd w:id="197"/>
      <w:bookmarkEnd w:id="198"/>
      <w:r>
        <w:rPr>
          <w:rFonts w:hint="eastAsia" w:ascii="仿宋" w:hAnsi="仿宋" w:eastAsia="仿宋" w:cs="仿宋"/>
          <w:b/>
          <w:sz w:val="24"/>
          <w:highlight w:val="none"/>
        </w:rPr>
        <w:t>知识产权</w:t>
      </w:r>
      <w:bookmarkEnd w:id="199"/>
      <w:bookmarkEnd w:id="200"/>
      <w:bookmarkEnd w:id="201"/>
      <w:bookmarkEnd w:id="202"/>
    </w:p>
    <w:p w14:paraId="7D7EDA9E">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1、项目所有文字及执行方为本项目专门摄制和设计制作的视频图片，其包括著作权在内的所有知识产权及所有权均归属甲方，执行方仅在项目执行期内拥有使用权。</w:t>
      </w:r>
    </w:p>
    <w:p w14:paraId="1E90ED3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2、执行方自行提供的用于本项目的视频及图片，需确保视频及图片不会侵犯任何第三方的知识产权，不存在任何版权纠纷。甲方有权永久免费使用，并有权留存备份。</w:t>
      </w:r>
    </w:p>
    <w:p w14:paraId="328D3C18">
      <w:pPr>
        <w:adjustRightInd w:val="0"/>
        <w:snapToGrid w:val="0"/>
        <w:spacing w:line="360" w:lineRule="auto"/>
        <w:ind w:firstLine="482" w:firstLineChars="200"/>
        <w:outlineLvl w:val="1"/>
        <w:rPr>
          <w:rFonts w:hint="eastAsia" w:ascii="仿宋" w:hAnsi="仿宋" w:eastAsia="仿宋" w:cs="仿宋"/>
          <w:b/>
          <w:sz w:val="24"/>
          <w:highlight w:val="none"/>
        </w:rPr>
      </w:pPr>
      <w:bookmarkStart w:id="203" w:name="_Toc4494"/>
      <w:bookmarkStart w:id="204" w:name="_Toc26322"/>
      <w:bookmarkStart w:id="205" w:name="_Toc22358"/>
      <w:bookmarkStart w:id="206" w:name="_Toc20393"/>
      <w:bookmarkStart w:id="207" w:name="_Toc21661"/>
      <w:bookmarkStart w:id="208" w:name="_Toc1516"/>
      <w:bookmarkStart w:id="209" w:name="_Toc25265"/>
      <w:r>
        <w:rPr>
          <w:rFonts w:hint="eastAsia" w:ascii="仿宋" w:hAnsi="仿宋" w:eastAsia="仿宋" w:cs="仿宋"/>
          <w:b/>
          <w:sz w:val="24"/>
          <w:highlight w:val="none"/>
        </w:rPr>
        <w:t>第七条 技术支持</w:t>
      </w:r>
      <w:bookmarkEnd w:id="203"/>
      <w:bookmarkEnd w:id="204"/>
      <w:bookmarkEnd w:id="205"/>
      <w:bookmarkEnd w:id="206"/>
      <w:bookmarkEnd w:id="207"/>
      <w:bookmarkEnd w:id="208"/>
      <w:bookmarkEnd w:id="209"/>
    </w:p>
    <w:p w14:paraId="3C51DFE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乙方在项目开展过程中，有义务向甲方提供所有与项目有关技术支持，保障履约质量。</w:t>
      </w:r>
    </w:p>
    <w:p w14:paraId="6B69B9A3">
      <w:pPr>
        <w:adjustRightInd w:val="0"/>
        <w:snapToGrid w:val="0"/>
        <w:spacing w:line="360" w:lineRule="auto"/>
        <w:ind w:firstLine="482" w:firstLineChars="200"/>
        <w:outlineLvl w:val="1"/>
        <w:rPr>
          <w:rFonts w:hint="eastAsia" w:ascii="仿宋" w:hAnsi="仿宋" w:eastAsia="仿宋" w:cs="仿宋"/>
          <w:b/>
          <w:sz w:val="24"/>
          <w:highlight w:val="none"/>
        </w:rPr>
      </w:pPr>
      <w:bookmarkStart w:id="210" w:name="_Toc6593"/>
      <w:bookmarkStart w:id="211" w:name="_Toc22136"/>
      <w:bookmarkStart w:id="212" w:name="_Toc18572"/>
      <w:bookmarkStart w:id="213" w:name="_Toc28425"/>
      <w:bookmarkStart w:id="214" w:name="_Toc20925"/>
      <w:bookmarkStart w:id="215" w:name="_Toc19087"/>
      <w:bookmarkStart w:id="216" w:name="_Toc13355"/>
      <w:r>
        <w:rPr>
          <w:rFonts w:hint="eastAsia" w:ascii="仿宋" w:hAnsi="仿宋" w:eastAsia="仿宋" w:cs="仿宋"/>
          <w:b/>
          <w:sz w:val="24"/>
          <w:highlight w:val="none"/>
        </w:rPr>
        <w:t>第八条 项目质量与验收</w:t>
      </w:r>
      <w:bookmarkEnd w:id="210"/>
      <w:bookmarkEnd w:id="211"/>
      <w:bookmarkEnd w:id="212"/>
      <w:bookmarkEnd w:id="213"/>
      <w:bookmarkEnd w:id="214"/>
      <w:bookmarkEnd w:id="215"/>
      <w:bookmarkEnd w:id="216"/>
    </w:p>
    <w:p w14:paraId="7CCD5CC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1．方案经甲方审定确认后，乙方予以实施。</w:t>
      </w:r>
    </w:p>
    <w:p w14:paraId="11BF4D4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甲方派专人对项目的现场管理和进度进行监督、检查和管理。</w:t>
      </w:r>
    </w:p>
    <w:p w14:paraId="092CA81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3．甲方代表如发现服务质量不符合要求者，有权通知乙方进行整改，乙方必须接受。且由此发生的费用和工期损失均由乙方承担。</w:t>
      </w:r>
    </w:p>
    <w:p w14:paraId="3795D00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4．乙方应按照有关规定，及时如实整理项目有关档案、记录和技术资料，服务完毕后及时书面通知甲方组织接收。</w:t>
      </w:r>
    </w:p>
    <w:p w14:paraId="131C79A8">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验收依据：①采购文件确定的技术指标或者服务要求；②投标文件承诺、询标回复；③服务合同、甲方制定的考核标准。未进行相应约定的，应当符合国家强制性规定、政策要求、安全标准、行业或企业有关标准等。</w:t>
      </w:r>
    </w:p>
    <w:p w14:paraId="756B2B77">
      <w:pPr>
        <w:adjustRightInd w:val="0"/>
        <w:snapToGrid w:val="0"/>
        <w:spacing w:line="360" w:lineRule="auto"/>
        <w:ind w:firstLine="482" w:firstLineChars="200"/>
        <w:outlineLvl w:val="1"/>
        <w:rPr>
          <w:rFonts w:hint="eastAsia" w:ascii="仿宋" w:hAnsi="仿宋" w:eastAsia="仿宋" w:cs="仿宋"/>
          <w:b/>
          <w:sz w:val="24"/>
          <w:highlight w:val="none"/>
        </w:rPr>
      </w:pPr>
      <w:bookmarkStart w:id="217" w:name="_Toc23658"/>
      <w:bookmarkStart w:id="218" w:name="_Toc23903"/>
      <w:bookmarkStart w:id="219" w:name="_Toc18318"/>
      <w:bookmarkStart w:id="220" w:name="_Toc19685"/>
      <w:bookmarkStart w:id="221" w:name="_Toc31391"/>
      <w:bookmarkStart w:id="222" w:name="_Toc23589"/>
      <w:bookmarkStart w:id="223" w:name="_Toc28158"/>
      <w:r>
        <w:rPr>
          <w:rFonts w:hint="eastAsia" w:ascii="仿宋" w:hAnsi="仿宋" w:eastAsia="仿宋" w:cs="仿宋"/>
          <w:b/>
          <w:sz w:val="24"/>
          <w:highlight w:val="none"/>
        </w:rPr>
        <w:t>第九条 合同的转让、变更及解除</w:t>
      </w:r>
      <w:bookmarkEnd w:id="217"/>
      <w:bookmarkEnd w:id="218"/>
      <w:bookmarkEnd w:id="219"/>
      <w:bookmarkEnd w:id="220"/>
      <w:bookmarkEnd w:id="221"/>
      <w:bookmarkEnd w:id="222"/>
      <w:bookmarkEnd w:id="223"/>
    </w:p>
    <w:p w14:paraId="745C50F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未经甲方事先书面同意，乙方不得将本合同的权利义务全部或部分转移给第三方。否则，甲方有权解除本合同并追究乙方的违约责任。</w:t>
      </w:r>
    </w:p>
    <w:p w14:paraId="520F3A2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双方协商一致，可以变更、解除本合同。任何一方变更、解除本合同，必须提前15日以书面形式提出，双方协商一致后签署补充合同。</w:t>
      </w:r>
    </w:p>
    <w:p w14:paraId="55340CF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3．一方有下列情形之一的，另一方可以解除本合同：</w:t>
      </w:r>
    </w:p>
    <w:p w14:paraId="40B2633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3.1因不可抗力致使不能实现本合同的目的。</w:t>
      </w:r>
    </w:p>
    <w:p w14:paraId="07403D0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3.2在履行期限届满之前，一方明确表示或者以自己的行为表明不履行主要债务。</w:t>
      </w:r>
    </w:p>
    <w:p w14:paraId="1E62208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3.3一方迟延履行主要义务，经催告后在合理期限内仍未履行。</w:t>
      </w:r>
    </w:p>
    <w:p w14:paraId="34DB3AE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3.4一方迟延履行义务或者有其他违约行为致使不能实现合同目的。</w:t>
      </w:r>
    </w:p>
    <w:p w14:paraId="4F36E39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3.5法律规定或本合同约定的其他情形。</w:t>
      </w:r>
    </w:p>
    <w:p w14:paraId="7FD9C6B9">
      <w:pPr>
        <w:adjustRightInd w:val="0"/>
        <w:snapToGrid w:val="0"/>
        <w:spacing w:line="360" w:lineRule="auto"/>
        <w:ind w:firstLine="482" w:firstLineChars="200"/>
        <w:outlineLvl w:val="1"/>
        <w:rPr>
          <w:rFonts w:hint="eastAsia" w:ascii="仿宋" w:hAnsi="仿宋" w:eastAsia="仿宋" w:cs="仿宋"/>
          <w:b/>
          <w:sz w:val="24"/>
          <w:highlight w:val="none"/>
        </w:rPr>
      </w:pPr>
      <w:bookmarkStart w:id="224" w:name="_Toc15642"/>
      <w:bookmarkStart w:id="225" w:name="_Toc1411"/>
      <w:bookmarkStart w:id="226" w:name="_Toc10936"/>
      <w:bookmarkStart w:id="227" w:name="_Toc2952"/>
      <w:bookmarkStart w:id="228" w:name="_Toc12438"/>
      <w:bookmarkStart w:id="229" w:name="_Toc10316"/>
      <w:bookmarkStart w:id="230" w:name="_Toc30303"/>
      <w:r>
        <w:rPr>
          <w:rFonts w:hint="eastAsia" w:ascii="仿宋" w:hAnsi="仿宋" w:eastAsia="仿宋" w:cs="仿宋"/>
          <w:b/>
          <w:sz w:val="24"/>
          <w:highlight w:val="none"/>
        </w:rPr>
        <w:t>第十条 违约责任</w:t>
      </w:r>
      <w:bookmarkEnd w:id="224"/>
      <w:bookmarkEnd w:id="225"/>
      <w:bookmarkEnd w:id="226"/>
      <w:bookmarkEnd w:id="227"/>
      <w:bookmarkEnd w:id="228"/>
      <w:bookmarkEnd w:id="229"/>
      <w:bookmarkEnd w:id="230"/>
    </w:p>
    <w:p w14:paraId="631285E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本合同签订后，任何一方不履行或不完全履行本合同约定条款的，即构成违约，任何一方违约时，守约方有权要求违约方继续履行本合同，同时有权要求违约方支付违约金。</w:t>
      </w:r>
    </w:p>
    <w:p w14:paraId="37DC4AE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如果甲方未按照本合同的约定支付项目经费，乙方有权要求其承担应付未付金额【10%】的违约金；如果乙方未能按照本合同约定履行义务，甲方有权要求其承担项目经费总额【10%】的违约金。</w:t>
      </w:r>
    </w:p>
    <w:p w14:paraId="22F915A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40724B79">
      <w:pPr>
        <w:adjustRightInd w:val="0"/>
        <w:snapToGrid w:val="0"/>
        <w:spacing w:line="360" w:lineRule="auto"/>
        <w:ind w:firstLine="482" w:firstLineChars="200"/>
        <w:outlineLvl w:val="1"/>
        <w:rPr>
          <w:rFonts w:hint="eastAsia" w:ascii="仿宋" w:hAnsi="仿宋" w:eastAsia="仿宋" w:cs="仿宋"/>
          <w:b/>
          <w:sz w:val="24"/>
          <w:highlight w:val="none"/>
        </w:rPr>
      </w:pPr>
      <w:bookmarkStart w:id="231" w:name="_Toc27340"/>
      <w:bookmarkStart w:id="232" w:name="_Toc2032"/>
      <w:bookmarkStart w:id="233" w:name="_Toc29384"/>
      <w:bookmarkStart w:id="234" w:name="_Toc16748"/>
      <w:bookmarkStart w:id="235" w:name="_Toc3511"/>
      <w:bookmarkStart w:id="236" w:name="_Toc24750"/>
      <w:bookmarkStart w:id="237" w:name="_Toc23791"/>
      <w:r>
        <w:rPr>
          <w:rFonts w:hint="eastAsia" w:ascii="仿宋" w:hAnsi="仿宋" w:eastAsia="仿宋" w:cs="仿宋"/>
          <w:b/>
          <w:sz w:val="24"/>
          <w:highlight w:val="none"/>
        </w:rPr>
        <w:t>第十一条 不可抗力</w:t>
      </w:r>
      <w:bookmarkEnd w:id="231"/>
      <w:bookmarkEnd w:id="232"/>
      <w:bookmarkEnd w:id="233"/>
      <w:bookmarkEnd w:id="234"/>
      <w:bookmarkEnd w:id="235"/>
      <w:bookmarkEnd w:id="236"/>
      <w:bookmarkEnd w:id="237"/>
    </w:p>
    <w:p w14:paraId="158E6DB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不可抗力是指因无法预见、无法避免且无法克服之原因发生的事项，包括但不限于地震、台风、海啸、瘟疫、火灾、洪水、重大疫情、政府行为、战争、恐怖袭击、蓄意破坏等客观情况。</w:t>
      </w:r>
    </w:p>
    <w:p w14:paraId="2BD09BE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本合同项下任何一方对于因不可抗力致使本合同不能履行或不能全部履行而给对方造成的任何损失不承担违约责任。</w:t>
      </w:r>
    </w:p>
    <w:p w14:paraId="07034C22">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不可抗力影响因素消失以后，双方应协商是否继续履行合同。如不可抗力因素对合同一方的义务产生实质性、无法补救的影响，导致合同已无法履行，双方应通过书面形式终止本合同。</w:t>
      </w:r>
    </w:p>
    <w:p w14:paraId="1F3129C9">
      <w:pPr>
        <w:adjustRightInd w:val="0"/>
        <w:snapToGrid w:val="0"/>
        <w:spacing w:line="360" w:lineRule="auto"/>
        <w:ind w:firstLine="482" w:firstLineChars="200"/>
        <w:outlineLvl w:val="1"/>
        <w:rPr>
          <w:rFonts w:hint="eastAsia" w:ascii="仿宋" w:hAnsi="仿宋" w:eastAsia="仿宋" w:cs="仿宋"/>
          <w:b/>
          <w:sz w:val="24"/>
          <w:highlight w:val="none"/>
        </w:rPr>
      </w:pPr>
      <w:bookmarkStart w:id="238" w:name="_Toc24"/>
      <w:bookmarkStart w:id="239" w:name="_Toc1882"/>
      <w:bookmarkStart w:id="240" w:name="_Toc10735"/>
      <w:bookmarkStart w:id="241" w:name="_Toc1942"/>
      <w:bookmarkStart w:id="242" w:name="_Toc31865"/>
      <w:bookmarkStart w:id="243" w:name="_Toc25334"/>
      <w:bookmarkStart w:id="244" w:name="_Toc21342"/>
      <w:r>
        <w:rPr>
          <w:rFonts w:hint="eastAsia" w:ascii="仿宋" w:hAnsi="仿宋" w:eastAsia="仿宋" w:cs="仿宋"/>
          <w:b/>
          <w:sz w:val="24"/>
          <w:highlight w:val="none"/>
        </w:rPr>
        <w:t>第十二条 争议解决</w:t>
      </w:r>
      <w:bookmarkEnd w:id="238"/>
      <w:bookmarkEnd w:id="239"/>
      <w:bookmarkEnd w:id="240"/>
      <w:bookmarkEnd w:id="241"/>
      <w:bookmarkEnd w:id="242"/>
      <w:bookmarkEnd w:id="243"/>
      <w:bookmarkEnd w:id="244"/>
    </w:p>
    <w:p w14:paraId="13E7205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本合同应适用中国法律并应根据中国法律解释。</w:t>
      </w:r>
    </w:p>
    <w:p w14:paraId="315B1BC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因本合同引起的或与本合同有关的任何争议，双方应当协商解决。经双方协商不能解决的，任何一方均有权向甲方所在地人民法院提起诉讼。</w:t>
      </w:r>
    </w:p>
    <w:p w14:paraId="45F51955">
      <w:pPr>
        <w:adjustRightInd w:val="0"/>
        <w:snapToGrid w:val="0"/>
        <w:spacing w:line="360" w:lineRule="auto"/>
        <w:ind w:firstLine="482" w:firstLineChars="200"/>
        <w:outlineLvl w:val="1"/>
        <w:rPr>
          <w:rFonts w:hint="eastAsia" w:ascii="仿宋" w:hAnsi="仿宋" w:eastAsia="仿宋" w:cs="仿宋"/>
          <w:b/>
          <w:sz w:val="24"/>
          <w:highlight w:val="none"/>
        </w:rPr>
      </w:pPr>
      <w:bookmarkStart w:id="245" w:name="_Toc14127"/>
      <w:bookmarkStart w:id="246" w:name="_Toc22036"/>
      <w:bookmarkStart w:id="247" w:name="_Toc12275"/>
      <w:bookmarkStart w:id="248" w:name="_Toc7450"/>
      <w:bookmarkStart w:id="249" w:name="_Toc8102"/>
      <w:bookmarkStart w:id="250" w:name="_Toc4592"/>
      <w:bookmarkStart w:id="251" w:name="_Toc19945"/>
      <w:r>
        <w:rPr>
          <w:rFonts w:hint="eastAsia" w:ascii="仿宋" w:hAnsi="仿宋" w:eastAsia="仿宋" w:cs="仿宋"/>
          <w:b/>
          <w:sz w:val="24"/>
          <w:highlight w:val="none"/>
        </w:rPr>
        <w:t>第十三条 其他</w:t>
      </w:r>
      <w:bookmarkEnd w:id="245"/>
      <w:bookmarkEnd w:id="246"/>
      <w:bookmarkEnd w:id="247"/>
      <w:bookmarkEnd w:id="248"/>
      <w:bookmarkEnd w:id="249"/>
      <w:bookmarkEnd w:id="250"/>
      <w:bookmarkEnd w:id="251"/>
    </w:p>
    <w:p w14:paraId="4008162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本合同自甲乙双方签字盖章之日起生效。</w:t>
      </w:r>
    </w:p>
    <w:p w14:paraId="57854A8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对本合同的任何修改和补充均应以补充协议的形式作出，由双方签署后生效。本合同的附件、补充协议与本合同具有同等法律效力。</w:t>
      </w:r>
    </w:p>
    <w:p w14:paraId="2497E5F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采购编号为【       】的采购文件、响应文件、补充协议等文件均为本合同的组成部分，以签署时间在后者为优。</w:t>
      </w:r>
    </w:p>
    <w:p w14:paraId="7C2E8F1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 本合同部分无效，不影响其他部分效力的，其他部分仍然有效。</w:t>
      </w:r>
    </w:p>
    <w:p w14:paraId="0E9BE1A7">
      <w:pPr>
        <w:pStyle w:val="157"/>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5. 本合同一式【  】份，甲方执【  】份，乙方执【  】份，各份具有同等法律效力。</w:t>
      </w:r>
    </w:p>
    <w:p w14:paraId="1271AEAA">
      <w:pPr>
        <w:adjustRightInd w:val="0"/>
        <w:snapToGrid w:val="0"/>
        <w:spacing w:line="360" w:lineRule="auto"/>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（以下无正文）</w:t>
      </w:r>
    </w:p>
    <w:p w14:paraId="26A65E01">
      <w:pPr>
        <w:adjustRightInd w:val="0"/>
        <w:snapToGrid w:val="0"/>
        <w:spacing w:line="360" w:lineRule="auto"/>
        <w:ind w:firstLine="482" w:firstLineChars="200"/>
        <w:rPr>
          <w:rFonts w:hint="eastAsia" w:ascii="仿宋" w:hAnsi="仿宋" w:eastAsia="仿宋" w:cs="仿宋"/>
          <w:b/>
          <w:i/>
          <w:sz w:val="24"/>
          <w:highlight w:val="none"/>
        </w:rPr>
      </w:pPr>
      <w:r>
        <w:rPr>
          <w:rFonts w:hint="eastAsia" w:ascii="仿宋" w:hAnsi="仿宋" w:eastAsia="仿宋" w:cs="仿宋"/>
          <w:b/>
          <w:i/>
          <w:sz w:val="24"/>
          <w:highlight w:val="none"/>
        </w:rPr>
        <w:t>（本页无正文，为本合同签署页）注：如另起签署页的，需保留该内容。</w:t>
      </w:r>
    </w:p>
    <w:p w14:paraId="35F12BE0">
      <w:pPr>
        <w:adjustRightInd w:val="0"/>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  </w:t>
      </w:r>
    </w:p>
    <w:tbl>
      <w:tblPr>
        <w:tblStyle w:val="45"/>
        <w:tblW w:w="0" w:type="auto"/>
        <w:tblCellSpacing w:w="0" w:type="dxa"/>
        <w:tblInd w:w="0" w:type="dxa"/>
        <w:tblLayout w:type="fixed"/>
        <w:tblCellMar>
          <w:top w:w="0" w:type="dxa"/>
          <w:left w:w="0" w:type="dxa"/>
          <w:bottom w:w="0" w:type="dxa"/>
          <w:right w:w="0" w:type="dxa"/>
        </w:tblCellMar>
      </w:tblPr>
      <w:tblGrid>
        <w:gridCol w:w="5160"/>
        <w:gridCol w:w="3735"/>
      </w:tblGrid>
      <w:tr w14:paraId="020450D9">
        <w:tblPrEx>
          <w:tblCellMar>
            <w:top w:w="0" w:type="dxa"/>
            <w:left w:w="0" w:type="dxa"/>
            <w:bottom w:w="0" w:type="dxa"/>
            <w:right w:w="0" w:type="dxa"/>
          </w:tblCellMar>
        </w:tblPrEx>
        <w:trPr>
          <w:trHeight w:val="600" w:hRule="atLeast"/>
          <w:tblCellSpacing w:w="0" w:type="dxa"/>
        </w:trPr>
        <w:tc>
          <w:tcPr>
            <w:tcW w:w="5160" w:type="dxa"/>
            <w:vAlign w:val="center"/>
          </w:tcPr>
          <w:p w14:paraId="47E5EFCC">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甲方（采购单位）（盖章）： </w:t>
            </w:r>
          </w:p>
        </w:tc>
        <w:tc>
          <w:tcPr>
            <w:tcW w:w="3735" w:type="dxa"/>
            <w:vAlign w:val="center"/>
          </w:tcPr>
          <w:p w14:paraId="31D21CC7">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乙方（供应商）（盖章）： </w:t>
            </w:r>
          </w:p>
        </w:tc>
      </w:tr>
      <w:tr w14:paraId="2825DF9F">
        <w:tblPrEx>
          <w:tblCellMar>
            <w:top w:w="0" w:type="dxa"/>
            <w:left w:w="0" w:type="dxa"/>
            <w:bottom w:w="0" w:type="dxa"/>
            <w:right w:w="0" w:type="dxa"/>
          </w:tblCellMar>
        </w:tblPrEx>
        <w:trPr>
          <w:trHeight w:val="705" w:hRule="atLeast"/>
          <w:tblCellSpacing w:w="0" w:type="dxa"/>
        </w:trPr>
        <w:tc>
          <w:tcPr>
            <w:tcW w:w="5160" w:type="dxa"/>
            <w:vAlign w:val="center"/>
          </w:tcPr>
          <w:p w14:paraId="2B73199F">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法定代表人：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或授权委托人（签字）： </w:t>
            </w:r>
          </w:p>
        </w:tc>
        <w:tc>
          <w:tcPr>
            <w:tcW w:w="3735" w:type="dxa"/>
            <w:vAlign w:val="center"/>
          </w:tcPr>
          <w:p w14:paraId="6C291319">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法定代表人：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 xml:space="preserve">或授权委托人（签字）： </w:t>
            </w:r>
          </w:p>
        </w:tc>
      </w:tr>
      <w:tr w14:paraId="5552C0C4">
        <w:tblPrEx>
          <w:tblCellMar>
            <w:top w:w="0" w:type="dxa"/>
            <w:left w:w="0" w:type="dxa"/>
            <w:bottom w:w="0" w:type="dxa"/>
            <w:right w:w="0" w:type="dxa"/>
          </w:tblCellMar>
        </w:tblPrEx>
        <w:trPr>
          <w:trHeight w:val="600" w:hRule="atLeast"/>
          <w:tblCellSpacing w:w="0" w:type="dxa"/>
        </w:trPr>
        <w:tc>
          <w:tcPr>
            <w:tcW w:w="5160" w:type="dxa"/>
            <w:vAlign w:val="center"/>
          </w:tcPr>
          <w:p w14:paraId="557B1A77">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联系人（签字）： </w:t>
            </w:r>
          </w:p>
        </w:tc>
        <w:tc>
          <w:tcPr>
            <w:tcW w:w="3735" w:type="dxa"/>
            <w:vAlign w:val="center"/>
          </w:tcPr>
          <w:p w14:paraId="0A9670D1">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联系人（签字）： </w:t>
            </w:r>
          </w:p>
        </w:tc>
      </w:tr>
      <w:tr w14:paraId="15355291">
        <w:tblPrEx>
          <w:tblCellMar>
            <w:top w:w="0" w:type="dxa"/>
            <w:left w:w="0" w:type="dxa"/>
            <w:bottom w:w="0" w:type="dxa"/>
            <w:right w:w="0" w:type="dxa"/>
          </w:tblCellMar>
        </w:tblPrEx>
        <w:trPr>
          <w:trHeight w:val="600" w:hRule="atLeast"/>
          <w:tblCellSpacing w:w="0" w:type="dxa"/>
        </w:trPr>
        <w:tc>
          <w:tcPr>
            <w:tcW w:w="5160" w:type="dxa"/>
            <w:vAlign w:val="center"/>
          </w:tcPr>
          <w:p w14:paraId="4FC3D5E2">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地址： </w:t>
            </w:r>
          </w:p>
        </w:tc>
        <w:tc>
          <w:tcPr>
            <w:tcW w:w="3735" w:type="dxa"/>
            <w:vAlign w:val="center"/>
          </w:tcPr>
          <w:p w14:paraId="4B15D35E">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地址： </w:t>
            </w:r>
          </w:p>
        </w:tc>
      </w:tr>
      <w:tr w14:paraId="4D26A2AB">
        <w:tblPrEx>
          <w:tblCellMar>
            <w:top w:w="0" w:type="dxa"/>
            <w:left w:w="0" w:type="dxa"/>
            <w:bottom w:w="0" w:type="dxa"/>
            <w:right w:w="0" w:type="dxa"/>
          </w:tblCellMar>
        </w:tblPrEx>
        <w:trPr>
          <w:trHeight w:val="600" w:hRule="atLeast"/>
          <w:tblCellSpacing w:w="0" w:type="dxa"/>
        </w:trPr>
        <w:tc>
          <w:tcPr>
            <w:tcW w:w="5160" w:type="dxa"/>
            <w:vAlign w:val="center"/>
          </w:tcPr>
          <w:p w14:paraId="037EBCC0">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邮编：</w:t>
            </w:r>
          </w:p>
        </w:tc>
        <w:tc>
          <w:tcPr>
            <w:tcW w:w="3735" w:type="dxa"/>
            <w:vAlign w:val="center"/>
          </w:tcPr>
          <w:p w14:paraId="3065C8B8">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邮编： </w:t>
            </w:r>
          </w:p>
        </w:tc>
      </w:tr>
      <w:tr w14:paraId="44E3ADC2">
        <w:tblPrEx>
          <w:tblCellMar>
            <w:top w:w="0" w:type="dxa"/>
            <w:left w:w="0" w:type="dxa"/>
            <w:bottom w:w="0" w:type="dxa"/>
            <w:right w:w="0" w:type="dxa"/>
          </w:tblCellMar>
        </w:tblPrEx>
        <w:trPr>
          <w:trHeight w:val="600" w:hRule="atLeast"/>
          <w:tblCellSpacing w:w="0" w:type="dxa"/>
        </w:trPr>
        <w:tc>
          <w:tcPr>
            <w:tcW w:w="5160" w:type="dxa"/>
            <w:vAlign w:val="center"/>
          </w:tcPr>
          <w:p w14:paraId="07A68BFF">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tc>
        <w:tc>
          <w:tcPr>
            <w:tcW w:w="3735" w:type="dxa"/>
            <w:vAlign w:val="center"/>
          </w:tcPr>
          <w:p w14:paraId="4CF0D339">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电话： </w:t>
            </w:r>
          </w:p>
        </w:tc>
      </w:tr>
      <w:tr w14:paraId="70BCE465">
        <w:tblPrEx>
          <w:tblCellMar>
            <w:top w:w="0" w:type="dxa"/>
            <w:left w:w="0" w:type="dxa"/>
            <w:bottom w:w="0" w:type="dxa"/>
            <w:right w:w="0" w:type="dxa"/>
          </w:tblCellMar>
        </w:tblPrEx>
        <w:trPr>
          <w:trHeight w:val="600" w:hRule="atLeast"/>
          <w:tblCellSpacing w:w="0" w:type="dxa"/>
        </w:trPr>
        <w:tc>
          <w:tcPr>
            <w:tcW w:w="5160" w:type="dxa"/>
            <w:vAlign w:val="center"/>
          </w:tcPr>
          <w:p w14:paraId="1A93B0A2">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传真： </w:t>
            </w:r>
          </w:p>
        </w:tc>
        <w:tc>
          <w:tcPr>
            <w:tcW w:w="3735" w:type="dxa"/>
            <w:vAlign w:val="center"/>
          </w:tcPr>
          <w:p w14:paraId="6C53DF4B">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传真： </w:t>
            </w:r>
          </w:p>
        </w:tc>
      </w:tr>
      <w:tr w14:paraId="5B7F1B07">
        <w:tblPrEx>
          <w:tblCellMar>
            <w:top w:w="0" w:type="dxa"/>
            <w:left w:w="0" w:type="dxa"/>
            <w:bottom w:w="0" w:type="dxa"/>
            <w:right w:w="0" w:type="dxa"/>
          </w:tblCellMar>
        </w:tblPrEx>
        <w:trPr>
          <w:trHeight w:val="600" w:hRule="atLeast"/>
          <w:tblCellSpacing w:w="0" w:type="dxa"/>
        </w:trPr>
        <w:tc>
          <w:tcPr>
            <w:tcW w:w="5160" w:type="dxa"/>
            <w:vAlign w:val="center"/>
          </w:tcPr>
          <w:p w14:paraId="50FA94CF">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开户银行： </w:t>
            </w:r>
          </w:p>
        </w:tc>
        <w:tc>
          <w:tcPr>
            <w:tcW w:w="3735" w:type="dxa"/>
            <w:vAlign w:val="center"/>
          </w:tcPr>
          <w:p w14:paraId="55C4C721">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开户银行： </w:t>
            </w:r>
          </w:p>
        </w:tc>
      </w:tr>
      <w:tr w14:paraId="4B835C7F">
        <w:tblPrEx>
          <w:tblCellMar>
            <w:top w:w="0" w:type="dxa"/>
            <w:left w:w="0" w:type="dxa"/>
            <w:bottom w:w="0" w:type="dxa"/>
            <w:right w:w="0" w:type="dxa"/>
          </w:tblCellMar>
        </w:tblPrEx>
        <w:trPr>
          <w:trHeight w:val="600" w:hRule="atLeast"/>
          <w:tblCellSpacing w:w="0" w:type="dxa"/>
        </w:trPr>
        <w:tc>
          <w:tcPr>
            <w:tcW w:w="5160" w:type="dxa"/>
            <w:vAlign w:val="center"/>
          </w:tcPr>
          <w:p w14:paraId="6DD1CB7E">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账号 ： </w:t>
            </w:r>
          </w:p>
        </w:tc>
        <w:tc>
          <w:tcPr>
            <w:tcW w:w="3735" w:type="dxa"/>
            <w:vAlign w:val="center"/>
          </w:tcPr>
          <w:p w14:paraId="03FF7E6F">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账号 ： </w:t>
            </w:r>
          </w:p>
        </w:tc>
      </w:tr>
    </w:tbl>
    <w:p w14:paraId="2E59C659">
      <w:pPr>
        <w:adjustRightInd w:val="0"/>
        <w:snapToGrid w:val="0"/>
        <w:spacing w:line="360" w:lineRule="auto"/>
        <w:rPr>
          <w:rFonts w:hint="eastAsia" w:ascii="仿宋" w:hAnsi="仿宋" w:eastAsia="仿宋" w:cs="仿宋"/>
          <w:kern w:val="0"/>
          <w:sz w:val="24"/>
          <w:highlight w:val="none"/>
        </w:rPr>
      </w:pPr>
    </w:p>
    <w:p w14:paraId="65139A17">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合同签订时间：    年 月  日</w:t>
      </w:r>
    </w:p>
    <w:p w14:paraId="2DBCEE5E">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签约地点：</w:t>
      </w:r>
    </w:p>
    <w:p w14:paraId="67E74F0D">
      <w:pPr>
        <w:adjustRightInd w:val="0"/>
        <w:snapToGrid w:val="0"/>
        <w:spacing w:line="360" w:lineRule="auto"/>
        <w:rPr>
          <w:rFonts w:hint="eastAsia" w:ascii="仿宋" w:hAnsi="仿宋" w:eastAsia="仿宋" w:cs="仿宋"/>
          <w:kern w:val="0"/>
          <w:sz w:val="24"/>
          <w:highlight w:val="none"/>
        </w:rPr>
      </w:pPr>
    </w:p>
    <w:p w14:paraId="51235DE2">
      <w:pPr>
        <w:adjustRightInd w:val="0"/>
        <w:snapToGrid w:val="0"/>
        <w:spacing w:line="360" w:lineRule="auto"/>
        <w:rPr>
          <w:rFonts w:hint="eastAsia" w:ascii="仿宋" w:hAnsi="仿宋" w:eastAsia="仿宋" w:cs="仿宋"/>
          <w:kern w:val="0"/>
          <w:sz w:val="24"/>
          <w:highlight w:val="none"/>
        </w:rPr>
      </w:pPr>
    </w:p>
    <w:p w14:paraId="69E3B903">
      <w:pPr>
        <w:rPr>
          <w:rFonts w:hint="eastAsia" w:ascii="仿宋" w:hAnsi="仿宋" w:eastAsia="仿宋" w:cs="仿宋"/>
          <w:bCs/>
          <w:kern w:val="0"/>
          <w:sz w:val="24"/>
          <w:highlight w:val="none"/>
          <w:lang w:bidi="zh-CN"/>
        </w:rPr>
      </w:pPr>
      <w:r>
        <w:rPr>
          <w:rFonts w:hint="eastAsia" w:ascii="仿宋" w:hAnsi="仿宋" w:eastAsia="仿宋" w:cs="仿宋"/>
          <w:bCs/>
          <w:kern w:val="0"/>
          <w:sz w:val="24"/>
          <w:highlight w:val="none"/>
          <w:lang w:bidi="zh-CN"/>
        </w:rPr>
        <w:br w:type="page"/>
      </w:r>
    </w:p>
    <w:p w14:paraId="0864BC9F">
      <w:pPr>
        <w:keepNext/>
        <w:keepLines/>
        <w:adjustRightInd w:val="0"/>
        <w:spacing w:line="416" w:lineRule="auto"/>
        <w:rPr>
          <w:rFonts w:hint="eastAsia" w:ascii="仿宋" w:hAnsi="仿宋" w:eastAsia="仿宋" w:cs="仿宋"/>
          <w:highlight w:val="none"/>
        </w:rPr>
      </w:pPr>
    </w:p>
    <w:bookmarkEnd w:id="111"/>
    <w:bookmarkEnd w:id="112"/>
    <w:bookmarkEnd w:id="113"/>
    <w:bookmarkEnd w:id="114"/>
    <w:bookmarkEnd w:id="115"/>
    <w:p w14:paraId="6593C079">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252" w:name="_Toc1306"/>
      <w:bookmarkStart w:id="253" w:name="_Toc249760797"/>
      <w:bookmarkStart w:id="254" w:name="_Toc251566668"/>
      <w:bookmarkStart w:id="255" w:name="_Toc234764855"/>
      <w:bookmarkStart w:id="256" w:name="_Toc4810"/>
      <w:r>
        <w:rPr>
          <w:rFonts w:hint="eastAsia" w:ascii="仿宋" w:hAnsi="仿宋" w:eastAsia="仿宋" w:cs="仿宋"/>
          <w:b/>
          <w:sz w:val="30"/>
          <w:szCs w:val="30"/>
          <w:highlight w:val="none"/>
        </w:rPr>
        <w:t>第六部分  投标文件格式</w:t>
      </w:r>
      <w:bookmarkEnd w:id="252"/>
      <w:bookmarkEnd w:id="253"/>
      <w:bookmarkEnd w:id="254"/>
      <w:bookmarkEnd w:id="255"/>
      <w:bookmarkEnd w:id="256"/>
    </w:p>
    <w:p w14:paraId="76A10683">
      <w:pPr>
        <w:autoSpaceDE w:val="0"/>
        <w:autoSpaceDN w:val="0"/>
        <w:adjustRightInd w:val="0"/>
        <w:spacing w:line="360" w:lineRule="auto"/>
        <w:ind w:firstLine="480"/>
        <w:rPr>
          <w:rFonts w:hint="eastAsia" w:ascii="仿宋" w:hAnsi="仿宋" w:eastAsia="仿宋" w:cs="仿宋"/>
          <w:sz w:val="24"/>
          <w:highlight w:val="none"/>
        </w:rPr>
      </w:pPr>
    </w:p>
    <w:p w14:paraId="4D3F9ED6">
      <w:pPr>
        <w:spacing w:line="360" w:lineRule="auto"/>
        <w:jc w:val="center"/>
        <w:outlineLvl w:val="1"/>
        <w:rPr>
          <w:rFonts w:hint="eastAsia" w:ascii="仿宋" w:hAnsi="仿宋" w:eastAsia="仿宋" w:cs="仿宋"/>
          <w:b/>
          <w:kern w:val="0"/>
          <w:sz w:val="36"/>
          <w:szCs w:val="36"/>
          <w:highlight w:val="none"/>
        </w:rPr>
      </w:pPr>
      <w:bookmarkStart w:id="257" w:name="_Toc5546"/>
      <w:bookmarkStart w:id="258" w:name="_Toc23013"/>
      <w:bookmarkStart w:id="259" w:name="_Toc25507"/>
      <w:bookmarkStart w:id="260" w:name="_Toc23772"/>
      <w:r>
        <w:rPr>
          <w:rFonts w:hint="eastAsia" w:ascii="仿宋" w:hAnsi="仿宋" w:eastAsia="仿宋" w:cs="仿宋"/>
          <w:b/>
          <w:kern w:val="0"/>
          <w:sz w:val="36"/>
          <w:szCs w:val="36"/>
          <w:highlight w:val="none"/>
        </w:rPr>
        <w:t>资格文件部分</w:t>
      </w:r>
      <w:bookmarkEnd w:id="257"/>
      <w:bookmarkEnd w:id="258"/>
      <w:bookmarkEnd w:id="259"/>
      <w:bookmarkEnd w:id="260"/>
    </w:p>
    <w:p w14:paraId="0C201E73">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0342ED69">
      <w:pPr>
        <w:spacing w:line="360" w:lineRule="auto"/>
        <w:jc w:val="center"/>
        <w:rPr>
          <w:rFonts w:hint="eastAsia" w:ascii="仿宋" w:hAnsi="仿宋" w:eastAsia="仿宋" w:cs="仿宋"/>
          <w:b/>
          <w:kern w:val="0"/>
          <w:sz w:val="36"/>
          <w:szCs w:val="36"/>
          <w:highlight w:val="none"/>
        </w:rPr>
      </w:pPr>
    </w:p>
    <w:p w14:paraId="5C05BE3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5E5B7BF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02C5F78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47ED0C0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20F587B2">
      <w:pPr>
        <w:snapToGrid w:val="0"/>
        <w:spacing w:line="360" w:lineRule="auto"/>
        <w:ind w:firstLine="480" w:firstLineChars="200"/>
        <w:rPr>
          <w:rFonts w:hint="eastAsia" w:ascii="仿宋" w:hAnsi="仿宋" w:eastAsia="仿宋" w:cs="仿宋"/>
          <w:sz w:val="24"/>
          <w:highlight w:val="none"/>
        </w:rPr>
      </w:pPr>
    </w:p>
    <w:p w14:paraId="5DF46310">
      <w:pPr>
        <w:spacing w:line="360" w:lineRule="auto"/>
        <w:ind w:firstLine="480" w:firstLineChars="200"/>
        <w:rPr>
          <w:rFonts w:hint="eastAsia" w:ascii="仿宋" w:hAnsi="仿宋" w:eastAsia="仿宋" w:cs="仿宋"/>
          <w:sz w:val="24"/>
          <w:highlight w:val="none"/>
        </w:rPr>
      </w:pPr>
    </w:p>
    <w:p w14:paraId="365A00BD">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 符合参加政府采购活动应当具备的一般条件的承诺函</w:t>
      </w:r>
    </w:p>
    <w:p w14:paraId="3F96EEE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D48F873">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w:t>
      </w:r>
      <w:r>
        <w:rPr>
          <w:rFonts w:hint="eastAsia" w:ascii="仿宋" w:hAnsi="仿宋" w:eastAsia="仿宋" w:cs="仿宋"/>
          <w:sz w:val="24"/>
          <w:highlight w:val="none"/>
        </w:rPr>
        <w:t>【招标编号：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】政府采购活动，郑重承诺：</w:t>
      </w:r>
    </w:p>
    <w:p w14:paraId="1FCDB442">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5C26442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6CC90B2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4462603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608131F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3008C1A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634D794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3131595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2642692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3A9C608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69A055D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6D926B71">
      <w:pPr>
        <w:pStyle w:val="19"/>
        <w:rPr>
          <w:rFonts w:hint="eastAsia" w:ascii="仿宋" w:hAnsi="仿宋" w:eastAsia="仿宋" w:cs="仿宋"/>
          <w:highlight w:val="none"/>
        </w:rPr>
      </w:pPr>
    </w:p>
    <w:p w14:paraId="4509FF7D">
      <w:pPr>
        <w:rPr>
          <w:rFonts w:hint="eastAsia" w:ascii="仿宋" w:hAnsi="仿宋" w:eastAsia="仿宋" w:cs="仿宋"/>
          <w:highlight w:val="none"/>
        </w:rPr>
      </w:pPr>
    </w:p>
    <w:p w14:paraId="36531D01">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6004D66E">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w:t>
      </w:r>
    </w:p>
    <w:p w14:paraId="5DABA51F">
      <w:pPr>
        <w:snapToGrid w:val="0"/>
        <w:spacing w:line="360" w:lineRule="auto"/>
        <w:ind w:right="480"/>
        <w:jc w:val="center"/>
        <w:rPr>
          <w:rFonts w:hint="eastAsia" w:ascii="仿宋" w:hAnsi="仿宋" w:eastAsia="仿宋" w:cs="仿宋"/>
          <w:b/>
          <w:kern w:val="0"/>
          <w:sz w:val="32"/>
          <w:szCs w:val="32"/>
          <w:highlight w:val="none"/>
        </w:rPr>
      </w:pPr>
    </w:p>
    <w:p w14:paraId="1DCA3547">
      <w:pPr>
        <w:snapToGrid w:val="0"/>
        <w:spacing w:line="360" w:lineRule="auto"/>
        <w:ind w:right="480"/>
        <w:jc w:val="center"/>
        <w:rPr>
          <w:rFonts w:hint="eastAsia" w:ascii="仿宋" w:hAnsi="仿宋" w:eastAsia="仿宋" w:cs="仿宋"/>
          <w:b/>
          <w:kern w:val="0"/>
          <w:sz w:val="32"/>
          <w:szCs w:val="32"/>
          <w:highlight w:val="none"/>
        </w:rPr>
      </w:pPr>
    </w:p>
    <w:p w14:paraId="2C2DE73B">
      <w:pPr>
        <w:rPr>
          <w:rFonts w:hint="eastAsia" w:ascii="仿宋" w:hAnsi="仿宋" w:eastAsia="仿宋" w:cs="仿宋"/>
          <w:highlight w:val="none"/>
        </w:rPr>
      </w:pPr>
    </w:p>
    <w:p w14:paraId="35BD22AA">
      <w:pPr>
        <w:snapToGrid w:val="0"/>
        <w:spacing w:line="360" w:lineRule="auto"/>
        <w:ind w:right="480"/>
        <w:jc w:val="center"/>
        <w:rPr>
          <w:rFonts w:hint="eastAsia" w:ascii="仿宋" w:hAnsi="仿宋" w:eastAsia="仿宋" w:cs="仿宋"/>
          <w:b/>
          <w:kern w:val="0"/>
          <w:sz w:val="32"/>
          <w:szCs w:val="32"/>
          <w:highlight w:val="none"/>
        </w:rPr>
      </w:pPr>
    </w:p>
    <w:p w14:paraId="37BBF14F">
      <w:pPr>
        <w:snapToGrid w:val="0"/>
        <w:spacing w:line="360" w:lineRule="auto"/>
        <w:ind w:right="480"/>
        <w:jc w:val="center"/>
        <w:rPr>
          <w:rFonts w:hint="eastAsia" w:ascii="仿宋" w:hAnsi="仿宋" w:eastAsia="仿宋" w:cs="仿宋"/>
          <w:b/>
          <w:kern w:val="0"/>
          <w:sz w:val="32"/>
          <w:szCs w:val="32"/>
          <w:highlight w:val="none"/>
        </w:rPr>
      </w:pPr>
    </w:p>
    <w:p w14:paraId="56D24741">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F381D4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4BB511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[以联合体形式投标的，提供联合协议（附件5）；本项目不接受联合体投标或者投标人不以联合体形式投标的，则不需要提供）]</w:t>
      </w:r>
    </w:p>
    <w:p w14:paraId="68B84644">
      <w:pPr>
        <w:snapToGrid w:val="0"/>
        <w:spacing w:line="360" w:lineRule="auto"/>
        <w:ind w:right="480"/>
        <w:jc w:val="center"/>
        <w:rPr>
          <w:rFonts w:hint="eastAsia" w:ascii="仿宋" w:hAnsi="仿宋" w:eastAsia="仿宋" w:cs="仿宋"/>
          <w:b/>
          <w:kern w:val="0"/>
          <w:sz w:val="32"/>
          <w:szCs w:val="32"/>
          <w:highlight w:val="none"/>
        </w:rPr>
      </w:pPr>
    </w:p>
    <w:p w14:paraId="16912908">
      <w:pPr>
        <w:snapToGrid w:val="0"/>
        <w:spacing w:line="360" w:lineRule="auto"/>
        <w:ind w:right="480"/>
        <w:jc w:val="center"/>
        <w:rPr>
          <w:rFonts w:hint="eastAsia" w:ascii="仿宋" w:hAnsi="仿宋" w:eastAsia="仿宋" w:cs="仿宋"/>
          <w:b/>
          <w:kern w:val="0"/>
          <w:sz w:val="32"/>
          <w:szCs w:val="32"/>
          <w:highlight w:val="none"/>
        </w:rPr>
      </w:pPr>
    </w:p>
    <w:p w14:paraId="74478A0C">
      <w:pPr>
        <w:snapToGrid w:val="0"/>
        <w:spacing w:line="360" w:lineRule="auto"/>
        <w:ind w:right="480"/>
        <w:jc w:val="center"/>
        <w:rPr>
          <w:rFonts w:hint="eastAsia" w:ascii="仿宋" w:hAnsi="仿宋" w:eastAsia="仿宋" w:cs="仿宋"/>
          <w:b/>
          <w:kern w:val="0"/>
          <w:sz w:val="32"/>
          <w:szCs w:val="32"/>
          <w:highlight w:val="none"/>
        </w:rPr>
      </w:pPr>
    </w:p>
    <w:p w14:paraId="6378BBD0">
      <w:pPr>
        <w:snapToGrid w:val="0"/>
        <w:spacing w:line="360" w:lineRule="auto"/>
        <w:ind w:right="480"/>
        <w:jc w:val="center"/>
        <w:rPr>
          <w:rFonts w:hint="eastAsia" w:ascii="仿宋" w:hAnsi="仿宋" w:eastAsia="仿宋" w:cs="仿宋"/>
          <w:b/>
          <w:kern w:val="0"/>
          <w:sz w:val="32"/>
          <w:szCs w:val="32"/>
          <w:highlight w:val="none"/>
        </w:rPr>
      </w:pPr>
    </w:p>
    <w:p w14:paraId="515EF0F0">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6E6AAD2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312B98D0">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2EBD5841">
      <w:pPr>
        <w:widowControl/>
        <w:spacing w:line="360" w:lineRule="auto"/>
        <w:ind w:firstLine="480"/>
        <w:jc w:val="left"/>
        <w:rPr>
          <w:rFonts w:hint="eastAsia" w:ascii="仿宋" w:hAnsi="仿宋" w:eastAsia="仿宋" w:cs="仿宋"/>
          <w:sz w:val="24"/>
          <w:highlight w:val="none"/>
        </w:rPr>
      </w:pPr>
    </w:p>
    <w:p w14:paraId="60840391">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58BD4411">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411294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31B87348">
      <w:pPr>
        <w:rPr>
          <w:rFonts w:hint="eastAsia" w:ascii="仿宋" w:hAnsi="仿宋" w:eastAsia="仿宋" w:cs="仿宋"/>
          <w:highlight w:val="none"/>
          <w:lang w:val="zh-CN"/>
        </w:rPr>
      </w:pPr>
      <w:r>
        <w:rPr>
          <w:rFonts w:hint="eastAsia" w:ascii="仿宋" w:hAnsi="仿宋" w:eastAsia="仿宋" w:cs="仿宋"/>
          <w:highlight w:val="none"/>
          <w:lang w:val="zh-CN"/>
        </w:rPr>
        <w:br w:type="page"/>
      </w:r>
    </w:p>
    <w:p w14:paraId="7E9EE794">
      <w:pPr>
        <w:keepNext/>
        <w:keepLines/>
        <w:adjustRightInd w:val="0"/>
        <w:spacing w:line="416" w:lineRule="auto"/>
        <w:rPr>
          <w:rFonts w:hint="eastAsia" w:ascii="仿宋" w:hAnsi="仿宋" w:eastAsia="仿宋" w:cs="仿宋"/>
          <w:highlight w:val="none"/>
          <w:lang w:val="zh-CN"/>
        </w:rPr>
      </w:pPr>
    </w:p>
    <w:p w14:paraId="2155DA60">
      <w:pPr>
        <w:rPr>
          <w:rFonts w:hint="eastAsia" w:ascii="仿宋" w:hAnsi="仿宋" w:eastAsia="仿宋" w:cs="仿宋"/>
          <w:b/>
          <w:kern w:val="0"/>
          <w:sz w:val="32"/>
          <w:szCs w:val="32"/>
          <w:highlight w:val="none"/>
        </w:rPr>
      </w:pPr>
    </w:p>
    <w:p w14:paraId="689C908F">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1DC0B1C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835380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p>
    <w:p w14:paraId="5BF9CC55">
      <w:pPr>
        <w:spacing w:line="360" w:lineRule="auto"/>
        <w:ind w:right="420"/>
        <w:jc w:val="center"/>
        <w:outlineLvl w:val="1"/>
        <w:rPr>
          <w:rFonts w:hint="eastAsia" w:ascii="仿宋" w:hAnsi="仿宋" w:eastAsia="仿宋" w:cs="仿宋"/>
          <w:b/>
          <w:kern w:val="0"/>
          <w:sz w:val="36"/>
          <w:szCs w:val="36"/>
          <w:highlight w:val="none"/>
        </w:rPr>
      </w:pPr>
      <w:bookmarkStart w:id="261" w:name="_Toc23502"/>
      <w:bookmarkStart w:id="262" w:name="_Toc3036"/>
      <w:bookmarkStart w:id="263" w:name="_Toc12395"/>
      <w:bookmarkStart w:id="264" w:name="_Toc4272"/>
      <w:r>
        <w:rPr>
          <w:rFonts w:hint="eastAsia" w:ascii="仿宋" w:hAnsi="仿宋" w:eastAsia="仿宋" w:cs="仿宋"/>
          <w:b/>
          <w:kern w:val="0"/>
          <w:sz w:val="36"/>
          <w:szCs w:val="36"/>
          <w:highlight w:val="none"/>
        </w:rPr>
        <w:t>商务技术文件部分</w:t>
      </w:r>
      <w:bookmarkEnd w:id="261"/>
      <w:bookmarkEnd w:id="262"/>
      <w:bookmarkEnd w:id="263"/>
      <w:bookmarkEnd w:id="264"/>
    </w:p>
    <w:p w14:paraId="125308BD">
      <w:pPr>
        <w:spacing w:line="360" w:lineRule="auto"/>
        <w:jc w:val="center"/>
        <w:rPr>
          <w:rFonts w:hint="eastAsia" w:ascii="仿宋" w:hAnsi="仿宋" w:eastAsia="仿宋" w:cs="仿宋"/>
          <w:b/>
          <w:kern w:val="0"/>
          <w:sz w:val="24"/>
          <w:highlight w:val="none"/>
        </w:rPr>
      </w:pPr>
    </w:p>
    <w:p w14:paraId="63D0DAB5">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04E07247">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投标函…………………………………………………………………………（页码）</w:t>
      </w:r>
    </w:p>
    <w:p w14:paraId="1C74A9E9">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7169579B">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分包意向协议…………………………………………………………………（页码）</w:t>
      </w:r>
    </w:p>
    <w:p w14:paraId="23232AEA">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6EB99291">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评标标准相应的商务技术资料………………………………………………（页码）</w:t>
      </w:r>
    </w:p>
    <w:p w14:paraId="7CE3EB40">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投标标的清单…………………………………………………………………（页码）</w:t>
      </w:r>
    </w:p>
    <w:p w14:paraId="55DF46C7">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商务技术偏离表………………………………………………………………（页码）</w:t>
      </w:r>
    </w:p>
    <w:p w14:paraId="2750BE9A">
      <w:pPr>
        <w:numPr>
          <w:ilvl w:val="0"/>
          <w:numId w:val="10"/>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1B6ED4A8">
      <w:pPr>
        <w:rPr>
          <w:rFonts w:hint="eastAsia" w:ascii="仿宋" w:hAnsi="仿宋" w:eastAsia="仿宋" w:cs="仿宋"/>
          <w:highlight w:val="none"/>
          <w:lang w:val="zh-CN"/>
        </w:rPr>
      </w:pPr>
    </w:p>
    <w:p w14:paraId="4A593560">
      <w:pPr>
        <w:rPr>
          <w:rFonts w:hint="eastAsia" w:ascii="仿宋" w:hAnsi="仿宋" w:eastAsia="仿宋" w:cs="仿宋"/>
          <w:highlight w:val="none"/>
          <w:lang w:val="zh-CN"/>
        </w:rPr>
      </w:pPr>
    </w:p>
    <w:p w14:paraId="17A43DA2">
      <w:pPr>
        <w:rPr>
          <w:rFonts w:hint="eastAsia" w:ascii="仿宋" w:hAnsi="仿宋" w:eastAsia="仿宋" w:cs="仿宋"/>
          <w:highlight w:val="none"/>
          <w:lang w:val="zh-CN"/>
        </w:rPr>
      </w:pPr>
    </w:p>
    <w:p w14:paraId="0E15F68D">
      <w:pPr>
        <w:rPr>
          <w:rFonts w:hint="eastAsia" w:ascii="仿宋" w:hAnsi="仿宋" w:eastAsia="仿宋" w:cs="仿宋"/>
          <w:highlight w:val="none"/>
          <w:lang w:val="zh-CN"/>
        </w:rPr>
      </w:pPr>
    </w:p>
    <w:p w14:paraId="31F3B910">
      <w:pPr>
        <w:rPr>
          <w:rFonts w:hint="eastAsia" w:ascii="仿宋" w:hAnsi="仿宋" w:eastAsia="仿宋" w:cs="仿宋"/>
          <w:highlight w:val="none"/>
          <w:lang w:val="zh-CN"/>
        </w:rPr>
      </w:pPr>
    </w:p>
    <w:p w14:paraId="49DE6FD0">
      <w:pPr>
        <w:rPr>
          <w:rFonts w:hint="eastAsia" w:ascii="仿宋" w:hAnsi="仿宋" w:eastAsia="仿宋" w:cs="仿宋"/>
          <w:highlight w:val="none"/>
        </w:rPr>
      </w:pPr>
    </w:p>
    <w:p w14:paraId="3BCD160D">
      <w:pPr>
        <w:rPr>
          <w:rFonts w:hint="eastAsia" w:ascii="仿宋" w:hAnsi="仿宋" w:eastAsia="仿宋" w:cs="仿宋"/>
          <w:highlight w:val="none"/>
        </w:rPr>
      </w:pPr>
    </w:p>
    <w:p w14:paraId="2B9CCAE7">
      <w:pPr>
        <w:rPr>
          <w:rFonts w:hint="eastAsia" w:ascii="仿宋" w:hAnsi="仿宋" w:eastAsia="仿宋" w:cs="仿宋"/>
          <w:highlight w:val="none"/>
        </w:rPr>
      </w:pPr>
    </w:p>
    <w:p w14:paraId="349130EB">
      <w:pPr>
        <w:rPr>
          <w:rFonts w:hint="eastAsia" w:ascii="仿宋" w:hAnsi="仿宋" w:eastAsia="仿宋" w:cs="仿宋"/>
          <w:highlight w:val="none"/>
        </w:rPr>
      </w:pPr>
    </w:p>
    <w:p w14:paraId="4645B349">
      <w:pPr>
        <w:rPr>
          <w:rFonts w:hint="eastAsia" w:ascii="仿宋" w:hAnsi="仿宋" w:eastAsia="仿宋" w:cs="仿宋"/>
          <w:highlight w:val="none"/>
        </w:rPr>
      </w:pPr>
    </w:p>
    <w:p w14:paraId="0D45A9B1">
      <w:pPr>
        <w:rPr>
          <w:rFonts w:hint="eastAsia" w:ascii="仿宋" w:hAnsi="仿宋" w:eastAsia="仿宋" w:cs="仿宋"/>
          <w:highlight w:val="none"/>
        </w:rPr>
      </w:pPr>
    </w:p>
    <w:p w14:paraId="19AA416C">
      <w:pPr>
        <w:rPr>
          <w:rFonts w:hint="eastAsia" w:ascii="仿宋" w:hAnsi="仿宋" w:eastAsia="仿宋" w:cs="仿宋"/>
          <w:highlight w:val="none"/>
        </w:rPr>
      </w:pPr>
    </w:p>
    <w:p w14:paraId="5856B100">
      <w:pPr>
        <w:rPr>
          <w:rFonts w:hint="eastAsia" w:ascii="仿宋" w:hAnsi="仿宋" w:eastAsia="仿宋" w:cs="仿宋"/>
          <w:highlight w:val="none"/>
        </w:rPr>
      </w:pPr>
    </w:p>
    <w:p w14:paraId="065865F6">
      <w:pPr>
        <w:rPr>
          <w:rFonts w:hint="eastAsia" w:ascii="仿宋" w:hAnsi="仿宋" w:eastAsia="仿宋" w:cs="仿宋"/>
          <w:highlight w:val="none"/>
        </w:rPr>
      </w:pPr>
    </w:p>
    <w:p w14:paraId="6544C216">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DB78501">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70838B8">
      <w:pPr>
        <w:adjustRightInd w:val="0"/>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4B3F9F9">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2141988E">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25ABDA96">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548F10A">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690271AD">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7E3974F2">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2.1.2联合协议；（如果有)</w:t>
      </w:r>
    </w:p>
    <w:p w14:paraId="51AFEC78">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w:t>
      </w:r>
      <w:r>
        <w:rPr>
          <w:rFonts w:hint="eastAsia" w:ascii="仿宋" w:hAnsi="仿宋" w:eastAsia="仿宋" w:cs="仿宋"/>
          <w:bCs/>
          <w:sz w:val="24"/>
          <w:highlight w:val="none"/>
        </w:rPr>
        <w:t>；（无）</w:t>
      </w:r>
    </w:p>
    <w:p w14:paraId="4C53265B">
      <w:pPr>
        <w:adjustRightInd w:val="0"/>
        <w:snapToGrid w:val="0"/>
        <w:spacing w:line="360" w:lineRule="exact"/>
        <w:ind w:left="420" w:leftChars="200" w:firstLine="480" w:firstLineChars="200"/>
        <w:rPr>
          <w:rFonts w:hint="eastAsia" w:ascii="仿宋" w:hAnsi="仿宋" w:eastAsia="仿宋" w:cs="仿宋"/>
          <w:bCs/>
          <w:sz w:val="24"/>
          <w:highlight w:val="none"/>
        </w:rPr>
      </w:pPr>
      <w:r>
        <w:rPr>
          <w:rFonts w:hint="eastAsia" w:ascii="仿宋" w:hAnsi="仿宋" w:eastAsia="仿宋" w:cs="仿宋"/>
          <w:sz w:val="24"/>
          <w:highlight w:val="none"/>
        </w:rPr>
        <w:t>2.1.4本项目的特定资格要求</w:t>
      </w:r>
      <w:r>
        <w:rPr>
          <w:rFonts w:hint="eastAsia" w:ascii="仿宋" w:hAnsi="仿宋" w:eastAsia="仿宋" w:cs="仿宋"/>
          <w:bCs/>
          <w:sz w:val="24"/>
          <w:highlight w:val="none"/>
        </w:rPr>
        <w:t>。（无）</w:t>
      </w:r>
    </w:p>
    <w:p w14:paraId="3EC959E7">
      <w:pPr>
        <w:adjustRightInd w:val="0"/>
        <w:snapToGrid w:val="0"/>
        <w:spacing w:line="360" w:lineRule="exact"/>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676D91B5">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4D96C579">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r>
        <w:rPr>
          <w:rFonts w:hint="eastAsia" w:ascii="仿宋" w:hAnsi="仿宋" w:eastAsia="仿宋" w:cs="仿宋"/>
          <w:bCs/>
          <w:sz w:val="24"/>
          <w:highlight w:val="none"/>
        </w:rPr>
        <w:t>以及投标人为授权代表缴纳的、距投标截止时</w:t>
      </w:r>
      <w:r>
        <w:rPr>
          <w:rFonts w:hint="eastAsia" w:ascii="仿宋" w:hAnsi="仿宋" w:eastAsia="仿宋" w:cs="仿宋"/>
          <w:bCs/>
          <w:sz w:val="24"/>
          <w:highlight w:val="none"/>
        </w:rPr>
        <w:t>间</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个月内任意时间</w:t>
      </w:r>
      <w:r>
        <w:rPr>
          <w:rFonts w:hint="eastAsia" w:ascii="仿宋" w:hAnsi="仿宋" w:eastAsia="仿宋" w:cs="仿宋"/>
          <w:bCs/>
          <w:sz w:val="24"/>
          <w:highlight w:val="none"/>
        </w:rPr>
        <w:t>出具的社保证明材料</w:t>
      </w:r>
      <w:r>
        <w:rPr>
          <w:rFonts w:hint="eastAsia" w:ascii="仿宋" w:hAnsi="仿宋" w:eastAsia="仿宋" w:cs="仿宋"/>
          <w:sz w:val="24"/>
          <w:highlight w:val="none"/>
        </w:rPr>
        <w:t>；</w:t>
      </w:r>
    </w:p>
    <w:p w14:paraId="4D585A92">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w:t>
      </w:r>
      <w:r>
        <w:rPr>
          <w:rFonts w:hint="eastAsia" w:ascii="仿宋" w:hAnsi="仿宋" w:eastAsia="仿宋" w:cs="仿宋"/>
          <w:bCs/>
          <w:sz w:val="24"/>
          <w:highlight w:val="none"/>
        </w:rPr>
        <w:t>如果有</w:t>
      </w:r>
      <w:r>
        <w:rPr>
          <w:rFonts w:hint="eastAsia" w:ascii="仿宋" w:hAnsi="仿宋" w:eastAsia="仿宋" w:cs="仿宋"/>
          <w:sz w:val="24"/>
          <w:highlight w:val="none"/>
        </w:rPr>
        <w:t>）</w:t>
      </w:r>
    </w:p>
    <w:p w14:paraId="12702933">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E17D31">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514543E9">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14:paraId="633D442B">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6DB1674">
      <w:pPr>
        <w:adjustRightInd w:val="0"/>
        <w:snapToGrid w:val="0"/>
        <w:spacing w:line="360" w:lineRule="exact"/>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4A675C13">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153C925">
      <w:pPr>
        <w:adjustRightInd w:val="0"/>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02CC2B5A">
      <w:pPr>
        <w:adjustRightInd w:val="0"/>
        <w:snapToGrid w:val="0"/>
        <w:spacing w:line="36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2.3.2报价明细表；（自拟）</w:t>
      </w:r>
    </w:p>
    <w:p w14:paraId="24B020EF">
      <w:pPr>
        <w:adjustRightInd w:val="0"/>
        <w:snapToGrid w:val="0"/>
        <w:spacing w:line="400" w:lineRule="exact"/>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2.3.3中小企业声明函。（如果有）</w:t>
      </w:r>
    </w:p>
    <w:p w14:paraId="511084C0">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5DD3900D">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0FF7F1A6">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7425A0A2">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01A94035">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0247A589">
      <w:pPr>
        <w:adjustRightInd w:val="0"/>
        <w:snapToGrid w:val="0"/>
        <w:spacing w:line="360" w:lineRule="exact"/>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4CF01A62">
      <w:pPr>
        <w:adjustRightInd w:val="0"/>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7E1C564">
      <w:pPr>
        <w:adjustRightInd w:val="0"/>
        <w:snapToGrid w:val="0"/>
        <w:spacing w:line="360" w:lineRule="exact"/>
        <w:ind w:firstLine="3600" w:firstLineChars="1500"/>
        <w:rPr>
          <w:rFonts w:hint="eastAsia" w:ascii="仿宋" w:hAnsi="仿宋" w:eastAsia="仿宋" w:cs="仿宋"/>
          <w:sz w:val="24"/>
          <w:highlight w:val="none"/>
        </w:rPr>
      </w:pPr>
    </w:p>
    <w:p w14:paraId="11E08668">
      <w:pPr>
        <w:adjustRightInd w:val="0"/>
        <w:snapToGrid w:val="0"/>
        <w:spacing w:line="36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14:paraId="5415B8F8">
      <w:pPr>
        <w:adjustRightInd w:val="0"/>
        <w:snapToGrid w:val="0"/>
        <w:spacing w:line="360" w:lineRule="exact"/>
        <w:jc w:val="center"/>
        <w:rPr>
          <w:rFonts w:hint="eastAsia" w:ascii="仿宋" w:hAnsi="仿宋" w:eastAsia="仿宋" w:cs="仿宋"/>
          <w:kern w:val="0"/>
          <w:sz w:val="24"/>
          <w:highlight w:val="none"/>
          <w:u w:val="single"/>
          <w:lang w:val="zh-CN"/>
        </w:rPr>
      </w:pPr>
      <w:r>
        <w:rPr>
          <w:rFonts w:hint="eastAsia" w:ascii="仿宋" w:hAnsi="仿宋" w:eastAsia="仿宋" w:cs="仿宋"/>
          <w:sz w:val="24"/>
          <w:highlight w:val="none"/>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17BAD5CE">
      <w:pPr>
        <w:spacing w:line="360" w:lineRule="auto"/>
        <w:ind w:right="420"/>
        <w:rPr>
          <w:rFonts w:hint="eastAsia" w:ascii="仿宋" w:hAnsi="仿宋" w:eastAsia="仿宋" w:cs="仿宋"/>
          <w:sz w:val="24"/>
          <w:highlight w:val="none"/>
        </w:rPr>
      </w:pPr>
    </w:p>
    <w:p w14:paraId="3A5DDEB2">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25E23518">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453B995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70D1ADB1">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58788F97">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23FA0A3B">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79CE2CD4">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187743D7">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6770B00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4C8C8B38">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7FEF6744">
      <w:pPr>
        <w:snapToGrid w:val="0"/>
        <w:spacing w:line="360" w:lineRule="auto"/>
        <w:rPr>
          <w:rFonts w:hint="eastAsia" w:ascii="仿宋" w:hAnsi="仿宋" w:eastAsia="仿宋" w:cs="仿宋"/>
          <w:sz w:val="24"/>
          <w:highlight w:val="none"/>
        </w:rPr>
      </w:pPr>
    </w:p>
    <w:p w14:paraId="32F12B5C">
      <w:pPr>
        <w:snapToGrid w:val="0"/>
        <w:spacing w:line="360" w:lineRule="auto"/>
        <w:rPr>
          <w:rFonts w:hint="eastAsia" w:ascii="仿宋" w:hAnsi="仿宋" w:eastAsia="仿宋" w:cs="仿宋"/>
          <w:sz w:val="24"/>
          <w:highlight w:val="none"/>
        </w:rPr>
      </w:pPr>
    </w:p>
    <w:p w14:paraId="2C60D1A8">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437637E7">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1567C7E1">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6C525231">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委托期限：</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7C75F5E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64479B87">
      <w:pPr>
        <w:jc w:val="center"/>
        <w:rPr>
          <w:rFonts w:hint="eastAsia" w:ascii="仿宋" w:hAnsi="仿宋" w:eastAsia="仿宋" w:cs="仿宋"/>
          <w:b/>
          <w:kern w:val="0"/>
          <w:sz w:val="32"/>
          <w:szCs w:val="32"/>
          <w:highlight w:val="none"/>
        </w:rPr>
      </w:pPr>
    </w:p>
    <w:p w14:paraId="44BD3069">
      <w:pPr>
        <w:jc w:val="center"/>
        <w:rPr>
          <w:rFonts w:hint="eastAsia" w:ascii="仿宋" w:hAnsi="仿宋" w:eastAsia="仿宋" w:cs="仿宋"/>
          <w:b/>
          <w:kern w:val="0"/>
          <w:sz w:val="32"/>
          <w:szCs w:val="32"/>
          <w:highlight w:val="none"/>
        </w:rPr>
      </w:pPr>
    </w:p>
    <w:p w14:paraId="4D61E886">
      <w:pPr>
        <w:rPr>
          <w:rFonts w:hint="eastAsia" w:ascii="仿宋" w:hAnsi="仿宋" w:eastAsia="仿宋" w:cs="仿宋"/>
          <w:highlight w:val="none"/>
        </w:rPr>
      </w:pPr>
    </w:p>
    <w:p w14:paraId="004F0B15">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B7FBDE8">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0D583C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0A79A68F">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289181ED">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74576B1">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65824BF9">
      <w:pPr>
        <w:pStyle w:val="196"/>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A0B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9207" w:type="dxa"/>
          </w:tcPr>
          <w:p w14:paraId="1B1A1435">
            <w:pPr>
              <w:pStyle w:val="196"/>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4155D828">
            <w:pPr>
              <w:pStyle w:val="196"/>
              <w:adjustRightInd w:val="0"/>
              <w:spacing w:line="360" w:lineRule="auto"/>
              <w:rPr>
                <w:rFonts w:hint="eastAsia" w:ascii="仿宋" w:hAnsi="仿宋" w:eastAsia="仿宋" w:cs="仿宋"/>
                <w:bCs/>
                <w:sz w:val="24"/>
                <w:highlight w:val="none"/>
              </w:rPr>
            </w:pPr>
          </w:p>
        </w:tc>
      </w:tr>
    </w:tbl>
    <w:p w14:paraId="69F28247">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431D3C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投标人为授权代表缴纳的、</w:t>
      </w:r>
      <w:r>
        <w:rPr>
          <w:rFonts w:hint="eastAsia" w:ascii="仿宋" w:hAnsi="仿宋" w:eastAsia="仿宋"/>
          <w:bCs/>
          <w:sz w:val="24"/>
          <w:highlight w:val="none"/>
        </w:rPr>
        <w:t>近一个月内</w:t>
      </w:r>
      <w:r>
        <w:rPr>
          <w:rFonts w:hint="eastAsia" w:ascii="仿宋" w:hAnsi="仿宋" w:eastAsia="仿宋"/>
          <w:bCs/>
          <w:sz w:val="24"/>
          <w:highlight w:val="none"/>
          <w:lang w:eastAsia="zh-CN"/>
        </w:rPr>
        <w:t>（</w:t>
      </w:r>
      <w:r>
        <w:rPr>
          <w:rFonts w:hint="eastAsia" w:ascii="仿宋" w:hAnsi="仿宋" w:eastAsia="仿宋"/>
          <w:bCs/>
          <w:sz w:val="24"/>
          <w:highlight w:val="none"/>
          <w:lang w:val="en-US" w:eastAsia="zh-CN"/>
        </w:rPr>
        <w:t>可以是2024年10月以来任意时间</w:t>
      </w:r>
      <w:r>
        <w:rPr>
          <w:rFonts w:hint="eastAsia" w:ascii="仿宋" w:hAnsi="仿宋" w:eastAsia="仿宋"/>
          <w:bCs/>
          <w:sz w:val="24"/>
          <w:highlight w:val="none"/>
          <w:lang w:eastAsia="zh-CN"/>
        </w:rPr>
        <w:t>）</w:t>
      </w:r>
      <w:r>
        <w:rPr>
          <w:rFonts w:hint="eastAsia" w:ascii="仿宋" w:hAnsi="仿宋" w:eastAsia="仿宋"/>
          <w:bCs/>
          <w:sz w:val="24"/>
          <w:highlight w:val="none"/>
        </w:rPr>
        <w:t>在投标单位缴纳社保的参保证明</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98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207" w:type="dxa"/>
          </w:tcPr>
          <w:p w14:paraId="6F5456E4">
            <w:pPr>
              <w:pStyle w:val="196"/>
              <w:adjustRightInd w:val="0"/>
              <w:spacing w:line="360" w:lineRule="auto"/>
              <w:rPr>
                <w:rFonts w:hint="eastAsia" w:ascii="仿宋" w:hAnsi="仿宋" w:eastAsia="仿宋" w:cs="仿宋"/>
                <w:bCs/>
                <w:sz w:val="24"/>
                <w:highlight w:val="none"/>
              </w:rPr>
            </w:pPr>
          </w:p>
        </w:tc>
      </w:tr>
    </w:tbl>
    <w:p w14:paraId="76A98293">
      <w:pPr>
        <w:snapToGrid w:val="0"/>
        <w:spacing w:line="360" w:lineRule="auto"/>
        <w:rPr>
          <w:rFonts w:hint="eastAsia" w:ascii="仿宋" w:hAnsi="仿宋" w:eastAsia="仿宋" w:cs="仿宋"/>
          <w:kern w:val="0"/>
          <w:sz w:val="24"/>
          <w:highlight w:val="none"/>
        </w:rPr>
      </w:pPr>
    </w:p>
    <w:p w14:paraId="30E855C3">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4655C1DC">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54301E93">
      <w:pPr>
        <w:jc w:val="center"/>
        <w:rPr>
          <w:rFonts w:hint="eastAsia" w:ascii="仿宋" w:hAnsi="仿宋" w:eastAsia="仿宋" w:cs="仿宋"/>
          <w:b/>
          <w:kern w:val="0"/>
          <w:sz w:val="32"/>
          <w:szCs w:val="32"/>
          <w:highlight w:val="none"/>
        </w:rPr>
      </w:pPr>
    </w:p>
    <w:p w14:paraId="66565436">
      <w:pPr>
        <w:jc w:val="center"/>
        <w:rPr>
          <w:rFonts w:hint="eastAsia" w:ascii="仿宋" w:hAnsi="仿宋" w:eastAsia="仿宋" w:cs="仿宋"/>
          <w:b/>
          <w:kern w:val="0"/>
          <w:sz w:val="32"/>
          <w:szCs w:val="32"/>
          <w:highlight w:val="none"/>
        </w:rPr>
      </w:pPr>
    </w:p>
    <w:p w14:paraId="6D4225C4">
      <w:pPr>
        <w:jc w:val="center"/>
        <w:rPr>
          <w:rFonts w:hint="eastAsia" w:ascii="仿宋" w:hAnsi="仿宋" w:eastAsia="仿宋" w:cs="仿宋"/>
          <w:b/>
          <w:kern w:val="0"/>
          <w:sz w:val="32"/>
          <w:szCs w:val="32"/>
          <w:highlight w:val="none"/>
        </w:rPr>
      </w:pPr>
    </w:p>
    <w:p w14:paraId="4D065624">
      <w:pPr>
        <w:jc w:val="center"/>
        <w:rPr>
          <w:rFonts w:hint="eastAsia" w:ascii="仿宋" w:hAnsi="仿宋" w:eastAsia="仿宋" w:cs="仿宋"/>
          <w:b/>
          <w:kern w:val="0"/>
          <w:sz w:val="32"/>
          <w:szCs w:val="32"/>
          <w:highlight w:val="none"/>
        </w:rPr>
      </w:pPr>
    </w:p>
    <w:p w14:paraId="1D08CA8D">
      <w:pPr>
        <w:jc w:val="center"/>
        <w:rPr>
          <w:rFonts w:hint="eastAsia" w:ascii="仿宋" w:hAnsi="仿宋" w:eastAsia="仿宋" w:cs="仿宋"/>
          <w:b/>
          <w:kern w:val="0"/>
          <w:sz w:val="32"/>
          <w:szCs w:val="32"/>
          <w:highlight w:val="none"/>
        </w:rPr>
      </w:pPr>
    </w:p>
    <w:p w14:paraId="13C83DCE">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三、分包意向协议（如果有）</w:t>
      </w:r>
    </w:p>
    <w:p w14:paraId="22DB63AC">
      <w:pPr>
        <w:widowControl/>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p>
    <w:p w14:paraId="5C3D48CB">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45F6086">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四、符合性审查资料</w:t>
      </w:r>
    </w:p>
    <w:p w14:paraId="18F0111C">
      <w:pPr>
        <w:jc w:val="center"/>
        <w:rPr>
          <w:rFonts w:hint="eastAsia" w:ascii="仿宋" w:hAnsi="仿宋" w:eastAsia="仿宋" w:cs="仿宋"/>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1F6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5D72BE6">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45" w:type="dxa"/>
            <w:vAlign w:val="center"/>
          </w:tcPr>
          <w:p w14:paraId="675114CC">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5E92FAA4">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72" w:type="dxa"/>
            <w:vAlign w:val="center"/>
          </w:tcPr>
          <w:p w14:paraId="0DD464FD">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投标文件中的页码位置</w:t>
            </w:r>
          </w:p>
        </w:tc>
      </w:tr>
      <w:tr w14:paraId="6702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1D6F14">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245" w:type="dxa"/>
            <w:vAlign w:val="center"/>
          </w:tcPr>
          <w:p w14:paraId="2C0DACA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6F693823">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672" w:type="dxa"/>
            <w:vAlign w:val="center"/>
          </w:tcPr>
          <w:p w14:paraId="7E7C90F2">
            <w:pPr>
              <w:adjustRightInd w:val="0"/>
              <w:snapToGrid w:val="0"/>
              <w:spacing w:line="400" w:lineRule="exact"/>
              <w:rPr>
                <w:rFonts w:hint="eastAsia" w:ascii="仿宋" w:hAnsi="仿宋" w:eastAsia="仿宋" w:cs="仿宋"/>
                <w:sz w:val="24"/>
                <w:highlight w:val="none"/>
              </w:rPr>
            </w:pPr>
          </w:p>
          <w:p w14:paraId="3B9750E1">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210FD01F">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204F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EA2B24">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245" w:type="dxa"/>
            <w:vAlign w:val="center"/>
          </w:tcPr>
          <w:p w14:paraId="6B67550B">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33A9EE3A">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672" w:type="dxa"/>
            <w:vAlign w:val="center"/>
          </w:tcPr>
          <w:p w14:paraId="0E9196CB">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见投标文件</w:t>
            </w:r>
          </w:p>
          <w:p w14:paraId="055F5EA1">
            <w:pPr>
              <w:adjustRightInd w:val="0"/>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0BD8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40CC52">
            <w:pPr>
              <w:adjustRightInd w:val="0"/>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4245" w:type="dxa"/>
            <w:vAlign w:val="center"/>
          </w:tcPr>
          <w:p w14:paraId="7B872BFC">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2327DC13">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672" w:type="dxa"/>
            <w:vAlign w:val="center"/>
          </w:tcPr>
          <w:p w14:paraId="05166B4F">
            <w:pPr>
              <w:adjustRightInd w:val="0"/>
              <w:snapToGrid w:val="0"/>
              <w:spacing w:line="400" w:lineRule="exact"/>
              <w:rPr>
                <w:rFonts w:hint="eastAsia" w:ascii="仿宋" w:hAnsi="仿宋" w:eastAsia="仿宋" w:cs="仿宋"/>
                <w:highlight w:val="none"/>
              </w:rPr>
            </w:pPr>
          </w:p>
        </w:tc>
      </w:tr>
    </w:tbl>
    <w:p w14:paraId="4C617420">
      <w:pPr>
        <w:spacing w:line="360" w:lineRule="auto"/>
        <w:ind w:right="420"/>
        <w:rPr>
          <w:rFonts w:hint="eastAsia" w:ascii="仿宋" w:hAnsi="仿宋" w:eastAsia="仿宋" w:cs="仿宋"/>
          <w:sz w:val="24"/>
          <w:highlight w:val="none"/>
        </w:rPr>
      </w:pPr>
    </w:p>
    <w:p w14:paraId="6F79B936">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0FE3B5C6">
      <w:pPr>
        <w:jc w:val="center"/>
        <w:rPr>
          <w:rFonts w:hint="eastAsia" w:ascii="仿宋" w:hAnsi="仿宋" w:eastAsia="仿宋" w:cs="仿宋"/>
          <w:b/>
          <w:kern w:val="0"/>
          <w:sz w:val="32"/>
          <w:szCs w:val="32"/>
          <w:highlight w:val="none"/>
        </w:rPr>
      </w:pPr>
    </w:p>
    <w:p w14:paraId="7CD1F94D">
      <w:pPr>
        <w:jc w:val="center"/>
        <w:rPr>
          <w:rFonts w:hint="eastAsia" w:ascii="仿宋" w:hAnsi="仿宋" w:eastAsia="仿宋" w:cs="仿宋"/>
          <w:b/>
          <w:kern w:val="0"/>
          <w:sz w:val="32"/>
          <w:szCs w:val="32"/>
          <w:highlight w:val="none"/>
        </w:rPr>
      </w:pPr>
    </w:p>
    <w:p w14:paraId="585B4209">
      <w:pPr>
        <w:jc w:val="center"/>
        <w:rPr>
          <w:rFonts w:hint="eastAsia" w:ascii="仿宋" w:hAnsi="仿宋" w:eastAsia="仿宋" w:cs="仿宋"/>
          <w:b/>
          <w:kern w:val="0"/>
          <w:sz w:val="32"/>
          <w:szCs w:val="32"/>
          <w:highlight w:val="none"/>
        </w:rPr>
      </w:pPr>
    </w:p>
    <w:p w14:paraId="3618D2D8">
      <w:pPr>
        <w:rPr>
          <w:rFonts w:hint="eastAsia" w:ascii="仿宋" w:hAnsi="仿宋" w:eastAsia="仿宋" w:cs="仿宋"/>
          <w:b/>
          <w:kern w:val="0"/>
          <w:sz w:val="32"/>
          <w:szCs w:val="32"/>
          <w:highlight w:val="none"/>
        </w:rPr>
      </w:pPr>
    </w:p>
    <w:p w14:paraId="1EBACEB1">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五、评标标准相应的商务技术资料</w:t>
      </w:r>
    </w:p>
    <w:p w14:paraId="6EE8A918">
      <w:pPr>
        <w:snapToGrid w:val="0"/>
        <w:spacing w:line="360" w:lineRule="auto"/>
        <w:jc w:val="left"/>
        <w:rPr>
          <w:rFonts w:hint="eastAsia" w:ascii="仿宋" w:hAnsi="仿宋" w:eastAsia="仿宋" w:cs="仿宋"/>
          <w:b/>
          <w:sz w:val="24"/>
          <w:highlight w:val="none"/>
        </w:rPr>
      </w:pPr>
    </w:p>
    <w:p w14:paraId="01EE3759">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77D4BF83">
      <w:pPr>
        <w:jc w:val="center"/>
        <w:rPr>
          <w:rFonts w:hint="eastAsia" w:ascii="仿宋" w:hAnsi="仿宋" w:eastAsia="仿宋" w:cs="仿宋"/>
          <w:b/>
          <w:kern w:val="0"/>
          <w:sz w:val="32"/>
          <w:szCs w:val="32"/>
          <w:highlight w:val="none"/>
        </w:rPr>
      </w:pPr>
    </w:p>
    <w:p w14:paraId="201B1667">
      <w:pPr>
        <w:jc w:val="center"/>
        <w:rPr>
          <w:rFonts w:hint="eastAsia" w:ascii="仿宋" w:hAnsi="仿宋" w:eastAsia="仿宋" w:cs="仿宋"/>
          <w:b/>
          <w:kern w:val="0"/>
          <w:sz w:val="32"/>
          <w:szCs w:val="32"/>
          <w:highlight w:val="none"/>
        </w:rPr>
      </w:pPr>
    </w:p>
    <w:p w14:paraId="343FCAC0">
      <w:pPr>
        <w:jc w:val="center"/>
        <w:rPr>
          <w:rFonts w:hint="eastAsia" w:ascii="仿宋" w:hAnsi="仿宋" w:eastAsia="仿宋" w:cs="仿宋"/>
          <w:b/>
          <w:kern w:val="0"/>
          <w:sz w:val="32"/>
          <w:szCs w:val="32"/>
          <w:highlight w:val="none"/>
        </w:rPr>
      </w:pPr>
    </w:p>
    <w:p w14:paraId="0FE6DC62">
      <w:pPr>
        <w:jc w:val="center"/>
        <w:rPr>
          <w:rFonts w:hint="eastAsia" w:ascii="仿宋" w:hAnsi="仿宋" w:eastAsia="仿宋" w:cs="仿宋"/>
          <w:b/>
          <w:kern w:val="0"/>
          <w:sz w:val="32"/>
          <w:szCs w:val="32"/>
          <w:highlight w:val="none"/>
        </w:rPr>
      </w:pPr>
    </w:p>
    <w:p w14:paraId="5874BAB0">
      <w:pPr>
        <w:jc w:val="center"/>
        <w:rPr>
          <w:rFonts w:hint="eastAsia" w:ascii="仿宋" w:hAnsi="仿宋" w:eastAsia="仿宋" w:cs="仿宋"/>
          <w:b/>
          <w:kern w:val="0"/>
          <w:sz w:val="32"/>
          <w:szCs w:val="32"/>
          <w:highlight w:val="none"/>
        </w:rPr>
      </w:pPr>
    </w:p>
    <w:p w14:paraId="4D00C749">
      <w:pPr>
        <w:jc w:val="center"/>
        <w:rPr>
          <w:rFonts w:hint="eastAsia" w:ascii="仿宋" w:hAnsi="仿宋" w:eastAsia="仿宋" w:cs="仿宋"/>
          <w:b/>
          <w:kern w:val="0"/>
          <w:sz w:val="32"/>
          <w:szCs w:val="32"/>
          <w:highlight w:val="none"/>
        </w:rPr>
      </w:pPr>
    </w:p>
    <w:p w14:paraId="22FF9A1C">
      <w:pPr>
        <w:jc w:val="center"/>
        <w:rPr>
          <w:rFonts w:hint="eastAsia" w:ascii="仿宋" w:hAnsi="仿宋" w:eastAsia="仿宋" w:cs="仿宋"/>
          <w:b/>
          <w:kern w:val="0"/>
          <w:sz w:val="32"/>
          <w:szCs w:val="32"/>
          <w:highlight w:val="none"/>
        </w:rPr>
      </w:pPr>
    </w:p>
    <w:p w14:paraId="72AEE28E">
      <w:pPr>
        <w:jc w:val="center"/>
        <w:rPr>
          <w:rFonts w:hint="eastAsia" w:ascii="仿宋" w:hAnsi="仿宋" w:eastAsia="仿宋" w:cs="仿宋"/>
          <w:b/>
          <w:kern w:val="0"/>
          <w:sz w:val="32"/>
          <w:szCs w:val="32"/>
          <w:highlight w:val="none"/>
        </w:rPr>
      </w:pPr>
    </w:p>
    <w:p w14:paraId="55EBE126">
      <w:pPr>
        <w:jc w:val="center"/>
        <w:rPr>
          <w:rFonts w:hint="eastAsia" w:ascii="仿宋" w:hAnsi="仿宋" w:eastAsia="仿宋" w:cs="仿宋"/>
          <w:b/>
          <w:kern w:val="0"/>
          <w:sz w:val="32"/>
          <w:szCs w:val="32"/>
          <w:highlight w:val="none"/>
        </w:rPr>
      </w:pPr>
    </w:p>
    <w:p w14:paraId="0D531A2B">
      <w:pPr>
        <w:jc w:val="center"/>
        <w:rPr>
          <w:rFonts w:hint="eastAsia" w:ascii="仿宋" w:hAnsi="仿宋" w:eastAsia="仿宋" w:cs="仿宋"/>
          <w:b/>
          <w:kern w:val="0"/>
          <w:sz w:val="32"/>
          <w:szCs w:val="32"/>
          <w:highlight w:val="none"/>
        </w:rPr>
      </w:pPr>
    </w:p>
    <w:p w14:paraId="2D434AD9">
      <w:pPr>
        <w:rPr>
          <w:rFonts w:hint="eastAsia" w:ascii="仿宋" w:hAnsi="仿宋" w:eastAsia="仿宋" w:cs="仿宋"/>
          <w:b/>
          <w:kern w:val="0"/>
          <w:sz w:val="32"/>
          <w:szCs w:val="32"/>
          <w:highlight w:val="none"/>
        </w:rPr>
      </w:pPr>
    </w:p>
    <w:p w14:paraId="0E65D253">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E8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71EBC3">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A4E7CB">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042926D">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C668DF">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A986F9">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4D69440">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A22B0B5">
            <w:pPr>
              <w:adjustRightInd w:val="0"/>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69D7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FF6425">
            <w:pPr>
              <w:adjustRightInd w:val="0"/>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04077E">
            <w:pPr>
              <w:adjustRightInd w:val="0"/>
              <w:snapToGrid w:val="0"/>
              <w:spacing w:line="40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杭州中国动漫博物馆2025年度专业技术服务</w:t>
            </w:r>
          </w:p>
        </w:tc>
        <w:tc>
          <w:tcPr>
            <w:tcW w:w="1114" w:type="dxa"/>
            <w:tcBorders>
              <w:top w:val="single" w:color="auto" w:sz="4" w:space="0"/>
              <w:left w:val="single" w:color="auto" w:sz="4" w:space="0"/>
              <w:bottom w:val="single" w:color="auto" w:sz="4" w:space="0"/>
              <w:right w:val="single" w:color="auto" w:sz="4" w:space="0"/>
            </w:tcBorders>
            <w:vAlign w:val="center"/>
          </w:tcPr>
          <w:p w14:paraId="75270F7A">
            <w:pPr>
              <w:adjustRightInd w:val="0"/>
              <w:snapToGrid w:val="0"/>
              <w:spacing w:line="400" w:lineRule="exact"/>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187AD0">
            <w:pPr>
              <w:adjustRightInd w:val="0"/>
              <w:snapToGrid w:val="0"/>
              <w:spacing w:line="400" w:lineRule="exact"/>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A2C5C3">
            <w:pPr>
              <w:adjustRightInd w:val="0"/>
              <w:snapToGrid w:val="0"/>
              <w:spacing w:line="400" w:lineRule="exact"/>
              <w:jc w:val="center"/>
              <w:rPr>
                <w:rFonts w:hint="eastAsia" w:ascii="仿宋" w:hAnsi="仿宋" w:eastAsia="仿宋" w:cs="仿宋"/>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7FBA89">
            <w:pPr>
              <w:adjustRightInd w:val="0"/>
              <w:snapToGrid w:val="0"/>
              <w:spacing w:line="400" w:lineRule="exact"/>
              <w:jc w:val="center"/>
              <w:rPr>
                <w:rFonts w:hint="eastAsia" w:ascii="仿宋" w:hAnsi="仿宋" w:eastAsia="仿宋" w:cs="仿宋"/>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8B08CC">
            <w:pPr>
              <w:adjustRightInd w:val="0"/>
              <w:snapToGrid w:val="0"/>
              <w:spacing w:line="400" w:lineRule="exact"/>
              <w:jc w:val="center"/>
              <w:rPr>
                <w:rFonts w:hint="eastAsia" w:ascii="仿宋" w:hAnsi="仿宋" w:eastAsia="仿宋" w:cs="仿宋"/>
                <w:sz w:val="24"/>
                <w:highlight w:val="none"/>
              </w:rPr>
            </w:pPr>
          </w:p>
        </w:tc>
      </w:tr>
    </w:tbl>
    <w:p w14:paraId="72F92C4D">
      <w:pPr>
        <w:spacing w:line="360" w:lineRule="auto"/>
        <w:ind w:right="420"/>
        <w:rPr>
          <w:rFonts w:hint="eastAsia" w:ascii="仿宋" w:hAnsi="仿宋" w:eastAsia="仿宋" w:cs="仿宋"/>
          <w:sz w:val="24"/>
          <w:highlight w:val="none"/>
        </w:rPr>
      </w:pPr>
    </w:p>
    <w:p w14:paraId="5DFC709F">
      <w:pPr>
        <w:rPr>
          <w:rFonts w:hint="eastAsia" w:ascii="仿宋" w:hAnsi="仿宋" w:eastAsia="仿宋" w:cs="仿宋"/>
          <w:highlight w:val="none"/>
          <w:lang w:val="zh-CN"/>
        </w:rPr>
      </w:pPr>
    </w:p>
    <w:p w14:paraId="480181DC">
      <w:pPr>
        <w:rPr>
          <w:rFonts w:hint="eastAsia" w:ascii="仿宋" w:hAnsi="仿宋" w:eastAsia="仿宋" w:cs="仿宋"/>
          <w:highlight w:val="none"/>
          <w:lang w:val="zh-CN"/>
        </w:rPr>
      </w:pPr>
    </w:p>
    <w:p w14:paraId="3A9E2DBC">
      <w:pPr>
        <w:rPr>
          <w:rFonts w:hint="eastAsia" w:ascii="仿宋" w:hAnsi="仿宋" w:eastAsia="仿宋" w:cs="仿宋"/>
          <w:highlight w:val="none"/>
          <w:lang w:val="zh-CN"/>
        </w:rPr>
      </w:pPr>
    </w:p>
    <w:p w14:paraId="450F66CA">
      <w:pPr>
        <w:rPr>
          <w:rFonts w:hint="eastAsia" w:ascii="仿宋" w:hAnsi="仿宋" w:eastAsia="仿宋" w:cs="仿宋"/>
          <w:highlight w:val="none"/>
          <w:lang w:val="zh-CN"/>
        </w:rPr>
      </w:pPr>
    </w:p>
    <w:p w14:paraId="284D4FEF">
      <w:pPr>
        <w:rPr>
          <w:rFonts w:hint="eastAsia" w:ascii="仿宋" w:hAnsi="仿宋" w:eastAsia="仿宋" w:cs="仿宋"/>
          <w:highlight w:val="none"/>
          <w:lang w:val="zh-CN"/>
        </w:rPr>
      </w:pPr>
    </w:p>
    <w:p w14:paraId="7E4B1752">
      <w:pPr>
        <w:rPr>
          <w:rFonts w:hint="eastAsia" w:ascii="仿宋" w:hAnsi="仿宋" w:eastAsia="仿宋" w:cs="仿宋"/>
          <w:highlight w:val="none"/>
          <w:lang w:val="zh-CN"/>
        </w:rPr>
      </w:pPr>
    </w:p>
    <w:p w14:paraId="11FED967">
      <w:pPr>
        <w:rPr>
          <w:rFonts w:hint="eastAsia" w:ascii="仿宋" w:hAnsi="仿宋" w:eastAsia="仿宋" w:cs="仿宋"/>
          <w:highlight w:val="none"/>
          <w:lang w:val="zh-CN"/>
        </w:rPr>
      </w:pPr>
    </w:p>
    <w:p w14:paraId="42174FC4">
      <w:pPr>
        <w:rPr>
          <w:rFonts w:hint="eastAsia" w:ascii="仿宋" w:hAnsi="仿宋" w:eastAsia="仿宋" w:cs="仿宋"/>
          <w:highlight w:val="none"/>
          <w:lang w:val="zh-CN"/>
        </w:rPr>
      </w:pPr>
    </w:p>
    <w:p w14:paraId="14093622">
      <w:pPr>
        <w:rPr>
          <w:rFonts w:hint="eastAsia" w:ascii="仿宋" w:hAnsi="仿宋" w:eastAsia="仿宋" w:cs="仿宋"/>
          <w:highlight w:val="none"/>
          <w:lang w:val="zh-CN"/>
        </w:rPr>
      </w:pPr>
    </w:p>
    <w:p w14:paraId="7BEF29EF">
      <w:pPr>
        <w:rPr>
          <w:rFonts w:hint="eastAsia" w:ascii="仿宋" w:hAnsi="仿宋" w:eastAsia="仿宋" w:cs="仿宋"/>
          <w:highlight w:val="none"/>
          <w:lang w:val="zh-CN"/>
        </w:rPr>
      </w:pPr>
    </w:p>
    <w:p w14:paraId="5B8C8C0F">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七、商务技术偏离表</w:t>
      </w:r>
    </w:p>
    <w:p w14:paraId="78211AE9">
      <w:pPr>
        <w:jc w:val="center"/>
        <w:rPr>
          <w:rFonts w:hint="eastAsia" w:ascii="仿宋" w:hAnsi="仿宋" w:eastAsia="仿宋" w:cs="仿宋"/>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B8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917BCA8">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3623BF5A">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DC65755">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27D59C0">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4AEA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CBDFACA">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DD824B">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78386395">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5A9A917">
            <w:pPr>
              <w:adjustRightInd w:val="0"/>
              <w:snapToGrid w:val="0"/>
              <w:spacing w:line="400" w:lineRule="exact"/>
              <w:jc w:val="center"/>
              <w:rPr>
                <w:rFonts w:hint="eastAsia" w:ascii="仿宋" w:hAnsi="仿宋" w:eastAsia="仿宋" w:cs="仿宋"/>
                <w:b/>
                <w:kern w:val="0"/>
                <w:sz w:val="32"/>
                <w:szCs w:val="32"/>
                <w:highlight w:val="none"/>
              </w:rPr>
            </w:pPr>
          </w:p>
        </w:tc>
      </w:tr>
      <w:tr w14:paraId="6E22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14D3970">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7BE3BEB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61D1417">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7B67A429">
            <w:pPr>
              <w:adjustRightInd w:val="0"/>
              <w:snapToGrid w:val="0"/>
              <w:spacing w:line="400" w:lineRule="exact"/>
              <w:jc w:val="center"/>
              <w:rPr>
                <w:rFonts w:hint="eastAsia" w:ascii="仿宋" w:hAnsi="仿宋" w:eastAsia="仿宋" w:cs="仿宋"/>
                <w:b/>
                <w:kern w:val="0"/>
                <w:sz w:val="32"/>
                <w:szCs w:val="32"/>
                <w:highlight w:val="none"/>
              </w:rPr>
            </w:pPr>
          </w:p>
        </w:tc>
      </w:tr>
      <w:tr w14:paraId="080A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B0BD5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32F28AF0">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31AE4BD3">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0AEFF8B6">
            <w:pPr>
              <w:adjustRightInd w:val="0"/>
              <w:snapToGrid w:val="0"/>
              <w:spacing w:line="400" w:lineRule="exact"/>
              <w:jc w:val="center"/>
              <w:rPr>
                <w:rFonts w:hint="eastAsia" w:ascii="仿宋" w:hAnsi="仿宋" w:eastAsia="仿宋" w:cs="仿宋"/>
                <w:b/>
                <w:kern w:val="0"/>
                <w:sz w:val="32"/>
                <w:szCs w:val="32"/>
                <w:highlight w:val="none"/>
              </w:rPr>
            </w:pPr>
          </w:p>
        </w:tc>
      </w:tr>
    </w:tbl>
    <w:p w14:paraId="2F3A6FB6">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10EE2B20">
      <w:pPr>
        <w:jc w:val="center"/>
        <w:rPr>
          <w:rFonts w:hint="eastAsia" w:ascii="仿宋" w:hAnsi="仿宋" w:eastAsia="仿宋" w:cs="仿宋"/>
          <w:b/>
          <w:kern w:val="0"/>
          <w:sz w:val="32"/>
          <w:szCs w:val="32"/>
          <w:highlight w:val="none"/>
        </w:rPr>
      </w:pPr>
    </w:p>
    <w:p w14:paraId="6EF926FB">
      <w:pPr>
        <w:spacing w:line="360" w:lineRule="auto"/>
        <w:ind w:right="420"/>
        <w:rPr>
          <w:rFonts w:hint="eastAsia" w:ascii="仿宋" w:hAnsi="仿宋" w:eastAsia="仿宋" w:cs="仿宋"/>
          <w:sz w:val="24"/>
          <w:highlight w:val="none"/>
        </w:rPr>
      </w:pPr>
    </w:p>
    <w:p w14:paraId="0AB1DA91">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63A5987">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八、政府采购供应商廉洁自律承诺书</w:t>
      </w:r>
    </w:p>
    <w:p w14:paraId="684FA83F">
      <w:pPr>
        <w:snapToGrid w:val="0"/>
        <w:spacing w:line="360" w:lineRule="auto"/>
        <w:rPr>
          <w:rFonts w:hint="eastAsia" w:ascii="仿宋" w:hAnsi="仿宋" w:eastAsia="仿宋" w:cs="仿宋"/>
          <w:sz w:val="24"/>
          <w:highlight w:val="none"/>
        </w:rPr>
      </w:pPr>
    </w:p>
    <w:p w14:paraId="0E746AF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5F27136">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0E99FB1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98971B4">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7A3FDD8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5F6AE98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1DEA240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1C084D03">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8C72A1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kern w:val="0"/>
          <w:sz w:val="24"/>
          <w:highlight w:val="none"/>
        </w:rPr>
        <w:t>监管部门</w:t>
      </w:r>
      <w:r>
        <w:rPr>
          <w:rFonts w:hint="eastAsia" w:ascii="仿宋" w:hAnsi="仿宋" w:eastAsia="仿宋" w:cs="仿宋"/>
          <w:kern w:val="0"/>
          <w:sz w:val="24"/>
          <w:highlight w:val="none"/>
          <w:lang w:val="zh-CN"/>
        </w:rPr>
        <w:t>。由此引起的相应损失均由我单位承担。</w:t>
      </w:r>
    </w:p>
    <w:p w14:paraId="11D7ED10">
      <w:pPr>
        <w:autoSpaceDE w:val="0"/>
        <w:autoSpaceDN w:val="0"/>
        <w:spacing w:line="360" w:lineRule="auto"/>
        <w:ind w:left="2"/>
        <w:jc w:val="left"/>
        <w:rPr>
          <w:rFonts w:hint="eastAsia" w:ascii="仿宋" w:hAnsi="仿宋" w:eastAsia="仿宋" w:cs="仿宋"/>
          <w:kern w:val="0"/>
          <w:sz w:val="24"/>
          <w:highlight w:val="none"/>
          <w:lang w:val="zh-CN"/>
        </w:rPr>
      </w:pPr>
    </w:p>
    <w:p w14:paraId="4F7546D7">
      <w:pPr>
        <w:autoSpaceDE w:val="0"/>
        <w:autoSpaceDN w:val="0"/>
        <w:spacing w:line="360" w:lineRule="auto"/>
        <w:ind w:left="2"/>
        <w:jc w:val="left"/>
        <w:rPr>
          <w:rFonts w:hint="eastAsia" w:ascii="仿宋" w:hAnsi="仿宋" w:eastAsia="仿宋" w:cs="仿宋"/>
          <w:kern w:val="0"/>
          <w:sz w:val="24"/>
          <w:highlight w:val="none"/>
          <w:lang w:val="zh-CN"/>
        </w:rPr>
      </w:pPr>
    </w:p>
    <w:p w14:paraId="69534270">
      <w:pPr>
        <w:autoSpaceDE w:val="0"/>
        <w:autoSpaceDN w:val="0"/>
        <w:spacing w:line="360" w:lineRule="auto"/>
        <w:ind w:left="2"/>
        <w:jc w:val="left"/>
        <w:rPr>
          <w:rFonts w:hint="eastAsia" w:ascii="仿宋" w:hAnsi="仿宋" w:eastAsia="仿宋" w:cs="仿宋"/>
          <w:kern w:val="0"/>
          <w:sz w:val="24"/>
          <w:highlight w:val="none"/>
          <w:lang w:val="zh-CN"/>
        </w:rPr>
      </w:pPr>
    </w:p>
    <w:p w14:paraId="752BCAE7">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5BE40D43">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7565D470">
      <w:pPr>
        <w:spacing w:line="360" w:lineRule="auto"/>
        <w:rPr>
          <w:rFonts w:hint="eastAsia" w:ascii="仿宋" w:hAnsi="仿宋" w:eastAsia="仿宋" w:cs="仿宋"/>
          <w:sz w:val="24"/>
          <w:highlight w:val="none"/>
        </w:rPr>
      </w:pPr>
    </w:p>
    <w:p w14:paraId="1B713934">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3C21F91E">
      <w:pPr>
        <w:spacing w:line="360" w:lineRule="auto"/>
        <w:jc w:val="center"/>
        <w:outlineLvl w:val="1"/>
        <w:rPr>
          <w:rFonts w:hint="eastAsia" w:ascii="仿宋" w:hAnsi="仿宋" w:eastAsia="仿宋" w:cs="仿宋"/>
          <w:b/>
          <w:kern w:val="0"/>
          <w:sz w:val="36"/>
          <w:szCs w:val="36"/>
          <w:highlight w:val="none"/>
        </w:rPr>
      </w:pPr>
      <w:bookmarkStart w:id="265" w:name="_Toc3363"/>
      <w:bookmarkStart w:id="266" w:name="_Toc29208"/>
      <w:bookmarkStart w:id="267" w:name="_Toc28216"/>
      <w:bookmarkStart w:id="268" w:name="_Toc5590"/>
      <w:r>
        <w:rPr>
          <w:rFonts w:hint="eastAsia" w:ascii="仿宋" w:hAnsi="仿宋" w:eastAsia="仿宋" w:cs="仿宋"/>
          <w:b/>
          <w:kern w:val="0"/>
          <w:sz w:val="36"/>
          <w:szCs w:val="36"/>
          <w:highlight w:val="none"/>
        </w:rPr>
        <w:t>报价文件部分</w:t>
      </w:r>
      <w:bookmarkEnd w:id="265"/>
      <w:bookmarkEnd w:id="266"/>
      <w:bookmarkEnd w:id="267"/>
      <w:bookmarkEnd w:id="268"/>
    </w:p>
    <w:p w14:paraId="05754B6B">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85346EF">
      <w:pPr>
        <w:spacing w:line="360" w:lineRule="auto"/>
        <w:jc w:val="center"/>
        <w:rPr>
          <w:rFonts w:hint="eastAsia" w:ascii="仿宋" w:hAnsi="仿宋" w:eastAsia="仿宋" w:cs="仿宋"/>
          <w:b/>
          <w:kern w:val="0"/>
          <w:sz w:val="36"/>
          <w:szCs w:val="36"/>
          <w:highlight w:val="none"/>
        </w:rPr>
      </w:pPr>
    </w:p>
    <w:p w14:paraId="5C2B226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502501A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（2）报价明细表……………………………………………………………………（页码）</w:t>
      </w:r>
    </w:p>
    <w:p w14:paraId="3C8441A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（3）中小企业声明函………………………………………………………………（页码）</w:t>
      </w:r>
    </w:p>
    <w:p w14:paraId="0E55E1C8">
      <w:pPr>
        <w:snapToGrid w:val="0"/>
        <w:spacing w:line="360" w:lineRule="auto"/>
        <w:ind w:right="480"/>
        <w:jc w:val="center"/>
        <w:rPr>
          <w:rFonts w:hint="eastAsia" w:ascii="仿宋" w:hAnsi="仿宋" w:eastAsia="仿宋" w:cs="仿宋"/>
          <w:b/>
          <w:kern w:val="0"/>
          <w:sz w:val="32"/>
          <w:szCs w:val="32"/>
          <w:highlight w:val="none"/>
        </w:rPr>
      </w:pPr>
    </w:p>
    <w:p w14:paraId="2278D373">
      <w:pPr>
        <w:snapToGrid w:val="0"/>
        <w:spacing w:line="360" w:lineRule="auto"/>
        <w:ind w:right="480"/>
        <w:jc w:val="center"/>
        <w:rPr>
          <w:rFonts w:hint="eastAsia" w:ascii="仿宋" w:hAnsi="仿宋" w:eastAsia="仿宋" w:cs="仿宋"/>
          <w:b/>
          <w:kern w:val="0"/>
          <w:sz w:val="32"/>
          <w:szCs w:val="32"/>
          <w:highlight w:val="none"/>
        </w:rPr>
      </w:pPr>
    </w:p>
    <w:p w14:paraId="3A4B627F">
      <w:pPr>
        <w:snapToGrid w:val="0"/>
        <w:spacing w:line="360" w:lineRule="auto"/>
        <w:ind w:right="480"/>
        <w:jc w:val="center"/>
        <w:rPr>
          <w:rFonts w:hint="eastAsia" w:ascii="仿宋" w:hAnsi="仿宋" w:eastAsia="仿宋" w:cs="仿宋"/>
          <w:b/>
          <w:kern w:val="0"/>
          <w:sz w:val="32"/>
          <w:szCs w:val="32"/>
          <w:highlight w:val="none"/>
        </w:rPr>
      </w:pPr>
    </w:p>
    <w:p w14:paraId="305B0A80">
      <w:pPr>
        <w:snapToGrid w:val="0"/>
        <w:spacing w:line="360" w:lineRule="auto"/>
        <w:ind w:right="480"/>
        <w:jc w:val="center"/>
        <w:rPr>
          <w:rFonts w:hint="eastAsia" w:ascii="仿宋" w:hAnsi="仿宋" w:eastAsia="仿宋" w:cs="仿宋"/>
          <w:b/>
          <w:kern w:val="0"/>
          <w:sz w:val="32"/>
          <w:szCs w:val="32"/>
          <w:highlight w:val="none"/>
        </w:rPr>
      </w:pPr>
    </w:p>
    <w:p w14:paraId="62B0F4D2">
      <w:pPr>
        <w:snapToGrid w:val="0"/>
        <w:spacing w:line="360" w:lineRule="auto"/>
        <w:ind w:right="480"/>
        <w:jc w:val="center"/>
        <w:rPr>
          <w:rFonts w:hint="eastAsia" w:ascii="仿宋" w:hAnsi="仿宋" w:eastAsia="仿宋" w:cs="仿宋"/>
          <w:b/>
          <w:kern w:val="0"/>
          <w:sz w:val="32"/>
          <w:szCs w:val="32"/>
          <w:highlight w:val="none"/>
        </w:rPr>
      </w:pPr>
    </w:p>
    <w:p w14:paraId="614A5010">
      <w:pPr>
        <w:snapToGrid w:val="0"/>
        <w:spacing w:line="360" w:lineRule="auto"/>
        <w:ind w:right="480"/>
        <w:jc w:val="center"/>
        <w:rPr>
          <w:rFonts w:hint="eastAsia" w:ascii="仿宋" w:hAnsi="仿宋" w:eastAsia="仿宋" w:cs="仿宋"/>
          <w:b/>
          <w:kern w:val="0"/>
          <w:sz w:val="32"/>
          <w:szCs w:val="32"/>
          <w:highlight w:val="none"/>
        </w:rPr>
      </w:pPr>
    </w:p>
    <w:p w14:paraId="0198E9A3">
      <w:pPr>
        <w:snapToGrid w:val="0"/>
        <w:spacing w:line="360" w:lineRule="auto"/>
        <w:ind w:right="480"/>
        <w:jc w:val="center"/>
        <w:rPr>
          <w:rFonts w:hint="eastAsia" w:ascii="仿宋" w:hAnsi="仿宋" w:eastAsia="仿宋" w:cs="仿宋"/>
          <w:b/>
          <w:kern w:val="0"/>
          <w:sz w:val="32"/>
          <w:szCs w:val="32"/>
          <w:highlight w:val="none"/>
        </w:rPr>
      </w:pPr>
    </w:p>
    <w:p w14:paraId="148E6552">
      <w:pPr>
        <w:snapToGrid w:val="0"/>
        <w:spacing w:line="360" w:lineRule="auto"/>
        <w:ind w:right="480"/>
        <w:jc w:val="center"/>
        <w:rPr>
          <w:rFonts w:hint="eastAsia" w:ascii="仿宋" w:hAnsi="仿宋" w:eastAsia="仿宋" w:cs="仿宋"/>
          <w:b/>
          <w:kern w:val="0"/>
          <w:sz w:val="32"/>
          <w:szCs w:val="32"/>
          <w:highlight w:val="none"/>
        </w:rPr>
      </w:pPr>
    </w:p>
    <w:p w14:paraId="6AA6DFD1">
      <w:pPr>
        <w:snapToGrid w:val="0"/>
        <w:spacing w:line="360" w:lineRule="auto"/>
        <w:ind w:right="480"/>
        <w:jc w:val="center"/>
        <w:rPr>
          <w:rFonts w:hint="eastAsia" w:ascii="仿宋" w:hAnsi="仿宋" w:eastAsia="仿宋" w:cs="仿宋"/>
          <w:b/>
          <w:kern w:val="0"/>
          <w:sz w:val="32"/>
          <w:szCs w:val="32"/>
          <w:highlight w:val="none"/>
        </w:rPr>
      </w:pPr>
    </w:p>
    <w:p w14:paraId="4846E459">
      <w:pPr>
        <w:snapToGrid w:val="0"/>
        <w:spacing w:line="360" w:lineRule="auto"/>
        <w:ind w:right="480"/>
        <w:jc w:val="center"/>
        <w:rPr>
          <w:rFonts w:hint="eastAsia" w:ascii="仿宋" w:hAnsi="仿宋" w:eastAsia="仿宋" w:cs="仿宋"/>
          <w:b/>
          <w:kern w:val="0"/>
          <w:sz w:val="32"/>
          <w:szCs w:val="32"/>
          <w:highlight w:val="none"/>
        </w:rPr>
      </w:pPr>
    </w:p>
    <w:p w14:paraId="4AAD3533">
      <w:pPr>
        <w:snapToGrid w:val="0"/>
        <w:spacing w:line="360" w:lineRule="auto"/>
        <w:ind w:right="480"/>
        <w:jc w:val="center"/>
        <w:rPr>
          <w:rFonts w:hint="eastAsia" w:ascii="仿宋" w:hAnsi="仿宋" w:eastAsia="仿宋" w:cs="仿宋"/>
          <w:b/>
          <w:kern w:val="0"/>
          <w:sz w:val="32"/>
          <w:szCs w:val="32"/>
          <w:highlight w:val="none"/>
        </w:rPr>
      </w:pPr>
    </w:p>
    <w:p w14:paraId="10A7B206">
      <w:pPr>
        <w:snapToGrid w:val="0"/>
        <w:spacing w:line="360" w:lineRule="auto"/>
        <w:ind w:right="480"/>
        <w:jc w:val="center"/>
        <w:rPr>
          <w:rFonts w:hint="eastAsia" w:ascii="仿宋" w:hAnsi="仿宋" w:eastAsia="仿宋" w:cs="仿宋"/>
          <w:b/>
          <w:kern w:val="0"/>
          <w:sz w:val="32"/>
          <w:szCs w:val="32"/>
          <w:highlight w:val="none"/>
        </w:rPr>
      </w:pPr>
    </w:p>
    <w:p w14:paraId="4EAEE337">
      <w:pPr>
        <w:snapToGrid w:val="0"/>
        <w:spacing w:line="360" w:lineRule="auto"/>
        <w:ind w:right="480"/>
        <w:jc w:val="center"/>
        <w:rPr>
          <w:rFonts w:hint="eastAsia" w:ascii="仿宋" w:hAnsi="仿宋" w:eastAsia="仿宋" w:cs="仿宋"/>
          <w:b/>
          <w:kern w:val="0"/>
          <w:sz w:val="32"/>
          <w:szCs w:val="32"/>
          <w:highlight w:val="none"/>
        </w:rPr>
      </w:pPr>
    </w:p>
    <w:p w14:paraId="6356DC8F">
      <w:pPr>
        <w:snapToGrid w:val="0"/>
        <w:spacing w:line="360" w:lineRule="auto"/>
        <w:ind w:right="480"/>
        <w:jc w:val="center"/>
        <w:rPr>
          <w:rFonts w:hint="eastAsia" w:ascii="仿宋" w:hAnsi="仿宋" w:eastAsia="仿宋" w:cs="仿宋"/>
          <w:b/>
          <w:kern w:val="0"/>
          <w:sz w:val="32"/>
          <w:szCs w:val="32"/>
          <w:highlight w:val="none"/>
        </w:rPr>
      </w:pPr>
    </w:p>
    <w:p w14:paraId="44B9DF2B">
      <w:pPr>
        <w:snapToGrid w:val="0"/>
        <w:spacing w:line="360" w:lineRule="auto"/>
        <w:ind w:right="480"/>
        <w:jc w:val="center"/>
        <w:rPr>
          <w:rFonts w:hint="eastAsia" w:ascii="仿宋" w:hAnsi="仿宋" w:eastAsia="仿宋" w:cs="仿宋"/>
          <w:b/>
          <w:kern w:val="0"/>
          <w:sz w:val="32"/>
          <w:szCs w:val="32"/>
          <w:highlight w:val="none"/>
        </w:rPr>
      </w:pPr>
    </w:p>
    <w:p w14:paraId="0FBC444C">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B92D9D9">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269" w:name="_Toc5987"/>
      <w:bookmarkStart w:id="270" w:name="_Toc30447"/>
      <w:bookmarkStart w:id="271" w:name="_Toc21526"/>
      <w:bookmarkStart w:id="272" w:name="_Toc21682"/>
      <w:bookmarkStart w:id="273" w:name="_Toc366"/>
      <w:bookmarkStart w:id="274" w:name="_Toc11262"/>
      <w:bookmarkStart w:id="275" w:name="_Toc11552"/>
      <w:bookmarkStart w:id="276" w:name="_Toc12875"/>
      <w:bookmarkStart w:id="277" w:name="_Toc26125"/>
      <w:bookmarkStart w:id="278" w:name="_Toc5399"/>
      <w:bookmarkStart w:id="279" w:name="_Toc15988"/>
      <w:bookmarkStart w:id="280" w:name="_Toc25033"/>
      <w:bookmarkStart w:id="281" w:name="_Toc16641"/>
      <w:bookmarkStart w:id="282" w:name="_Toc9655"/>
      <w:bookmarkStart w:id="283" w:name="_Toc8039"/>
      <w:bookmarkStart w:id="284" w:name="_Toc11024"/>
      <w:bookmarkStart w:id="285" w:name="_Toc19569"/>
      <w:bookmarkStart w:id="286" w:name="_Toc16414"/>
      <w:bookmarkStart w:id="287" w:name="_Toc17498"/>
      <w:bookmarkStart w:id="288" w:name="_Toc30323"/>
      <w:bookmarkStart w:id="289" w:name="_Toc13843"/>
      <w:bookmarkStart w:id="290" w:name="_Toc5294"/>
      <w:bookmarkStart w:id="291" w:name="_Toc25107"/>
      <w:r>
        <w:rPr>
          <w:rFonts w:hint="eastAsia" w:ascii="仿宋" w:hAnsi="仿宋" w:eastAsia="仿宋" w:cs="仿宋"/>
          <w:kern w:val="2"/>
          <w:sz w:val="32"/>
          <w:szCs w:val="32"/>
          <w:highlight w:val="none"/>
        </w:rPr>
        <w:t>一、开标一览表（报价表）</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199B776">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2FF063D1">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720A36EE">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14:paraId="76C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2236" w:type="dxa"/>
            <w:noWrap/>
            <w:vAlign w:val="center"/>
          </w:tcPr>
          <w:p w14:paraId="3C8A8665">
            <w:pPr>
              <w:adjustRightInd w:val="0"/>
              <w:snapToGrid w:val="0"/>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投标报价（元）</w:t>
            </w:r>
          </w:p>
        </w:tc>
        <w:tc>
          <w:tcPr>
            <w:tcW w:w="6286" w:type="dxa"/>
            <w:noWrap/>
            <w:vAlign w:val="center"/>
          </w:tcPr>
          <w:p w14:paraId="280E8B41">
            <w:pPr>
              <w:adjustRightInd w:val="0"/>
              <w:snapToGrid w:val="0"/>
              <w:ind w:left="72"/>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u w:val="single"/>
              </w:rPr>
              <w:t xml:space="preserve">                           </w:t>
            </w:r>
          </w:p>
        </w:tc>
      </w:tr>
      <w:tr w14:paraId="51FB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14:paraId="78C2485B">
            <w:pPr>
              <w:adjustRightInd w:val="0"/>
              <w:snapToGrid w:val="0"/>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备注（大写金额）</w:t>
            </w:r>
          </w:p>
        </w:tc>
        <w:tc>
          <w:tcPr>
            <w:tcW w:w="6286" w:type="dxa"/>
            <w:noWrap/>
            <w:vAlign w:val="center"/>
          </w:tcPr>
          <w:p w14:paraId="66B0B3ED">
            <w:pPr>
              <w:adjustRightInd w:val="0"/>
              <w:snapToGrid w:val="0"/>
              <w:ind w:left="72"/>
              <w:rPr>
                <w:rFonts w:hint="eastAsia" w:ascii="仿宋" w:hAnsi="仿宋" w:eastAsia="仿宋" w:cs="仿宋"/>
                <w:snapToGrid w:val="0"/>
                <w:kern w:val="0"/>
                <w:szCs w:val="21"/>
                <w:highlight w:val="none"/>
                <w:u w:val="single"/>
              </w:rPr>
            </w:pPr>
          </w:p>
        </w:tc>
      </w:tr>
    </w:tbl>
    <w:p w14:paraId="08B70B35">
      <w:pPr>
        <w:adjustRightInd w:val="0"/>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624F512">
      <w:pPr>
        <w:adjustRightInd w:val="0"/>
        <w:snapToGrid w:val="0"/>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704B586D">
      <w:pPr>
        <w:adjustRightInd w:val="0"/>
        <w:snapToGrid w:val="0"/>
        <w:spacing w:line="360" w:lineRule="auto"/>
        <w:ind w:firstLine="480" w:firstLineChars="200"/>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1FF2095D">
      <w:pPr>
        <w:adjustRightInd w:val="0"/>
        <w:snapToGrid w:val="0"/>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特别说明：</w:t>
      </w:r>
      <w:r>
        <w:rPr>
          <w:rFonts w:hint="eastAsia" w:ascii="仿宋" w:hAnsi="仿宋" w:eastAsia="仿宋" w:cs="仿宋"/>
          <w:sz w:val="24"/>
          <w:highlight w:val="none"/>
        </w:rPr>
        <w:t>报价低于项目预算50%（不含）的，</w:t>
      </w:r>
      <w:r>
        <w:rPr>
          <w:rFonts w:hint="eastAsia" w:ascii="仿宋" w:hAnsi="仿宋" w:eastAsia="仿宋" w:cs="仿宋"/>
          <w:sz w:val="24"/>
          <w:highlight w:val="none"/>
          <w:lang w:val="zh-CN"/>
        </w:rPr>
        <w:t>应当在报价文件中出具《报价情况说明》，</w:t>
      </w:r>
      <w:r>
        <w:rPr>
          <w:rFonts w:hint="eastAsia" w:ascii="仿宋" w:hAnsi="仿宋" w:eastAsia="仿宋" w:cs="仿宋"/>
          <w:sz w:val="24"/>
          <w:highlight w:val="none"/>
        </w:rPr>
        <w:t>针对各运维工作项目内容提供该报价的原因，</w:t>
      </w:r>
      <w:r>
        <w:rPr>
          <w:rFonts w:hint="eastAsia" w:ascii="仿宋" w:hAnsi="仿宋" w:eastAsia="仿宋" w:cs="仿宋"/>
          <w:sz w:val="24"/>
          <w:highlight w:val="none"/>
          <w:lang w:val="zh-CN"/>
        </w:rPr>
        <w:t>详细阐述不影响服务质量或者诚信履约的具体理由及依据。</w:t>
      </w:r>
    </w:p>
    <w:p w14:paraId="32D80627">
      <w:pPr>
        <w:keepNext/>
        <w:keepLines/>
        <w:adjustRightInd w:val="0"/>
        <w:spacing w:line="416" w:lineRule="auto"/>
        <w:rPr>
          <w:rFonts w:hint="eastAsia" w:ascii="仿宋" w:hAnsi="仿宋" w:eastAsia="仿宋" w:cs="仿宋"/>
          <w:highlight w:val="none"/>
        </w:rPr>
      </w:pPr>
    </w:p>
    <w:p w14:paraId="76A24007">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7EC21466">
      <w:pPr>
        <w:adjustRightInd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11D380FB">
      <w:pPr>
        <w:spacing w:line="360" w:lineRule="auto"/>
        <w:ind w:firstLine="482" w:firstLineChars="200"/>
        <w:rPr>
          <w:rFonts w:hint="eastAsia" w:ascii="仿宋" w:hAnsi="仿宋" w:eastAsia="仿宋" w:cs="仿宋"/>
          <w:b/>
          <w:kern w:val="0"/>
          <w:sz w:val="24"/>
          <w:highlight w:val="none"/>
        </w:rPr>
      </w:pPr>
    </w:p>
    <w:p w14:paraId="0A147127">
      <w:pPr>
        <w:pStyle w:val="176"/>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64FEF5">
      <w:pPr>
        <w:pStyle w:val="19"/>
        <w:spacing w:line="600" w:lineRule="exact"/>
        <w:ind w:firstLine="0"/>
        <w:jc w:val="center"/>
        <w:rPr>
          <w:rFonts w:hint="eastAsia"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二、报价明细表</w:t>
      </w:r>
    </w:p>
    <w:p w14:paraId="7A370CA0">
      <w:pPr>
        <w:adjustRightInd w:val="0"/>
        <w:spacing w:line="360" w:lineRule="auto"/>
        <w:jc w:val="left"/>
        <w:rPr>
          <w:rFonts w:hint="eastAsia" w:ascii="仿宋" w:hAnsi="仿宋" w:eastAsia="仿宋" w:cs="仿宋"/>
          <w:szCs w:val="21"/>
          <w:highlight w:val="none"/>
        </w:rPr>
      </w:pPr>
    </w:p>
    <w:p w14:paraId="3AD002BD">
      <w:pPr>
        <w:adjustRightInd w:val="0"/>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杭州中国动漫博物馆2025年度专业技术服务</w:t>
      </w:r>
    </w:p>
    <w:p w14:paraId="34154020">
      <w:pPr>
        <w:pStyle w:val="17"/>
        <w:rPr>
          <w:rFonts w:hint="eastAsia" w:ascii="仿宋" w:hAnsi="仿宋" w:eastAsia="仿宋" w:cs="仿宋"/>
          <w:szCs w:val="21"/>
          <w:highlight w:val="none"/>
          <w:lang w:eastAsia="zh-CN"/>
        </w:rPr>
      </w:pPr>
      <w:r>
        <w:rPr>
          <w:rFonts w:hint="eastAsia" w:ascii="仿宋" w:hAnsi="仿宋" w:eastAsia="仿宋" w:cs="仿宋"/>
          <w:szCs w:val="21"/>
          <w:highlight w:val="none"/>
        </w:rPr>
        <w:t>采购编号：ZJ-</w:t>
      </w:r>
      <w:r>
        <w:rPr>
          <w:rFonts w:hint="eastAsia" w:ascii="仿宋" w:hAnsi="仿宋" w:eastAsia="仿宋" w:cs="仿宋"/>
          <w:szCs w:val="21"/>
          <w:highlight w:val="none"/>
          <w:lang w:eastAsia="zh-CN"/>
        </w:rPr>
        <w:t>2443350</w:t>
      </w:r>
    </w:p>
    <w:p w14:paraId="27FA31B7">
      <w:pPr>
        <w:rPr>
          <w:rFonts w:hint="eastAsia" w:ascii="仿宋" w:hAnsi="仿宋" w:eastAsia="仿宋" w:cs="仿宋"/>
          <w:szCs w:val="21"/>
          <w:highlight w:val="none"/>
        </w:rPr>
      </w:pPr>
      <w:r>
        <w:rPr>
          <w:rFonts w:hint="eastAsia" w:ascii="仿宋" w:hAnsi="仿宋" w:eastAsia="仿宋" w:cs="仿宋"/>
          <w:szCs w:val="21"/>
          <w:highlight w:val="none"/>
        </w:rPr>
        <w:t>（自拟）</w:t>
      </w:r>
    </w:p>
    <w:p w14:paraId="4F17546A">
      <w:pPr>
        <w:spacing w:line="360" w:lineRule="auto"/>
        <w:rPr>
          <w:rFonts w:hint="eastAsia" w:ascii="仿宋" w:hAnsi="仿宋" w:eastAsia="仿宋" w:cs="仿宋"/>
          <w:highlight w:val="none"/>
        </w:rPr>
      </w:pPr>
    </w:p>
    <w:p w14:paraId="03174A08">
      <w:pPr>
        <w:spacing w:line="360" w:lineRule="auto"/>
        <w:rPr>
          <w:rFonts w:hint="eastAsia" w:ascii="仿宋" w:hAnsi="仿宋" w:eastAsia="仿宋" w:cs="仿宋"/>
          <w:highlight w:val="none"/>
        </w:rPr>
      </w:pPr>
    </w:p>
    <w:p w14:paraId="1B0FBB33">
      <w:pPr>
        <w:spacing w:line="360" w:lineRule="auto"/>
        <w:rPr>
          <w:rFonts w:hint="eastAsia" w:ascii="仿宋" w:hAnsi="仿宋" w:eastAsia="仿宋" w:cs="仿宋"/>
          <w:highlight w:val="none"/>
        </w:rPr>
      </w:pPr>
      <w:r>
        <w:rPr>
          <w:rFonts w:hint="eastAsia" w:ascii="仿宋" w:hAnsi="仿宋" w:eastAsia="仿宋" w:cs="仿宋"/>
          <w:highlight w:val="none"/>
        </w:rPr>
        <w:t>注：1. 投标人根据实际情况可在表中报价明细的基础上进行扩展。形式不限，内容自拟。</w:t>
      </w:r>
    </w:p>
    <w:p w14:paraId="3B8F12F6">
      <w:pPr>
        <w:spacing w:line="360" w:lineRule="auto"/>
        <w:rPr>
          <w:rFonts w:hint="eastAsia" w:ascii="仿宋" w:hAnsi="仿宋" w:eastAsia="仿宋" w:cs="仿宋"/>
          <w:highlight w:val="none"/>
        </w:rPr>
      </w:pPr>
      <w:r>
        <w:rPr>
          <w:rFonts w:hint="eastAsia" w:ascii="仿宋" w:hAnsi="仿宋" w:eastAsia="仿宋" w:cs="仿宋"/>
          <w:highlight w:val="none"/>
        </w:rPr>
        <w:t>2、上表所述“报价”应与“开标一览表”中的报价一致，如有矛盾，以“开标一览表”中的为准。</w:t>
      </w:r>
    </w:p>
    <w:p w14:paraId="75939BB8">
      <w:pPr>
        <w:spacing w:line="360" w:lineRule="auto"/>
        <w:rPr>
          <w:rFonts w:hint="eastAsia" w:ascii="仿宋" w:hAnsi="仿宋" w:eastAsia="仿宋" w:cs="仿宋"/>
          <w:highlight w:val="none"/>
        </w:rPr>
      </w:pPr>
      <w:r>
        <w:rPr>
          <w:rFonts w:hint="eastAsia" w:ascii="仿宋" w:hAnsi="仿宋" w:eastAsia="仿宋" w:cs="仿宋"/>
          <w:highlight w:val="none"/>
        </w:rPr>
        <w:t>3.投标总价不为零，报价明细表中部分产品、服务单价为零的，视作已包含在总价中。采购人将以合同形式有偿取得货物或服务，不接受投标人给予的赠品、回扣或者与采购无关的其他商品、服务；采购内容未包含在《投标报价明细表》名称栏中，投标人不能作出合理解释的，视为投标文件含有采购人不能接受的附加条件的，投标无效。</w:t>
      </w:r>
    </w:p>
    <w:p w14:paraId="324D5F66">
      <w:pPr>
        <w:adjustRightInd w:val="0"/>
        <w:spacing w:line="360" w:lineRule="auto"/>
        <w:ind w:firstLine="4515" w:firstLineChars="2150"/>
        <w:rPr>
          <w:rFonts w:hint="eastAsia" w:ascii="仿宋" w:hAnsi="仿宋" w:eastAsia="仿宋" w:cs="仿宋"/>
          <w:szCs w:val="21"/>
          <w:highlight w:val="none"/>
        </w:rPr>
      </w:pPr>
    </w:p>
    <w:p w14:paraId="13041A12">
      <w:pPr>
        <w:snapToGrid w:val="0"/>
        <w:spacing w:line="360" w:lineRule="auto"/>
        <w:ind w:firstLine="576"/>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6D918DCB">
      <w:pPr>
        <w:adjustRightInd w:val="0"/>
        <w:ind w:firstLine="720" w:firstLineChars="300"/>
        <w:rPr>
          <w:rFonts w:hint="eastAsia" w:ascii="仿宋" w:hAnsi="仿宋" w:eastAsia="仿宋" w:cs="仿宋"/>
          <w:szCs w:val="21"/>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日</w:t>
      </w:r>
    </w:p>
    <w:p w14:paraId="1B331195">
      <w:pPr>
        <w:rPr>
          <w:rFonts w:hint="eastAsia" w:ascii="仿宋" w:hAnsi="仿宋" w:eastAsia="仿宋" w:cs="仿宋"/>
          <w:highlight w:val="none"/>
        </w:rPr>
      </w:pPr>
      <w:r>
        <w:rPr>
          <w:rFonts w:hint="eastAsia" w:ascii="仿宋" w:hAnsi="仿宋" w:eastAsia="仿宋" w:cs="仿宋"/>
          <w:highlight w:val="none"/>
        </w:rPr>
        <w:br w:type="page"/>
      </w:r>
    </w:p>
    <w:p w14:paraId="55601480">
      <w:pPr>
        <w:pStyle w:val="19"/>
        <w:spacing w:line="600" w:lineRule="exact"/>
        <w:ind w:firstLine="0"/>
        <w:jc w:val="center"/>
        <w:rPr>
          <w:rFonts w:hint="eastAsia"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三、中小企业声明函（如有）</w:t>
      </w:r>
    </w:p>
    <w:p w14:paraId="229A0EB8">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（示范格式）</w:t>
      </w:r>
    </w:p>
    <w:p w14:paraId="05605048">
      <w:pPr>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1CB9417A">
      <w:pPr>
        <w:adjustRightInd w:val="0"/>
        <w:snapToGrid w:val="0"/>
        <w:spacing w:line="360" w:lineRule="auto"/>
        <w:rPr>
          <w:rFonts w:hint="eastAsia" w:ascii="仿宋" w:hAnsi="仿宋" w:eastAsia="仿宋" w:cs="仿宋"/>
          <w:highlight w:val="none"/>
        </w:rPr>
      </w:pPr>
    </w:p>
    <w:p w14:paraId="2D12CBBA">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sz w:val="24"/>
          <w:highlight w:val="none"/>
          <w:u w:val="single"/>
        </w:rPr>
        <w:t xml:space="preserve"> 杭州中国动漫博物馆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杭州中国动漫博物馆2025年度专业技术服务</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03055002">
      <w:pPr>
        <w:numPr>
          <w:ilvl w:val="0"/>
          <w:numId w:val="11"/>
        </w:num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杭州中国动漫博物馆2025年度专业技术服务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租赁和商务服务业 </w:t>
      </w:r>
      <w:r>
        <w:rPr>
          <w:rFonts w:hint="eastAsia" w:ascii="仿宋" w:hAnsi="仿宋" w:eastAsia="仿宋" w:cs="仿宋"/>
          <w:sz w:val="24"/>
          <w:highlight w:val="none"/>
        </w:rPr>
        <w:t>；承接企业为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（填写中型企业或小型企业或微型企业的一种） </w:t>
      </w:r>
    </w:p>
    <w:p w14:paraId="4838CA26">
      <w:pPr>
        <w:adjustRightInd w:val="0"/>
        <w:snapToGrid w:val="0"/>
        <w:spacing w:line="360" w:lineRule="auto"/>
        <w:ind w:firstLine="480" w:firstLineChars="200"/>
        <w:jc w:val="left"/>
        <w:rPr>
          <w:rFonts w:hint="eastAsia" w:ascii="仿宋" w:hAnsi="仿宋" w:eastAsia="仿宋" w:cs="仿宋"/>
          <w:sz w:val="24"/>
          <w:highlight w:val="none"/>
        </w:rPr>
      </w:pPr>
    </w:p>
    <w:p w14:paraId="559ADEE7">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72D2158A">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9D4CCF4">
      <w:pPr>
        <w:adjustRightInd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28841C1">
      <w:pPr>
        <w:adjustRightInd w:val="0"/>
        <w:snapToGrid w:val="0"/>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67B023EC">
      <w:pPr>
        <w:keepNext/>
        <w:keepLines/>
        <w:adjustRightInd w:val="0"/>
        <w:snapToGrid w:val="0"/>
        <w:spacing w:line="360" w:lineRule="auto"/>
        <w:ind w:firstLine="6240" w:firstLineChars="2600"/>
        <w:rPr>
          <w:rFonts w:hint="eastAsia" w:ascii="仿宋" w:hAnsi="仿宋" w:eastAsia="仿宋" w:cs="仿宋"/>
          <w:sz w:val="24"/>
          <w:highlight w:val="none"/>
        </w:rPr>
      </w:pPr>
      <w:r>
        <w:rPr>
          <w:rFonts w:hint="eastAsia" w:ascii="仿宋" w:hAnsi="仿宋" w:eastAsia="仿宋" w:cs="仿宋"/>
          <w:sz w:val="24"/>
          <w:highlight w:val="none"/>
        </w:rPr>
        <w:t>日 期：</w:t>
      </w:r>
    </w:p>
    <w:p w14:paraId="50806A46">
      <w:pPr>
        <w:pStyle w:val="176"/>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FF0000"/>
          <w:sz w:val="24"/>
          <w:highlight w:val="none"/>
        </w:rPr>
      </w:pPr>
    </w:p>
    <w:p w14:paraId="1D125560">
      <w:pPr>
        <w:pStyle w:val="176"/>
        <w:keepNext w:val="0"/>
        <w:pageBreakBefore w:val="0"/>
        <w:tabs>
          <w:tab w:val="clear" w:pos="720"/>
        </w:tabs>
        <w:snapToGrid w:val="0"/>
        <w:spacing w:before="120" w:after="120"/>
        <w:ind w:firstLine="643"/>
        <w:jc w:val="left"/>
        <w:outlineLvl w:val="9"/>
        <w:rPr>
          <w:rFonts w:hint="eastAsia" w:ascii="仿宋" w:hAnsi="仿宋" w:eastAsia="仿宋" w:cs="仿宋"/>
          <w:highlight w:val="none"/>
        </w:rPr>
      </w:pPr>
      <w:r>
        <w:rPr>
          <w:rFonts w:hint="eastAsia" w:ascii="仿宋" w:hAnsi="仿宋" w:eastAsia="仿宋" w:cs="仿宋"/>
          <w:b w:val="0"/>
          <w:bCs w:val="0"/>
          <w:color w:val="FF0000"/>
          <w:sz w:val="24"/>
          <w:highlight w:val="none"/>
        </w:rPr>
        <w:t>填写要求</w:t>
      </w:r>
      <w:r>
        <w:rPr>
          <w:rFonts w:hint="eastAsia" w:ascii="仿宋" w:hAnsi="仿宋" w:eastAsia="仿宋" w:cs="仿宋"/>
          <w:b w:val="0"/>
          <w:bCs w:val="0"/>
          <w:color w:val="FF0000"/>
          <w:sz w:val="24"/>
          <w:highlight w:val="none"/>
          <w:lang w:eastAsia="zh-CN"/>
        </w:rPr>
        <w:t>（</w:t>
      </w:r>
      <w:r>
        <w:rPr>
          <w:rFonts w:hint="eastAsia" w:ascii="仿宋" w:hAnsi="仿宋" w:eastAsia="仿宋" w:cs="仿宋"/>
          <w:b w:val="0"/>
          <w:bCs w:val="0"/>
          <w:color w:val="FF0000"/>
          <w:sz w:val="24"/>
          <w:highlight w:val="none"/>
          <w:lang w:val="en-US" w:eastAsia="zh-CN"/>
        </w:rPr>
        <w:t>务必注意</w:t>
      </w:r>
      <w:r>
        <w:rPr>
          <w:rFonts w:hint="eastAsia" w:ascii="仿宋" w:hAnsi="仿宋" w:eastAsia="仿宋" w:cs="仿宋"/>
          <w:b w:val="0"/>
          <w:bCs w:val="0"/>
          <w:color w:val="FF0000"/>
          <w:sz w:val="24"/>
          <w:highlight w:val="none"/>
          <w:lang w:eastAsia="zh-CN"/>
        </w:rPr>
        <w:t>）</w:t>
      </w:r>
      <w:r>
        <w:rPr>
          <w:rFonts w:hint="eastAsia" w:ascii="仿宋" w:hAnsi="仿宋" w:eastAsia="仿宋" w:cs="仿宋"/>
          <w:b w:val="0"/>
          <w:bCs w:val="0"/>
          <w:color w:val="FF0000"/>
          <w:sz w:val="24"/>
          <w:highlight w:val="none"/>
        </w:rPr>
        <w:t>：</w:t>
      </w:r>
      <w:r>
        <w:rPr>
          <w:rFonts w:hint="eastAsia" w:ascii="仿宋" w:hAnsi="仿宋" w:eastAsia="仿宋" w:cs="仿宋"/>
          <w:b w:val="0"/>
          <w:bCs w:val="0"/>
          <w:color w:val="FF0000"/>
          <w:sz w:val="24"/>
          <w:highlight w:val="none"/>
          <w:lang w:eastAsia="zh-CN"/>
        </w:rPr>
        <w:t>①</w:t>
      </w:r>
      <w:r>
        <w:rPr>
          <w:rFonts w:hint="eastAsia" w:ascii="仿宋" w:hAnsi="仿宋" w:eastAsia="仿宋" w:cs="仿宋"/>
          <w:b w:val="0"/>
          <w:bCs w:val="0"/>
          <w:color w:val="FF0000"/>
          <w:sz w:val="24"/>
          <w:highlight w:val="none"/>
        </w:rPr>
        <w:t>从业人员、营业收入、资产总额填报上一年度数据，无上一年度数据的新成立企业可不填报</w:t>
      </w:r>
      <w:r>
        <w:rPr>
          <w:rFonts w:hint="eastAsia" w:ascii="仿宋" w:hAnsi="仿宋" w:eastAsia="仿宋" w:cs="仿宋"/>
          <w:b w:val="0"/>
          <w:bCs w:val="0"/>
          <w:color w:val="FF0000"/>
          <w:sz w:val="24"/>
          <w:highlight w:val="none"/>
          <w:lang w:eastAsia="zh-CN"/>
        </w:rPr>
        <w:t>。②</w:t>
      </w:r>
      <w:r>
        <w:rPr>
          <w:rFonts w:hint="eastAsia" w:ascii="仿宋" w:hAnsi="仿宋" w:eastAsia="仿宋" w:cs="仿宋"/>
          <w:b w:val="0"/>
          <w:bCs w:val="0"/>
          <w:color w:val="FF0000"/>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仿宋"/>
          <w:b w:val="0"/>
          <w:bCs w:val="0"/>
          <w:color w:val="FF0000"/>
          <w:sz w:val="24"/>
          <w:highlight w:val="none"/>
          <w:lang w:eastAsia="zh-CN"/>
        </w:rPr>
        <w:t>③</w:t>
      </w:r>
      <w:r>
        <w:rPr>
          <w:rFonts w:hint="eastAsia" w:ascii="仿宋" w:hAnsi="仿宋" w:eastAsia="仿宋" w:cs="仿宋"/>
          <w:b w:val="0"/>
          <w:bCs w:val="0"/>
          <w:color w:val="FF0000"/>
          <w:sz w:val="24"/>
          <w:highlight w:val="none"/>
          <w:lang w:val="en-US" w:eastAsia="zh-CN"/>
        </w:rPr>
        <w:t>《中小企业声明函》填写企业类型错误或者未填写企业类型的，声明函无效。</w:t>
      </w:r>
    </w:p>
    <w:p w14:paraId="0A4D8F1B">
      <w:pPr>
        <w:pStyle w:val="176"/>
        <w:keepNext w:val="0"/>
        <w:pageBreakBefore w:val="0"/>
        <w:tabs>
          <w:tab w:val="clear" w:pos="720"/>
        </w:tabs>
        <w:snapToGrid w:val="0"/>
        <w:spacing w:before="120" w:after="120"/>
        <w:ind w:firstLine="643"/>
        <w:outlineLvl w:val="9"/>
        <w:rPr>
          <w:rFonts w:hint="eastAsia" w:ascii="仿宋" w:hAnsi="仿宋" w:eastAsia="仿宋" w:cs="仿宋"/>
          <w:highlight w:val="none"/>
        </w:rPr>
        <w:sectPr>
          <w:pgSz w:w="11906" w:h="16838"/>
          <w:pgMar w:top="1247" w:right="1418" w:bottom="1276" w:left="1418" w:header="851" w:footer="992" w:gutter="0"/>
          <w:cols w:space="720" w:num="1"/>
          <w:titlePg/>
          <w:docGrid w:linePitch="312" w:charSpace="0"/>
        </w:sectPr>
      </w:pPr>
    </w:p>
    <w:p w14:paraId="0694790D">
      <w:pPr>
        <w:rPr>
          <w:rFonts w:hint="eastAsia" w:ascii="仿宋" w:hAnsi="仿宋" w:eastAsia="仿宋" w:cs="仿宋"/>
          <w:highlight w:val="none"/>
        </w:rPr>
      </w:pPr>
    </w:p>
    <w:p w14:paraId="150A0BFD">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7DDBEBEC">
      <w:pPr>
        <w:spacing w:line="360" w:lineRule="auto"/>
        <w:jc w:val="center"/>
        <w:rPr>
          <w:rFonts w:hint="eastAsia" w:ascii="仿宋" w:hAnsi="仿宋" w:eastAsia="仿宋" w:cs="仿宋"/>
          <w:b/>
          <w:spacing w:val="6"/>
          <w:sz w:val="32"/>
          <w:szCs w:val="32"/>
          <w:highlight w:val="none"/>
        </w:rPr>
      </w:pPr>
      <w:bookmarkStart w:id="292" w:name="OLE_LINK14"/>
      <w:bookmarkStart w:id="293" w:name="OLE_LINK13"/>
      <w:r>
        <w:rPr>
          <w:rFonts w:hint="eastAsia" w:ascii="仿宋" w:hAnsi="仿宋" w:eastAsia="仿宋" w:cs="仿宋"/>
          <w:b/>
          <w:spacing w:val="6"/>
          <w:sz w:val="32"/>
          <w:szCs w:val="32"/>
          <w:highlight w:val="none"/>
        </w:rPr>
        <w:t>残疾人福利性单位声明函</w:t>
      </w:r>
    </w:p>
    <w:bookmarkEnd w:id="292"/>
    <w:bookmarkEnd w:id="293"/>
    <w:p w14:paraId="0D923B91">
      <w:pPr>
        <w:spacing w:line="360" w:lineRule="auto"/>
        <w:rPr>
          <w:rFonts w:hint="eastAsia" w:ascii="仿宋" w:hAnsi="仿宋" w:eastAsia="仿宋" w:cs="仿宋"/>
          <w:b/>
          <w:spacing w:val="6"/>
          <w:sz w:val="30"/>
          <w:szCs w:val="30"/>
          <w:highlight w:val="none"/>
        </w:rPr>
      </w:pPr>
    </w:p>
    <w:p w14:paraId="53289DE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C965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5AB516B4">
      <w:pPr>
        <w:spacing w:line="360" w:lineRule="auto"/>
        <w:ind w:firstLine="480" w:firstLineChars="200"/>
        <w:rPr>
          <w:rFonts w:hint="eastAsia" w:ascii="仿宋" w:hAnsi="仿宋" w:eastAsia="仿宋" w:cs="仿宋"/>
          <w:sz w:val="24"/>
          <w:highlight w:val="none"/>
        </w:rPr>
      </w:pPr>
    </w:p>
    <w:p w14:paraId="70F56823">
      <w:pPr>
        <w:spacing w:line="360" w:lineRule="auto"/>
        <w:ind w:firstLine="480" w:firstLineChars="200"/>
        <w:rPr>
          <w:rFonts w:hint="eastAsia" w:ascii="仿宋" w:hAnsi="仿宋" w:eastAsia="仿宋" w:cs="仿宋"/>
          <w:sz w:val="24"/>
          <w:highlight w:val="none"/>
        </w:rPr>
      </w:pPr>
    </w:p>
    <w:p w14:paraId="26383E09">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3B653705">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32F890C3">
      <w:pPr>
        <w:spacing w:line="360" w:lineRule="auto"/>
        <w:ind w:firstLine="480" w:firstLineChars="200"/>
        <w:rPr>
          <w:rFonts w:hint="eastAsia" w:ascii="仿宋" w:hAnsi="仿宋" w:eastAsia="仿宋" w:cs="仿宋"/>
          <w:sz w:val="24"/>
          <w:highlight w:val="none"/>
        </w:rPr>
      </w:pPr>
    </w:p>
    <w:p w14:paraId="29512DD1">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CDBDE6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6273FD1C">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75EF8296">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6ABF541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14:paraId="7661BDA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14:paraId="5A3528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14:paraId="7A15289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14:paraId="38B2967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14:paraId="462E4A1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14:paraId="5F9ECF12">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DECBA2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14:paraId="067B305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14:paraId="4EF51B2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14:paraId="3E2BC64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14:paraId="6C93FBF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B0A2CC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14:paraId="0E43B66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14:paraId="4F1C4538">
      <w:pPr>
        <w:snapToGrid w:val="0"/>
        <w:spacing w:line="360" w:lineRule="auto"/>
        <w:rPr>
          <w:rFonts w:hint="eastAsia" w:ascii="仿宋" w:hAnsi="仿宋" w:eastAsia="仿宋" w:cs="仿宋"/>
          <w:sz w:val="24"/>
          <w:highlight w:val="none"/>
        </w:rPr>
      </w:pPr>
    </w:p>
    <w:p w14:paraId="3F8C77A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14:paraId="30F0F5A8">
      <w:pPr>
        <w:snapToGrid w:val="0"/>
        <w:spacing w:line="360" w:lineRule="auto"/>
        <w:rPr>
          <w:rFonts w:hint="eastAsia" w:ascii="仿宋" w:hAnsi="仿宋" w:eastAsia="仿宋" w:cs="仿宋"/>
          <w:sz w:val="24"/>
          <w:highlight w:val="none"/>
          <w:u w:val="dotted"/>
        </w:rPr>
      </w:pPr>
    </w:p>
    <w:p w14:paraId="65F94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20E7D5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8E0E8C8">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1C87378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14:paraId="4BA95E4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082C18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ECD26F8">
      <w:pPr>
        <w:spacing w:line="360" w:lineRule="auto"/>
        <w:jc w:val="center"/>
        <w:rPr>
          <w:rFonts w:hint="eastAsia" w:ascii="仿宋" w:hAnsi="仿宋" w:eastAsia="仿宋" w:cs="仿宋"/>
          <w:b/>
          <w:bCs/>
          <w:sz w:val="24"/>
          <w:highlight w:val="none"/>
        </w:rPr>
      </w:pPr>
    </w:p>
    <w:p w14:paraId="5D83E816">
      <w:pPr>
        <w:spacing w:line="360" w:lineRule="auto"/>
        <w:rPr>
          <w:rFonts w:hint="eastAsia" w:ascii="仿宋" w:hAnsi="仿宋" w:eastAsia="仿宋" w:cs="仿宋"/>
          <w:b/>
          <w:sz w:val="24"/>
          <w:highlight w:val="none"/>
        </w:rPr>
      </w:pPr>
    </w:p>
    <w:p w14:paraId="13DA4CA2">
      <w:pPr>
        <w:spacing w:line="360" w:lineRule="auto"/>
        <w:rPr>
          <w:rFonts w:hint="eastAsia" w:ascii="仿宋" w:hAnsi="仿宋" w:eastAsia="仿宋" w:cs="仿宋"/>
          <w:b/>
          <w:sz w:val="24"/>
          <w:highlight w:val="none"/>
        </w:rPr>
      </w:pPr>
    </w:p>
    <w:p w14:paraId="24FA8C5E">
      <w:pPr>
        <w:spacing w:line="360" w:lineRule="auto"/>
        <w:rPr>
          <w:rFonts w:hint="eastAsia" w:ascii="仿宋" w:hAnsi="仿宋" w:eastAsia="仿宋" w:cs="仿宋"/>
          <w:b/>
          <w:sz w:val="24"/>
          <w:highlight w:val="none"/>
        </w:rPr>
      </w:pPr>
    </w:p>
    <w:p w14:paraId="7A4F069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0B6CC23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8E1CB4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2C2A857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BFCE0C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2525439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55F44D5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70F722F2">
      <w:pPr>
        <w:widowControl/>
        <w:spacing w:line="360" w:lineRule="auto"/>
        <w:ind w:firstLine="600" w:firstLineChars="200"/>
        <w:jc w:val="left"/>
        <w:rPr>
          <w:rFonts w:hint="eastAsia" w:ascii="仿宋" w:hAnsi="仿宋" w:eastAsia="仿宋" w:cs="仿宋"/>
          <w:sz w:val="30"/>
          <w:szCs w:val="30"/>
          <w:highlight w:val="none"/>
        </w:rPr>
      </w:pPr>
    </w:p>
    <w:p w14:paraId="2BB67EE5">
      <w:pPr>
        <w:spacing w:line="360" w:lineRule="auto"/>
        <w:jc w:val="center"/>
        <w:rPr>
          <w:rFonts w:hint="eastAsia" w:ascii="仿宋" w:hAnsi="仿宋" w:eastAsia="仿宋" w:cs="仿宋"/>
          <w:b/>
          <w:spacing w:val="6"/>
          <w:sz w:val="32"/>
          <w:szCs w:val="32"/>
          <w:highlight w:val="none"/>
        </w:rPr>
      </w:pPr>
    </w:p>
    <w:p w14:paraId="6923F626">
      <w:pPr>
        <w:spacing w:line="360" w:lineRule="auto"/>
        <w:jc w:val="center"/>
        <w:rPr>
          <w:rFonts w:hint="eastAsia" w:ascii="仿宋" w:hAnsi="仿宋" w:eastAsia="仿宋" w:cs="仿宋"/>
          <w:b/>
          <w:spacing w:val="6"/>
          <w:sz w:val="32"/>
          <w:szCs w:val="32"/>
          <w:highlight w:val="none"/>
        </w:rPr>
      </w:pPr>
    </w:p>
    <w:p w14:paraId="4C27324B">
      <w:pPr>
        <w:spacing w:line="360" w:lineRule="auto"/>
        <w:jc w:val="center"/>
        <w:rPr>
          <w:rFonts w:hint="eastAsia" w:ascii="仿宋" w:hAnsi="仿宋" w:eastAsia="仿宋" w:cs="仿宋"/>
          <w:b/>
          <w:spacing w:val="6"/>
          <w:sz w:val="32"/>
          <w:szCs w:val="32"/>
          <w:highlight w:val="none"/>
        </w:rPr>
      </w:pPr>
    </w:p>
    <w:p w14:paraId="12433B08">
      <w:pPr>
        <w:spacing w:line="360" w:lineRule="auto"/>
        <w:jc w:val="center"/>
        <w:rPr>
          <w:rFonts w:hint="eastAsia" w:ascii="仿宋" w:hAnsi="仿宋" w:eastAsia="仿宋" w:cs="仿宋"/>
          <w:b/>
          <w:spacing w:val="6"/>
          <w:sz w:val="32"/>
          <w:szCs w:val="32"/>
          <w:highlight w:val="none"/>
        </w:rPr>
      </w:pPr>
    </w:p>
    <w:p w14:paraId="4E69C41D">
      <w:pPr>
        <w:spacing w:line="360" w:lineRule="auto"/>
        <w:jc w:val="center"/>
        <w:rPr>
          <w:rFonts w:hint="eastAsia" w:ascii="仿宋" w:hAnsi="仿宋" w:eastAsia="仿宋" w:cs="仿宋"/>
          <w:b/>
          <w:spacing w:val="6"/>
          <w:sz w:val="32"/>
          <w:szCs w:val="32"/>
          <w:highlight w:val="none"/>
        </w:rPr>
      </w:pPr>
    </w:p>
    <w:p w14:paraId="1E3BD144">
      <w:pPr>
        <w:spacing w:line="360" w:lineRule="auto"/>
        <w:jc w:val="center"/>
        <w:rPr>
          <w:rFonts w:hint="eastAsia" w:ascii="仿宋" w:hAnsi="仿宋" w:eastAsia="仿宋" w:cs="仿宋"/>
          <w:b/>
          <w:spacing w:val="6"/>
          <w:sz w:val="32"/>
          <w:szCs w:val="32"/>
          <w:highlight w:val="none"/>
        </w:rPr>
      </w:pPr>
    </w:p>
    <w:p w14:paraId="5999F68A">
      <w:pPr>
        <w:spacing w:line="360" w:lineRule="auto"/>
        <w:jc w:val="center"/>
        <w:rPr>
          <w:rFonts w:hint="eastAsia" w:ascii="仿宋" w:hAnsi="仿宋" w:eastAsia="仿宋" w:cs="仿宋"/>
          <w:b/>
          <w:spacing w:val="6"/>
          <w:sz w:val="32"/>
          <w:szCs w:val="32"/>
          <w:highlight w:val="none"/>
        </w:rPr>
      </w:pPr>
    </w:p>
    <w:p w14:paraId="25AD6677">
      <w:pPr>
        <w:spacing w:line="360" w:lineRule="auto"/>
        <w:jc w:val="center"/>
        <w:rPr>
          <w:rFonts w:hint="eastAsia" w:ascii="仿宋" w:hAnsi="仿宋" w:eastAsia="仿宋" w:cs="仿宋"/>
          <w:b/>
          <w:spacing w:val="6"/>
          <w:sz w:val="32"/>
          <w:szCs w:val="32"/>
          <w:highlight w:val="none"/>
        </w:rPr>
      </w:pPr>
    </w:p>
    <w:p w14:paraId="396C3246">
      <w:pPr>
        <w:spacing w:line="360" w:lineRule="auto"/>
        <w:jc w:val="center"/>
        <w:rPr>
          <w:rFonts w:hint="eastAsia" w:ascii="仿宋" w:hAnsi="仿宋" w:eastAsia="仿宋" w:cs="仿宋"/>
          <w:b/>
          <w:spacing w:val="6"/>
          <w:sz w:val="32"/>
          <w:szCs w:val="32"/>
          <w:highlight w:val="none"/>
        </w:rPr>
      </w:pPr>
    </w:p>
    <w:p w14:paraId="31C24776">
      <w:pPr>
        <w:spacing w:line="360" w:lineRule="auto"/>
        <w:jc w:val="center"/>
        <w:rPr>
          <w:rFonts w:hint="eastAsia" w:ascii="仿宋" w:hAnsi="仿宋" w:eastAsia="仿宋" w:cs="仿宋"/>
          <w:b/>
          <w:spacing w:val="6"/>
          <w:sz w:val="32"/>
          <w:szCs w:val="32"/>
          <w:highlight w:val="none"/>
        </w:rPr>
      </w:pPr>
    </w:p>
    <w:p w14:paraId="227B78D1">
      <w:pPr>
        <w:spacing w:line="360" w:lineRule="auto"/>
        <w:jc w:val="center"/>
        <w:rPr>
          <w:rFonts w:hint="eastAsia" w:ascii="仿宋" w:hAnsi="仿宋" w:eastAsia="仿宋" w:cs="仿宋"/>
          <w:b/>
          <w:spacing w:val="6"/>
          <w:sz w:val="32"/>
          <w:szCs w:val="32"/>
          <w:highlight w:val="none"/>
        </w:rPr>
      </w:pPr>
    </w:p>
    <w:p w14:paraId="67B968BA">
      <w:pPr>
        <w:spacing w:line="360" w:lineRule="auto"/>
        <w:jc w:val="center"/>
        <w:rPr>
          <w:rFonts w:hint="eastAsia" w:ascii="仿宋" w:hAnsi="仿宋" w:eastAsia="仿宋" w:cs="仿宋"/>
          <w:b/>
          <w:spacing w:val="6"/>
          <w:sz w:val="32"/>
          <w:szCs w:val="32"/>
          <w:highlight w:val="none"/>
        </w:rPr>
      </w:pPr>
    </w:p>
    <w:p w14:paraId="1C8D4B41">
      <w:pPr>
        <w:spacing w:line="360" w:lineRule="auto"/>
        <w:jc w:val="left"/>
        <w:rPr>
          <w:rFonts w:hint="eastAsia" w:ascii="仿宋" w:hAnsi="仿宋" w:eastAsia="仿宋" w:cs="仿宋"/>
          <w:b/>
          <w:spacing w:val="6"/>
          <w:sz w:val="32"/>
          <w:szCs w:val="32"/>
          <w:highlight w:val="none"/>
        </w:rPr>
      </w:pPr>
    </w:p>
    <w:p w14:paraId="0A8025A6">
      <w:pPr>
        <w:spacing w:line="360" w:lineRule="auto"/>
        <w:jc w:val="left"/>
        <w:rPr>
          <w:rFonts w:hint="eastAsia" w:ascii="仿宋" w:hAnsi="仿宋" w:eastAsia="仿宋" w:cs="仿宋"/>
          <w:b/>
          <w:spacing w:val="6"/>
          <w:sz w:val="32"/>
          <w:szCs w:val="32"/>
          <w:highlight w:val="none"/>
        </w:rPr>
      </w:pPr>
    </w:p>
    <w:p w14:paraId="02E6C3B0">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65904C26">
      <w:pPr>
        <w:spacing w:line="360" w:lineRule="auto"/>
        <w:jc w:val="center"/>
        <w:rPr>
          <w:rFonts w:hint="eastAsia" w:ascii="仿宋" w:hAnsi="仿宋" w:eastAsia="仿宋" w:cs="仿宋"/>
          <w:b/>
          <w:sz w:val="24"/>
          <w:highlight w:val="none"/>
        </w:rPr>
      </w:pPr>
    </w:p>
    <w:p w14:paraId="21CD2C31">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2D5E66C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777527F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14:paraId="1756004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34576C2F">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14:paraId="412DC1D1">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14:paraId="65EF0CE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14:paraId="0B67EE9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14:paraId="5221E58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14:paraId="2565F1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6C0CF9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4691012E">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42A78C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5FBE19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14:paraId="2FE24C4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14:paraId="5F19363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14:paraId="6A593A0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27F5191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14:paraId="060A347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14:paraId="5C384412">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14:paraId="785449E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14:paraId="2518F9A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0D66DDD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4E5EAA4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266B2399">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提出质疑，质疑事项为：</w:t>
      </w:r>
    </w:p>
    <w:p w14:paraId="747B8EF4">
      <w:pPr>
        <w:spacing w:line="360" w:lineRule="auto"/>
        <w:rPr>
          <w:rFonts w:hint="eastAsia" w:ascii="仿宋" w:hAnsi="仿宋" w:eastAsia="仿宋" w:cs="仿宋"/>
          <w:sz w:val="24"/>
          <w:highlight w:val="none"/>
          <w:u w:val="dotted"/>
        </w:rPr>
      </w:pPr>
    </w:p>
    <w:p w14:paraId="67AF4E64">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日,就质疑事项作出了答复/没有在法定期限内作出答复。</w:t>
      </w:r>
    </w:p>
    <w:p w14:paraId="3C54397D">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193189F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14:paraId="4570402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14:paraId="201542B3">
      <w:pPr>
        <w:spacing w:line="360" w:lineRule="auto"/>
        <w:rPr>
          <w:rFonts w:hint="eastAsia" w:ascii="仿宋" w:hAnsi="仿宋" w:eastAsia="仿宋" w:cs="仿宋"/>
          <w:sz w:val="24"/>
          <w:highlight w:val="none"/>
          <w:u w:val="dotted"/>
        </w:rPr>
      </w:pPr>
    </w:p>
    <w:p w14:paraId="5AE84C1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14:paraId="6EE32301">
      <w:pPr>
        <w:spacing w:line="360" w:lineRule="auto"/>
        <w:rPr>
          <w:rFonts w:hint="eastAsia" w:ascii="仿宋" w:hAnsi="仿宋" w:eastAsia="仿宋" w:cs="仿宋"/>
          <w:sz w:val="24"/>
          <w:highlight w:val="none"/>
          <w:u w:val="dotted"/>
        </w:rPr>
      </w:pPr>
    </w:p>
    <w:p w14:paraId="156CFCD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1EF0ED7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DAD0DB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4F5B59EE">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14:paraId="663C19B4">
      <w:pPr>
        <w:spacing w:line="360" w:lineRule="auto"/>
        <w:rPr>
          <w:rFonts w:hint="eastAsia" w:ascii="仿宋" w:hAnsi="仿宋" w:eastAsia="仿宋" w:cs="仿宋"/>
          <w:sz w:val="24"/>
          <w:highlight w:val="none"/>
          <w:u w:val="single"/>
        </w:rPr>
      </w:pPr>
    </w:p>
    <w:p w14:paraId="4CA96E9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943BA7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C10F5F4">
      <w:pPr>
        <w:spacing w:line="360" w:lineRule="auto"/>
        <w:rPr>
          <w:rFonts w:hint="eastAsia" w:ascii="仿宋" w:hAnsi="仿宋" w:eastAsia="仿宋" w:cs="仿宋"/>
          <w:b/>
          <w:sz w:val="24"/>
          <w:highlight w:val="none"/>
        </w:rPr>
      </w:pPr>
    </w:p>
    <w:p w14:paraId="7B7E1EF0">
      <w:pPr>
        <w:spacing w:line="360" w:lineRule="auto"/>
        <w:rPr>
          <w:rFonts w:hint="eastAsia" w:ascii="仿宋" w:hAnsi="仿宋" w:eastAsia="仿宋" w:cs="仿宋"/>
          <w:b/>
          <w:sz w:val="24"/>
          <w:highlight w:val="none"/>
        </w:rPr>
      </w:pPr>
    </w:p>
    <w:p w14:paraId="6C5F288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355A0A77">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0FE82F0">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B61D4F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3BFAB7B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56B5EC0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1B391FF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7C1AC83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30922D5C">
      <w:pPr>
        <w:spacing w:line="360" w:lineRule="auto"/>
        <w:rPr>
          <w:rFonts w:hint="eastAsia" w:ascii="仿宋" w:hAnsi="仿宋" w:eastAsia="仿宋" w:cs="仿宋"/>
          <w:b/>
          <w:sz w:val="24"/>
          <w:highlight w:val="none"/>
        </w:rPr>
      </w:pPr>
    </w:p>
    <w:p w14:paraId="293A09E8">
      <w:pPr>
        <w:autoSpaceDE w:val="0"/>
        <w:autoSpaceDN w:val="0"/>
        <w:jc w:val="center"/>
        <w:rPr>
          <w:rFonts w:hint="eastAsia" w:ascii="仿宋" w:hAnsi="仿宋" w:eastAsia="仿宋" w:cs="仿宋"/>
          <w:b/>
          <w:spacing w:val="6"/>
          <w:sz w:val="32"/>
          <w:szCs w:val="32"/>
          <w:highlight w:val="none"/>
        </w:rPr>
      </w:pPr>
    </w:p>
    <w:p w14:paraId="248B39EB">
      <w:pPr>
        <w:autoSpaceDE w:val="0"/>
        <w:autoSpaceDN w:val="0"/>
        <w:jc w:val="center"/>
        <w:rPr>
          <w:rFonts w:hint="eastAsia" w:ascii="仿宋" w:hAnsi="仿宋" w:eastAsia="仿宋" w:cs="仿宋"/>
          <w:b/>
          <w:spacing w:val="6"/>
          <w:sz w:val="32"/>
          <w:szCs w:val="32"/>
          <w:highlight w:val="none"/>
        </w:rPr>
      </w:pPr>
    </w:p>
    <w:p w14:paraId="14CEAD5C">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0E12B0E8">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602089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56E9794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E1D9C54">
      <w:pPr>
        <w:spacing w:line="360" w:lineRule="auto"/>
        <w:ind w:firstLine="494"/>
        <w:rPr>
          <w:rFonts w:hint="eastAsia" w:ascii="仿宋" w:hAnsi="仿宋" w:eastAsia="仿宋" w:cs="仿宋"/>
          <w:sz w:val="24"/>
          <w:highlight w:val="none"/>
        </w:rPr>
      </w:pPr>
    </w:p>
    <w:p w14:paraId="59A26187">
      <w:pPr>
        <w:spacing w:line="360" w:lineRule="auto"/>
        <w:ind w:firstLine="494"/>
        <w:rPr>
          <w:rFonts w:hint="eastAsia" w:ascii="仿宋" w:hAnsi="仿宋" w:eastAsia="仿宋" w:cs="仿宋"/>
          <w:sz w:val="24"/>
          <w:highlight w:val="none"/>
        </w:rPr>
      </w:pPr>
    </w:p>
    <w:p w14:paraId="4DC02C5B">
      <w:pPr>
        <w:spacing w:line="360" w:lineRule="auto"/>
        <w:ind w:firstLine="494"/>
        <w:rPr>
          <w:rFonts w:hint="eastAsia" w:ascii="仿宋" w:hAnsi="仿宋" w:eastAsia="仿宋" w:cs="仿宋"/>
          <w:sz w:val="24"/>
          <w:highlight w:val="none"/>
        </w:rPr>
      </w:pPr>
    </w:p>
    <w:p w14:paraId="509848D9">
      <w:pPr>
        <w:spacing w:line="360" w:lineRule="auto"/>
        <w:ind w:firstLine="494"/>
        <w:rPr>
          <w:rFonts w:hint="eastAsia" w:ascii="仿宋" w:hAnsi="仿宋" w:eastAsia="仿宋" w:cs="仿宋"/>
          <w:sz w:val="24"/>
          <w:highlight w:val="none"/>
        </w:rPr>
      </w:pPr>
    </w:p>
    <w:p w14:paraId="2735FA11">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96B05F7">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2AE73D3A">
      <w:pPr>
        <w:rPr>
          <w:rFonts w:hint="eastAsia" w:ascii="仿宋" w:hAnsi="仿宋" w:eastAsia="仿宋" w:cs="仿宋"/>
          <w:sz w:val="24"/>
          <w:highlight w:val="none"/>
        </w:rPr>
      </w:pPr>
      <w:r>
        <w:rPr>
          <w:rFonts w:hint="eastAsia" w:ascii="仿宋" w:hAnsi="仿宋" w:eastAsia="仿宋" w:cs="仿宋"/>
          <w:b/>
          <w:bCs/>
          <w:sz w:val="24"/>
          <w:highlight w:val="none"/>
        </w:rPr>
        <w:t>附：</w:t>
      </w:r>
    </w:p>
    <w:p w14:paraId="5AD7E34F">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3C7F2D2B">
      <w:pPr>
        <w:autoSpaceDE w:val="0"/>
        <w:autoSpaceDN w:val="0"/>
        <w:jc w:val="center"/>
        <w:rPr>
          <w:rFonts w:hint="eastAsia" w:ascii="仿宋" w:hAnsi="仿宋" w:eastAsia="仿宋" w:cs="仿宋"/>
          <w:b/>
          <w:spacing w:val="6"/>
          <w:sz w:val="32"/>
          <w:szCs w:val="32"/>
          <w:highlight w:val="none"/>
        </w:rPr>
      </w:pPr>
    </w:p>
    <w:p w14:paraId="3635F376">
      <w:pPr>
        <w:autoSpaceDE w:val="0"/>
        <w:autoSpaceDN w:val="0"/>
        <w:jc w:val="center"/>
        <w:rPr>
          <w:rFonts w:hint="eastAsia" w:ascii="仿宋" w:hAnsi="仿宋" w:eastAsia="仿宋" w:cs="仿宋"/>
          <w:b/>
          <w:spacing w:val="6"/>
          <w:sz w:val="32"/>
          <w:szCs w:val="32"/>
          <w:highlight w:val="none"/>
        </w:rPr>
      </w:pPr>
    </w:p>
    <w:p w14:paraId="73D1D930">
      <w:pPr>
        <w:autoSpaceDE w:val="0"/>
        <w:autoSpaceDN w:val="0"/>
        <w:jc w:val="center"/>
        <w:rPr>
          <w:rFonts w:hint="eastAsia" w:ascii="仿宋" w:hAnsi="仿宋" w:eastAsia="仿宋" w:cs="仿宋"/>
          <w:b/>
          <w:spacing w:val="6"/>
          <w:sz w:val="32"/>
          <w:szCs w:val="32"/>
          <w:highlight w:val="none"/>
        </w:rPr>
      </w:pPr>
    </w:p>
    <w:p w14:paraId="5D0CB71B">
      <w:pPr>
        <w:autoSpaceDE w:val="0"/>
        <w:autoSpaceDN w:val="0"/>
        <w:jc w:val="center"/>
        <w:rPr>
          <w:rFonts w:hint="eastAsia" w:ascii="仿宋" w:hAnsi="仿宋" w:eastAsia="仿宋" w:cs="仿宋"/>
          <w:b/>
          <w:spacing w:val="6"/>
          <w:sz w:val="32"/>
          <w:szCs w:val="32"/>
          <w:highlight w:val="none"/>
        </w:rPr>
      </w:pPr>
    </w:p>
    <w:p w14:paraId="386B9BF0">
      <w:pPr>
        <w:autoSpaceDE w:val="0"/>
        <w:autoSpaceDN w:val="0"/>
        <w:jc w:val="center"/>
        <w:rPr>
          <w:rFonts w:hint="eastAsia" w:ascii="仿宋" w:hAnsi="仿宋" w:eastAsia="仿宋" w:cs="仿宋"/>
          <w:b/>
          <w:spacing w:val="6"/>
          <w:sz w:val="32"/>
          <w:szCs w:val="32"/>
          <w:highlight w:val="none"/>
        </w:rPr>
      </w:pPr>
    </w:p>
    <w:p w14:paraId="49424EBC">
      <w:pPr>
        <w:autoSpaceDE w:val="0"/>
        <w:autoSpaceDN w:val="0"/>
        <w:jc w:val="center"/>
        <w:rPr>
          <w:rFonts w:hint="eastAsia" w:ascii="仿宋" w:hAnsi="仿宋" w:eastAsia="仿宋" w:cs="仿宋"/>
          <w:b/>
          <w:spacing w:val="6"/>
          <w:sz w:val="32"/>
          <w:szCs w:val="32"/>
          <w:highlight w:val="none"/>
        </w:rPr>
      </w:pPr>
    </w:p>
    <w:p w14:paraId="39521F38">
      <w:pPr>
        <w:autoSpaceDE w:val="0"/>
        <w:autoSpaceDN w:val="0"/>
        <w:jc w:val="center"/>
        <w:rPr>
          <w:rFonts w:hint="eastAsia" w:ascii="仿宋" w:hAnsi="仿宋" w:eastAsia="仿宋" w:cs="仿宋"/>
          <w:b/>
          <w:spacing w:val="6"/>
          <w:sz w:val="32"/>
          <w:szCs w:val="32"/>
          <w:highlight w:val="none"/>
        </w:rPr>
      </w:pPr>
    </w:p>
    <w:p w14:paraId="1AE3436A">
      <w:pPr>
        <w:autoSpaceDE w:val="0"/>
        <w:autoSpaceDN w:val="0"/>
        <w:jc w:val="center"/>
        <w:rPr>
          <w:rFonts w:hint="eastAsia" w:ascii="仿宋" w:hAnsi="仿宋" w:eastAsia="仿宋" w:cs="仿宋"/>
          <w:b/>
          <w:spacing w:val="6"/>
          <w:sz w:val="32"/>
          <w:szCs w:val="32"/>
          <w:highlight w:val="none"/>
        </w:rPr>
      </w:pPr>
    </w:p>
    <w:p w14:paraId="5DB36892">
      <w:pPr>
        <w:autoSpaceDE w:val="0"/>
        <w:autoSpaceDN w:val="0"/>
        <w:jc w:val="center"/>
        <w:rPr>
          <w:rFonts w:hint="eastAsia" w:ascii="仿宋" w:hAnsi="仿宋" w:eastAsia="仿宋" w:cs="仿宋"/>
          <w:b/>
          <w:spacing w:val="6"/>
          <w:sz w:val="32"/>
          <w:szCs w:val="32"/>
          <w:highlight w:val="none"/>
        </w:rPr>
      </w:pPr>
    </w:p>
    <w:p w14:paraId="14A6ABB9">
      <w:pPr>
        <w:autoSpaceDE w:val="0"/>
        <w:autoSpaceDN w:val="0"/>
        <w:jc w:val="center"/>
        <w:rPr>
          <w:rFonts w:hint="eastAsia" w:ascii="仿宋" w:hAnsi="仿宋" w:eastAsia="仿宋" w:cs="仿宋"/>
          <w:b/>
          <w:spacing w:val="6"/>
          <w:sz w:val="32"/>
          <w:szCs w:val="32"/>
          <w:highlight w:val="none"/>
        </w:rPr>
      </w:pPr>
    </w:p>
    <w:p w14:paraId="508F8825">
      <w:pPr>
        <w:autoSpaceDE w:val="0"/>
        <w:autoSpaceDN w:val="0"/>
        <w:jc w:val="center"/>
        <w:rPr>
          <w:rFonts w:hint="eastAsia" w:ascii="仿宋" w:hAnsi="仿宋" w:eastAsia="仿宋" w:cs="仿宋"/>
          <w:b/>
          <w:spacing w:val="6"/>
          <w:sz w:val="32"/>
          <w:szCs w:val="32"/>
          <w:highlight w:val="none"/>
        </w:rPr>
      </w:pPr>
    </w:p>
    <w:p w14:paraId="36AAB431">
      <w:pPr>
        <w:autoSpaceDE w:val="0"/>
        <w:autoSpaceDN w:val="0"/>
        <w:jc w:val="center"/>
        <w:rPr>
          <w:rFonts w:hint="eastAsia" w:ascii="仿宋" w:hAnsi="仿宋" w:eastAsia="仿宋" w:cs="仿宋"/>
          <w:b/>
          <w:spacing w:val="6"/>
          <w:sz w:val="32"/>
          <w:szCs w:val="32"/>
          <w:highlight w:val="none"/>
        </w:rPr>
      </w:pPr>
    </w:p>
    <w:p w14:paraId="4A008061">
      <w:pPr>
        <w:autoSpaceDE w:val="0"/>
        <w:autoSpaceDN w:val="0"/>
        <w:jc w:val="center"/>
        <w:rPr>
          <w:rFonts w:hint="eastAsia" w:ascii="仿宋" w:hAnsi="仿宋" w:eastAsia="仿宋" w:cs="仿宋"/>
          <w:b/>
          <w:spacing w:val="6"/>
          <w:sz w:val="32"/>
          <w:szCs w:val="32"/>
          <w:highlight w:val="none"/>
        </w:rPr>
      </w:pPr>
    </w:p>
    <w:p w14:paraId="3399F510">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38A63D1A">
      <w:pPr>
        <w:autoSpaceDE w:val="0"/>
        <w:autoSpaceDN w:val="0"/>
        <w:jc w:val="center"/>
        <w:rPr>
          <w:rFonts w:hint="eastAsia" w:ascii="仿宋" w:hAnsi="仿宋" w:eastAsia="仿宋" w:cs="仿宋"/>
          <w:b/>
          <w:kern w:val="0"/>
          <w:sz w:val="32"/>
          <w:szCs w:val="32"/>
          <w:highlight w:val="none"/>
          <w:lang w:val="zh-CN"/>
        </w:rPr>
      </w:pPr>
      <w:r>
        <w:rPr>
          <w:rFonts w:hint="eastAsia" w:ascii="仿宋" w:hAnsi="仿宋" w:eastAsia="仿宋" w:cs="仿宋"/>
          <w:b/>
          <w:bCs/>
          <w:sz w:val="32"/>
          <w:szCs w:val="32"/>
          <w:highlight w:val="none"/>
        </w:rPr>
        <w:t>附件5：</w:t>
      </w:r>
      <w:r>
        <w:rPr>
          <w:rFonts w:hint="eastAsia" w:ascii="仿宋" w:hAnsi="仿宋" w:eastAsia="仿宋" w:cs="仿宋"/>
          <w:b/>
          <w:bCs/>
          <w:sz w:val="32"/>
          <w:szCs w:val="32"/>
          <w:highlight w:val="none"/>
          <w:lang w:val="zh-CN"/>
        </w:rPr>
        <w:t>联合协议</w:t>
      </w:r>
    </w:p>
    <w:p w14:paraId="3B19A147">
      <w:pPr>
        <w:widowControl/>
        <w:spacing w:line="360" w:lineRule="auto"/>
        <w:ind w:firstLine="482" w:firstLineChars="200"/>
        <w:jc w:val="left"/>
        <w:rPr>
          <w:rFonts w:hint="eastAsia" w:ascii="仿宋" w:hAnsi="仿宋" w:eastAsia="仿宋" w:cs="仿宋"/>
          <w:b/>
          <w:sz w:val="24"/>
          <w:highlight w:val="none"/>
        </w:rPr>
      </w:pPr>
    </w:p>
    <w:p w14:paraId="162F72AB">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6B310F3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4B73D67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57CA05A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授权代表根据招标文件规定及投标内容而对采购人、采购代理机构所作的任何合法承诺，包括书面澄清及响应等均对联合投标各方产生约束力。</w:t>
      </w:r>
    </w:p>
    <w:p w14:paraId="5C26619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7780BF9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41E4E42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1C346E5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1A483E2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3E0E1214">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294" w:name="_Hlk101131882"/>
      <w:r>
        <w:rPr>
          <w:rFonts w:hint="eastAsia" w:ascii="仿宋" w:hAnsi="仿宋" w:eastAsia="仿宋" w:cs="仿宋"/>
          <w:kern w:val="0"/>
          <w:sz w:val="24"/>
          <w:highlight w:val="none"/>
          <w:u w:val="single"/>
        </w:rPr>
        <w:t>联合体成员X,……</w:t>
      </w:r>
      <w:bookmarkEnd w:id="294"/>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295"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295"/>
      <w:r>
        <w:rPr>
          <w:rFonts w:hint="eastAsia" w:ascii="仿宋" w:hAnsi="仿宋" w:eastAsia="仿宋" w:cs="仿宋"/>
          <w:b/>
          <w:kern w:val="0"/>
          <w:sz w:val="24"/>
          <w:highlight w:val="none"/>
          <w:lang w:val="zh-CN"/>
        </w:rPr>
        <w:t>）</w:t>
      </w:r>
    </w:p>
    <w:p w14:paraId="566BE2AE">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296"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296"/>
    </w:p>
    <w:p w14:paraId="04AEB66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072B44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497DF74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394C02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9E80B9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484986B7">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56F0D091">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4BAD820">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015F9BF7">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90B2D16">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01766C29">
      <w:pPr>
        <w:autoSpaceDE w:val="0"/>
        <w:autoSpaceDN w:val="0"/>
        <w:jc w:val="center"/>
        <w:rPr>
          <w:rFonts w:hint="eastAsia" w:ascii="仿宋" w:hAnsi="仿宋" w:eastAsia="仿宋" w:cs="仿宋"/>
          <w:b/>
          <w:spacing w:val="6"/>
          <w:sz w:val="32"/>
          <w:szCs w:val="32"/>
          <w:highlight w:val="none"/>
        </w:rPr>
      </w:pPr>
    </w:p>
    <w:p w14:paraId="7A19F7A5">
      <w:pPr>
        <w:autoSpaceDE w:val="0"/>
        <w:autoSpaceDN w:val="0"/>
        <w:jc w:val="center"/>
        <w:rPr>
          <w:rFonts w:hint="eastAsia" w:ascii="仿宋" w:hAnsi="仿宋" w:eastAsia="仿宋" w:cs="仿宋"/>
          <w:b/>
          <w:spacing w:val="6"/>
          <w:sz w:val="32"/>
          <w:szCs w:val="32"/>
          <w:highlight w:val="none"/>
        </w:rPr>
      </w:pPr>
    </w:p>
    <w:p w14:paraId="1EC0EFEE">
      <w:pPr>
        <w:widowControl/>
        <w:jc w:val="left"/>
        <w:rPr>
          <w:rFonts w:hint="eastAsia" w:ascii="仿宋" w:hAnsi="仿宋" w:eastAsia="仿宋" w:cs="仿宋"/>
          <w:b/>
          <w:spacing w:val="6"/>
          <w:sz w:val="32"/>
          <w:szCs w:val="32"/>
          <w:highlight w:val="none"/>
        </w:rPr>
      </w:pPr>
    </w:p>
    <w:p w14:paraId="0155B0EF">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FBD5F48">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14:paraId="2A8B2BDA">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911F499">
      <w:pPr>
        <w:tabs>
          <w:tab w:val="left" w:pos="432"/>
        </w:tabs>
        <w:rPr>
          <w:rFonts w:hint="eastAsia" w:ascii="仿宋" w:hAnsi="仿宋" w:eastAsia="仿宋" w:cs="仿宋"/>
          <w:highlight w:val="none"/>
        </w:rPr>
      </w:pPr>
    </w:p>
    <w:p w14:paraId="51C4746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1C54DF7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231FFA1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3D891D1">
      <w:pPr>
        <w:tabs>
          <w:tab w:val="left" w:pos="432"/>
        </w:tabs>
        <w:ind w:left="664" w:leftChars="316" w:firstLine="228" w:firstLineChars="95"/>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00D7F164">
      <w:pPr>
        <w:rPr>
          <w:rFonts w:hint="eastAsia" w:ascii="仿宋" w:hAnsi="仿宋" w:eastAsia="仿宋" w:cs="仿宋"/>
          <w:highlight w:val="none"/>
        </w:rPr>
      </w:pPr>
      <w:r>
        <w:rPr>
          <w:rFonts w:hint="eastAsia" w:ascii="仿宋" w:hAnsi="仿宋" w:eastAsia="仿宋" w:cs="仿宋"/>
          <w:highlight w:val="none"/>
          <w:lang w:val="zh-CN"/>
        </w:rPr>
        <w:t xml:space="preserve"> </w:t>
      </w:r>
    </w:p>
    <w:p w14:paraId="738D3D3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14:paraId="75E7510C">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14:paraId="168E67B3">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137355C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6EA5B101">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2E15E58">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1F9C5BF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D11CA1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14554A05">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046AFCE">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742DEEE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5F12EC7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7BB680C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C8A6AB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6C86398C">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4ADDD2CE">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3E0EA9AC">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AD752DC">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024AFFF">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20979DE2">
      <w:pPr>
        <w:rPr>
          <w:rFonts w:hint="eastAsia" w:ascii="仿宋" w:hAnsi="仿宋" w:eastAsia="仿宋" w:cs="仿宋"/>
          <w:b/>
          <w:spacing w:val="6"/>
          <w:sz w:val="32"/>
          <w:szCs w:val="32"/>
          <w:highlight w:val="none"/>
        </w:rPr>
      </w:pPr>
    </w:p>
    <w:p w14:paraId="2A56E9A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2D869BE">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37E2AE30">
      <w:pPr>
        <w:spacing w:line="360" w:lineRule="auto"/>
        <w:jc w:val="center"/>
        <w:rPr>
          <w:rFonts w:hint="eastAsia" w:ascii="仿宋" w:hAnsi="仿宋" w:eastAsia="仿宋" w:cs="仿宋"/>
          <w:sz w:val="24"/>
          <w:highlight w:val="none"/>
          <w:u w:val="single"/>
        </w:rPr>
      </w:pPr>
    </w:p>
    <w:p w14:paraId="31577F13">
      <w:pPr>
        <w:rPr>
          <w:rFonts w:hint="eastAsia" w:ascii="仿宋" w:hAnsi="仿宋" w:eastAsia="仿宋" w:cs="仿宋"/>
          <w:bCs/>
          <w:sz w:val="24"/>
          <w:highlight w:val="none"/>
        </w:rPr>
      </w:pPr>
      <w:r>
        <w:rPr>
          <w:rFonts w:hint="eastAsia" w:ascii="仿宋" w:hAnsi="仿宋" w:eastAsia="仿宋" w:cs="仿宋"/>
          <w:bCs/>
          <w:sz w:val="24"/>
          <w:highlight w:val="none"/>
        </w:rPr>
        <w:t>（报价文件部分有示范格式）</w:t>
      </w:r>
    </w:p>
    <w:p w14:paraId="2D1D0245">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14:paraId="09214FAF">
      <w:pPr>
        <w:spacing w:line="360" w:lineRule="auto"/>
        <w:rPr>
          <w:rFonts w:hint="eastAsia" w:ascii="仿宋" w:hAnsi="仿宋" w:eastAsia="仿宋" w:cs="仿宋"/>
          <w:highlight w:val="none"/>
        </w:rPr>
      </w:pPr>
    </w:p>
    <w:p w14:paraId="5CAA08D4">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10C1BC22">
      <w:pPr>
        <w:numPr>
          <w:ilvl w:val="0"/>
          <w:numId w:val="12"/>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（标的）</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 xml:space="preserve">    （行业）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（填写中型企业、或者小型企业、或者微型企业的一种） </w:t>
      </w:r>
    </w:p>
    <w:p w14:paraId="61A65188">
      <w:pPr>
        <w:numPr>
          <w:ilvl w:val="0"/>
          <w:numId w:val="12"/>
        </w:num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 xml:space="preserve">           （标的）</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 xml:space="preserve">    （行业）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（填写中型企业、或者小型企业、或者微型企业的一种） </w:t>
      </w:r>
    </w:p>
    <w:p w14:paraId="5C80C67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3BB4563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0749022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BB8555A">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36F6335B">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0483973">
      <w:pPr>
        <w:spacing w:line="360" w:lineRule="auto"/>
        <w:ind w:firstLine="310" w:firstLineChars="147"/>
        <w:jc w:val="left"/>
        <w:rPr>
          <w:rFonts w:hint="eastAsia" w:ascii="仿宋" w:hAnsi="仿宋" w:eastAsia="仿宋" w:cs="仿宋"/>
          <w:b/>
          <w:szCs w:val="21"/>
          <w:highlight w:val="none"/>
        </w:rPr>
      </w:pPr>
    </w:p>
    <w:p w14:paraId="1FC3E477">
      <w:pPr>
        <w:spacing w:line="360" w:lineRule="auto"/>
        <w:ind w:right="420"/>
        <w:rPr>
          <w:rFonts w:hint="eastAsia" w:ascii="仿宋" w:hAnsi="仿宋" w:eastAsia="仿宋" w:cs="仿宋"/>
          <w:sz w:val="24"/>
          <w:highlight w:val="none"/>
        </w:rPr>
      </w:pPr>
    </w:p>
    <w:p w14:paraId="120D7CB3">
      <w:pPr>
        <w:pageBreakBefore w:val="0"/>
        <w:kinsoku/>
        <w:wordWrap/>
        <w:overflowPunct/>
        <w:topLinePunct w:val="0"/>
        <w:bidi w:val="0"/>
        <w:spacing w:line="360" w:lineRule="auto"/>
        <w:ind w:right="420"/>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rPr>
        <w:t>填写要求</w:t>
      </w:r>
      <w:r>
        <w:rPr>
          <w:rFonts w:hint="eastAsia" w:ascii="仿宋" w:hAnsi="仿宋" w:eastAsia="仿宋" w:cs="仿宋"/>
          <w:b w:val="0"/>
          <w:bCs w:val="0"/>
          <w:color w:val="FF0000"/>
          <w:sz w:val="24"/>
          <w:highlight w:val="none"/>
          <w:lang w:eastAsia="zh-CN"/>
        </w:rPr>
        <w:t>（</w:t>
      </w:r>
      <w:r>
        <w:rPr>
          <w:rFonts w:hint="eastAsia" w:ascii="仿宋" w:hAnsi="仿宋" w:eastAsia="仿宋" w:cs="仿宋"/>
          <w:b w:val="0"/>
          <w:bCs w:val="0"/>
          <w:color w:val="FF0000"/>
          <w:sz w:val="24"/>
          <w:highlight w:val="none"/>
          <w:lang w:val="en-US" w:eastAsia="zh-CN"/>
        </w:rPr>
        <w:t>务必注意</w:t>
      </w:r>
      <w:r>
        <w:rPr>
          <w:rFonts w:hint="eastAsia" w:ascii="仿宋" w:hAnsi="仿宋" w:eastAsia="仿宋" w:cs="仿宋"/>
          <w:b w:val="0"/>
          <w:bCs w:val="0"/>
          <w:color w:val="FF0000"/>
          <w:sz w:val="24"/>
          <w:highlight w:val="none"/>
          <w:lang w:eastAsia="zh-CN"/>
        </w:rPr>
        <w:t>）</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①</w:t>
      </w:r>
      <w:r>
        <w:rPr>
          <w:rFonts w:hint="eastAsia" w:ascii="仿宋" w:hAnsi="仿宋" w:eastAsia="仿宋" w:cs="仿宋"/>
          <w:b w:val="0"/>
          <w:bCs w:val="0"/>
          <w:color w:val="auto"/>
          <w:sz w:val="24"/>
          <w:highlight w:val="none"/>
        </w:rPr>
        <w:t>从业人员、营业收入、资产总额填报上一年度数据，无上一年度数据的新成立企业可不填报</w:t>
      </w:r>
      <w:r>
        <w:rPr>
          <w:rFonts w:hint="eastAsia" w:ascii="仿宋" w:hAnsi="仿宋" w:eastAsia="仿宋" w:cs="仿宋"/>
          <w:b w:val="0"/>
          <w:bCs w:val="0"/>
          <w:color w:val="auto"/>
          <w:sz w:val="24"/>
          <w:highlight w:val="none"/>
          <w:lang w:eastAsia="zh-CN"/>
        </w:rPr>
        <w:t>。②</w:t>
      </w:r>
      <w:r>
        <w:rPr>
          <w:rFonts w:hint="eastAsia" w:ascii="仿宋" w:hAnsi="仿宋" w:eastAsia="仿宋" w:cs="仿宋"/>
          <w:b w:val="0"/>
          <w:bCs w:val="0"/>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仿宋"/>
          <w:b w:val="0"/>
          <w:bCs w:val="0"/>
          <w:color w:val="auto"/>
          <w:sz w:val="24"/>
          <w:highlight w:val="none"/>
          <w:lang w:eastAsia="zh-CN"/>
        </w:rPr>
        <w:t>③</w:t>
      </w:r>
      <w:r>
        <w:rPr>
          <w:rFonts w:hint="eastAsia" w:ascii="仿宋" w:hAnsi="仿宋" w:eastAsia="仿宋" w:cs="仿宋"/>
          <w:b w:val="0"/>
          <w:bCs w:val="0"/>
          <w:color w:val="auto"/>
          <w:sz w:val="24"/>
          <w:highlight w:val="none"/>
          <w:lang w:val="en-US" w:eastAsia="zh-CN"/>
        </w:rPr>
        <w:t>《中小企业声明函》填写企业类型错误或者未填写企业类型的，投标无效。</w:t>
      </w:r>
    </w:p>
    <w:p w14:paraId="78DDBC93">
      <w:pPr>
        <w:spacing w:line="360" w:lineRule="auto"/>
        <w:ind w:right="420"/>
        <w:rPr>
          <w:rFonts w:hint="eastAsia" w:ascii="仿宋" w:hAnsi="仿宋" w:eastAsia="仿宋" w:cs="仿宋"/>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）的规定，投标人提供由省级以上监狱管理局、戒毒管理局（含新疆生产建设兵团）出具的属于监狱企业证明文件的，视同为小型和微型企业。</w:t>
      </w:r>
    </w:p>
    <w:p w14:paraId="110A0F41">
      <w:pPr>
        <w:spacing w:line="360" w:lineRule="auto"/>
        <w:ind w:right="420"/>
        <w:rPr>
          <w:rFonts w:hint="eastAsia" w:ascii="仿宋" w:hAnsi="仿宋" w:eastAsia="仿宋" w:cs="仿宋"/>
          <w:highlight w:val="none"/>
        </w:rPr>
      </w:pPr>
    </w:p>
    <w:p w14:paraId="651D0849">
      <w:pPr>
        <w:pStyle w:val="186"/>
        <w:widowControl w:val="0"/>
        <w:adjustRightInd w:val="0"/>
        <w:snapToGrid w:val="0"/>
        <w:spacing w:line="360" w:lineRule="auto"/>
        <w:jc w:val="both"/>
        <w:rPr>
          <w:rFonts w:hint="eastAsia" w:ascii="仿宋" w:hAnsi="仿宋" w:eastAsia="仿宋" w:cs="仿宋"/>
          <w:b/>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14:paraId="3195BC36">
      <w:pPr>
        <w:autoSpaceDE w:val="0"/>
        <w:autoSpaceDN w:val="0"/>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其他</w:t>
      </w:r>
    </w:p>
    <w:p w14:paraId="3A42637B">
      <w:pPr>
        <w:tabs>
          <w:tab w:val="left" w:pos="8085"/>
        </w:tabs>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14:paraId="70CCAA4A">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14:paraId="53DD0C1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14:paraId="112639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14:paraId="662F20A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14:paraId="221D2A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8C761B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14:paraId="41023111">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14:paraId="1466D6C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14:paraId="72AD16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14:paraId="1AADB92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14:paraId="19F6557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14:paraId="741F924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14:paraId="526D94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14:paraId="66B112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14:paraId="48BB48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14:paraId="03963C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14:paraId="21DE76B3">
      <w:pPr>
        <w:tabs>
          <w:tab w:val="left" w:pos="432"/>
        </w:tabs>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（三）杭州e融平台申请融资</w:t>
      </w:r>
    </w:p>
    <w:p w14:paraId="179CFF0E">
      <w:pPr>
        <w:tabs>
          <w:tab w:val="left" w:pos="432"/>
        </w:tabs>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供应商通过杭州e融平台政采贷专区，自行选择金融产品，按规定手续办理贷款流程。</w:t>
      </w:r>
    </w:p>
    <w:p w14:paraId="144918A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14:paraId="1CE70B63">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1、对拟用于信用融资的政府采购合同，供应商在签订合同时应当在合同中注明融资银行名称及账号，作为在该银行的唯一收款账号。</w:t>
      </w:r>
    </w:p>
    <w:p w14:paraId="7D73EC3A">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2、供应商弄虚作假或以伪造政府采购合同等方式违规获取政府采购信用融资，或不及时还款，或出现其他违反本办法规定情形的，按融资合同约定承担违约责任；涉嫌犯罪的，移送司法机关处理。</w:t>
      </w:r>
    </w:p>
    <w:p w14:paraId="2AED0DFB">
      <w:pPr>
        <w:widowControl/>
        <w:rPr>
          <w:rFonts w:hint="eastAsia" w:ascii="仿宋" w:hAnsi="仿宋" w:eastAsia="仿宋" w:cs="仿宋"/>
          <w:kern w:val="0"/>
          <w:sz w:val="24"/>
          <w:highlight w:val="none"/>
          <w:lang w:val="zh-CN"/>
        </w:rPr>
      </w:pPr>
    </w:p>
    <w:p w14:paraId="0A8E27A8">
      <w:pPr>
        <w:rPr>
          <w:rFonts w:hint="eastAsia" w:ascii="仿宋" w:hAnsi="仿宋" w:eastAsia="仿宋" w:cs="仿宋"/>
          <w:highlight w:val="none"/>
          <w:lang w:val="zh-CN"/>
        </w:rPr>
        <w:sectPr>
          <w:pgSz w:w="11906" w:h="16838"/>
          <w:pgMar w:top="1247" w:right="1588" w:bottom="1089" w:left="1588" w:header="851" w:footer="992" w:gutter="0"/>
          <w:cols w:space="720" w:num="1"/>
          <w:docGrid w:linePitch="312" w:charSpace="0"/>
        </w:sectPr>
      </w:pPr>
    </w:p>
    <w:p w14:paraId="113C2EC6">
      <w:pPr>
        <w:pStyle w:val="186"/>
        <w:widowControl w:val="0"/>
        <w:snapToGrid w:val="0"/>
        <w:spacing w:line="500" w:lineRule="exact"/>
        <w:rPr>
          <w:rFonts w:hint="eastAsia" w:ascii="仿宋" w:hAnsi="仿宋" w:eastAsia="仿宋" w:cs="仿宋"/>
          <w:b/>
          <w:i w:val="0"/>
          <w:iCs w:val="0"/>
          <w:sz w:val="28"/>
          <w:szCs w:val="28"/>
          <w:highlight w:val="none"/>
        </w:rPr>
      </w:pPr>
      <w:r>
        <w:rPr>
          <w:rFonts w:hint="eastAsia" w:ascii="仿宋" w:hAnsi="仿宋" w:eastAsia="仿宋" w:cs="仿宋"/>
          <w:i w:val="0"/>
          <w:iCs w:val="0"/>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4DEAB97">
      <w:pPr>
        <w:pStyle w:val="186"/>
        <w:widowControl w:val="0"/>
        <w:snapToGrid w:val="0"/>
        <w:spacing w:line="500" w:lineRule="exact"/>
        <w:jc w:val="center"/>
        <w:rPr>
          <w:rFonts w:hint="eastAsia" w:ascii="仿宋" w:hAnsi="仿宋" w:eastAsia="仿宋" w:cs="仿宋"/>
          <w:b/>
          <w:i w:val="0"/>
          <w:iCs w:val="0"/>
          <w:sz w:val="28"/>
          <w:szCs w:val="28"/>
          <w:highlight w:val="none"/>
        </w:rPr>
      </w:pPr>
      <w:r>
        <w:rPr>
          <w:rFonts w:hint="eastAsia" w:ascii="仿宋" w:hAnsi="仿宋" w:eastAsia="仿宋" w:cs="仿宋"/>
          <w:b/>
          <w:i w:val="0"/>
          <w:iCs w:val="0"/>
          <w:sz w:val="28"/>
          <w:szCs w:val="28"/>
          <w:highlight w:val="none"/>
        </w:rPr>
        <w:t>中小企业划型标准规定</w:t>
      </w:r>
    </w:p>
    <w:p w14:paraId="21BE8DFF">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p>
    <w:p w14:paraId="163A4E1A">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i w:val="0"/>
          <w:iCs w:val="0"/>
          <w:spacing w:val="6"/>
          <w:szCs w:val="21"/>
          <w:highlight w:val="none"/>
        </w:rPr>
        <w:t>国务院关于进一步促进中小企业发展的若干意见</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i w:val="0"/>
          <w:iCs w:val="0"/>
          <w:spacing w:val="6"/>
          <w:szCs w:val="21"/>
          <w:highlight w:val="none"/>
        </w:rPr>
        <w:t>国发〔2009〕36号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)，制定本规定。</w:t>
      </w:r>
    </w:p>
    <w:p w14:paraId="46D05111">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二、中小企业划分为中型、小型、微型三种类型，具体标准根据企业从业人员、营业收入、资产总额等指标，结合行业特点制定。</w:t>
      </w:r>
    </w:p>
    <w:p w14:paraId="2EF18DF9">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D9184E">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四、各行业划型标准为：</w:t>
      </w:r>
    </w:p>
    <w:p w14:paraId="7AB47337">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1BF6AD60">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62A5225">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7BEB7A">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0CE92AB">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1D8F31">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B70296">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879472">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D40F89">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35D114">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FCF52B">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FF312FF">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364A1E">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67622B">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8A490E">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10C303">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164C7CC">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五、企业类型的划分以统计部门的统计数据为依据。</w:t>
      </w:r>
    </w:p>
    <w:p w14:paraId="7F7ADD22">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六、本规定适用于在中华人民共和国境内依法设立的各类所有制和各种组织形式的企业。个体工商户和本规定以外的行业，参照本规定进行划型。</w:t>
      </w:r>
    </w:p>
    <w:p w14:paraId="7E4F7910">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6471FE">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八、本规定由工业和信息化部、国家统计局会同有关部门根据《国民经济行业分类》修订情况和企业发展变化情况适时修订。</w:t>
      </w:r>
    </w:p>
    <w:p w14:paraId="58EC9DA8">
      <w:pPr>
        <w:pStyle w:val="186"/>
        <w:widowControl w:val="0"/>
        <w:adjustRightInd w:val="0"/>
        <w:snapToGrid w:val="0"/>
        <w:spacing w:line="360" w:lineRule="auto"/>
        <w:ind w:firstLine="444" w:firstLineChars="200"/>
        <w:jc w:val="both"/>
        <w:rPr>
          <w:rFonts w:hint="eastAsia" w:ascii="仿宋" w:hAnsi="仿宋" w:eastAsia="仿宋" w:cs="仿宋"/>
          <w:i w:val="0"/>
          <w:iCs w:val="0"/>
          <w:spacing w:val="6"/>
          <w:szCs w:val="21"/>
          <w:highlight w:val="none"/>
        </w:rPr>
      </w:pPr>
      <w:r>
        <w:rPr>
          <w:rFonts w:hint="eastAsia" w:ascii="仿宋" w:hAnsi="仿宋" w:eastAsia="仿宋" w:cs="仿宋"/>
          <w:i w:val="0"/>
          <w:iCs w:val="0"/>
          <w:spacing w:val="6"/>
          <w:szCs w:val="21"/>
          <w:highlight w:val="none"/>
        </w:rPr>
        <w:t>九、本规定由工业和信息化部、国家统计局会同有关部门负责解释。</w:t>
      </w:r>
    </w:p>
    <w:p w14:paraId="6C05B0B0">
      <w:pPr>
        <w:pStyle w:val="186"/>
        <w:widowControl w:val="0"/>
        <w:adjustRightInd w:val="0"/>
        <w:snapToGrid w:val="0"/>
        <w:spacing w:line="360" w:lineRule="auto"/>
        <w:ind w:firstLine="444" w:firstLineChars="200"/>
        <w:jc w:val="both"/>
        <w:rPr>
          <w:rFonts w:hint="eastAsia" w:ascii="仿宋" w:hAnsi="仿宋" w:eastAsia="仿宋" w:cs="仿宋"/>
          <w:szCs w:val="21"/>
          <w:highlight w:val="none"/>
        </w:rPr>
        <w:sectPr>
          <w:pgSz w:w="11906" w:h="16838"/>
          <w:pgMar w:top="1247" w:right="1588" w:bottom="1089" w:left="1588" w:header="851" w:footer="992" w:gutter="0"/>
          <w:cols w:space="720" w:num="1"/>
          <w:docGrid w:linePitch="312" w:charSpace="0"/>
        </w:sectPr>
      </w:pPr>
      <w:r>
        <w:rPr>
          <w:rFonts w:hint="eastAsia" w:ascii="仿宋" w:hAnsi="仿宋" w:eastAsia="仿宋" w:cs="仿宋"/>
          <w:i w:val="0"/>
          <w:iCs w:val="0"/>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i w:val="0"/>
          <w:iCs w:val="0"/>
          <w:spacing w:val="6"/>
          <w:szCs w:val="21"/>
          <w:highlight w:val="none"/>
        </w:rPr>
        <w:t>中小企业标准暂行规定</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i w:val="0"/>
          <w:iCs w:val="0"/>
          <w:spacing w:val="6"/>
          <w:szCs w:val="21"/>
          <w:highlight w:val="none"/>
        </w:rPr>
        <w:t>国经贸中小企</w:t>
      </w:r>
      <w:r>
        <w:rPr>
          <w:rFonts w:hint="eastAsia" w:ascii="仿宋" w:hAnsi="仿宋" w:eastAsia="仿宋" w:cs="仿宋"/>
          <w:i w:val="0"/>
          <w:iCs w:val="0"/>
          <w:spacing w:val="6"/>
          <w:szCs w:val="21"/>
          <w:highlight w:val="none"/>
          <w:lang w:eastAsia="zh-CN"/>
        </w:rPr>
        <w:t>〔2003〕143号</w:t>
      </w:r>
      <w:r>
        <w:rPr>
          <w:rFonts w:hint="eastAsia" w:ascii="仿宋" w:hAnsi="仿宋" w:eastAsia="仿宋" w:cs="仿宋"/>
          <w:i w:val="0"/>
          <w:iCs w:val="0"/>
          <w:spacing w:val="6"/>
          <w:szCs w:val="21"/>
          <w:highlight w:val="none"/>
        </w:rPr>
        <w:fldChar w:fldCharType="end"/>
      </w:r>
      <w:r>
        <w:rPr>
          <w:rFonts w:hint="eastAsia" w:ascii="仿宋" w:hAnsi="仿宋" w:eastAsia="仿宋" w:cs="仿宋"/>
          <w:i w:val="0"/>
          <w:iCs w:val="0"/>
          <w:spacing w:val="6"/>
          <w:szCs w:val="21"/>
          <w:highlight w:val="none"/>
        </w:rPr>
        <w:t>同时废止。</w:t>
      </w:r>
    </w:p>
    <w:p w14:paraId="59544B21">
      <w:pPr>
        <w:pStyle w:val="186"/>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r>
        <w:rPr>
          <w:rFonts w:hint="eastAsia" w:ascii="仿宋" w:hAnsi="仿宋" w:eastAsia="仿宋" w:cs="仿宋"/>
          <w:highlight w:val="none"/>
        </w:rPr>
        <w:t>、</w:t>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微软雅黑 Ligh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Sitka Text"/>
    <w:panose1 w:val="020B05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DokChampa">
    <w:altName w:val="Microsoft Sans Serif"/>
    <w:panose1 w:val="00000000000000000000"/>
    <w:charset w:val="DE"/>
    <w:family w:val="swiss"/>
    <w:pitch w:val="default"/>
    <w:sig w:usb0="00000000" w:usb1="00000000" w:usb2="00000000" w:usb3="00000000" w:csb0="4001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Sitka Text">
    <w:panose1 w:val="02000505000000020004"/>
    <w:charset w:val="00"/>
    <w:family w:val="auto"/>
    <w:pitch w:val="default"/>
    <w:sig w:usb0="A00002EF" w:usb1="4000204B"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Microsoft Sans Serif">
    <w:panose1 w:val="020B0604020202020204"/>
    <w:charset w:val="00"/>
    <w:family w:val="auto"/>
    <w:pitch w:val="default"/>
    <w:sig w:usb0="E5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266D">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F2D0E5F">
                          <w:pPr>
                            <w:pStyle w:val="2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14:paraId="0F2D0E5F">
                    <w:pPr>
                      <w:pStyle w:val="2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1FA0">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9ACF657">
                          <w:pPr>
                            <w:pStyle w:val="29"/>
                            <w:rPr>
                              <w:rFonts w:eastAsia="宋体"/>
                            </w:rPr>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14:paraId="09ACF657">
                    <w:pPr>
                      <w:pStyle w:val="29"/>
                      <w:rPr>
                        <w:rFonts w:eastAsia="宋体"/>
                      </w:rP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BBAA">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96F998E">
                          <w:pPr>
                            <w:pStyle w:val="29"/>
                            <w:rPr>
                              <w:rFonts w:eastAsia="宋体"/>
                            </w:rPr>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14:paraId="096F998E">
                    <w:pPr>
                      <w:pStyle w:val="29"/>
                      <w:rPr>
                        <w:rFonts w:eastAsia="宋体"/>
                      </w:rPr>
                    </w:pPr>
                    <w:r>
                      <w:fldChar w:fldCharType="begin"/>
                    </w:r>
                    <w:r>
                      <w:instrText xml:space="preserve"> PAGE  \* MERGEFORMAT </w:instrText>
                    </w:r>
                    <w:r>
                      <w:fldChar w:fldCharType="separate"/>
                    </w:r>
                    <w:r>
                      <w:t>68</w:t>
                    </w:r>
                    <w:r>
                      <w:fldChar w:fldCharType="end"/>
                    </w:r>
                  </w:p>
                </w:txbxContent>
              </v:textbox>
            </v:shape>
          </w:pict>
        </mc:Fallback>
      </mc:AlternateContent>
    </w:r>
  </w:p>
  <w:p w14:paraId="0835BC1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71F7">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E797D68">
                          <w:pPr>
                            <w:pStyle w:val="29"/>
                            <w:rPr>
                              <w:rFonts w:eastAsia="宋体"/>
                            </w:rPr>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14:paraId="4E797D68">
                    <w:pPr>
                      <w:pStyle w:val="29"/>
                      <w:rPr>
                        <w:rFonts w:eastAsia="宋体"/>
                      </w:rPr>
                    </w:pPr>
                    <w:r>
                      <w:fldChar w:fldCharType="begin"/>
                    </w:r>
                    <w:r>
                      <w:instrText xml:space="preserve"> PAGE  \* MERGEFORMAT </w:instrText>
                    </w:r>
                    <w:r>
                      <w:fldChar w:fldCharType="separate"/>
                    </w:r>
                    <w:r>
                      <w:t>67</w:t>
                    </w:r>
                    <w:r>
                      <w:fldChar w:fldCharType="end"/>
                    </w:r>
                  </w:p>
                </w:txbxContent>
              </v:textbox>
            </v:shape>
          </w:pict>
        </mc:Fallback>
      </mc:AlternateContent>
    </w:r>
  </w:p>
  <w:p w14:paraId="5F6A530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C919">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F806EE">
                          <w:pPr>
                            <w:pStyle w:val="29"/>
                            <w:rPr>
                              <w:rFonts w:eastAsia="宋体"/>
                            </w:rPr>
                          </w:pPr>
                          <w:r>
                            <w:fldChar w:fldCharType="begin"/>
                          </w:r>
                          <w:r>
                            <w:instrText xml:space="preserve"> PAGE  \* MERGEFORMAT </w:instrText>
                          </w:r>
                          <w:r>
                            <w:fldChar w:fldCharType="separate"/>
                          </w:r>
                          <w:r>
                            <w:t>86</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14:paraId="57F806EE">
                    <w:pPr>
                      <w:pStyle w:val="29"/>
                      <w:rPr>
                        <w:rFonts w:eastAsia="宋体"/>
                      </w:rPr>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C94E1">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DA0A">
    <w:pPr>
      <w:pStyle w:val="31"/>
      <w:pBdr>
        <w:bottom w:val="none" w:color="auto" w:sz="0" w:space="1"/>
      </w:pBdr>
    </w:pPr>
  </w:p>
  <w:p w14:paraId="099A95A6">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85FF">
    <w:pPr>
      <w:pStyle w:val="31"/>
      <w:pBdr>
        <w:bottom w:val="none" w:color="auto" w:sz="0" w:space="1"/>
      </w:pBdr>
      <w:jc w:val="right"/>
      <w:rPr>
        <w:rFonts w:ascii="仿宋_GB2312" w:eastAsia="仿宋_GB2312"/>
        <w:b/>
        <w:i/>
        <w:u w:val="single"/>
      </w:rPr>
    </w:pPr>
  </w:p>
  <w:p w14:paraId="12A1412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2E4A">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3F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71F1"/>
    <w:multiLevelType w:val="singleLevel"/>
    <w:tmpl w:val="80FA71F1"/>
    <w:lvl w:ilvl="0" w:tentative="0">
      <w:start w:val="1"/>
      <w:numFmt w:val="decimalEnclosedCircleChinese"/>
      <w:suff w:val="nothing"/>
      <w:lvlText w:val="%1　"/>
      <w:lvlJc w:val="left"/>
      <w:pPr>
        <w:ind w:left="0" w:firstLine="400"/>
      </w:pPr>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D6315F5"/>
    <w:multiLevelType w:val="singleLevel"/>
    <w:tmpl w:val="0D6315F5"/>
    <w:lvl w:ilvl="0" w:tentative="0">
      <w:start w:val="1"/>
      <w:numFmt w:val="decimal"/>
      <w:suff w:val="space"/>
      <w:lvlText w:val="%1."/>
      <w:lvlJc w:val="left"/>
    </w:lvl>
  </w:abstractNum>
  <w:abstractNum w:abstractNumId="7">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6BCB5E2A"/>
    <w:multiLevelType w:val="singleLevel"/>
    <w:tmpl w:val="6BCB5E2A"/>
    <w:lvl w:ilvl="0" w:tentative="0">
      <w:start w:val="1"/>
      <w:numFmt w:val="decimal"/>
      <w:suff w:val="space"/>
      <w:lvlText w:val="%1."/>
      <w:lvlJc w:val="left"/>
    </w:lvl>
  </w:abstractNum>
  <w:num w:numId="1">
    <w:abstractNumId w:val="2"/>
  </w:num>
  <w:num w:numId="2">
    <w:abstractNumId w:val="0"/>
  </w:num>
  <w:num w:numId="3">
    <w:abstractNumId w:val="3"/>
  </w:num>
  <w:num w:numId="4">
    <w:abstractNumId w:val="8"/>
  </w:num>
  <w:num w:numId="5">
    <w:abstractNumId w:val="1"/>
  </w:num>
  <w:num w:numId="6">
    <w:abstractNumId w:val="7"/>
  </w:num>
  <w:num w:numId="7">
    <w:abstractNumId w:val="10"/>
  </w:num>
  <w:num w:numId="8">
    <w:abstractNumId w:val="4"/>
  </w:num>
  <w:num w:numId="9">
    <w:abstractNumId w:val="5"/>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223C"/>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2EA0"/>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6444"/>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5D75"/>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851E7"/>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3F6B"/>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48AF"/>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3F7A"/>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5AC3"/>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8F5"/>
    <w:rsid w:val="00FF5B62"/>
    <w:rsid w:val="011C7C7F"/>
    <w:rsid w:val="01242C13"/>
    <w:rsid w:val="0126127D"/>
    <w:rsid w:val="012F6D31"/>
    <w:rsid w:val="013F0BAE"/>
    <w:rsid w:val="01426CB7"/>
    <w:rsid w:val="014C15F0"/>
    <w:rsid w:val="016A18BB"/>
    <w:rsid w:val="01746760"/>
    <w:rsid w:val="01767F39"/>
    <w:rsid w:val="0178774A"/>
    <w:rsid w:val="01837032"/>
    <w:rsid w:val="01891C53"/>
    <w:rsid w:val="018F3568"/>
    <w:rsid w:val="01A026F0"/>
    <w:rsid w:val="01AF1DEF"/>
    <w:rsid w:val="01B5447A"/>
    <w:rsid w:val="01C045F9"/>
    <w:rsid w:val="01C23D30"/>
    <w:rsid w:val="01D85D7E"/>
    <w:rsid w:val="01DD653E"/>
    <w:rsid w:val="01F03100"/>
    <w:rsid w:val="01F91FE9"/>
    <w:rsid w:val="01FC6168"/>
    <w:rsid w:val="02205968"/>
    <w:rsid w:val="022E0EC5"/>
    <w:rsid w:val="023C6877"/>
    <w:rsid w:val="023D593B"/>
    <w:rsid w:val="024A4B3B"/>
    <w:rsid w:val="02546DDA"/>
    <w:rsid w:val="025E069A"/>
    <w:rsid w:val="02647ECA"/>
    <w:rsid w:val="02676E1B"/>
    <w:rsid w:val="02731095"/>
    <w:rsid w:val="02772BD8"/>
    <w:rsid w:val="02952E03"/>
    <w:rsid w:val="029F7028"/>
    <w:rsid w:val="02A77100"/>
    <w:rsid w:val="02B36AA5"/>
    <w:rsid w:val="02BB057C"/>
    <w:rsid w:val="02C00B3F"/>
    <w:rsid w:val="02EF0CFB"/>
    <w:rsid w:val="02EF19D6"/>
    <w:rsid w:val="02F77757"/>
    <w:rsid w:val="02FA23A8"/>
    <w:rsid w:val="032062CB"/>
    <w:rsid w:val="032F0848"/>
    <w:rsid w:val="03310592"/>
    <w:rsid w:val="033A0E9D"/>
    <w:rsid w:val="033F29FA"/>
    <w:rsid w:val="034641C3"/>
    <w:rsid w:val="03485A0F"/>
    <w:rsid w:val="035241C7"/>
    <w:rsid w:val="035B47DA"/>
    <w:rsid w:val="036D3BCF"/>
    <w:rsid w:val="036D5065"/>
    <w:rsid w:val="037557A7"/>
    <w:rsid w:val="03756445"/>
    <w:rsid w:val="0379245F"/>
    <w:rsid w:val="037E4B04"/>
    <w:rsid w:val="038652C6"/>
    <w:rsid w:val="03936BB9"/>
    <w:rsid w:val="03A9328A"/>
    <w:rsid w:val="03B234AE"/>
    <w:rsid w:val="03C17E5B"/>
    <w:rsid w:val="03CE2423"/>
    <w:rsid w:val="03DB2543"/>
    <w:rsid w:val="03E5647E"/>
    <w:rsid w:val="03F730C5"/>
    <w:rsid w:val="03FC0994"/>
    <w:rsid w:val="042451DA"/>
    <w:rsid w:val="04266BBA"/>
    <w:rsid w:val="04281C40"/>
    <w:rsid w:val="042E4DD9"/>
    <w:rsid w:val="04325931"/>
    <w:rsid w:val="04513859"/>
    <w:rsid w:val="045F036E"/>
    <w:rsid w:val="046532AA"/>
    <w:rsid w:val="04735F53"/>
    <w:rsid w:val="04757F77"/>
    <w:rsid w:val="04813F74"/>
    <w:rsid w:val="04950609"/>
    <w:rsid w:val="049B4ADB"/>
    <w:rsid w:val="04A21EFD"/>
    <w:rsid w:val="04A76479"/>
    <w:rsid w:val="04B63BFF"/>
    <w:rsid w:val="04BB391E"/>
    <w:rsid w:val="04CE1F73"/>
    <w:rsid w:val="04D57147"/>
    <w:rsid w:val="04EA35AB"/>
    <w:rsid w:val="04F11AB8"/>
    <w:rsid w:val="04F82F7C"/>
    <w:rsid w:val="04FA4853"/>
    <w:rsid w:val="04FC5702"/>
    <w:rsid w:val="04FE5BD1"/>
    <w:rsid w:val="050B0CD7"/>
    <w:rsid w:val="050E113B"/>
    <w:rsid w:val="052203F1"/>
    <w:rsid w:val="053179BA"/>
    <w:rsid w:val="05341DD6"/>
    <w:rsid w:val="053921E2"/>
    <w:rsid w:val="053E62FD"/>
    <w:rsid w:val="05407769"/>
    <w:rsid w:val="0549386E"/>
    <w:rsid w:val="054E5ED7"/>
    <w:rsid w:val="056B4BA9"/>
    <w:rsid w:val="05757C7C"/>
    <w:rsid w:val="059557B1"/>
    <w:rsid w:val="059F0331"/>
    <w:rsid w:val="05A0616A"/>
    <w:rsid w:val="05A133AA"/>
    <w:rsid w:val="05D62E8D"/>
    <w:rsid w:val="05E33C6C"/>
    <w:rsid w:val="05EB7976"/>
    <w:rsid w:val="05F077D4"/>
    <w:rsid w:val="06091935"/>
    <w:rsid w:val="060D4D85"/>
    <w:rsid w:val="060F45F1"/>
    <w:rsid w:val="06136FCC"/>
    <w:rsid w:val="061834A6"/>
    <w:rsid w:val="063F1073"/>
    <w:rsid w:val="06477A15"/>
    <w:rsid w:val="064C7D14"/>
    <w:rsid w:val="065426BE"/>
    <w:rsid w:val="06545B13"/>
    <w:rsid w:val="06565F89"/>
    <w:rsid w:val="065E3C59"/>
    <w:rsid w:val="06711361"/>
    <w:rsid w:val="0676065B"/>
    <w:rsid w:val="069A1931"/>
    <w:rsid w:val="069B792B"/>
    <w:rsid w:val="069E7501"/>
    <w:rsid w:val="06A11AE7"/>
    <w:rsid w:val="06AD2B3B"/>
    <w:rsid w:val="06B4101E"/>
    <w:rsid w:val="06D71578"/>
    <w:rsid w:val="06D74D2C"/>
    <w:rsid w:val="06D87FE9"/>
    <w:rsid w:val="06D956E3"/>
    <w:rsid w:val="06DD48E9"/>
    <w:rsid w:val="06E40402"/>
    <w:rsid w:val="06ED75EE"/>
    <w:rsid w:val="06F14E7D"/>
    <w:rsid w:val="06F15F3E"/>
    <w:rsid w:val="06F53A22"/>
    <w:rsid w:val="070736C4"/>
    <w:rsid w:val="07272FEF"/>
    <w:rsid w:val="072A05F0"/>
    <w:rsid w:val="07387D99"/>
    <w:rsid w:val="074618E0"/>
    <w:rsid w:val="0756170A"/>
    <w:rsid w:val="075848D7"/>
    <w:rsid w:val="07611FC2"/>
    <w:rsid w:val="07701844"/>
    <w:rsid w:val="07810992"/>
    <w:rsid w:val="078656CD"/>
    <w:rsid w:val="07881B83"/>
    <w:rsid w:val="078F387E"/>
    <w:rsid w:val="079F1279"/>
    <w:rsid w:val="07A267CB"/>
    <w:rsid w:val="07A85F84"/>
    <w:rsid w:val="07B572E3"/>
    <w:rsid w:val="07C766EF"/>
    <w:rsid w:val="07D37E8D"/>
    <w:rsid w:val="07DB1942"/>
    <w:rsid w:val="07DB6632"/>
    <w:rsid w:val="07E6588F"/>
    <w:rsid w:val="07E67990"/>
    <w:rsid w:val="07EB52FC"/>
    <w:rsid w:val="07F6398C"/>
    <w:rsid w:val="08007C66"/>
    <w:rsid w:val="08066D92"/>
    <w:rsid w:val="080F5EFD"/>
    <w:rsid w:val="08163E4D"/>
    <w:rsid w:val="081E7C8D"/>
    <w:rsid w:val="08444D3B"/>
    <w:rsid w:val="084F6F27"/>
    <w:rsid w:val="085B2896"/>
    <w:rsid w:val="085B47AE"/>
    <w:rsid w:val="085E00A1"/>
    <w:rsid w:val="08752AC1"/>
    <w:rsid w:val="08757F68"/>
    <w:rsid w:val="08895C65"/>
    <w:rsid w:val="08904B46"/>
    <w:rsid w:val="089153C7"/>
    <w:rsid w:val="08936E11"/>
    <w:rsid w:val="08A344C0"/>
    <w:rsid w:val="08AD7D17"/>
    <w:rsid w:val="08B7057E"/>
    <w:rsid w:val="08BB7963"/>
    <w:rsid w:val="08BD56F0"/>
    <w:rsid w:val="08BF66FF"/>
    <w:rsid w:val="08D351BE"/>
    <w:rsid w:val="08DD1D65"/>
    <w:rsid w:val="08DD2846"/>
    <w:rsid w:val="08E13796"/>
    <w:rsid w:val="08E21174"/>
    <w:rsid w:val="08E32E74"/>
    <w:rsid w:val="08F740E9"/>
    <w:rsid w:val="08F84BFB"/>
    <w:rsid w:val="09023E0B"/>
    <w:rsid w:val="091D5275"/>
    <w:rsid w:val="092422D4"/>
    <w:rsid w:val="092E0CF2"/>
    <w:rsid w:val="0941147D"/>
    <w:rsid w:val="0948744F"/>
    <w:rsid w:val="094E5EB9"/>
    <w:rsid w:val="09503F28"/>
    <w:rsid w:val="09647A9E"/>
    <w:rsid w:val="0967778B"/>
    <w:rsid w:val="0972141D"/>
    <w:rsid w:val="098B5CEE"/>
    <w:rsid w:val="09B0689E"/>
    <w:rsid w:val="09B213D0"/>
    <w:rsid w:val="09E0485F"/>
    <w:rsid w:val="09EF6144"/>
    <w:rsid w:val="09FB16A7"/>
    <w:rsid w:val="09FD39CA"/>
    <w:rsid w:val="0A030A5B"/>
    <w:rsid w:val="0A0953AE"/>
    <w:rsid w:val="0A110ED0"/>
    <w:rsid w:val="0A2A682C"/>
    <w:rsid w:val="0A2C7D49"/>
    <w:rsid w:val="0A4707FD"/>
    <w:rsid w:val="0A4D6348"/>
    <w:rsid w:val="0A690634"/>
    <w:rsid w:val="0A6E1C10"/>
    <w:rsid w:val="0AA350C7"/>
    <w:rsid w:val="0AA867C8"/>
    <w:rsid w:val="0AB16EAD"/>
    <w:rsid w:val="0AC92E5A"/>
    <w:rsid w:val="0AE67C59"/>
    <w:rsid w:val="0AEB64A8"/>
    <w:rsid w:val="0AED3445"/>
    <w:rsid w:val="0AEF60E1"/>
    <w:rsid w:val="0AF315E8"/>
    <w:rsid w:val="0AF344E1"/>
    <w:rsid w:val="0AF96B45"/>
    <w:rsid w:val="0AFE6184"/>
    <w:rsid w:val="0B1449F6"/>
    <w:rsid w:val="0B1A1E43"/>
    <w:rsid w:val="0B2912D0"/>
    <w:rsid w:val="0B361B49"/>
    <w:rsid w:val="0B476BBC"/>
    <w:rsid w:val="0B48684A"/>
    <w:rsid w:val="0B4D48A4"/>
    <w:rsid w:val="0B507925"/>
    <w:rsid w:val="0B533B29"/>
    <w:rsid w:val="0B631A54"/>
    <w:rsid w:val="0B823FD1"/>
    <w:rsid w:val="0B871E95"/>
    <w:rsid w:val="0B9630C2"/>
    <w:rsid w:val="0B975356"/>
    <w:rsid w:val="0B9B7B36"/>
    <w:rsid w:val="0BA7004E"/>
    <w:rsid w:val="0BA8144D"/>
    <w:rsid w:val="0BAD7ADF"/>
    <w:rsid w:val="0BB4611C"/>
    <w:rsid w:val="0BB579E9"/>
    <w:rsid w:val="0BBD4675"/>
    <w:rsid w:val="0BDC640E"/>
    <w:rsid w:val="0BE0144B"/>
    <w:rsid w:val="0BE10566"/>
    <w:rsid w:val="0BEB5940"/>
    <w:rsid w:val="0C013897"/>
    <w:rsid w:val="0C176CBC"/>
    <w:rsid w:val="0C3236E7"/>
    <w:rsid w:val="0C352A19"/>
    <w:rsid w:val="0C494A35"/>
    <w:rsid w:val="0C49575D"/>
    <w:rsid w:val="0C545B8D"/>
    <w:rsid w:val="0C6D71DA"/>
    <w:rsid w:val="0C6F619B"/>
    <w:rsid w:val="0C756558"/>
    <w:rsid w:val="0C7905D8"/>
    <w:rsid w:val="0C952C04"/>
    <w:rsid w:val="0C95435A"/>
    <w:rsid w:val="0CA87625"/>
    <w:rsid w:val="0CAD6CD5"/>
    <w:rsid w:val="0CAF4411"/>
    <w:rsid w:val="0CB02F58"/>
    <w:rsid w:val="0CB71182"/>
    <w:rsid w:val="0CC7607D"/>
    <w:rsid w:val="0CD31EEE"/>
    <w:rsid w:val="0D181D78"/>
    <w:rsid w:val="0D2546FA"/>
    <w:rsid w:val="0D2B6157"/>
    <w:rsid w:val="0D3244DD"/>
    <w:rsid w:val="0D5864B2"/>
    <w:rsid w:val="0D6A1AC0"/>
    <w:rsid w:val="0D6B0852"/>
    <w:rsid w:val="0D6D3302"/>
    <w:rsid w:val="0D7F3975"/>
    <w:rsid w:val="0D8C26CD"/>
    <w:rsid w:val="0D9A0057"/>
    <w:rsid w:val="0DA27718"/>
    <w:rsid w:val="0DB1010B"/>
    <w:rsid w:val="0DBB10B4"/>
    <w:rsid w:val="0DBB55AD"/>
    <w:rsid w:val="0DD76FF4"/>
    <w:rsid w:val="0DE57D7F"/>
    <w:rsid w:val="0E096E39"/>
    <w:rsid w:val="0E1C1EC9"/>
    <w:rsid w:val="0E206931"/>
    <w:rsid w:val="0E442EAE"/>
    <w:rsid w:val="0E4C3071"/>
    <w:rsid w:val="0E592DE1"/>
    <w:rsid w:val="0E60507D"/>
    <w:rsid w:val="0E971A66"/>
    <w:rsid w:val="0EA72BA6"/>
    <w:rsid w:val="0EAA475B"/>
    <w:rsid w:val="0EAC11AD"/>
    <w:rsid w:val="0EB62376"/>
    <w:rsid w:val="0EBA38A5"/>
    <w:rsid w:val="0EC74501"/>
    <w:rsid w:val="0EDA0876"/>
    <w:rsid w:val="0EEB4C90"/>
    <w:rsid w:val="0EF162BD"/>
    <w:rsid w:val="0F032F2D"/>
    <w:rsid w:val="0F14495A"/>
    <w:rsid w:val="0F2E3D57"/>
    <w:rsid w:val="0F305AAD"/>
    <w:rsid w:val="0F321605"/>
    <w:rsid w:val="0F3353B7"/>
    <w:rsid w:val="0F48505B"/>
    <w:rsid w:val="0F5342DC"/>
    <w:rsid w:val="0F566845"/>
    <w:rsid w:val="0F684F69"/>
    <w:rsid w:val="0F68565B"/>
    <w:rsid w:val="0F687084"/>
    <w:rsid w:val="0F7B6A00"/>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A2A25"/>
    <w:rsid w:val="10AD7AF8"/>
    <w:rsid w:val="10B15399"/>
    <w:rsid w:val="10DA0204"/>
    <w:rsid w:val="10E87676"/>
    <w:rsid w:val="10F378F4"/>
    <w:rsid w:val="10F55783"/>
    <w:rsid w:val="110765F0"/>
    <w:rsid w:val="111649EF"/>
    <w:rsid w:val="111C76BD"/>
    <w:rsid w:val="111F3BCF"/>
    <w:rsid w:val="112A66B2"/>
    <w:rsid w:val="11382462"/>
    <w:rsid w:val="113B37D8"/>
    <w:rsid w:val="114306D4"/>
    <w:rsid w:val="11506166"/>
    <w:rsid w:val="11567833"/>
    <w:rsid w:val="115A0E16"/>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E4B3D"/>
    <w:rsid w:val="12361FE3"/>
    <w:rsid w:val="1238092A"/>
    <w:rsid w:val="12491D3D"/>
    <w:rsid w:val="124C0824"/>
    <w:rsid w:val="124F70F5"/>
    <w:rsid w:val="125011C5"/>
    <w:rsid w:val="12665CAA"/>
    <w:rsid w:val="126A3793"/>
    <w:rsid w:val="1273400A"/>
    <w:rsid w:val="127759F8"/>
    <w:rsid w:val="1288457B"/>
    <w:rsid w:val="128B45A0"/>
    <w:rsid w:val="12A30010"/>
    <w:rsid w:val="12A400B1"/>
    <w:rsid w:val="12B94748"/>
    <w:rsid w:val="12CE6A83"/>
    <w:rsid w:val="12E60856"/>
    <w:rsid w:val="12EB69CE"/>
    <w:rsid w:val="12ED3A80"/>
    <w:rsid w:val="12F2222C"/>
    <w:rsid w:val="12F2530F"/>
    <w:rsid w:val="13021A2C"/>
    <w:rsid w:val="13152DB4"/>
    <w:rsid w:val="132A3E1B"/>
    <w:rsid w:val="133632F5"/>
    <w:rsid w:val="134224E3"/>
    <w:rsid w:val="13465BC3"/>
    <w:rsid w:val="1347361C"/>
    <w:rsid w:val="13500091"/>
    <w:rsid w:val="13560D8B"/>
    <w:rsid w:val="136620F4"/>
    <w:rsid w:val="1366701C"/>
    <w:rsid w:val="1379231B"/>
    <w:rsid w:val="139713B3"/>
    <w:rsid w:val="139E5A9A"/>
    <w:rsid w:val="13A4359A"/>
    <w:rsid w:val="13B445A5"/>
    <w:rsid w:val="13BB084D"/>
    <w:rsid w:val="13BC32D0"/>
    <w:rsid w:val="13CA1266"/>
    <w:rsid w:val="13D72474"/>
    <w:rsid w:val="13D971D2"/>
    <w:rsid w:val="13E94203"/>
    <w:rsid w:val="13F15346"/>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44639"/>
    <w:rsid w:val="14A7200E"/>
    <w:rsid w:val="14AF52CE"/>
    <w:rsid w:val="14B34ACE"/>
    <w:rsid w:val="14B8155B"/>
    <w:rsid w:val="14C678DA"/>
    <w:rsid w:val="14CB4D1A"/>
    <w:rsid w:val="14D64FA0"/>
    <w:rsid w:val="14DE22A2"/>
    <w:rsid w:val="14F54092"/>
    <w:rsid w:val="14F64B17"/>
    <w:rsid w:val="1525553B"/>
    <w:rsid w:val="15296903"/>
    <w:rsid w:val="152B75D2"/>
    <w:rsid w:val="153C5776"/>
    <w:rsid w:val="154755A3"/>
    <w:rsid w:val="154C573A"/>
    <w:rsid w:val="155265F4"/>
    <w:rsid w:val="15604361"/>
    <w:rsid w:val="157B0A32"/>
    <w:rsid w:val="15847260"/>
    <w:rsid w:val="15896493"/>
    <w:rsid w:val="15B51DDE"/>
    <w:rsid w:val="15B55363"/>
    <w:rsid w:val="15B61275"/>
    <w:rsid w:val="15C169AC"/>
    <w:rsid w:val="15EE0A89"/>
    <w:rsid w:val="15F00A00"/>
    <w:rsid w:val="15F65082"/>
    <w:rsid w:val="160024AA"/>
    <w:rsid w:val="160B2645"/>
    <w:rsid w:val="160F1942"/>
    <w:rsid w:val="161578BF"/>
    <w:rsid w:val="16162EF0"/>
    <w:rsid w:val="16261317"/>
    <w:rsid w:val="16337E88"/>
    <w:rsid w:val="163927D2"/>
    <w:rsid w:val="1640771C"/>
    <w:rsid w:val="164E4741"/>
    <w:rsid w:val="164E668F"/>
    <w:rsid w:val="165635D9"/>
    <w:rsid w:val="1658525F"/>
    <w:rsid w:val="16611327"/>
    <w:rsid w:val="16A1133A"/>
    <w:rsid w:val="16B001AD"/>
    <w:rsid w:val="16CD690B"/>
    <w:rsid w:val="16F21AF1"/>
    <w:rsid w:val="16F5338F"/>
    <w:rsid w:val="16FF7F43"/>
    <w:rsid w:val="1700661C"/>
    <w:rsid w:val="17193A6D"/>
    <w:rsid w:val="171D2783"/>
    <w:rsid w:val="171F52F1"/>
    <w:rsid w:val="172C3D13"/>
    <w:rsid w:val="175A32D2"/>
    <w:rsid w:val="176424DC"/>
    <w:rsid w:val="1767731A"/>
    <w:rsid w:val="176C179B"/>
    <w:rsid w:val="176E7F5D"/>
    <w:rsid w:val="176F6360"/>
    <w:rsid w:val="17790994"/>
    <w:rsid w:val="1783643C"/>
    <w:rsid w:val="178B7F80"/>
    <w:rsid w:val="17A54A43"/>
    <w:rsid w:val="17E57F7D"/>
    <w:rsid w:val="17E97420"/>
    <w:rsid w:val="17E979B2"/>
    <w:rsid w:val="17F36885"/>
    <w:rsid w:val="18004438"/>
    <w:rsid w:val="1809236A"/>
    <w:rsid w:val="180E3449"/>
    <w:rsid w:val="18105287"/>
    <w:rsid w:val="18110CF1"/>
    <w:rsid w:val="181D0DEF"/>
    <w:rsid w:val="182527C9"/>
    <w:rsid w:val="182C2AE2"/>
    <w:rsid w:val="183E5722"/>
    <w:rsid w:val="18423C4B"/>
    <w:rsid w:val="18670C19"/>
    <w:rsid w:val="187637AB"/>
    <w:rsid w:val="187D6A8B"/>
    <w:rsid w:val="18803B7E"/>
    <w:rsid w:val="188B0AC6"/>
    <w:rsid w:val="18902376"/>
    <w:rsid w:val="18AB3B04"/>
    <w:rsid w:val="18AB7E54"/>
    <w:rsid w:val="18E17C22"/>
    <w:rsid w:val="18ED7DF7"/>
    <w:rsid w:val="18FC0A05"/>
    <w:rsid w:val="190A3949"/>
    <w:rsid w:val="190D3E7D"/>
    <w:rsid w:val="191D07EE"/>
    <w:rsid w:val="19221422"/>
    <w:rsid w:val="19250B27"/>
    <w:rsid w:val="19264BDF"/>
    <w:rsid w:val="19346A4B"/>
    <w:rsid w:val="19371F32"/>
    <w:rsid w:val="193B3A99"/>
    <w:rsid w:val="1940592C"/>
    <w:rsid w:val="195722CB"/>
    <w:rsid w:val="195C5947"/>
    <w:rsid w:val="19671C74"/>
    <w:rsid w:val="196A76A5"/>
    <w:rsid w:val="19776586"/>
    <w:rsid w:val="199146A9"/>
    <w:rsid w:val="19930F16"/>
    <w:rsid w:val="19A60451"/>
    <w:rsid w:val="19AB7B63"/>
    <w:rsid w:val="19AC7816"/>
    <w:rsid w:val="19C31A2B"/>
    <w:rsid w:val="19D27DA3"/>
    <w:rsid w:val="19D34CDE"/>
    <w:rsid w:val="19D4436D"/>
    <w:rsid w:val="19DC7A10"/>
    <w:rsid w:val="19E26DAC"/>
    <w:rsid w:val="19ED3CEA"/>
    <w:rsid w:val="19F02457"/>
    <w:rsid w:val="19F93831"/>
    <w:rsid w:val="1A0770C2"/>
    <w:rsid w:val="1A2A5F83"/>
    <w:rsid w:val="1A343559"/>
    <w:rsid w:val="1A3437B8"/>
    <w:rsid w:val="1A3641C6"/>
    <w:rsid w:val="1A4F04C3"/>
    <w:rsid w:val="1A4F1C7C"/>
    <w:rsid w:val="1A5176FD"/>
    <w:rsid w:val="1A617DCC"/>
    <w:rsid w:val="1A6C2697"/>
    <w:rsid w:val="1A6D1B43"/>
    <w:rsid w:val="1A766595"/>
    <w:rsid w:val="1A7E3CBC"/>
    <w:rsid w:val="1A831294"/>
    <w:rsid w:val="1A8D3F8F"/>
    <w:rsid w:val="1A9100C3"/>
    <w:rsid w:val="1A9D75F4"/>
    <w:rsid w:val="1ABB3DE0"/>
    <w:rsid w:val="1AC62341"/>
    <w:rsid w:val="1AC6675E"/>
    <w:rsid w:val="1AEA7E63"/>
    <w:rsid w:val="1AEE0B2F"/>
    <w:rsid w:val="1AEE1B94"/>
    <w:rsid w:val="1AFD065A"/>
    <w:rsid w:val="1B03409D"/>
    <w:rsid w:val="1B111517"/>
    <w:rsid w:val="1B152B4D"/>
    <w:rsid w:val="1B2A45D6"/>
    <w:rsid w:val="1B372915"/>
    <w:rsid w:val="1B516834"/>
    <w:rsid w:val="1B55025B"/>
    <w:rsid w:val="1B5A2E9D"/>
    <w:rsid w:val="1B807298"/>
    <w:rsid w:val="1B9A3B85"/>
    <w:rsid w:val="1B9E46F5"/>
    <w:rsid w:val="1BAF5235"/>
    <w:rsid w:val="1BB3174C"/>
    <w:rsid w:val="1BC06EA2"/>
    <w:rsid w:val="1BC21757"/>
    <w:rsid w:val="1BC34195"/>
    <w:rsid w:val="1BC34FCD"/>
    <w:rsid w:val="1BC50628"/>
    <w:rsid w:val="1BC50972"/>
    <w:rsid w:val="1BC55301"/>
    <w:rsid w:val="1BC57B47"/>
    <w:rsid w:val="1BC82618"/>
    <w:rsid w:val="1BD74EFE"/>
    <w:rsid w:val="1BDE3B4C"/>
    <w:rsid w:val="1BE337C6"/>
    <w:rsid w:val="1C0E3977"/>
    <w:rsid w:val="1C1A6FEC"/>
    <w:rsid w:val="1C1C7659"/>
    <w:rsid w:val="1C1E2754"/>
    <w:rsid w:val="1C225C02"/>
    <w:rsid w:val="1C254629"/>
    <w:rsid w:val="1C2D471C"/>
    <w:rsid w:val="1C321B2D"/>
    <w:rsid w:val="1C3768C3"/>
    <w:rsid w:val="1C393D1E"/>
    <w:rsid w:val="1C3C55D4"/>
    <w:rsid w:val="1C4943A4"/>
    <w:rsid w:val="1C4A6789"/>
    <w:rsid w:val="1C577B84"/>
    <w:rsid w:val="1C5C3956"/>
    <w:rsid w:val="1C640AB1"/>
    <w:rsid w:val="1C654987"/>
    <w:rsid w:val="1C723F66"/>
    <w:rsid w:val="1C7275DA"/>
    <w:rsid w:val="1C7333D7"/>
    <w:rsid w:val="1C746750"/>
    <w:rsid w:val="1C8054A9"/>
    <w:rsid w:val="1C825C78"/>
    <w:rsid w:val="1C8E121B"/>
    <w:rsid w:val="1C8F233B"/>
    <w:rsid w:val="1CA86307"/>
    <w:rsid w:val="1CBA6E7B"/>
    <w:rsid w:val="1CBE2B3D"/>
    <w:rsid w:val="1CD90366"/>
    <w:rsid w:val="1CDE1582"/>
    <w:rsid w:val="1CEE2D5A"/>
    <w:rsid w:val="1D0F7823"/>
    <w:rsid w:val="1D1207F7"/>
    <w:rsid w:val="1D1252E8"/>
    <w:rsid w:val="1D185B98"/>
    <w:rsid w:val="1D1F3740"/>
    <w:rsid w:val="1D28001A"/>
    <w:rsid w:val="1D2E4533"/>
    <w:rsid w:val="1D361885"/>
    <w:rsid w:val="1D45790F"/>
    <w:rsid w:val="1D542175"/>
    <w:rsid w:val="1D625BC2"/>
    <w:rsid w:val="1D763161"/>
    <w:rsid w:val="1D767C76"/>
    <w:rsid w:val="1D7C0366"/>
    <w:rsid w:val="1D7F6A99"/>
    <w:rsid w:val="1D8E03FA"/>
    <w:rsid w:val="1D8F2F1D"/>
    <w:rsid w:val="1D944D0C"/>
    <w:rsid w:val="1D982ACF"/>
    <w:rsid w:val="1DABA5A2"/>
    <w:rsid w:val="1DB14064"/>
    <w:rsid w:val="1DC23D0F"/>
    <w:rsid w:val="1DD261D8"/>
    <w:rsid w:val="1DD71650"/>
    <w:rsid w:val="1DE43A17"/>
    <w:rsid w:val="1DEE1EFA"/>
    <w:rsid w:val="1E12611C"/>
    <w:rsid w:val="1E157A3A"/>
    <w:rsid w:val="1E171E3D"/>
    <w:rsid w:val="1E3078D5"/>
    <w:rsid w:val="1E4644CC"/>
    <w:rsid w:val="1E61167C"/>
    <w:rsid w:val="1E7077F5"/>
    <w:rsid w:val="1E873F99"/>
    <w:rsid w:val="1E8B73A7"/>
    <w:rsid w:val="1E970166"/>
    <w:rsid w:val="1E9811D0"/>
    <w:rsid w:val="1EAA335B"/>
    <w:rsid w:val="1EAE6ECC"/>
    <w:rsid w:val="1EBB2DC6"/>
    <w:rsid w:val="1EBE7E01"/>
    <w:rsid w:val="1ED0548E"/>
    <w:rsid w:val="1F161228"/>
    <w:rsid w:val="1F1906B6"/>
    <w:rsid w:val="1F1D3032"/>
    <w:rsid w:val="1F2B32BE"/>
    <w:rsid w:val="1F390D89"/>
    <w:rsid w:val="1F3E7F5B"/>
    <w:rsid w:val="1F4A124B"/>
    <w:rsid w:val="1F513ECC"/>
    <w:rsid w:val="1F583E13"/>
    <w:rsid w:val="1F686EA8"/>
    <w:rsid w:val="1F6A3BAE"/>
    <w:rsid w:val="1F6F027D"/>
    <w:rsid w:val="1F7B7564"/>
    <w:rsid w:val="1F885F5F"/>
    <w:rsid w:val="1F8B0D13"/>
    <w:rsid w:val="1FB3007D"/>
    <w:rsid w:val="1FB5F52E"/>
    <w:rsid w:val="1FC45E94"/>
    <w:rsid w:val="1FC86FB2"/>
    <w:rsid w:val="1FE039FF"/>
    <w:rsid w:val="1FED554B"/>
    <w:rsid w:val="1FFD682A"/>
    <w:rsid w:val="20017C8D"/>
    <w:rsid w:val="200E563D"/>
    <w:rsid w:val="2022167F"/>
    <w:rsid w:val="203C1C0C"/>
    <w:rsid w:val="20412465"/>
    <w:rsid w:val="20570026"/>
    <w:rsid w:val="20583861"/>
    <w:rsid w:val="206E7E55"/>
    <w:rsid w:val="2071673B"/>
    <w:rsid w:val="207724C8"/>
    <w:rsid w:val="20831771"/>
    <w:rsid w:val="208D5545"/>
    <w:rsid w:val="2097311F"/>
    <w:rsid w:val="20A7230E"/>
    <w:rsid w:val="20A77D62"/>
    <w:rsid w:val="20A84CA6"/>
    <w:rsid w:val="20BA620C"/>
    <w:rsid w:val="20BD50EA"/>
    <w:rsid w:val="20C22280"/>
    <w:rsid w:val="20C51FFF"/>
    <w:rsid w:val="20C90FE1"/>
    <w:rsid w:val="20CB1F1C"/>
    <w:rsid w:val="20CE35DC"/>
    <w:rsid w:val="20D91FEB"/>
    <w:rsid w:val="20E07EB6"/>
    <w:rsid w:val="20EB4450"/>
    <w:rsid w:val="20EC236D"/>
    <w:rsid w:val="20F85BCF"/>
    <w:rsid w:val="20F862CA"/>
    <w:rsid w:val="20FA4D71"/>
    <w:rsid w:val="20FB633F"/>
    <w:rsid w:val="20FF4C3E"/>
    <w:rsid w:val="210260CC"/>
    <w:rsid w:val="21042B4C"/>
    <w:rsid w:val="210F1461"/>
    <w:rsid w:val="211E47B1"/>
    <w:rsid w:val="213B0E23"/>
    <w:rsid w:val="21410A8D"/>
    <w:rsid w:val="214915A6"/>
    <w:rsid w:val="214F3C0C"/>
    <w:rsid w:val="21535276"/>
    <w:rsid w:val="21812056"/>
    <w:rsid w:val="21902632"/>
    <w:rsid w:val="219C4CA5"/>
    <w:rsid w:val="21A56EDA"/>
    <w:rsid w:val="21B002AA"/>
    <w:rsid w:val="21B5199E"/>
    <w:rsid w:val="21BF6859"/>
    <w:rsid w:val="21C32279"/>
    <w:rsid w:val="21D867B6"/>
    <w:rsid w:val="21DB0BBB"/>
    <w:rsid w:val="21E156B9"/>
    <w:rsid w:val="21F029E2"/>
    <w:rsid w:val="21F5181A"/>
    <w:rsid w:val="22054352"/>
    <w:rsid w:val="22147AF1"/>
    <w:rsid w:val="221701F3"/>
    <w:rsid w:val="223751DC"/>
    <w:rsid w:val="2244378B"/>
    <w:rsid w:val="224C7E9B"/>
    <w:rsid w:val="2254079F"/>
    <w:rsid w:val="22795451"/>
    <w:rsid w:val="228372A6"/>
    <w:rsid w:val="22855412"/>
    <w:rsid w:val="228B768D"/>
    <w:rsid w:val="22A74B6A"/>
    <w:rsid w:val="22AC4FD3"/>
    <w:rsid w:val="22B1623E"/>
    <w:rsid w:val="22B22C63"/>
    <w:rsid w:val="22B318BC"/>
    <w:rsid w:val="22B83C0A"/>
    <w:rsid w:val="22B85552"/>
    <w:rsid w:val="22C71DA9"/>
    <w:rsid w:val="22DA316B"/>
    <w:rsid w:val="22E80A9D"/>
    <w:rsid w:val="22EC0514"/>
    <w:rsid w:val="22F70D69"/>
    <w:rsid w:val="23061CAF"/>
    <w:rsid w:val="230963C7"/>
    <w:rsid w:val="230B64DF"/>
    <w:rsid w:val="23151973"/>
    <w:rsid w:val="231A52F5"/>
    <w:rsid w:val="231F64C9"/>
    <w:rsid w:val="232E7024"/>
    <w:rsid w:val="233A4131"/>
    <w:rsid w:val="233A4278"/>
    <w:rsid w:val="233E4A36"/>
    <w:rsid w:val="23607F20"/>
    <w:rsid w:val="23664E71"/>
    <w:rsid w:val="23846FD7"/>
    <w:rsid w:val="2386717E"/>
    <w:rsid w:val="23B25529"/>
    <w:rsid w:val="23B420F8"/>
    <w:rsid w:val="23BC0851"/>
    <w:rsid w:val="23C1595F"/>
    <w:rsid w:val="23CD6B0E"/>
    <w:rsid w:val="23D36806"/>
    <w:rsid w:val="23ED1676"/>
    <w:rsid w:val="23FE2357"/>
    <w:rsid w:val="24624308"/>
    <w:rsid w:val="246F5780"/>
    <w:rsid w:val="247C28FF"/>
    <w:rsid w:val="2499166B"/>
    <w:rsid w:val="24A905E3"/>
    <w:rsid w:val="24AA7332"/>
    <w:rsid w:val="24AC37E9"/>
    <w:rsid w:val="24AF4AB0"/>
    <w:rsid w:val="24B81E16"/>
    <w:rsid w:val="24C63A20"/>
    <w:rsid w:val="24D562C0"/>
    <w:rsid w:val="24DE0E5E"/>
    <w:rsid w:val="24EC32D8"/>
    <w:rsid w:val="24FB111E"/>
    <w:rsid w:val="251F3280"/>
    <w:rsid w:val="25203277"/>
    <w:rsid w:val="253E3EBC"/>
    <w:rsid w:val="25401C79"/>
    <w:rsid w:val="25404CD9"/>
    <w:rsid w:val="25416241"/>
    <w:rsid w:val="254B1650"/>
    <w:rsid w:val="2553463D"/>
    <w:rsid w:val="255B0BA0"/>
    <w:rsid w:val="25763B01"/>
    <w:rsid w:val="257858B7"/>
    <w:rsid w:val="257D1B5A"/>
    <w:rsid w:val="25853324"/>
    <w:rsid w:val="25931026"/>
    <w:rsid w:val="25BC5CB5"/>
    <w:rsid w:val="25BE7846"/>
    <w:rsid w:val="25C757F6"/>
    <w:rsid w:val="25CA0C55"/>
    <w:rsid w:val="25D0543A"/>
    <w:rsid w:val="25DB00D2"/>
    <w:rsid w:val="25E70335"/>
    <w:rsid w:val="25EB0B51"/>
    <w:rsid w:val="25ED2BD0"/>
    <w:rsid w:val="26020D1E"/>
    <w:rsid w:val="260A5655"/>
    <w:rsid w:val="260B3108"/>
    <w:rsid w:val="260C5E52"/>
    <w:rsid w:val="261301D0"/>
    <w:rsid w:val="26140373"/>
    <w:rsid w:val="26195456"/>
    <w:rsid w:val="26280C7C"/>
    <w:rsid w:val="26460C0D"/>
    <w:rsid w:val="26517D5A"/>
    <w:rsid w:val="265A1637"/>
    <w:rsid w:val="265D4D90"/>
    <w:rsid w:val="266427D3"/>
    <w:rsid w:val="266A5519"/>
    <w:rsid w:val="266A6683"/>
    <w:rsid w:val="2675674A"/>
    <w:rsid w:val="26843375"/>
    <w:rsid w:val="26846979"/>
    <w:rsid w:val="26851904"/>
    <w:rsid w:val="268B606C"/>
    <w:rsid w:val="269359D8"/>
    <w:rsid w:val="26A4798B"/>
    <w:rsid w:val="26B2210E"/>
    <w:rsid w:val="26D1232B"/>
    <w:rsid w:val="26D23C48"/>
    <w:rsid w:val="26EE0FB2"/>
    <w:rsid w:val="27000709"/>
    <w:rsid w:val="271D4B78"/>
    <w:rsid w:val="273A03D9"/>
    <w:rsid w:val="27512D73"/>
    <w:rsid w:val="27515A3B"/>
    <w:rsid w:val="27540081"/>
    <w:rsid w:val="275A1503"/>
    <w:rsid w:val="27707D9F"/>
    <w:rsid w:val="27710808"/>
    <w:rsid w:val="277736B5"/>
    <w:rsid w:val="2777522A"/>
    <w:rsid w:val="27A256BD"/>
    <w:rsid w:val="27A9643E"/>
    <w:rsid w:val="27AE05E7"/>
    <w:rsid w:val="27B0758A"/>
    <w:rsid w:val="27BA2806"/>
    <w:rsid w:val="27BC244A"/>
    <w:rsid w:val="27C93226"/>
    <w:rsid w:val="27E04F87"/>
    <w:rsid w:val="27E3520A"/>
    <w:rsid w:val="27F76560"/>
    <w:rsid w:val="280C2F29"/>
    <w:rsid w:val="280E3E73"/>
    <w:rsid w:val="281A5069"/>
    <w:rsid w:val="2838132E"/>
    <w:rsid w:val="283C47A1"/>
    <w:rsid w:val="284F6DA3"/>
    <w:rsid w:val="28621296"/>
    <w:rsid w:val="286B3E9F"/>
    <w:rsid w:val="286D568F"/>
    <w:rsid w:val="28771649"/>
    <w:rsid w:val="287A5694"/>
    <w:rsid w:val="28907A65"/>
    <w:rsid w:val="28926C90"/>
    <w:rsid w:val="2895355D"/>
    <w:rsid w:val="289F2FF8"/>
    <w:rsid w:val="28A74874"/>
    <w:rsid w:val="28AC48F5"/>
    <w:rsid w:val="28AF48FE"/>
    <w:rsid w:val="28B30360"/>
    <w:rsid w:val="28B47FB3"/>
    <w:rsid w:val="28B700D8"/>
    <w:rsid w:val="28B81A59"/>
    <w:rsid w:val="28B906AA"/>
    <w:rsid w:val="28BC0025"/>
    <w:rsid w:val="28BD749A"/>
    <w:rsid w:val="28BF5BE1"/>
    <w:rsid w:val="28C838C3"/>
    <w:rsid w:val="28DE736F"/>
    <w:rsid w:val="28E215E7"/>
    <w:rsid w:val="28E75C23"/>
    <w:rsid w:val="28F66F27"/>
    <w:rsid w:val="28F74D45"/>
    <w:rsid w:val="28FE3091"/>
    <w:rsid w:val="28FF44FC"/>
    <w:rsid w:val="29004CA4"/>
    <w:rsid w:val="29060DC1"/>
    <w:rsid w:val="29077127"/>
    <w:rsid w:val="2908154A"/>
    <w:rsid w:val="29122857"/>
    <w:rsid w:val="293E708B"/>
    <w:rsid w:val="29594737"/>
    <w:rsid w:val="295E4802"/>
    <w:rsid w:val="2967522D"/>
    <w:rsid w:val="296E63D4"/>
    <w:rsid w:val="297D2E22"/>
    <w:rsid w:val="29931A80"/>
    <w:rsid w:val="299E45D3"/>
    <w:rsid w:val="299F2675"/>
    <w:rsid w:val="29A12A77"/>
    <w:rsid w:val="29A671D2"/>
    <w:rsid w:val="29AD6F45"/>
    <w:rsid w:val="29B444FC"/>
    <w:rsid w:val="29BD120F"/>
    <w:rsid w:val="29C769C8"/>
    <w:rsid w:val="29D67050"/>
    <w:rsid w:val="29D74EB6"/>
    <w:rsid w:val="29E2264F"/>
    <w:rsid w:val="29E4464B"/>
    <w:rsid w:val="29F36D30"/>
    <w:rsid w:val="29F84CE2"/>
    <w:rsid w:val="2A0343F7"/>
    <w:rsid w:val="2A277F19"/>
    <w:rsid w:val="2A3B6ACC"/>
    <w:rsid w:val="2A4B31B4"/>
    <w:rsid w:val="2A516722"/>
    <w:rsid w:val="2A577A2C"/>
    <w:rsid w:val="2A676A61"/>
    <w:rsid w:val="2A6B56F8"/>
    <w:rsid w:val="2A7356F0"/>
    <w:rsid w:val="2A77544F"/>
    <w:rsid w:val="2A7C4B41"/>
    <w:rsid w:val="2A8C5942"/>
    <w:rsid w:val="2AA059B0"/>
    <w:rsid w:val="2AA2170A"/>
    <w:rsid w:val="2AAC3BC6"/>
    <w:rsid w:val="2AC15811"/>
    <w:rsid w:val="2ACE3624"/>
    <w:rsid w:val="2ACF5A8C"/>
    <w:rsid w:val="2ADF4AAE"/>
    <w:rsid w:val="2AED28A3"/>
    <w:rsid w:val="2AF51552"/>
    <w:rsid w:val="2AFE28F4"/>
    <w:rsid w:val="2B0C00B5"/>
    <w:rsid w:val="2B0F60E3"/>
    <w:rsid w:val="2B1534EE"/>
    <w:rsid w:val="2B171B79"/>
    <w:rsid w:val="2B2621F1"/>
    <w:rsid w:val="2B2E661F"/>
    <w:rsid w:val="2B3561CA"/>
    <w:rsid w:val="2B3E61BC"/>
    <w:rsid w:val="2B646A04"/>
    <w:rsid w:val="2B774C41"/>
    <w:rsid w:val="2B833DCF"/>
    <w:rsid w:val="2B9C72A6"/>
    <w:rsid w:val="2BA867E1"/>
    <w:rsid w:val="2BAA72ED"/>
    <w:rsid w:val="2BAD5346"/>
    <w:rsid w:val="2BB03333"/>
    <w:rsid w:val="2BB32876"/>
    <w:rsid w:val="2BC67E03"/>
    <w:rsid w:val="2BCC0AF7"/>
    <w:rsid w:val="2BDA19F5"/>
    <w:rsid w:val="2BDC54EB"/>
    <w:rsid w:val="2BF93228"/>
    <w:rsid w:val="2BFC41C0"/>
    <w:rsid w:val="2BFF6824"/>
    <w:rsid w:val="2C0E1ED5"/>
    <w:rsid w:val="2C37329E"/>
    <w:rsid w:val="2C375433"/>
    <w:rsid w:val="2C3A254F"/>
    <w:rsid w:val="2C4D331F"/>
    <w:rsid w:val="2C7E0919"/>
    <w:rsid w:val="2C8F010A"/>
    <w:rsid w:val="2C902CBB"/>
    <w:rsid w:val="2CA05BB5"/>
    <w:rsid w:val="2CA820AE"/>
    <w:rsid w:val="2CB949F3"/>
    <w:rsid w:val="2CC17B44"/>
    <w:rsid w:val="2CCA2003"/>
    <w:rsid w:val="2CD10B96"/>
    <w:rsid w:val="2CD52350"/>
    <w:rsid w:val="2CFA7B94"/>
    <w:rsid w:val="2D076456"/>
    <w:rsid w:val="2D0A3C12"/>
    <w:rsid w:val="2D1947D7"/>
    <w:rsid w:val="2D200AE1"/>
    <w:rsid w:val="2D2D366D"/>
    <w:rsid w:val="2D43121A"/>
    <w:rsid w:val="2D485824"/>
    <w:rsid w:val="2D6B7AAF"/>
    <w:rsid w:val="2D71509A"/>
    <w:rsid w:val="2D7979A9"/>
    <w:rsid w:val="2D8126B2"/>
    <w:rsid w:val="2D90359F"/>
    <w:rsid w:val="2D962D8D"/>
    <w:rsid w:val="2DA210D2"/>
    <w:rsid w:val="2DA65AC5"/>
    <w:rsid w:val="2DAD5937"/>
    <w:rsid w:val="2DCD664C"/>
    <w:rsid w:val="2DD11D00"/>
    <w:rsid w:val="2DDA12DB"/>
    <w:rsid w:val="2DDC0D17"/>
    <w:rsid w:val="2DDD3AA0"/>
    <w:rsid w:val="2DE0049D"/>
    <w:rsid w:val="2DE07B9D"/>
    <w:rsid w:val="2DE87C4A"/>
    <w:rsid w:val="2DE90351"/>
    <w:rsid w:val="2DFE4473"/>
    <w:rsid w:val="2E0C18B0"/>
    <w:rsid w:val="2E0C73C5"/>
    <w:rsid w:val="2E0D3FF0"/>
    <w:rsid w:val="2E187A37"/>
    <w:rsid w:val="2E273777"/>
    <w:rsid w:val="2E3E1438"/>
    <w:rsid w:val="2E4B657B"/>
    <w:rsid w:val="2E6469A0"/>
    <w:rsid w:val="2E7656FD"/>
    <w:rsid w:val="2E7F2143"/>
    <w:rsid w:val="2E822F30"/>
    <w:rsid w:val="2E857D2F"/>
    <w:rsid w:val="2E8E5CB9"/>
    <w:rsid w:val="2E9417EC"/>
    <w:rsid w:val="2E9C1C84"/>
    <w:rsid w:val="2EAD0874"/>
    <w:rsid w:val="2EB53575"/>
    <w:rsid w:val="2EE72AF7"/>
    <w:rsid w:val="2EE87514"/>
    <w:rsid w:val="2EF36922"/>
    <w:rsid w:val="2EF62E8D"/>
    <w:rsid w:val="2EFF15EE"/>
    <w:rsid w:val="2F000DF7"/>
    <w:rsid w:val="2F10450B"/>
    <w:rsid w:val="2F130058"/>
    <w:rsid w:val="2F1468C2"/>
    <w:rsid w:val="2F277E48"/>
    <w:rsid w:val="2F5F5B1B"/>
    <w:rsid w:val="2F6971AB"/>
    <w:rsid w:val="2F6C5CA5"/>
    <w:rsid w:val="2F6C7A55"/>
    <w:rsid w:val="2F6D3FB3"/>
    <w:rsid w:val="2F78636C"/>
    <w:rsid w:val="2F957CAF"/>
    <w:rsid w:val="2F9D34D5"/>
    <w:rsid w:val="2FC836E2"/>
    <w:rsid w:val="2FCF2A28"/>
    <w:rsid w:val="2FD97E44"/>
    <w:rsid w:val="2FE23FCB"/>
    <w:rsid w:val="2FE5465A"/>
    <w:rsid w:val="2FEA3641"/>
    <w:rsid w:val="2FF454EA"/>
    <w:rsid w:val="2FFB9F57"/>
    <w:rsid w:val="300264A9"/>
    <w:rsid w:val="30042D9F"/>
    <w:rsid w:val="300F506A"/>
    <w:rsid w:val="30194492"/>
    <w:rsid w:val="302152AE"/>
    <w:rsid w:val="30235E16"/>
    <w:rsid w:val="30387810"/>
    <w:rsid w:val="303956AD"/>
    <w:rsid w:val="30424923"/>
    <w:rsid w:val="30442EDE"/>
    <w:rsid w:val="30527FC5"/>
    <w:rsid w:val="3053398E"/>
    <w:rsid w:val="305B2034"/>
    <w:rsid w:val="306D31AB"/>
    <w:rsid w:val="30733792"/>
    <w:rsid w:val="307427C9"/>
    <w:rsid w:val="309950F4"/>
    <w:rsid w:val="30AE7BC9"/>
    <w:rsid w:val="30B14C74"/>
    <w:rsid w:val="30B73992"/>
    <w:rsid w:val="30B94808"/>
    <w:rsid w:val="30BD6ACE"/>
    <w:rsid w:val="30BF415F"/>
    <w:rsid w:val="30C72B81"/>
    <w:rsid w:val="30C82D31"/>
    <w:rsid w:val="30CB5389"/>
    <w:rsid w:val="30E62F57"/>
    <w:rsid w:val="3106371A"/>
    <w:rsid w:val="310900FE"/>
    <w:rsid w:val="310D28FD"/>
    <w:rsid w:val="310F3B05"/>
    <w:rsid w:val="31132938"/>
    <w:rsid w:val="312622CD"/>
    <w:rsid w:val="31282B8E"/>
    <w:rsid w:val="312C75A1"/>
    <w:rsid w:val="313A3CC4"/>
    <w:rsid w:val="313A706C"/>
    <w:rsid w:val="31411253"/>
    <w:rsid w:val="31440F69"/>
    <w:rsid w:val="3156310C"/>
    <w:rsid w:val="315A1862"/>
    <w:rsid w:val="316049FB"/>
    <w:rsid w:val="3172154C"/>
    <w:rsid w:val="317A2589"/>
    <w:rsid w:val="3188610E"/>
    <w:rsid w:val="318A4E74"/>
    <w:rsid w:val="318D5CFE"/>
    <w:rsid w:val="319627F6"/>
    <w:rsid w:val="319F3C19"/>
    <w:rsid w:val="31C132B8"/>
    <w:rsid w:val="31C632CA"/>
    <w:rsid w:val="31D16BBF"/>
    <w:rsid w:val="31F65A58"/>
    <w:rsid w:val="320B1A06"/>
    <w:rsid w:val="3210733A"/>
    <w:rsid w:val="32263C46"/>
    <w:rsid w:val="32267886"/>
    <w:rsid w:val="322B2A37"/>
    <w:rsid w:val="322B6746"/>
    <w:rsid w:val="3237213F"/>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E5872"/>
    <w:rsid w:val="330E7FD6"/>
    <w:rsid w:val="33161561"/>
    <w:rsid w:val="331E7F08"/>
    <w:rsid w:val="331F6A4D"/>
    <w:rsid w:val="334603F1"/>
    <w:rsid w:val="3353338A"/>
    <w:rsid w:val="33701A05"/>
    <w:rsid w:val="33702795"/>
    <w:rsid w:val="337C00DB"/>
    <w:rsid w:val="33C62D00"/>
    <w:rsid w:val="33CE4A55"/>
    <w:rsid w:val="33DE50CB"/>
    <w:rsid w:val="33E123CD"/>
    <w:rsid w:val="33E23E40"/>
    <w:rsid w:val="33EC1514"/>
    <w:rsid w:val="33F71155"/>
    <w:rsid w:val="33FF0C21"/>
    <w:rsid w:val="34104BC5"/>
    <w:rsid w:val="341A06B8"/>
    <w:rsid w:val="342C7F98"/>
    <w:rsid w:val="34416C0A"/>
    <w:rsid w:val="34460B76"/>
    <w:rsid w:val="344D5388"/>
    <w:rsid w:val="346E46B7"/>
    <w:rsid w:val="3471177D"/>
    <w:rsid w:val="34726277"/>
    <w:rsid w:val="347B23B3"/>
    <w:rsid w:val="34821BE3"/>
    <w:rsid w:val="34832720"/>
    <w:rsid w:val="34871985"/>
    <w:rsid w:val="34915EA2"/>
    <w:rsid w:val="34940253"/>
    <w:rsid w:val="34983684"/>
    <w:rsid w:val="34A57D6A"/>
    <w:rsid w:val="34A913BC"/>
    <w:rsid w:val="34BC2226"/>
    <w:rsid w:val="34BE2C99"/>
    <w:rsid w:val="34C03AF1"/>
    <w:rsid w:val="34D5003A"/>
    <w:rsid w:val="34E87B0F"/>
    <w:rsid w:val="34F26658"/>
    <w:rsid w:val="34FA62E8"/>
    <w:rsid w:val="34FB7282"/>
    <w:rsid w:val="34FC4642"/>
    <w:rsid w:val="351B0D3E"/>
    <w:rsid w:val="3520042F"/>
    <w:rsid w:val="3521031A"/>
    <w:rsid w:val="35210A8D"/>
    <w:rsid w:val="35216B3A"/>
    <w:rsid w:val="35354DFA"/>
    <w:rsid w:val="35393D99"/>
    <w:rsid w:val="35485A54"/>
    <w:rsid w:val="354E03E2"/>
    <w:rsid w:val="354E3B51"/>
    <w:rsid w:val="35522C36"/>
    <w:rsid w:val="355B4C65"/>
    <w:rsid w:val="356C52F9"/>
    <w:rsid w:val="35852EE6"/>
    <w:rsid w:val="35936C62"/>
    <w:rsid w:val="35945057"/>
    <w:rsid w:val="359B56A3"/>
    <w:rsid w:val="35A270E4"/>
    <w:rsid w:val="35D30C65"/>
    <w:rsid w:val="35D61456"/>
    <w:rsid w:val="35D65B34"/>
    <w:rsid w:val="35DA5022"/>
    <w:rsid w:val="35DF52F8"/>
    <w:rsid w:val="35E644CB"/>
    <w:rsid w:val="35E81A7F"/>
    <w:rsid w:val="35F24C09"/>
    <w:rsid w:val="35F3004D"/>
    <w:rsid w:val="360139B8"/>
    <w:rsid w:val="360311CD"/>
    <w:rsid w:val="36070CBD"/>
    <w:rsid w:val="36127207"/>
    <w:rsid w:val="36256DC5"/>
    <w:rsid w:val="36290C2F"/>
    <w:rsid w:val="36301CAE"/>
    <w:rsid w:val="3637718E"/>
    <w:rsid w:val="36384921"/>
    <w:rsid w:val="36435665"/>
    <w:rsid w:val="366B14B6"/>
    <w:rsid w:val="368045CB"/>
    <w:rsid w:val="36900EB9"/>
    <w:rsid w:val="36A24CBE"/>
    <w:rsid w:val="36A85C45"/>
    <w:rsid w:val="36AF6AB1"/>
    <w:rsid w:val="36B36BA8"/>
    <w:rsid w:val="36BC7D30"/>
    <w:rsid w:val="36C515C6"/>
    <w:rsid w:val="36C7685E"/>
    <w:rsid w:val="36C8518D"/>
    <w:rsid w:val="36D70F63"/>
    <w:rsid w:val="36D911EF"/>
    <w:rsid w:val="36DF7544"/>
    <w:rsid w:val="36E93F55"/>
    <w:rsid w:val="36EE3F4B"/>
    <w:rsid w:val="36EF599C"/>
    <w:rsid w:val="36F1357C"/>
    <w:rsid w:val="36F679D7"/>
    <w:rsid w:val="36FE1C40"/>
    <w:rsid w:val="37035E09"/>
    <w:rsid w:val="37096C73"/>
    <w:rsid w:val="37110A52"/>
    <w:rsid w:val="371C79AA"/>
    <w:rsid w:val="371F3DE4"/>
    <w:rsid w:val="372248E3"/>
    <w:rsid w:val="37230362"/>
    <w:rsid w:val="37283FBD"/>
    <w:rsid w:val="37310A0F"/>
    <w:rsid w:val="373A41EA"/>
    <w:rsid w:val="37465029"/>
    <w:rsid w:val="37543839"/>
    <w:rsid w:val="37585C03"/>
    <w:rsid w:val="376B44C4"/>
    <w:rsid w:val="376D0E2E"/>
    <w:rsid w:val="37802D3A"/>
    <w:rsid w:val="37850091"/>
    <w:rsid w:val="379116A8"/>
    <w:rsid w:val="379E11AD"/>
    <w:rsid w:val="37A60983"/>
    <w:rsid w:val="37A93BCE"/>
    <w:rsid w:val="37B71B23"/>
    <w:rsid w:val="37BB194B"/>
    <w:rsid w:val="37BF843D"/>
    <w:rsid w:val="37CF5451"/>
    <w:rsid w:val="37DA2CF5"/>
    <w:rsid w:val="37DF0D06"/>
    <w:rsid w:val="37E64902"/>
    <w:rsid w:val="37EF25FC"/>
    <w:rsid w:val="37F7120E"/>
    <w:rsid w:val="37FE5FF1"/>
    <w:rsid w:val="38035DBC"/>
    <w:rsid w:val="380D2520"/>
    <w:rsid w:val="380F56A1"/>
    <w:rsid w:val="38134DDD"/>
    <w:rsid w:val="381B6DB3"/>
    <w:rsid w:val="38305B7D"/>
    <w:rsid w:val="383B13D4"/>
    <w:rsid w:val="384A501C"/>
    <w:rsid w:val="38546D78"/>
    <w:rsid w:val="385566B6"/>
    <w:rsid w:val="385938CA"/>
    <w:rsid w:val="386144A9"/>
    <w:rsid w:val="38785F5F"/>
    <w:rsid w:val="388B52AB"/>
    <w:rsid w:val="389D1465"/>
    <w:rsid w:val="389D5144"/>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481B04"/>
    <w:rsid w:val="394C66DD"/>
    <w:rsid w:val="396122B0"/>
    <w:rsid w:val="396A3375"/>
    <w:rsid w:val="39730461"/>
    <w:rsid w:val="397440DA"/>
    <w:rsid w:val="39764D37"/>
    <w:rsid w:val="397D3525"/>
    <w:rsid w:val="39955A1D"/>
    <w:rsid w:val="399D5052"/>
    <w:rsid w:val="399F07E5"/>
    <w:rsid w:val="39AD78D2"/>
    <w:rsid w:val="39AE5A5B"/>
    <w:rsid w:val="39B72078"/>
    <w:rsid w:val="39B96310"/>
    <w:rsid w:val="39BB0FB8"/>
    <w:rsid w:val="39C830C2"/>
    <w:rsid w:val="39EC7D3C"/>
    <w:rsid w:val="39ED1A22"/>
    <w:rsid w:val="3A10410D"/>
    <w:rsid w:val="3A2053A6"/>
    <w:rsid w:val="3A26050E"/>
    <w:rsid w:val="3A271F33"/>
    <w:rsid w:val="3A446E54"/>
    <w:rsid w:val="3A5244D1"/>
    <w:rsid w:val="3A6B361F"/>
    <w:rsid w:val="3A714511"/>
    <w:rsid w:val="3A7E3875"/>
    <w:rsid w:val="3A7FA0D8"/>
    <w:rsid w:val="3A894E1A"/>
    <w:rsid w:val="3A985B80"/>
    <w:rsid w:val="3AA51A0D"/>
    <w:rsid w:val="3ABD00AF"/>
    <w:rsid w:val="3AC76E36"/>
    <w:rsid w:val="3ACB56B9"/>
    <w:rsid w:val="3AD8035A"/>
    <w:rsid w:val="3ADF037E"/>
    <w:rsid w:val="3AE22C48"/>
    <w:rsid w:val="3AEF41B2"/>
    <w:rsid w:val="3AF07D51"/>
    <w:rsid w:val="3AF66189"/>
    <w:rsid w:val="3AFD60FD"/>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05C20"/>
    <w:rsid w:val="3BC242CB"/>
    <w:rsid w:val="3BC255BB"/>
    <w:rsid w:val="3BE922D2"/>
    <w:rsid w:val="3BEA2018"/>
    <w:rsid w:val="3C1C68FB"/>
    <w:rsid w:val="3C266052"/>
    <w:rsid w:val="3C28373B"/>
    <w:rsid w:val="3C322630"/>
    <w:rsid w:val="3C390C19"/>
    <w:rsid w:val="3C3B092C"/>
    <w:rsid w:val="3C544530"/>
    <w:rsid w:val="3C5D3905"/>
    <w:rsid w:val="3C5E7B6B"/>
    <w:rsid w:val="3C720A34"/>
    <w:rsid w:val="3C731522"/>
    <w:rsid w:val="3C7438DB"/>
    <w:rsid w:val="3C7B26C4"/>
    <w:rsid w:val="3C8D6778"/>
    <w:rsid w:val="3C935899"/>
    <w:rsid w:val="3C9E74DC"/>
    <w:rsid w:val="3CA40291"/>
    <w:rsid w:val="3CB35C1A"/>
    <w:rsid w:val="3CB46D18"/>
    <w:rsid w:val="3D066D21"/>
    <w:rsid w:val="3D0E1D7A"/>
    <w:rsid w:val="3D146378"/>
    <w:rsid w:val="3D155535"/>
    <w:rsid w:val="3D1A551E"/>
    <w:rsid w:val="3D1D0DC6"/>
    <w:rsid w:val="3D2364DC"/>
    <w:rsid w:val="3D3313E5"/>
    <w:rsid w:val="3D3B13BE"/>
    <w:rsid w:val="3D414A19"/>
    <w:rsid w:val="3D4566E6"/>
    <w:rsid w:val="3D617252"/>
    <w:rsid w:val="3D636911"/>
    <w:rsid w:val="3D690E22"/>
    <w:rsid w:val="3D8865AD"/>
    <w:rsid w:val="3D8A066F"/>
    <w:rsid w:val="3D9D0729"/>
    <w:rsid w:val="3DA917B8"/>
    <w:rsid w:val="3DAC39CF"/>
    <w:rsid w:val="3DAE434A"/>
    <w:rsid w:val="3DB377D0"/>
    <w:rsid w:val="3DC44B1D"/>
    <w:rsid w:val="3DCB1B13"/>
    <w:rsid w:val="3DCD4D10"/>
    <w:rsid w:val="3DD223B2"/>
    <w:rsid w:val="3DEA0E7D"/>
    <w:rsid w:val="3DEA4188"/>
    <w:rsid w:val="3DFD3C46"/>
    <w:rsid w:val="3E047890"/>
    <w:rsid w:val="3E0A6BA2"/>
    <w:rsid w:val="3E234D34"/>
    <w:rsid w:val="3E28157C"/>
    <w:rsid w:val="3E313576"/>
    <w:rsid w:val="3E36697B"/>
    <w:rsid w:val="3E493FE3"/>
    <w:rsid w:val="3E4B6981"/>
    <w:rsid w:val="3E672EB4"/>
    <w:rsid w:val="3E695273"/>
    <w:rsid w:val="3E6D11EF"/>
    <w:rsid w:val="3E89310E"/>
    <w:rsid w:val="3E8D5C11"/>
    <w:rsid w:val="3E911D3D"/>
    <w:rsid w:val="3EA22D08"/>
    <w:rsid w:val="3EA610B6"/>
    <w:rsid w:val="3EA6508A"/>
    <w:rsid w:val="3EB70181"/>
    <w:rsid w:val="3EBB151E"/>
    <w:rsid w:val="3EBC352D"/>
    <w:rsid w:val="3EBD7904"/>
    <w:rsid w:val="3EBE084F"/>
    <w:rsid w:val="3EC076B5"/>
    <w:rsid w:val="3EC32B74"/>
    <w:rsid w:val="3ED715C1"/>
    <w:rsid w:val="3ED71712"/>
    <w:rsid w:val="3ED92825"/>
    <w:rsid w:val="3EDB7087"/>
    <w:rsid w:val="3EF7CD57"/>
    <w:rsid w:val="3F040999"/>
    <w:rsid w:val="3F062266"/>
    <w:rsid w:val="3F21637D"/>
    <w:rsid w:val="3F2179D0"/>
    <w:rsid w:val="3F265678"/>
    <w:rsid w:val="3F28434E"/>
    <w:rsid w:val="3F326DBB"/>
    <w:rsid w:val="3F360EA4"/>
    <w:rsid w:val="3F3A7F44"/>
    <w:rsid w:val="3F3E3276"/>
    <w:rsid w:val="3F4D6969"/>
    <w:rsid w:val="3F4E4B32"/>
    <w:rsid w:val="3F59010B"/>
    <w:rsid w:val="3F5E56C6"/>
    <w:rsid w:val="3F6C4251"/>
    <w:rsid w:val="3F9135C0"/>
    <w:rsid w:val="3F9A3294"/>
    <w:rsid w:val="3FA834DC"/>
    <w:rsid w:val="3FAE7BFF"/>
    <w:rsid w:val="3FAEC77E"/>
    <w:rsid w:val="3FB079D9"/>
    <w:rsid w:val="3FB44390"/>
    <w:rsid w:val="3FBE48F8"/>
    <w:rsid w:val="3FD010CB"/>
    <w:rsid w:val="3FD049EC"/>
    <w:rsid w:val="3FDA1D33"/>
    <w:rsid w:val="3FE261F2"/>
    <w:rsid w:val="3FE815EE"/>
    <w:rsid w:val="3FF60D1B"/>
    <w:rsid w:val="3FF76861"/>
    <w:rsid w:val="40023C70"/>
    <w:rsid w:val="40086A92"/>
    <w:rsid w:val="402158C5"/>
    <w:rsid w:val="402F7539"/>
    <w:rsid w:val="403501D5"/>
    <w:rsid w:val="404264F9"/>
    <w:rsid w:val="405F542D"/>
    <w:rsid w:val="406518C8"/>
    <w:rsid w:val="40736AAC"/>
    <w:rsid w:val="40774C91"/>
    <w:rsid w:val="40872663"/>
    <w:rsid w:val="408847A8"/>
    <w:rsid w:val="40A36975"/>
    <w:rsid w:val="40A92D7E"/>
    <w:rsid w:val="40BB3015"/>
    <w:rsid w:val="40DC05C4"/>
    <w:rsid w:val="40EC294D"/>
    <w:rsid w:val="41112814"/>
    <w:rsid w:val="41220DC3"/>
    <w:rsid w:val="41336AA7"/>
    <w:rsid w:val="413A078C"/>
    <w:rsid w:val="413C022C"/>
    <w:rsid w:val="414508EB"/>
    <w:rsid w:val="41465A7C"/>
    <w:rsid w:val="414A27E7"/>
    <w:rsid w:val="41567FFC"/>
    <w:rsid w:val="415A2C36"/>
    <w:rsid w:val="416C6812"/>
    <w:rsid w:val="417A2E1B"/>
    <w:rsid w:val="419A3818"/>
    <w:rsid w:val="419C55D6"/>
    <w:rsid w:val="419F3437"/>
    <w:rsid w:val="41CC0CFB"/>
    <w:rsid w:val="41CE1449"/>
    <w:rsid w:val="41DC7A85"/>
    <w:rsid w:val="41DE664A"/>
    <w:rsid w:val="41E31636"/>
    <w:rsid w:val="41E6684E"/>
    <w:rsid w:val="42007BC3"/>
    <w:rsid w:val="420C1A57"/>
    <w:rsid w:val="42187677"/>
    <w:rsid w:val="422723C1"/>
    <w:rsid w:val="422E7705"/>
    <w:rsid w:val="42347BEE"/>
    <w:rsid w:val="4239502A"/>
    <w:rsid w:val="42397651"/>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E697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C445F"/>
    <w:rsid w:val="44304E5A"/>
    <w:rsid w:val="443B5510"/>
    <w:rsid w:val="44564556"/>
    <w:rsid w:val="445B5D66"/>
    <w:rsid w:val="445C25FF"/>
    <w:rsid w:val="4462582D"/>
    <w:rsid w:val="446272E5"/>
    <w:rsid w:val="446374FE"/>
    <w:rsid w:val="44643E47"/>
    <w:rsid w:val="44836571"/>
    <w:rsid w:val="44897E3F"/>
    <w:rsid w:val="448C6DF0"/>
    <w:rsid w:val="449A179A"/>
    <w:rsid w:val="449A71A0"/>
    <w:rsid w:val="449E419F"/>
    <w:rsid w:val="44A92E36"/>
    <w:rsid w:val="44C25CAA"/>
    <w:rsid w:val="44C9538F"/>
    <w:rsid w:val="44DF52E6"/>
    <w:rsid w:val="44F17CAA"/>
    <w:rsid w:val="45184507"/>
    <w:rsid w:val="451A1E03"/>
    <w:rsid w:val="451F4451"/>
    <w:rsid w:val="45201CD0"/>
    <w:rsid w:val="45261C17"/>
    <w:rsid w:val="45297843"/>
    <w:rsid w:val="452A22D2"/>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C243B9"/>
    <w:rsid w:val="45C412DE"/>
    <w:rsid w:val="45C42B72"/>
    <w:rsid w:val="45C65B0E"/>
    <w:rsid w:val="45C70A4F"/>
    <w:rsid w:val="45D16D59"/>
    <w:rsid w:val="45E10B02"/>
    <w:rsid w:val="45E56CA3"/>
    <w:rsid w:val="45EB06EF"/>
    <w:rsid w:val="45F17488"/>
    <w:rsid w:val="45FD6F20"/>
    <w:rsid w:val="460F492E"/>
    <w:rsid w:val="46186197"/>
    <w:rsid w:val="461934A2"/>
    <w:rsid w:val="461A4C1A"/>
    <w:rsid w:val="462D5CF2"/>
    <w:rsid w:val="46332BF8"/>
    <w:rsid w:val="46362EF9"/>
    <w:rsid w:val="463E476D"/>
    <w:rsid w:val="46445707"/>
    <w:rsid w:val="464610B0"/>
    <w:rsid w:val="465638A4"/>
    <w:rsid w:val="4662784A"/>
    <w:rsid w:val="4675215E"/>
    <w:rsid w:val="467B0514"/>
    <w:rsid w:val="467B30A8"/>
    <w:rsid w:val="467B4EE0"/>
    <w:rsid w:val="4691113B"/>
    <w:rsid w:val="469C3D47"/>
    <w:rsid w:val="46A85E78"/>
    <w:rsid w:val="46B04AE1"/>
    <w:rsid w:val="46B21EA4"/>
    <w:rsid w:val="46B40B6B"/>
    <w:rsid w:val="46BA47C2"/>
    <w:rsid w:val="46BB765E"/>
    <w:rsid w:val="46C43137"/>
    <w:rsid w:val="46D64DD7"/>
    <w:rsid w:val="46D7495C"/>
    <w:rsid w:val="46DA02D9"/>
    <w:rsid w:val="46F427C7"/>
    <w:rsid w:val="46F43BD9"/>
    <w:rsid w:val="46F95916"/>
    <w:rsid w:val="46FE5DB8"/>
    <w:rsid w:val="470D2F62"/>
    <w:rsid w:val="4710374A"/>
    <w:rsid w:val="4718603E"/>
    <w:rsid w:val="471D4CB0"/>
    <w:rsid w:val="4723541D"/>
    <w:rsid w:val="47256588"/>
    <w:rsid w:val="472C3214"/>
    <w:rsid w:val="473050C1"/>
    <w:rsid w:val="47326D4E"/>
    <w:rsid w:val="475B786F"/>
    <w:rsid w:val="475FADFC"/>
    <w:rsid w:val="4765206C"/>
    <w:rsid w:val="477B2B8E"/>
    <w:rsid w:val="47814304"/>
    <w:rsid w:val="47843F76"/>
    <w:rsid w:val="478B7614"/>
    <w:rsid w:val="479F6D48"/>
    <w:rsid w:val="47A74A6E"/>
    <w:rsid w:val="47B2140D"/>
    <w:rsid w:val="47B279FC"/>
    <w:rsid w:val="47B70B10"/>
    <w:rsid w:val="47C76806"/>
    <w:rsid w:val="47E328E4"/>
    <w:rsid w:val="47F241AB"/>
    <w:rsid w:val="47F44E19"/>
    <w:rsid w:val="47FF773A"/>
    <w:rsid w:val="47FFF4BB"/>
    <w:rsid w:val="48025E63"/>
    <w:rsid w:val="48096E61"/>
    <w:rsid w:val="48164085"/>
    <w:rsid w:val="48282106"/>
    <w:rsid w:val="484323CF"/>
    <w:rsid w:val="484564C5"/>
    <w:rsid w:val="4854681C"/>
    <w:rsid w:val="485D351D"/>
    <w:rsid w:val="485E64DF"/>
    <w:rsid w:val="48797688"/>
    <w:rsid w:val="487F180D"/>
    <w:rsid w:val="488327FF"/>
    <w:rsid w:val="489E2F22"/>
    <w:rsid w:val="48A279E5"/>
    <w:rsid w:val="48AE07FB"/>
    <w:rsid w:val="48CA5BDD"/>
    <w:rsid w:val="48D70F23"/>
    <w:rsid w:val="48D7347B"/>
    <w:rsid w:val="48D91E9A"/>
    <w:rsid w:val="48E1229C"/>
    <w:rsid w:val="48FD3F53"/>
    <w:rsid w:val="48FE483B"/>
    <w:rsid w:val="490A31EA"/>
    <w:rsid w:val="49204394"/>
    <w:rsid w:val="49273E0A"/>
    <w:rsid w:val="492809FC"/>
    <w:rsid w:val="49295B00"/>
    <w:rsid w:val="492F6EA2"/>
    <w:rsid w:val="493605C1"/>
    <w:rsid w:val="49371193"/>
    <w:rsid w:val="49383978"/>
    <w:rsid w:val="49422109"/>
    <w:rsid w:val="4944592C"/>
    <w:rsid w:val="494758DD"/>
    <w:rsid w:val="494F77BB"/>
    <w:rsid w:val="495163FD"/>
    <w:rsid w:val="49690D3E"/>
    <w:rsid w:val="496C7E0E"/>
    <w:rsid w:val="498F6B83"/>
    <w:rsid w:val="4990050C"/>
    <w:rsid w:val="49905F6E"/>
    <w:rsid w:val="49926105"/>
    <w:rsid w:val="49984919"/>
    <w:rsid w:val="499968D8"/>
    <w:rsid w:val="49A202BD"/>
    <w:rsid w:val="49B7467B"/>
    <w:rsid w:val="49BB4DFF"/>
    <w:rsid w:val="49DA6140"/>
    <w:rsid w:val="49ED5CD0"/>
    <w:rsid w:val="49F6782D"/>
    <w:rsid w:val="4A006538"/>
    <w:rsid w:val="4A060E41"/>
    <w:rsid w:val="4A13062D"/>
    <w:rsid w:val="4A247656"/>
    <w:rsid w:val="4A27484B"/>
    <w:rsid w:val="4A295BD9"/>
    <w:rsid w:val="4A35554B"/>
    <w:rsid w:val="4A4A7727"/>
    <w:rsid w:val="4A4D4AF3"/>
    <w:rsid w:val="4A551DC2"/>
    <w:rsid w:val="4A5C4BFA"/>
    <w:rsid w:val="4A637FA2"/>
    <w:rsid w:val="4A683F6B"/>
    <w:rsid w:val="4A7578C9"/>
    <w:rsid w:val="4A7D7891"/>
    <w:rsid w:val="4A7E4254"/>
    <w:rsid w:val="4A922B5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6B3337"/>
    <w:rsid w:val="4B7C3D8C"/>
    <w:rsid w:val="4B975535"/>
    <w:rsid w:val="4BA44B18"/>
    <w:rsid w:val="4BB12A34"/>
    <w:rsid w:val="4BB15C21"/>
    <w:rsid w:val="4BCD4D56"/>
    <w:rsid w:val="4BD27220"/>
    <w:rsid w:val="4BDB6776"/>
    <w:rsid w:val="4BE06EB7"/>
    <w:rsid w:val="4BE33950"/>
    <w:rsid w:val="4BEB7DF9"/>
    <w:rsid w:val="4BF13E9C"/>
    <w:rsid w:val="4BF63E77"/>
    <w:rsid w:val="4C171611"/>
    <w:rsid w:val="4C3103F7"/>
    <w:rsid w:val="4C3C127F"/>
    <w:rsid w:val="4C427B95"/>
    <w:rsid w:val="4C4669D2"/>
    <w:rsid w:val="4C871830"/>
    <w:rsid w:val="4C8B0174"/>
    <w:rsid w:val="4C9926CC"/>
    <w:rsid w:val="4CA62D4C"/>
    <w:rsid w:val="4CA7245A"/>
    <w:rsid w:val="4CA75A70"/>
    <w:rsid w:val="4CAA3342"/>
    <w:rsid w:val="4CAA7011"/>
    <w:rsid w:val="4CB656F2"/>
    <w:rsid w:val="4CC3103C"/>
    <w:rsid w:val="4CC32715"/>
    <w:rsid w:val="4CCB42C5"/>
    <w:rsid w:val="4CCF0711"/>
    <w:rsid w:val="4CCF17BD"/>
    <w:rsid w:val="4CD55BEB"/>
    <w:rsid w:val="4CE81FC6"/>
    <w:rsid w:val="4CF520EB"/>
    <w:rsid w:val="4D020122"/>
    <w:rsid w:val="4D026969"/>
    <w:rsid w:val="4D0C2C77"/>
    <w:rsid w:val="4D137130"/>
    <w:rsid w:val="4D1A1400"/>
    <w:rsid w:val="4D1E4578"/>
    <w:rsid w:val="4D447064"/>
    <w:rsid w:val="4D4F3090"/>
    <w:rsid w:val="4D6B1C74"/>
    <w:rsid w:val="4D722A68"/>
    <w:rsid w:val="4D7C0D00"/>
    <w:rsid w:val="4D87352F"/>
    <w:rsid w:val="4D931243"/>
    <w:rsid w:val="4DB51809"/>
    <w:rsid w:val="4DBC6539"/>
    <w:rsid w:val="4DD475D1"/>
    <w:rsid w:val="4DD776AB"/>
    <w:rsid w:val="4DDB5EB1"/>
    <w:rsid w:val="4DF831B6"/>
    <w:rsid w:val="4E031912"/>
    <w:rsid w:val="4E08517B"/>
    <w:rsid w:val="4E347D1E"/>
    <w:rsid w:val="4E3653FD"/>
    <w:rsid w:val="4E37755B"/>
    <w:rsid w:val="4E3E4076"/>
    <w:rsid w:val="4E473566"/>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CB58B4"/>
    <w:rsid w:val="4EE17B83"/>
    <w:rsid w:val="4EE6611F"/>
    <w:rsid w:val="4F0AE590"/>
    <w:rsid w:val="4F321DBF"/>
    <w:rsid w:val="4F452886"/>
    <w:rsid w:val="4F4D1362"/>
    <w:rsid w:val="4F510335"/>
    <w:rsid w:val="4F5C39D0"/>
    <w:rsid w:val="4F5E4B10"/>
    <w:rsid w:val="4F7864E2"/>
    <w:rsid w:val="4F972442"/>
    <w:rsid w:val="4FA25A31"/>
    <w:rsid w:val="4FB91209"/>
    <w:rsid w:val="4FBD1A1F"/>
    <w:rsid w:val="4FBE1DF5"/>
    <w:rsid w:val="4FBF6F62"/>
    <w:rsid w:val="4FC24E8A"/>
    <w:rsid w:val="4FF10B69"/>
    <w:rsid w:val="4FF721D3"/>
    <w:rsid w:val="4FFD57A5"/>
    <w:rsid w:val="500C0C41"/>
    <w:rsid w:val="500D5DB3"/>
    <w:rsid w:val="5010374D"/>
    <w:rsid w:val="501613EA"/>
    <w:rsid w:val="50235868"/>
    <w:rsid w:val="5033292A"/>
    <w:rsid w:val="503E0ED2"/>
    <w:rsid w:val="505356F4"/>
    <w:rsid w:val="5067527D"/>
    <w:rsid w:val="506816E0"/>
    <w:rsid w:val="50744D60"/>
    <w:rsid w:val="50803083"/>
    <w:rsid w:val="508865A2"/>
    <w:rsid w:val="50937803"/>
    <w:rsid w:val="50A34C80"/>
    <w:rsid w:val="50AD68A1"/>
    <w:rsid w:val="50B22361"/>
    <w:rsid w:val="50B65562"/>
    <w:rsid w:val="50C3153F"/>
    <w:rsid w:val="50C833CB"/>
    <w:rsid w:val="50EC10D6"/>
    <w:rsid w:val="50EE3A87"/>
    <w:rsid w:val="510224A3"/>
    <w:rsid w:val="51096FBC"/>
    <w:rsid w:val="510C0E2E"/>
    <w:rsid w:val="511023D2"/>
    <w:rsid w:val="513833F4"/>
    <w:rsid w:val="513B4C0C"/>
    <w:rsid w:val="51431745"/>
    <w:rsid w:val="515005C0"/>
    <w:rsid w:val="5150081D"/>
    <w:rsid w:val="516171A0"/>
    <w:rsid w:val="5162232C"/>
    <w:rsid w:val="51636DAE"/>
    <w:rsid w:val="5167665C"/>
    <w:rsid w:val="51722F47"/>
    <w:rsid w:val="51767FF0"/>
    <w:rsid w:val="51955D74"/>
    <w:rsid w:val="51A551DA"/>
    <w:rsid w:val="51AE6FCB"/>
    <w:rsid w:val="51B63DF6"/>
    <w:rsid w:val="51CA1D8A"/>
    <w:rsid w:val="51E23F34"/>
    <w:rsid w:val="51E473ED"/>
    <w:rsid w:val="51ED0FAB"/>
    <w:rsid w:val="51F9411A"/>
    <w:rsid w:val="51FD1A5C"/>
    <w:rsid w:val="52211C80"/>
    <w:rsid w:val="5226155A"/>
    <w:rsid w:val="522639F0"/>
    <w:rsid w:val="522B3864"/>
    <w:rsid w:val="523C2CD5"/>
    <w:rsid w:val="524076F7"/>
    <w:rsid w:val="5241072B"/>
    <w:rsid w:val="524C3FFD"/>
    <w:rsid w:val="52523205"/>
    <w:rsid w:val="52634BD2"/>
    <w:rsid w:val="52682C3F"/>
    <w:rsid w:val="526B5CD8"/>
    <w:rsid w:val="52760D63"/>
    <w:rsid w:val="527F6CB5"/>
    <w:rsid w:val="528668E2"/>
    <w:rsid w:val="528D53C6"/>
    <w:rsid w:val="52A36D3A"/>
    <w:rsid w:val="52B61074"/>
    <w:rsid w:val="52C76A06"/>
    <w:rsid w:val="52CC22C8"/>
    <w:rsid w:val="52D37065"/>
    <w:rsid w:val="52F3427A"/>
    <w:rsid w:val="52F5267F"/>
    <w:rsid w:val="52FA0223"/>
    <w:rsid w:val="530144F2"/>
    <w:rsid w:val="53074D0E"/>
    <w:rsid w:val="531C6B04"/>
    <w:rsid w:val="53346DCF"/>
    <w:rsid w:val="53365130"/>
    <w:rsid w:val="533EC6B1"/>
    <w:rsid w:val="535F4C6A"/>
    <w:rsid w:val="53615D77"/>
    <w:rsid w:val="537428F6"/>
    <w:rsid w:val="537A110E"/>
    <w:rsid w:val="538A3FFC"/>
    <w:rsid w:val="539908EE"/>
    <w:rsid w:val="53BA3A2B"/>
    <w:rsid w:val="53BF452D"/>
    <w:rsid w:val="53C3637A"/>
    <w:rsid w:val="53C7425F"/>
    <w:rsid w:val="53F47C07"/>
    <w:rsid w:val="53FA7012"/>
    <w:rsid w:val="54017C77"/>
    <w:rsid w:val="5405643C"/>
    <w:rsid w:val="54154D59"/>
    <w:rsid w:val="54282813"/>
    <w:rsid w:val="544A47D3"/>
    <w:rsid w:val="545753FB"/>
    <w:rsid w:val="545B53C8"/>
    <w:rsid w:val="54730839"/>
    <w:rsid w:val="547D2F9E"/>
    <w:rsid w:val="547D731B"/>
    <w:rsid w:val="54895F6F"/>
    <w:rsid w:val="548F6CA3"/>
    <w:rsid w:val="5496345A"/>
    <w:rsid w:val="54B30C5E"/>
    <w:rsid w:val="54B8031D"/>
    <w:rsid w:val="54BC4F94"/>
    <w:rsid w:val="54BD088F"/>
    <w:rsid w:val="54DB1C81"/>
    <w:rsid w:val="54DD0277"/>
    <w:rsid w:val="54E04D60"/>
    <w:rsid w:val="54E36374"/>
    <w:rsid w:val="54EF288B"/>
    <w:rsid w:val="54F070DE"/>
    <w:rsid w:val="550B5058"/>
    <w:rsid w:val="550E21DD"/>
    <w:rsid w:val="5515023E"/>
    <w:rsid w:val="551D5901"/>
    <w:rsid w:val="552176E2"/>
    <w:rsid w:val="5535086A"/>
    <w:rsid w:val="553B15EC"/>
    <w:rsid w:val="554076AF"/>
    <w:rsid w:val="55647267"/>
    <w:rsid w:val="55692886"/>
    <w:rsid w:val="55781630"/>
    <w:rsid w:val="55787787"/>
    <w:rsid w:val="5588360C"/>
    <w:rsid w:val="558C23AE"/>
    <w:rsid w:val="558C4235"/>
    <w:rsid w:val="55B540AC"/>
    <w:rsid w:val="55B70915"/>
    <w:rsid w:val="55BF392A"/>
    <w:rsid w:val="55C335FF"/>
    <w:rsid w:val="55D24AB8"/>
    <w:rsid w:val="55D70A42"/>
    <w:rsid w:val="55D903ED"/>
    <w:rsid w:val="55FF46FF"/>
    <w:rsid w:val="56064D61"/>
    <w:rsid w:val="56124F67"/>
    <w:rsid w:val="56253E24"/>
    <w:rsid w:val="562770B6"/>
    <w:rsid w:val="562B7C58"/>
    <w:rsid w:val="562F0650"/>
    <w:rsid w:val="56325048"/>
    <w:rsid w:val="564E5475"/>
    <w:rsid w:val="565270C9"/>
    <w:rsid w:val="56556039"/>
    <w:rsid w:val="565D713B"/>
    <w:rsid w:val="566E43CB"/>
    <w:rsid w:val="567134D1"/>
    <w:rsid w:val="567601AC"/>
    <w:rsid w:val="56817115"/>
    <w:rsid w:val="568D1ECF"/>
    <w:rsid w:val="56A81C1A"/>
    <w:rsid w:val="56B778AE"/>
    <w:rsid w:val="56C4326C"/>
    <w:rsid w:val="56CB1868"/>
    <w:rsid w:val="56CC25C8"/>
    <w:rsid w:val="56DF6B4B"/>
    <w:rsid w:val="56E056D4"/>
    <w:rsid w:val="56ED27D6"/>
    <w:rsid w:val="56EE30C2"/>
    <w:rsid w:val="56F813A0"/>
    <w:rsid w:val="5701658C"/>
    <w:rsid w:val="57032046"/>
    <w:rsid w:val="57096108"/>
    <w:rsid w:val="571662CD"/>
    <w:rsid w:val="57407B23"/>
    <w:rsid w:val="57455942"/>
    <w:rsid w:val="574B0213"/>
    <w:rsid w:val="574F2990"/>
    <w:rsid w:val="575647A8"/>
    <w:rsid w:val="57672B61"/>
    <w:rsid w:val="57810778"/>
    <w:rsid w:val="57A83EF8"/>
    <w:rsid w:val="57B45537"/>
    <w:rsid w:val="57CA30B6"/>
    <w:rsid w:val="57D17F4B"/>
    <w:rsid w:val="57D96BCF"/>
    <w:rsid w:val="57F934C0"/>
    <w:rsid w:val="57F93FED"/>
    <w:rsid w:val="57FD6B99"/>
    <w:rsid w:val="58013D55"/>
    <w:rsid w:val="58233E6B"/>
    <w:rsid w:val="583F6838"/>
    <w:rsid w:val="58404354"/>
    <w:rsid w:val="585B5805"/>
    <w:rsid w:val="58634DD0"/>
    <w:rsid w:val="586844B6"/>
    <w:rsid w:val="58786C58"/>
    <w:rsid w:val="58951C97"/>
    <w:rsid w:val="589F773E"/>
    <w:rsid w:val="58AF735F"/>
    <w:rsid w:val="58B0410D"/>
    <w:rsid w:val="58B6797B"/>
    <w:rsid w:val="58BB21A4"/>
    <w:rsid w:val="58C62C27"/>
    <w:rsid w:val="58C963C2"/>
    <w:rsid w:val="58CA4549"/>
    <w:rsid w:val="58CC2A45"/>
    <w:rsid w:val="58D222ED"/>
    <w:rsid w:val="58E86451"/>
    <w:rsid w:val="58FC5AEF"/>
    <w:rsid w:val="59035AFA"/>
    <w:rsid w:val="5904247D"/>
    <w:rsid w:val="59147540"/>
    <w:rsid w:val="591E45BB"/>
    <w:rsid w:val="59201ECA"/>
    <w:rsid w:val="592F1BA0"/>
    <w:rsid w:val="593E64CA"/>
    <w:rsid w:val="594556FD"/>
    <w:rsid w:val="595A2183"/>
    <w:rsid w:val="596379A9"/>
    <w:rsid w:val="597115A7"/>
    <w:rsid w:val="59772EB0"/>
    <w:rsid w:val="59787FEA"/>
    <w:rsid w:val="597D0736"/>
    <w:rsid w:val="59834524"/>
    <w:rsid w:val="598B6C60"/>
    <w:rsid w:val="5991071A"/>
    <w:rsid w:val="59934B4F"/>
    <w:rsid w:val="599B2EE3"/>
    <w:rsid w:val="59AA1CA3"/>
    <w:rsid w:val="59AC3E0E"/>
    <w:rsid w:val="59B30318"/>
    <w:rsid w:val="59C02604"/>
    <w:rsid w:val="59CF1ADD"/>
    <w:rsid w:val="59D17D75"/>
    <w:rsid w:val="59D471D7"/>
    <w:rsid w:val="59E37B16"/>
    <w:rsid w:val="59E61693"/>
    <w:rsid w:val="5A030835"/>
    <w:rsid w:val="5A1317F0"/>
    <w:rsid w:val="5A1804F3"/>
    <w:rsid w:val="5A2646DB"/>
    <w:rsid w:val="5A2B57AE"/>
    <w:rsid w:val="5A321BEA"/>
    <w:rsid w:val="5A366F84"/>
    <w:rsid w:val="5A3F0176"/>
    <w:rsid w:val="5A442FFB"/>
    <w:rsid w:val="5A6D2DB1"/>
    <w:rsid w:val="5A6E407A"/>
    <w:rsid w:val="5A7C5AD3"/>
    <w:rsid w:val="5A7E74F9"/>
    <w:rsid w:val="5A8E165E"/>
    <w:rsid w:val="5AA72176"/>
    <w:rsid w:val="5AAE0441"/>
    <w:rsid w:val="5AAE5BEC"/>
    <w:rsid w:val="5AD1351F"/>
    <w:rsid w:val="5AD339D9"/>
    <w:rsid w:val="5AD85B99"/>
    <w:rsid w:val="5AE8322E"/>
    <w:rsid w:val="5AEC73A3"/>
    <w:rsid w:val="5AEF1185"/>
    <w:rsid w:val="5AF11C14"/>
    <w:rsid w:val="5AFA3298"/>
    <w:rsid w:val="5B016D34"/>
    <w:rsid w:val="5B0B39F4"/>
    <w:rsid w:val="5B0D7295"/>
    <w:rsid w:val="5B206399"/>
    <w:rsid w:val="5B224853"/>
    <w:rsid w:val="5B456E93"/>
    <w:rsid w:val="5B4C2ADE"/>
    <w:rsid w:val="5B51735D"/>
    <w:rsid w:val="5B673616"/>
    <w:rsid w:val="5B681B2C"/>
    <w:rsid w:val="5B694FAE"/>
    <w:rsid w:val="5B83792C"/>
    <w:rsid w:val="5B902EC7"/>
    <w:rsid w:val="5B9E223B"/>
    <w:rsid w:val="5BA14F87"/>
    <w:rsid w:val="5BAD3BAD"/>
    <w:rsid w:val="5BAD73DC"/>
    <w:rsid w:val="5BBB4917"/>
    <w:rsid w:val="5BD133DF"/>
    <w:rsid w:val="5BD366A4"/>
    <w:rsid w:val="5BE3130E"/>
    <w:rsid w:val="5BED3C29"/>
    <w:rsid w:val="5BF51E6A"/>
    <w:rsid w:val="5C093177"/>
    <w:rsid w:val="5C0D0073"/>
    <w:rsid w:val="5C144FCE"/>
    <w:rsid w:val="5C3E78DA"/>
    <w:rsid w:val="5C5342DE"/>
    <w:rsid w:val="5C5E1DE9"/>
    <w:rsid w:val="5C611C30"/>
    <w:rsid w:val="5C640E34"/>
    <w:rsid w:val="5C654CF3"/>
    <w:rsid w:val="5C692CEC"/>
    <w:rsid w:val="5C6D3417"/>
    <w:rsid w:val="5C8D2EAA"/>
    <w:rsid w:val="5C9256E7"/>
    <w:rsid w:val="5CA531D1"/>
    <w:rsid w:val="5CAD5B70"/>
    <w:rsid w:val="5CB75213"/>
    <w:rsid w:val="5CBC5D91"/>
    <w:rsid w:val="5CC20563"/>
    <w:rsid w:val="5CCA12C8"/>
    <w:rsid w:val="5CD374BB"/>
    <w:rsid w:val="5CF84E23"/>
    <w:rsid w:val="5CFB164F"/>
    <w:rsid w:val="5D160E63"/>
    <w:rsid w:val="5D170048"/>
    <w:rsid w:val="5D17051D"/>
    <w:rsid w:val="5D2E727E"/>
    <w:rsid w:val="5D40035D"/>
    <w:rsid w:val="5D49706D"/>
    <w:rsid w:val="5D5F77DD"/>
    <w:rsid w:val="5D717B18"/>
    <w:rsid w:val="5D840C43"/>
    <w:rsid w:val="5DAA3645"/>
    <w:rsid w:val="5DAE77A4"/>
    <w:rsid w:val="5DAF73C1"/>
    <w:rsid w:val="5DB57EF0"/>
    <w:rsid w:val="5DB6074F"/>
    <w:rsid w:val="5DD45079"/>
    <w:rsid w:val="5DE8676B"/>
    <w:rsid w:val="5DE96D9A"/>
    <w:rsid w:val="5DF47894"/>
    <w:rsid w:val="5DF81CBC"/>
    <w:rsid w:val="5E0C65C1"/>
    <w:rsid w:val="5E1044A2"/>
    <w:rsid w:val="5E162F9C"/>
    <w:rsid w:val="5E192361"/>
    <w:rsid w:val="5E19466D"/>
    <w:rsid w:val="5E1F592C"/>
    <w:rsid w:val="5E205AA1"/>
    <w:rsid w:val="5E2B3F08"/>
    <w:rsid w:val="5E366F27"/>
    <w:rsid w:val="5E386453"/>
    <w:rsid w:val="5E415746"/>
    <w:rsid w:val="5E67210D"/>
    <w:rsid w:val="5E7D126D"/>
    <w:rsid w:val="5E8001BD"/>
    <w:rsid w:val="5E8A7599"/>
    <w:rsid w:val="5E8E6002"/>
    <w:rsid w:val="5E915FF6"/>
    <w:rsid w:val="5E9206AE"/>
    <w:rsid w:val="5EA35AEB"/>
    <w:rsid w:val="5EB455C5"/>
    <w:rsid w:val="5EBE29B5"/>
    <w:rsid w:val="5ED351EB"/>
    <w:rsid w:val="5EE335F7"/>
    <w:rsid w:val="5EFC45A8"/>
    <w:rsid w:val="5EFD4006"/>
    <w:rsid w:val="5EFF0ED2"/>
    <w:rsid w:val="5F126D05"/>
    <w:rsid w:val="5F204F1D"/>
    <w:rsid w:val="5F2B1DCB"/>
    <w:rsid w:val="5F401BE4"/>
    <w:rsid w:val="5F4A1EBB"/>
    <w:rsid w:val="5F4B5E88"/>
    <w:rsid w:val="5F533C7C"/>
    <w:rsid w:val="5F595662"/>
    <w:rsid w:val="5F597B7C"/>
    <w:rsid w:val="5F5B7782"/>
    <w:rsid w:val="5F5E1936"/>
    <w:rsid w:val="5F675B22"/>
    <w:rsid w:val="5F6C4C79"/>
    <w:rsid w:val="5F732EBB"/>
    <w:rsid w:val="5F7D448F"/>
    <w:rsid w:val="5F8250FF"/>
    <w:rsid w:val="5F831153"/>
    <w:rsid w:val="5F906917"/>
    <w:rsid w:val="5F912ACF"/>
    <w:rsid w:val="5F9173F4"/>
    <w:rsid w:val="5F954394"/>
    <w:rsid w:val="5FA20BE3"/>
    <w:rsid w:val="5FBE282E"/>
    <w:rsid w:val="5FD15BC7"/>
    <w:rsid w:val="5FD367A6"/>
    <w:rsid w:val="5FD73AA6"/>
    <w:rsid w:val="5FD85EAF"/>
    <w:rsid w:val="5FF41C37"/>
    <w:rsid w:val="60104EE3"/>
    <w:rsid w:val="602533C0"/>
    <w:rsid w:val="6027337A"/>
    <w:rsid w:val="6028470C"/>
    <w:rsid w:val="604C1BAD"/>
    <w:rsid w:val="605B4538"/>
    <w:rsid w:val="60896264"/>
    <w:rsid w:val="608D150F"/>
    <w:rsid w:val="608F1BD3"/>
    <w:rsid w:val="60A13248"/>
    <w:rsid w:val="60C5330A"/>
    <w:rsid w:val="60D11BBA"/>
    <w:rsid w:val="60D43683"/>
    <w:rsid w:val="60EB7AA8"/>
    <w:rsid w:val="60EF15B2"/>
    <w:rsid w:val="60FE35FE"/>
    <w:rsid w:val="61001229"/>
    <w:rsid w:val="6121322E"/>
    <w:rsid w:val="61243429"/>
    <w:rsid w:val="61296ACD"/>
    <w:rsid w:val="612C2A9A"/>
    <w:rsid w:val="613D24A2"/>
    <w:rsid w:val="613D3287"/>
    <w:rsid w:val="613E7DA0"/>
    <w:rsid w:val="614149F3"/>
    <w:rsid w:val="61476428"/>
    <w:rsid w:val="616638A2"/>
    <w:rsid w:val="616E30DB"/>
    <w:rsid w:val="6180258F"/>
    <w:rsid w:val="618160E2"/>
    <w:rsid w:val="61862C2F"/>
    <w:rsid w:val="618C70A4"/>
    <w:rsid w:val="61A23F59"/>
    <w:rsid w:val="61B90BF2"/>
    <w:rsid w:val="61BC1E65"/>
    <w:rsid w:val="61E8288B"/>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B5453"/>
    <w:rsid w:val="62983D63"/>
    <w:rsid w:val="62AB4430"/>
    <w:rsid w:val="62C671FE"/>
    <w:rsid w:val="62CD11E8"/>
    <w:rsid w:val="62DF39AC"/>
    <w:rsid w:val="62F7131A"/>
    <w:rsid w:val="63111189"/>
    <w:rsid w:val="63252E32"/>
    <w:rsid w:val="63277B43"/>
    <w:rsid w:val="6337309B"/>
    <w:rsid w:val="633A09A7"/>
    <w:rsid w:val="633C776F"/>
    <w:rsid w:val="636176F3"/>
    <w:rsid w:val="636F572B"/>
    <w:rsid w:val="63877230"/>
    <w:rsid w:val="638C249A"/>
    <w:rsid w:val="63A8579E"/>
    <w:rsid w:val="63AF2E7A"/>
    <w:rsid w:val="63B1353D"/>
    <w:rsid w:val="63B425DD"/>
    <w:rsid w:val="63B558BF"/>
    <w:rsid w:val="63BE7084"/>
    <w:rsid w:val="63CD3460"/>
    <w:rsid w:val="63DF1582"/>
    <w:rsid w:val="63E646FF"/>
    <w:rsid w:val="63EF3DEF"/>
    <w:rsid w:val="63FE569C"/>
    <w:rsid w:val="6412191B"/>
    <w:rsid w:val="641240B1"/>
    <w:rsid w:val="64161F52"/>
    <w:rsid w:val="64171D73"/>
    <w:rsid w:val="642B3479"/>
    <w:rsid w:val="642F70DC"/>
    <w:rsid w:val="64425440"/>
    <w:rsid w:val="644E2285"/>
    <w:rsid w:val="646239A5"/>
    <w:rsid w:val="647F7413"/>
    <w:rsid w:val="64A14C54"/>
    <w:rsid w:val="64A357A5"/>
    <w:rsid w:val="64A55457"/>
    <w:rsid w:val="64AF0893"/>
    <w:rsid w:val="64B0068F"/>
    <w:rsid w:val="64B0634B"/>
    <w:rsid w:val="64B7DBF3"/>
    <w:rsid w:val="64BC5A53"/>
    <w:rsid w:val="64BD61FD"/>
    <w:rsid w:val="64C60289"/>
    <w:rsid w:val="64CD7386"/>
    <w:rsid w:val="64D03662"/>
    <w:rsid w:val="64E35BA2"/>
    <w:rsid w:val="64E71808"/>
    <w:rsid w:val="64F302E2"/>
    <w:rsid w:val="64F44A85"/>
    <w:rsid w:val="64FC3B23"/>
    <w:rsid w:val="65043CB2"/>
    <w:rsid w:val="650F4BE9"/>
    <w:rsid w:val="651E0B7C"/>
    <w:rsid w:val="65301037"/>
    <w:rsid w:val="653D4887"/>
    <w:rsid w:val="6543520D"/>
    <w:rsid w:val="655D27A0"/>
    <w:rsid w:val="65655D8C"/>
    <w:rsid w:val="65691302"/>
    <w:rsid w:val="656B45D6"/>
    <w:rsid w:val="6577186E"/>
    <w:rsid w:val="6583118B"/>
    <w:rsid w:val="6583791F"/>
    <w:rsid w:val="658F1D57"/>
    <w:rsid w:val="658F6146"/>
    <w:rsid w:val="658F6F58"/>
    <w:rsid w:val="65995DFE"/>
    <w:rsid w:val="659A3745"/>
    <w:rsid w:val="65A05841"/>
    <w:rsid w:val="65A62B21"/>
    <w:rsid w:val="65AD379D"/>
    <w:rsid w:val="65BB7BCB"/>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517729"/>
    <w:rsid w:val="666F5074"/>
    <w:rsid w:val="667558EB"/>
    <w:rsid w:val="66866840"/>
    <w:rsid w:val="66950E06"/>
    <w:rsid w:val="66A12504"/>
    <w:rsid w:val="66A46015"/>
    <w:rsid w:val="66BB34F8"/>
    <w:rsid w:val="66BE0E3B"/>
    <w:rsid w:val="66CF4C55"/>
    <w:rsid w:val="66D11DEE"/>
    <w:rsid w:val="66D63CEA"/>
    <w:rsid w:val="66DD70A5"/>
    <w:rsid w:val="66E40448"/>
    <w:rsid w:val="6703542F"/>
    <w:rsid w:val="670871A8"/>
    <w:rsid w:val="672D3127"/>
    <w:rsid w:val="67420658"/>
    <w:rsid w:val="674533A1"/>
    <w:rsid w:val="675178A4"/>
    <w:rsid w:val="67782CEF"/>
    <w:rsid w:val="677835B0"/>
    <w:rsid w:val="677F7F0C"/>
    <w:rsid w:val="67802496"/>
    <w:rsid w:val="678540B5"/>
    <w:rsid w:val="6788348E"/>
    <w:rsid w:val="678B2A98"/>
    <w:rsid w:val="679735E0"/>
    <w:rsid w:val="6797CC6D"/>
    <w:rsid w:val="67A400CA"/>
    <w:rsid w:val="67A50830"/>
    <w:rsid w:val="67A538BA"/>
    <w:rsid w:val="67A73955"/>
    <w:rsid w:val="67A90441"/>
    <w:rsid w:val="67C20C79"/>
    <w:rsid w:val="67C57F48"/>
    <w:rsid w:val="67D60266"/>
    <w:rsid w:val="67DE4EEE"/>
    <w:rsid w:val="67DF4D46"/>
    <w:rsid w:val="67E46554"/>
    <w:rsid w:val="67ED5955"/>
    <w:rsid w:val="68022E63"/>
    <w:rsid w:val="68052F36"/>
    <w:rsid w:val="6808141A"/>
    <w:rsid w:val="681A272F"/>
    <w:rsid w:val="68366331"/>
    <w:rsid w:val="68400AB2"/>
    <w:rsid w:val="6841737C"/>
    <w:rsid w:val="684D63BA"/>
    <w:rsid w:val="68536D0C"/>
    <w:rsid w:val="686B3644"/>
    <w:rsid w:val="687122A5"/>
    <w:rsid w:val="68806747"/>
    <w:rsid w:val="68827E4E"/>
    <w:rsid w:val="68866D0B"/>
    <w:rsid w:val="688C2726"/>
    <w:rsid w:val="689474C6"/>
    <w:rsid w:val="689A44D2"/>
    <w:rsid w:val="68AD5620"/>
    <w:rsid w:val="68BA7E2F"/>
    <w:rsid w:val="68CE48DE"/>
    <w:rsid w:val="68D044F1"/>
    <w:rsid w:val="68E47A64"/>
    <w:rsid w:val="68E94352"/>
    <w:rsid w:val="68EC7D6D"/>
    <w:rsid w:val="68F058E5"/>
    <w:rsid w:val="68F15575"/>
    <w:rsid w:val="68F20AA9"/>
    <w:rsid w:val="68FE744E"/>
    <w:rsid w:val="6902255E"/>
    <w:rsid w:val="69081F0D"/>
    <w:rsid w:val="69166F5C"/>
    <w:rsid w:val="69185E16"/>
    <w:rsid w:val="691B0000"/>
    <w:rsid w:val="6922628D"/>
    <w:rsid w:val="69243CCB"/>
    <w:rsid w:val="692D10A8"/>
    <w:rsid w:val="694E1343"/>
    <w:rsid w:val="696778E1"/>
    <w:rsid w:val="6976628D"/>
    <w:rsid w:val="69781887"/>
    <w:rsid w:val="6979522C"/>
    <w:rsid w:val="69911493"/>
    <w:rsid w:val="69945F1A"/>
    <w:rsid w:val="69A264FB"/>
    <w:rsid w:val="69A463E4"/>
    <w:rsid w:val="69C159B6"/>
    <w:rsid w:val="69C356D6"/>
    <w:rsid w:val="69D152E0"/>
    <w:rsid w:val="69D54C7F"/>
    <w:rsid w:val="69DA7E3E"/>
    <w:rsid w:val="69E00A4D"/>
    <w:rsid w:val="69EB2D32"/>
    <w:rsid w:val="69EF19DA"/>
    <w:rsid w:val="69FB5FAE"/>
    <w:rsid w:val="69FD50EC"/>
    <w:rsid w:val="6A0D33A8"/>
    <w:rsid w:val="6A1C386D"/>
    <w:rsid w:val="6A276531"/>
    <w:rsid w:val="6A2E5337"/>
    <w:rsid w:val="6A345BC3"/>
    <w:rsid w:val="6A3B1068"/>
    <w:rsid w:val="6A4E57F6"/>
    <w:rsid w:val="6A4F412A"/>
    <w:rsid w:val="6A5F7EB4"/>
    <w:rsid w:val="6A7202D9"/>
    <w:rsid w:val="6A856090"/>
    <w:rsid w:val="6A8E7D3F"/>
    <w:rsid w:val="6A9B7BF1"/>
    <w:rsid w:val="6A9F3D8E"/>
    <w:rsid w:val="6AA04EB0"/>
    <w:rsid w:val="6ABD3F83"/>
    <w:rsid w:val="6AC86960"/>
    <w:rsid w:val="6ACB1AF0"/>
    <w:rsid w:val="6ADFB8F3"/>
    <w:rsid w:val="6AEE56BD"/>
    <w:rsid w:val="6AF14EA4"/>
    <w:rsid w:val="6B004DE3"/>
    <w:rsid w:val="6B0933D8"/>
    <w:rsid w:val="6B1E06AB"/>
    <w:rsid w:val="6B2347F8"/>
    <w:rsid w:val="6B2D2415"/>
    <w:rsid w:val="6B353BDC"/>
    <w:rsid w:val="6B554422"/>
    <w:rsid w:val="6B7D2CD6"/>
    <w:rsid w:val="6B810BED"/>
    <w:rsid w:val="6B8428B4"/>
    <w:rsid w:val="6B851189"/>
    <w:rsid w:val="6B91457B"/>
    <w:rsid w:val="6B930274"/>
    <w:rsid w:val="6BA47A68"/>
    <w:rsid w:val="6BBFA03B"/>
    <w:rsid w:val="6BCF2AB2"/>
    <w:rsid w:val="6BDB04B7"/>
    <w:rsid w:val="6BF61AFE"/>
    <w:rsid w:val="6C0D7E8A"/>
    <w:rsid w:val="6C1D7BEB"/>
    <w:rsid w:val="6C261FA5"/>
    <w:rsid w:val="6C267CEF"/>
    <w:rsid w:val="6C271424"/>
    <w:rsid w:val="6C4F3C53"/>
    <w:rsid w:val="6C4F4761"/>
    <w:rsid w:val="6C63308B"/>
    <w:rsid w:val="6C717EEF"/>
    <w:rsid w:val="6C736123"/>
    <w:rsid w:val="6C7A1C7C"/>
    <w:rsid w:val="6C8D40DA"/>
    <w:rsid w:val="6C915824"/>
    <w:rsid w:val="6C98717A"/>
    <w:rsid w:val="6C9A696F"/>
    <w:rsid w:val="6C9E3F84"/>
    <w:rsid w:val="6C9F2ED4"/>
    <w:rsid w:val="6CA45DFE"/>
    <w:rsid w:val="6CB77895"/>
    <w:rsid w:val="6CC32DC1"/>
    <w:rsid w:val="6CCB2A5C"/>
    <w:rsid w:val="6CCB57A9"/>
    <w:rsid w:val="6CCE109B"/>
    <w:rsid w:val="6CDBD50C"/>
    <w:rsid w:val="6CE47F86"/>
    <w:rsid w:val="6CEB4C3D"/>
    <w:rsid w:val="6CEF474A"/>
    <w:rsid w:val="6D0E6DEA"/>
    <w:rsid w:val="6D2C27DC"/>
    <w:rsid w:val="6D3A60CF"/>
    <w:rsid w:val="6D3E2220"/>
    <w:rsid w:val="6D3F63B2"/>
    <w:rsid w:val="6D4548B0"/>
    <w:rsid w:val="6D552A99"/>
    <w:rsid w:val="6D626FF2"/>
    <w:rsid w:val="6D652811"/>
    <w:rsid w:val="6D7573C9"/>
    <w:rsid w:val="6D9C0D39"/>
    <w:rsid w:val="6D9D3448"/>
    <w:rsid w:val="6DA45E1A"/>
    <w:rsid w:val="6DB02E03"/>
    <w:rsid w:val="6DB3306B"/>
    <w:rsid w:val="6DC00159"/>
    <w:rsid w:val="6DD72E6A"/>
    <w:rsid w:val="6DED76D5"/>
    <w:rsid w:val="6DEF3963"/>
    <w:rsid w:val="6DF1261C"/>
    <w:rsid w:val="6DF633D0"/>
    <w:rsid w:val="6E090707"/>
    <w:rsid w:val="6E0D2F31"/>
    <w:rsid w:val="6E35541C"/>
    <w:rsid w:val="6E451788"/>
    <w:rsid w:val="6E4C1361"/>
    <w:rsid w:val="6E541B46"/>
    <w:rsid w:val="6E641F84"/>
    <w:rsid w:val="6E6C3A9A"/>
    <w:rsid w:val="6E726FC5"/>
    <w:rsid w:val="6E7D66A2"/>
    <w:rsid w:val="6E8C7D79"/>
    <w:rsid w:val="6E957A3F"/>
    <w:rsid w:val="6EA77046"/>
    <w:rsid w:val="6EB83E57"/>
    <w:rsid w:val="6EC553D5"/>
    <w:rsid w:val="6EE7018C"/>
    <w:rsid w:val="6EF5C34B"/>
    <w:rsid w:val="6EF76DEC"/>
    <w:rsid w:val="6EFF501F"/>
    <w:rsid w:val="6F074349"/>
    <w:rsid w:val="6F0B05C6"/>
    <w:rsid w:val="6F130C23"/>
    <w:rsid w:val="6F150B51"/>
    <w:rsid w:val="6F193BD1"/>
    <w:rsid w:val="6F270A73"/>
    <w:rsid w:val="6F364C63"/>
    <w:rsid w:val="6F572727"/>
    <w:rsid w:val="6F5C26F0"/>
    <w:rsid w:val="6F645181"/>
    <w:rsid w:val="6F68212E"/>
    <w:rsid w:val="6F757176"/>
    <w:rsid w:val="6F792725"/>
    <w:rsid w:val="6F88611E"/>
    <w:rsid w:val="6F9E3156"/>
    <w:rsid w:val="6FA303AB"/>
    <w:rsid w:val="6FA6D380"/>
    <w:rsid w:val="6FAA58A9"/>
    <w:rsid w:val="6FB6420C"/>
    <w:rsid w:val="6FB81081"/>
    <w:rsid w:val="6FBC0361"/>
    <w:rsid w:val="6FC511CA"/>
    <w:rsid w:val="6FC844B0"/>
    <w:rsid w:val="6FC91D09"/>
    <w:rsid w:val="6FCF744E"/>
    <w:rsid w:val="6FDB250C"/>
    <w:rsid w:val="6FDBACE9"/>
    <w:rsid w:val="6FE03DA0"/>
    <w:rsid w:val="6FE27002"/>
    <w:rsid w:val="6FEA3F10"/>
    <w:rsid w:val="6FEA761E"/>
    <w:rsid w:val="6FEC76E2"/>
    <w:rsid w:val="6FF6867F"/>
    <w:rsid w:val="6FF925B2"/>
    <w:rsid w:val="6FFFB0FE"/>
    <w:rsid w:val="70004270"/>
    <w:rsid w:val="70062004"/>
    <w:rsid w:val="700F02F2"/>
    <w:rsid w:val="701D4C6D"/>
    <w:rsid w:val="702211B8"/>
    <w:rsid w:val="70285C83"/>
    <w:rsid w:val="70313C65"/>
    <w:rsid w:val="70360700"/>
    <w:rsid w:val="7049745E"/>
    <w:rsid w:val="704B6227"/>
    <w:rsid w:val="704F480E"/>
    <w:rsid w:val="70531176"/>
    <w:rsid w:val="70553DF8"/>
    <w:rsid w:val="70753CEA"/>
    <w:rsid w:val="70CE3CD6"/>
    <w:rsid w:val="70D5200B"/>
    <w:rsid w:val="70D77435"/>
    <w:rsid w:val="70D86A93"/>
    <w:rsid w:val="70E72C7C"/>
    <w:rsid w:val="70F30CAD"/>
    <w:rsid w:val="70F33611"/>
    <w:rsid w:val="70FC164A"/>
    <w:rsid w:val="70FE3E55"/>
    <w:rsid w:val="711F5147"/>
    <w:rsid w:val="71333A0D"/>
    <w:rsid w:val="71341A6F"/>
    <w:rsid w:val="713664A7"/>
    <w:rsid w:val="713E00F5"/>
    <w:rsid w:val="713F2452"/>
    <w:rsid w:val="714F7DC5"/>
    <w:rsid w:val="71606F55"/>
    <w:rsid w:val="7164280C"/>
    <w:rsid w:val="716763F1"/>
    <w:rsid w:val="716B28F4"/>
    <w:rsid w:val="717568BB"/>
    <w:rsid w:val="7176061E"/>
    <w:rsid w:val="719368F2"/>
    <w:rsid w:val="719460D6"/>
    <w:rsid w:val="71A71FCA"/>
    <w:rsid w:val="71AE1825"/>
    <w:rsid w:val="71B23F18"/>
    <w:rsid w:val="71BF7712"/>
    <w:rsid w:val="71CF510A"/>
    <w:rsid w:val="71D11979"/>
    <w:rsid w:val="71D23CA4"/>
    <w:rsid w:val="71D821BD"/>
    <w:rsid w:val="71E40978"/>
    <w:rsid w:val="71E54C93"/>
    <w:rsid w:val="71FB2A90"/>
    <w:rsid w:val="720B2724"/>
    <w:rsid w:val="72264CCC"/>
    <w:rsid w:val="722A0E8A"/>
    <w:rsid w:val="722C78DA"/>
    <w:rsid w:val="72361EFD"/>
    <w:rsid w:val="72391B27"/>
    <w:rsid w:val="723F6347"/>
    <w:rsid w:val="724D0CB0"/>
    <w:rsid w:val="725E5BA2"/>
    <w:rsid w:val="72787113"/>
    <w:rsid w:val="728D3332"/>
    <w:rsid w:val="729B26AC"/>
    <w:rsid w:val="72B56CCB"/>
    <w:rsid w:val="72D1040D"/>
    <w:rsid w:val="72DE24DB"/>
    <w:rsid w:val="72EA0498"/>
    <w:rsid w:val="72EA3482"/>
    <w:rsid w:val="72F40F30"/>
    <w:rsid w:val="72F56855"/>
    <w:rsid w:val="72FC651D"/>
    <w:rsid w:val="7304299B"/>
    <w:rsid w:val="730A2B08"/>
    <w:rsid w:val="730A558D"/>
    <w:rsid w:val="731A35C3"/>
    <w:rsid w:val="731A6169"/>
    <w:rsid w:val="73223DF1"/>
    <w:rsid w:val="733116B7"/>
    <w:rsid w:val="73330D90"/>
    <w:rsid w:val="733A737E"/>
    <w:rsid w:val="7351635F"/>
    <w:rsid w:val="73582E26"/>
    <w:rsid w:val="735F45EB"/>
    <w:rsid w:val="736572B2"/>
    <w:rsid w:val="73877A4C"/>
    <w:rsid w:val="738A46F3"/>
    <w:rsid w:val="739F7602"/>
    <w:rsid w:val="73A40733"/>
    <w:rsid w:val="73B9469D"/>
    <w:rsid w:val="73D3764A"/>
    <w:rsid w:val="73D9089C"/>
    <w:rsid w:val="73DB32B4"/>
    <w:rsid w:val="73EA000A"/>
    <w:rsid w:val="73F67F63"/>
    <w:rsid w:val="73F723FE"/>
    <w:rsid w:val="73FE361A"/>
    <w:rsid w:val="740800C7"/>
    <w:rsid w:val="74187158"/>
    <w:rsid w:val="74225CAE"/>
    <w:rsid w:val="74232A0F"/>
    <w:rsid w:val="74356168"/>
    <w:rsid w:val="7438012B"/>
    <w:rsid w:val="74394754"/>
    <w:rsid w:val="744276DF"/>
    <w:rsid w:val="74450836"/>
    <w:rsid w:val="744566B3"/>
    <w:rsid w:val="744C3BB8"/>
    <w:rsid w:val="744E15D3"/>
    <w:rsid w:val="744F5D6A"/>
    <w:rsid w:val="745500FA"/>
    <w:rsid w:val="74591A28"/>
    <w:rsid w:val="74633D61"/>
    <w:rsid w:val="74682B38"/>
    <w:rsid w:val="74897BA8"/>
    <w:rsid w:val="74921949"/>
    <w:rsid w:val="74981804"/>
    <w:rsid w:val="749B1B1D"/>
    <w:rsid w:val="74A62A32"/>
    <w:rsid w:val="74AF7E07"/>
    <w:rsid w:val="74C11A94"/>
    <w:rsid w:val="74C303AA"/>
    <w:rsid w:val="74DA01CE"/>
    <w:rsid w:val="74E11CE7"/>
    <w:rsid w:val="74EA0887"/>
    <w:rsid w:val="74F2528E"/>
    <w:rsid w:val="74F54377"/>
    <w:rsid w:val="751B69AC"/>
    <w:rsid w:val="75226272"/>
    <w:rsid w:val="75227415"/>
    <w:rsid w:val="75285984"/>
    <w:rsid w:val="752B18E8"/>
    <w:rsid w:val="752B58CD"/>
    <w:rsid w:val="7538207F"/>
    <w:rsid w:val="75550DBA"/>
    <w:rsid w:val="75562889"/>
    <w:rsid w:val="756225D4"/>
    <w:rsid w:val="75646065"/>
    <w:rsid w:val="757A24EA"/>
    <w:rsid w:val="757D7024"/>
    <w:rsid w:val="758868F7"/>
    <w:rsid w:val="75913442"/>
    <w:rsid w:val="759D41D5"/>
    <w:rsid w:val="759F6E47"/>
    <w:rsid w:val="75AE3429"/>
    <w:rsid w:val="75BD26ED"/>
    <w:rsid w:val="75BDDCD7"/>
    <w:rsid w:val="75D32087"/>
    <w:rsid w:val="75DF28CE"/>
    <w:rsid w:val="75E53387"/>
    <w:rsid w:val="75E874E8"/>
    <w:rsid w:val="75EC1A8F"/>
    <w:rsid w:val="75FD4BCD"/>
    <w:rsid w:val="760602D2"/>
    <w:rsid w:val="760729A8"/>
    <w:rsid w:val="76164029"/>
    <w:rsid w:val="761C63DD"/>
    <w:rsid w:val="76204870"/>
    <w:rsid w:val="762215B7"/>
    <w:rsid w:val="76342A16"/>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DF37AF"/>
    <w:rsid w:val="76F26294"/>
    <w:rsid w:val="76F62C91"/>
    <w:rsid w:val="77052BDB"/>
    <w:rsid w:val="770E458F"/>
    <w:rsid w:val="77112A42"/>
    <w:rsid w:val="772623E4"/>
    <w:rsid w:val="773A2AD5"/>
    <w:rsid w:val="77517517"/>
    <w:rsid w:val="775D7B56"/>
    <w:rsid w:val="77645A0B"/>
    <w:rsid w:val="77816B5E"/>
    <w:rsid w:val="778234EF"/>
    <w:rsid w:val="778612B4"/>
    <w:rsid w:val="77861DAE"/>
    <w:rsid w:val="779A3B25"/>
    <w:rsid w:val="779C055E"/>
    <w:rsid w:val="77A16F59"/>
    <w:rsid w:val="77A61A19"/>
    <w:rsid w:val="77A8713B"/>
    <w:rsid w:val="77B024F4"/>
    <w:rsid w:val="77BB27AB"/>
    <w:rsid w:val="77C7030D"/>
    <w:rsid w:val="77CA262C"/>
    <w:rsid w:val="77D12E2D"/>
    <w:rsid w:val="77D17AF4"/>
    <w:rsid w:val="77D40517"/>
    <w:rsid w:val="77D73344"/>
    <w:rsid w:val="77DB1D1B"/>
    <w:rsid w:val="77E63610"/>
    <w:rsid w:val="77E804AB"/>
    <w:rsid w:val="77E85E69"/>
    <w:rsid w:val="77ED1164"/>
    <w:rsid w:val="77EE1A98"/>
    <w:rsid w:val="780D018B"/>
    <w:rsid w:val="781A0DB5"/>
    <w:rsid w:val="78256ACF"/>
    <w:rsid w:val="782D7B09"/>
    <w:rsid w:val="78346968"/>
    <w:rsid w:val="783D7C3D"/>
    <w:rsid w:val="784C03CB"/>
    <w:rsid w:val="784D2006"/>
    <w:rsid w:val="7855282E"/>
    <w:rsid w:val="78606362"/>
    <w:rsid w:val="78741C26"/>
    <w:rsid w:val="78783618"/>
    <w:rsid w:val="787A665F"/>
    <w:rsid w:val="7884180F"/>
    <w:rsid w:val="78915BE9"/>
    <w:rsid w:val="78957992"/>
    <w:rsid w:val="78B3587F"/>
    <w:rsid w:val="78B86EC2"/>
    <w:rsid w:val="78C141FE"/>
    <w:rsid w:val="78C20890"/>
    <w:rsid w:val="78D665EA"/>
    <w:rsid w:val="78D66912"/>
    <w:rsid w:val="78D8401B"/>
    <w:rsid w:val="78E05ACF"/>
    <w:rsid w:val="78E9231B"/>
    <w:rsid w:val="78ED13FE"/>
    <w:rsid w:val="78EE54C1"/>
    <w:rsid w:val="78F27200"/>
    <w:rsid w:val="78F82D58"/>
    <w:rsid w:val="78F856CB"/>
    <w:rsid w:val="7903679E"/>
    <w:rsid w:val="7903780E"/>
    <w:rsid w:val="790C6E07"/>
    <w:rsid w:val="791A21AC"/>
    <w:rsid w:val="791F2A74"/>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876C3"/>
    <w:rsid w:val="797A12D2"/>
    <w:rsid w:val="797E3AEE"/>
    <w:rsid w:val="79821501"/>
    <w:rsid w:val="798F5BB2"/>
    <w:rsid w:val="79A57893"/>
    <w:rsid w:val="79A64908"/>
    <w:rsid w:val="79BA5C30"/>
    <w:rsid w:val="79C721B0"/>
    <w:rsid w:val="79CC3B9C"/>
    <w:rsid w:val="79CF4756"/>
    <w:rsid w:val="79D17055"/>
    <w:rsid w:val="79D81A97"/>
    <w:rsid w:val="79DB0FFE"/>
    <w:rsid w:val="79DB6056"/>
    <w:rsid w:val="79E93CD4"/>
    <w:rsid w:val="79EA3EAF"/>
    <w:rsid w:val="79F15391"/>
    <w:rsid w:val="7A122883"/>
    <w:rsid w:val="7A1F19C3"/>
    <w:rsid w:val="7A2B4030"/>
    <w:rsid w:val="7A37269B"/>
    <w:rsid w:val="7A3F46A8"/>
    <w:rsid w:val="7A3F6A69"/>
    <w:rsid w:val="7A4260F2"/>
    <w:rsid w:val="7A511CEA"/>
    <w:rsid w:val="7A514314"/>
    <w:rsid w:val="7A5B6BF1"/>
    <w:rsid w:val="7A745689"/>
    <w:rsid w:val="7A74617C"/>
    <w:rsid w:val="7A882AAB"/>
    <w:rsid w:val="7A8935AA"/>
    <w:rsid w:val="7A8C5A62"/>
    <w:rsid w:val="7A9B02A0"/>
    <w:rsid w:val="7AAC493D"/>
    <w:rsid w:val="7AB70A93"/>
    <w:rsid w:val="7AC77AD7"/>
    <w:rsid w:val="7AE4433A"/>
    <w:rsid w:val="7AE56790"/>
    <w:rsid w:val="7AFF5BCE"/>
    <w:rsid w:val="7B10013E"/>
    <w:rsid w:val="7B252618"/>
    <w:rsid w:val="7B326C07"/>
    <w:rsid w:val="7B3330E5"/>
    <w:rsid w:val="7B362E62"/>
    <w:rsid w:val="7B556837"/>
    <w:rsid w:val="7B676012"/>
    <w:rsid w:val="7B6A7511"/>
    <w:rsid w:val="7B711CC9"/>
    <w:rsid w:val="7B890DF9"/>
    <w:rsid w:val="7B9C2817"/>
    <w:rsid w:val="7BA311A3"/>
    <w:rsid w:val="7BA46460"/>
    <w:rsid w:val="7BAB7DF3"/>
    <w:rsid w:val="7BB045D8"/>
    <w:rsid w:val="7BBA247E"/>
    <w:rsid w:val="7BBA2AA5"/>
    <w:rsid w:val="7BBB6AF8"/>
    <w:rsid w:val="7BBF2239"/>
    <w:rsid w:val="7BC51C22"/>
    <w:rsid w:val="7BC81986"/>
    <w:rsid w:val="7BD84BDB"/>
    <w:rsid w:val="7BE72A58"/>
    <w:rsid w:val="7BEA1821"/>
    <w:rsid w:val="7BEF2D8B"/>
    <w:rsid w:val="7C1773FB"/>
    <w:rsid w:val="7C1E7985"/>
    <w:rsid w:val="7C277F03"/>
    <w:rsid w:val="7C2F634D"/>
    <w:rsid w:val="7C304464"/>
    <w:rsid w:val="7C357268"/>
    <w:rsid w:val="7C394685"/>
    <w:rsid w:val="7C3946D8"/>
    <w:rsid w:val="7C3C1819"/>
    <w:rsid w:val="7C41114A"/>
    <w:rsid w:val="7C470595"/>
    <w:rsid w:val="7C4B60AF"/>
    <w:rsid w:val="7C4E19B5"/>
    <w:rsid w:val="7C5442D6"/>
    <w:rsid w:val="7C5A528B"/>
    <w:rsid w:val="7C620617"/>
    <w:rsid w:val="7C7878E3"/>
    <w:rsid w:val="7C7D1815"/>
    <w:rsid w:val="7C826ECF"/>
    <w:rsid w:val="7C8C0A8D"/>
    <w:rsid w:val="7C8E3BC1"/>
    <w:rsid w:val="7C927AF3"/>
    <w:rsid w:val="7C97014B"/>
    <w:rsid w:val="7CA273D9"/>
    <w:rsid w:val="7CA874EC"/>
    <w:rsid w:val="7CB14A8A"/>
    <w:rsid w:val="7CBC0EDA"/>
    <w:rsid w:val="7CBE6E05"/>
    <w:rsid w:val="7CC01527"/>
    <w:rsid w:val="7CC318EA"/>
    <w:rsid w:val="7CCE5944"/>
    <w:rsid w:val="7CE06EA9"/>
    <w:rsid w:val="7CE4315C"/>
    <w:rsid w:val="7CF242BC"/>
    <w:rsid w:val="7CFE6AE4"/>
    <w:rsid w:val="7CFF2B54"/>
    <w:rsid w:val="7D001143"/>
    <w:rsid w:val="7D0905C7"/>
    <w:rsid w:val="7D180251"/>
    <w:rsid w:val="7D2E5F39"/>
    <w:rsid w:val="7D345D3C"/>
    <w:rsid w:val="7D3A23FC"/>
    <w:rsid w:val="7D3D4510"/>
    <w:rsid w:val="7D512219"/>
    <w:rsid w:val="7D596CDC"/>
    <w:rsid w:val="7D6A7CF0"/>
    <w:rsid w:val="7D7BAA86"/>
    <w:rsid w:val="7D7DEBB7"/>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B5379"/>
    <w:rsid w:val="7DFE4EC7"/>
    <w:rsid w:val="7DFFCB28"/>
    <w:rsid w:val="7E0B4B47"/>
    <w:rsid w:val="7E0D2D37"/>
    <w:rsid w:val="7E1150D6"/>
    <w:rsid w:val="7E2447D7"/>
    <w:rsid w:val="7E3201EE"/>
    <w:rsid w:val="7E3A3239"/>
    <w:rsid w:val="7E3B60E6"/>
    <w:rsid w:val="7E5656C0"/>
    <w:rsid w:val="7E5A3003"/>
    <w:rsid w:val="7E694EB9"/>
    <w:rsid w:val="7E702D4F"/>
    <w:rsid w:val="7E73447D"/>
    <w:rsid w:val="7E746479"/>
    <w:rsid w:val="7E8412AD"/>
    <w:rsid w:val="7E8D6A07"/>
    <w:rsid w:val="7E936085"/>
    <w:rsid w:val="7E955A58"/>
    <w:rsid w:val="7E962A62"/>
    <w:rsid w:val="7EBE700C"/>
    <w:rsid w:val="7EC2393B"/>
    <w:rsid w:val="7ECA5B6E"/>
    <w:rsid w:val="7ED20926"/>
    <w:rsid w:val="7ED22AB7"/>
    <w:rsid w:val="7ED95003"/>
    <w:rsid w:val="7EDC604B"/>
    <w:rsid w:val="7EE1028D"/>
    <w:rsid w:val="7EEE78CB"/>
    <w:rsid w:val="7EFE7DEF"/>
    <w:rsid w:val="7F004258"/>
    <w:rsid w:val="7F093C4D"/>
    <w:rsid w:val="7F0D5DAE"/>
    <w:rsid w:val="7F0F6AEE"/>
    <w:rsid w:val="7F0F6E3F"/>
    <w:rsid w:val="7F176427"/>
    <w:rsid w:val="7F181840"/>
    <w:rsid w:val="7F2B63DB"/>
    <w:rsid w:val="7F396F3C"/>
    <w:rsid w:val="7F434859"/>
    <w:rsid w:val="7F505FC9"/>
    <w:rsid w:val="7F556937"/>
    <w:rsid w:val="7F6A4DD4"/>
    <w:rsid w:val="7F77465A"/>
    <w:rsid w:val="7F7B9674"/>
    <w:rsid w:val="7F8830F2"/>
    <w:rsid w:val="7F8D64E6"/>
    <w:rsid w:val="7F930B43"/>
    <w:rsid w:val="7F942DB0"/>
    <w:rsid w:val="7F9BDCC8"/>
    <w:rsid w:val="7F9C24B0"/>
    <w:rsid w:val="7FB73304"/>
    <w:rsid w:val="7FC03CB9"/>
    <w:rsid w:val="7FC74E2B"/>
    <w:rsid w:val="7FDB65EF"/>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7FFA339"/>
    <w:rsid w:val="B98AB133"/>
    <w:rsid w:val="BBD6C5DD"/>
    <w:rsid w:val="BBFF417C"/>
    <w:rsid w:val="BF5E733C"/>
    <w:rsid w:val="BF7D0E26"/>
    <w:rsid w:val="BFB78EF0"/>
    <w:rsid w:val="BFBF7B8E"/>
    <w:rsid w:val="C39ACA65"/>
    <w:rsid w:val="CBEFB25C"/>
    <w:rsid w:val="CCBF4163"/>
    <w:rsid w:val="CF7E8EF9"/>
    <w:rsid w:val="CFEFCFC7"/>
    <w:rsid w:val="D4BF86C9"/>
    <w:rsid w:val="D7FF16CF"/>
    <w:rsid w:val="DB2DDDA8"/>
    <w:rsid w:val="DCFFD526"/>
    <w:rsid w:val="DDCF2BE7"/>
    <w:rsid w:val="DDF7DAF1"/>
    <w:rsid w:val="DEFF1B55"/>
    <w:rsid w:val="E7C71E2C"/>
    <w:rsid w:val="E7F5CFAD"/>
    <w:rsid w:val="E9F92EFF"/>
    <w:rsid w:val="EA5481EC"/>
    <w:rsid w:val="EBF989B9"/>
    <w:rsid w:val="EDEA7534"/>
    <w:rsid w:val="EE7FBE7D"/>
    <w:rsid w:val="EFBFC07B"/>
    <w:rsid w:val="EFD9372C"/>
    <w:rsid w:val="EFDF81C4"/>
    <w:rsid w:val="EFFE9AA7"/>
    <w:rsid w:val="F2FF462E"/>
    <w:rsid w:val="F32F9729"/>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BFE11C"/>
    <w:rsid w:val="FFE6C866"/>
    <w:rsid w:val="FFFF8F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578" w:lineRule="auto"/>
      <w:outlineLvl w:val="0"/>
    </w:pPr>
    <w:rPr>
      <w:rFonts w:ascii="Times New Roman" w:hAnsi="Times New Roman" w:eastAsia="Century Gothic"/>
      <w:b/>
      <w:bCs/>
      <w:kern w:val="44"/>
      <w:sz w:val="44"/>
      <w:szCs w:val="44"/>
    </w:rPr>
  </w:style>
  <w:style w:type="paragraph" w:styleId="3">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8">
    <w:name w:val="heading 7"/>
    <w:basedOn w:val="1"/>
    <w:next w:val="1"/>
    <w:qFormat/>
    <w:uiPriority w:val="0"/>
    <w:pPr>
      <w:keepNext/>
      <w:keepLines/>
      <w:spacing w:line="320" w:lineRule="auto"/>
      <w:outlineLvl w:val="6"/>
    </w:pPr>
    <w:rPr>
      <w:b/>
      <w:sz w:val="24"/>
      <w:szCs w:val="20"/>
    </w:rPr>
  </w:style>
  <w:style w:type="paragraph" w:styleId="9">
    <w:name w:val="heading 8"/>
    <w:basedOn w:val="1"/>
    <w:next w:val="10"/>
    <w:qFormat/>
    <w:uiPriority w:val="0"/>
    <w:pPr>
      <w:keepNext/>
      <w:keepLines/>
      <w:spacing w:line="320" w:lineRule="auto"/>
      <w:outlineLvl w:val="7"/>
    </w:pPr>
    <w:rPr>
      <w:rFonts w:ascii="黑体" w:hAnsi="黑体" w:eastAsia="楷体"/>
      <w:sz w:val="24"/>
      <w:szCs w:val="20"/>
    </w:rPr>
  </w:style>
  <w:style w:type="paragraph" w:styleId="11">
    <w:name w:val="heading 9"/>
    <w:basedOn w:val="1"/>
    <w:next w:val="10"/>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67"/>
    <w:qFormat/>
    <w:uiPriority w:val="0"/>
    <w:pPr>
      <w:widowControl/>
      <w:ind w:firstLine="420"/>
      <w:jc w:val="left"/>
    </w:pPr>
    <w:rPr>
      <w:rFonts w:ascii="Arial" w:hAnsi="Arial" w:cs="Arial"/>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next w:val="18"/>
    <w:qFormat/>
    <w:uiPriority w:val="0"/>
  </w:style>
  <w:style w:type="paragraph" w:styleId="18">
    <w:name w:val="Body Text First Indent"/>
    <w:basedOn w:val="17"/>
    <w:next w:val="1"/>
    <w:qFormat/>
    <w:uiPriority w:val="0"/>
    <w:pPr>
      <w:ind w:firstLine="420"/>
    </w:pPr>
  </w:style>
  <w:style w:type="paragraph" w:styleId="19">
    <w:name w:val="Body Text Indent"/>
    <w:basedOn w:val="1"/>
    <w:next w:val="1"/>
    <w:link w:val="68"/>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69"/>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70"/>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6"/>
    <w:next w:val="16"/>
    <w:semiHidden/>
    <w:qFormat/>
    <w:uiPriority w:val="0"/>
    <w:rPr>
      <w:b/>
      <w:bCs/>
    </w:rPr>
  </w:style>
  <w:style w:type="paragraph" w:styleId="44">
    <w:name w:val="Body Text First Indent 2"/>
    <w:basedOn w:val="19"/>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Emphasis"/>
    <w:basedOn w:val="47"/>
    <w:qFormat/>
    <w:uiPriority w:val="0"/>
    <w:rPr>
      <w:color w:val="F73131"/>
    </w:rPr>
  </w:style>
  <w:style w:type="character" w:styleId="52">
    <w:name w:val="HTML Definition"/>
    <w:qFormat/>
    <w:uiPriority w:val="0"/>
    <w:rPr>
      <w:i/>
      <w:color w:val="FFFFFF"/>
      <w:u w:val="none"/>
    </w:rPr>
  </w:style>
  <w:style w:type="character" w:styleId="53">
    <w:name w:val="Hyperlink"/>
    <w:qFormat/>
    <w:uiPriority w:val="0"/>
    <w:rPr>
      <w:color w:val="3177FD"/>
      <w:u w:val="none"/>
    </w:rPr>
  </w:style>
  <w:style w:type="character" w:styleId="54">
    <w:name w:val="HTML Code"/>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Cite"/>
    <w:basedOn w:val="47"/>
    <w:qFormat/>
    <w:uiPriority w:val="0"/>
    <w:rPr>
      <w:color w:val="008000"/>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character" w:customStyle="1" w:styleId="59">
    <w:name w:val="标题 1 字符"/>
    <w:link w:val="2"/>
    <w:qFormat/>
    <w:uiPriority w:val="0"/>
    <w:rPr>
      <w:rFonts w:eastAsia="Century Gothic"/>
      <w:b/>
      <w:bCs/>
      <w:kern w:val="44"/>
      <w:sz w:val="44"/>
      <w:szCs w:val="44"/>
      <w:lang w:val="en-US" w:eastAsia="zh-CN" w:bidi="ar-SA"/>
    </w:rPr>
  </w:style>
  <w:style w:type="paragraph" w:customStyle="1" w:styleId="60">
    <w:name w:val="正文文本首行缩进 21"/>
    <w:basedOn w:val="61"/>
    <w:qFormat/>
    <w:uiPriority w:val="99"/>
    <w:pPr>
      <w:tabs>
        <w:tab w:val="right" w:leader="dot" w:pos="8268"/>
      </w:tabs>
      <w:spacing w:line="200" w:lineRule="atLeast"/>
      <w:ind w:firstLine="420"/>
    </w:pPr>
    <w:rPr>
      <w:spacing w:val="-4"/>
      <w:sz w:val="18"/>
    </w:rPr>
  </w:style>
  <w:style w:type="paragraph" w:customStyle="1" w:styleId="61">
    <w:name w:val="正文缩进1"/>
    <w:basedOn w:val="62"/>
    <w:next w:val="19"/>
    <w:qFormat/>
    <w:uiPriority w:val="0"/>
    <w:pPr>
      <w:autoSpaceDE w:val="0"/>
      <w:autoSpaceDN w:val="0"/>
      <w:snapToGrid w:val="0"/>
      <w:spacing w:after="120" w:line="360" w:lineRule="auto"/>
      <w:ind w:left="200" w:leftChars="200" w:firstLine="480" w:firstLineChars="200"/>
    </w:pPr>
    <w:rPr>
      <w:sz w:val="24"/>
      <w:szCs w:val="21"/>
    </w:rPr>
  </w:style>
  <w:style w:type="paragraph" w:customStyle="1" w:styleId="62">
    <w:name w:val="正文1"/>
    <w:basedOn w:val="23"/>
    <w:next w:val="1"/>
    <w:qFormat/>
    <w:uiPriority w:val="0"/>
    <w:pPr>
      <w:jc w:val="both"/>
    </w:pPr>
    <w:rPr>
      <w:rFonts w:hint="eastAsia" w:ascii="Times New Roman" w:hAnsi="Times New Roman"/>
      <w:sz w:val="21"/>
    </w:rPr>
  </w:style>
  <w:style w:type="paragraph" w:styleId="63">
    <w:name w:val="List Paragraph"/>
    <w:basedOn w:val="1"/>
    <w:link w:val="96"/>
    <w:qFormat/>
    <w:uiPriority w:val="34"/>
    <w:pPr>
      <w:ind w:firstLine="420" w:firstLineChars="200"/>
    </w:pPr>
    <w:rPr>
      <w:rFonts w:ascii="Times New Roman" w:hAnsi="Times New Roman"/>
    </w:rPr>
  </w:style>
  <w:style w:type="paragraph" w:customStyle="1" w:styleId="64">
    <w:name w:val="正文文字"/>
    <w:basedOn w:val="1"/>
    <w:qFormat/>
    <w:uiPriority w:val="0"/>
    <w:pPr>
      <w:widowControl/>
      <w:spacing w:line="952" w:lineRule="atLeast"/>
      <w:ind w:firstLine="419"/>
    </w:pPr>
    <w:rPr>
      <w:b/>
      <w:color w:val="000000"/>
      <w:sz w:val="44"/>
      <w:szCs w:val="20"/>
    </w:rPr>
  </w:style>
  <w:style w:type="paragraph" w:customStyle="1" w:styleId="65">
    <w:name w:val="_Style 2"/>
    <w:basedOn w:val="1"/>
    <w:qFormat/>
    <w:uiPriority w:val="0"/>
    <w:pPr>
      <w:ind w:firstLine="200" w:firstLineChars="200"/>
    </w:pPr>
    <w:rPr>
      <w:sz w:val="28"/>
      <w:szCs w:val="22"/>
    </w:rPr>
  </w:style>
  <w:style w:type="paragraph" w:customStyle="1" w:styleId="66">
    <w:name w:val="_Style 1"/>
    <w:qFormat/>
    <w:uiPriority w:val="0"/>
    <w:rPr>
      <w:rFonts w:ascii="Calibri" w:hAnsi="Calibri" w:eastAsia="宋体" w:cs="Times New Roman"/>
      <w:kern w:val="2"/>
      <w:sz w:val="28"/>
      <w:szCs w:val="22"/>
      <w:lang w:val="en-US" w:eastAsia="zh-CN" w:bidi="ar-SA"/>
    </w:rPr>
  </w:style>
  <w:style w:type="character" w:customStyle="1" w:styleId="67">
    <w:name w:val="正文缩进 字符"/>
    <w:link w:val="10"/>
    <w:qFormat/>
    <w:uiPriority w:val="0"/>
    <w:rPr>
      <w:rFonts w:ascii="Arial" w:hAnsi="Arial" w:eastAsia="宋体" w:cs="Arial"/>
      <w:lang w:val="en-US" w:eastAsia="zh-CN" w:bidi="ar-SA"/>
    </w:rPr>
  </w:style>
  <w:style w:type="character" w:customStyle="1" w:styleId="68">
    <w:name w:val="正文文本缩进 字符"/>
    <w:link w:val="19"/>
    <w:semiHidden/>
    <w:qFormat/>
    <w:uiPriority w:val="0"/>
    <w:rPr>
      <w:rFonts w:ascii="Century Gothic" w:hAnsi="Century Gothic" w:eastAsia="Century Gothic"/>
      <w:kern w:val="2"/>
      <w:sz w:val="24"/>
      <w:lang w:val="en-US" w:eastAsia="zh-CN" w:bidi="ar-SA"/>
    </w:rPr>
  </w:style>
  <w:style w:type="character" w:customStyle="1" w:styleId="69">
    <w:name w:val="纯文本 字符"/>
    <w:link w:val="24"/>
    <w:qFormat/>
    <w:uiPriority w:val="0"/>
    <w:rPr>
      <w:rFonts w:ascii="Century Gothic" w:hAnsi="楷体_GB2312" w:eastAsia="Century Gothic" w:cs="楷体_GB2312"/>
      <w:kern w:val="2"/>
      <w:sz w:val="21"/>
      <w:szCs w:val="21"/>
      <w:lang w:val="en-US" w:eastAsia="zh-CN" w:bidi="ar-SA"/>
    </w:rPr>
  </w:style>
  <w:style w:type="character" w:customStyle="1" w:styleId="70">
    <w:name w:val="页脚 字符"/>
    <w:link w:val="29"/>
    <w:qFormat/>
    <w:uiPriority w:val="0"/>
    <w:rPr>
      <w:rFonts w:eastAsia="Century Gothic"/>
      <w:kern w:val="2"/>
      <w:sz w:val="18"/>
      <w:lang w:val="en-US" w:eastAsia="zh-CN" w:bidi="ar-SA"/>
    </w:rPr>
  </w:style>
  <w:style w:type="character" w:customStyle="1" w:styleId="71">
    <w:name w:val="zbggmain style9"/>
    <w:qFormat/>
    <w:uiPriority w:val="0"/>
    <w:rPr>
      <w:rFonts w:ascii="Courier New" w:eastAsia="Courier New"/>
      <w:b/>
      <w:kern w:val="2"/>
      <w:sz w:val="32"/>
      <w:szCs w:val="32"/>
      <w:lang w:val="en-US" w:eastAsia="zh-CN" w:bidi="ar-SA"/>
    </w:rPr>
  </w:style>
  <w:style w:type="character" w:customStyle="1" w:styleId="72">
    <w:name w:val="temp1"/>
    <w:qFormat/>
    <w:uiPriority w:val="0"/>
  </w:style>
  <w:style w:type="character" w:customStyle="1" w:styleId="73">
    <w:name w:val="Char Char21"/>
    <w:qFormat/>
    <w:uiPriority w:val="0"/>
    <w:rPr>
      <w:rFonts w:eastAsia="Century Gothic"/>
      <w:b/>
      <w:bCs/>
      <w:kern w:val="44"/>
      <w:sz w:val="32"/>
      <w:szCs w:val="44"/>
      <w:lang w:val="en-US" w:eastAsia="zh-CN" w:bidi="ar-SA"/>
    </w:rPr>
  </w:style>
  <w:style w:type="character" w:customStyle="1" w:styleId="74">
    <w:name w:val="Char Char12"/>
    <w:qFormat/>
    <w:uiPriority w:val="0"/>
    <w:rPr>
      <w:rFonts w:ascii="Century Gothic" w:hAnsi="楷体_GB2312" w:eastAsia="Century Gothic" w:cs="楷体_GB2312"/>
      <w:kern w:val="2"/>
      <w:sz w:val="21"/>
      <w:szCs w:val="21"/>
      <w:lang w:val="en-US" w:eastAsia="zh-CN" w:bidi="ar-SA"/>
    </w:rPr>
  </w:style>
  <w:style w:type="character" w:customStyle="1" w:styleId="75">
    <w:name w:val="first-child7"/>
    <w:qFormat/>
    <w:uiPriority w:val="0"/>
  </w:style>
  <w:style w:type="character" w:customStyle="1" w:styleId="76">
    <w:name w:val="ant-select-tree-checkbox"/>
    <w:qFormat/>
    <w:uiPriority w:val="0"/>
  </w:style>
  <w:style w:type="character" w:customStyle="1" w:styleId="77">
    <w:name w:val="tag-type"/>
    <w:qFormat/>
    <w:uiPriority w:val="0"/>
    <w:rPr>
      <w:color w:val="FFFFFF"/>
      <w:sz w:val="18"/>
      <w:szCs w:val="18"/>
      <w:shd w:val="clear" w:color="auto" w:fill="317FFD"/>
    </w:rPr>
  </w:style>
  <w:style w:type="character" w:customStyle="1" w:styleId="78">
    <w:name w:val="ant-select-tree-switcher"/>
    <w:qFormat/>
    <w:uiPriority w:val="0"/>
  </w:style>
  <w:style w:type="character" w:customStyle="1" w:styleId="79">
    <w:name w:val="Default Char"/>
    <w:link w:val="80"/>
    <w:qFormat/>
    <w:uiPriority w:val="0"/>
    <w:rPr>
      <w:rFonts w:ascii="楷体" w:eastAsia="楷体"/>
      <w:color w:val="000000"/>
      <w:sz w:val="24"/>
      <w:szCs w:val="24"/>
      <w:lang w:val="en-US" w:eastAsia="zh-CN" w:bidi="ar-SA"/>
    </w:rPr>
  </w:style>
  <w:style w:type="paragraph" w:customStyle="1" w:styleId="80">
    <w:name w:val="Default"/>
    <w:next w:val="81"/>
    <w:link w:val="79"/>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84">
    <w:name w:val="font71"/>
    <w:qFormat/>
    <w:uiPriority w:val="0"/>
    <w:rPr>
      <w:rFonts w:hint="eastAsia" w:ascii="宋体" w:hAnsi="宋体" w:eastAsia="宋体" w:cs="宋体"/>
      <w:color w:val="000000"/>
      <w:sz w:val="20"/>
      <w:szCs w:val="20"/>
      <w:u w:val="none"/>
    </w:rPr>
  </w:style>
  <w:style w:type="character" w:customStyle="1" w:styleId="85">
    <w:name w:val="current"/>
    <w:qFormat/>
    <w:uiPriority w:val="0"/>
    <w:rPr>
      <w:color w:val="00C1DE"/>
    </w:rPr>
  </w:style>
  <w:style w:type="character" w:customStyle="1" w:styleId="86">
    <w:name w:val="last-of-type"/>
    <w:qFormat/>
    <w:uiPriority w:val="0"/>
    <w:rPr>
      <w:color w:val="FF4A44"/>
      <w:sz w:val="27"/>
      <w:szCs w:val="27"/>
    </w:rPr>
  </w:style>
  <w:style w:type="character" w:customStyle="1" w:styleId="87">
    <w:name w:val="font121"/>
    <w:qFormat/>
    <w:uiPriority w:val="0"/>
    <w:rPr>
      <w:rFonts w:hint="eastAsia" w:ascii="宋体" w:hAnsi="宋体" w:eastAsia="宋体" w:cs="宋体"/>
      <w:b/>
      <w:color w:val="000000"/>
      <w:sz w:val="20"/>
      <w:szCs w:val="20"/>
      <w:u w:val="none"/>
    </w:rPr>
  </w:style>
  <w:style w:type="character" w:customStyle="1" w:styleId="88">
    <w:name w:val="font01"/>
    <w:basedOn w:val="47"/>
    <w:qFormat/>
    <w:uiPriority w:val="0"/>
    <w:rPr>
      <w:rFonts w:hint="eastAsia" w:ascii="宋体" w:hAnsi="宋体" w:eastAsia="宋体" w:cs="宋体"/>
      <w:color w:val="000000"/>
      <w:sz w:val="20"/>
      <w:szCs w:val="20"/>
      <w:u w:val="none"/>
      <w:vertAlign w:val="superscript"/>
    </w:rPr>
  </w:style>
  <w:style w:type="character" w:customStyle="1" w:styleId="89">
    <w:name w:val="first-child"/>
    <w:qFormat/>
    <w:uiPriority w:val="0"/>
  </w:style>
  <w:style w:type="character" w:customStyle="1" w:styleId="90">
    <w:name w:val="current1"/>
    <w:qFormat/>
    <w:uiPriority w:val="0"/>
    <w:rPr>
      <w:color w:val="00C1DE"/>
    </w:rPr>
  </w:style>
  <w:style w:type="character" w:customStyle="1" w:styleId="91">
    <w:name w:val="zbggtop11 style5"/>
    <w:qFormat/>
    <w:uiPriority w:val="0"/>
  </w:style>
  <w:style w:type="character" w:customStyle="1" w:styleId="92">
    <w:name w:val="style1"/>
    <w:qFormat/>
    <w:uiPriority w:val="0"/>
  </w:style>
  <w:style w:type="character" w:customStyle="1" w:styleId="93">
    <w:name w:val="ant-tree-iconele"/>
    <w:qFormat/>
    <w:uiPriority w:val="0"/>
  </w:style>
  <w:style w:type="character" w:customStyle="1" w:styleId="94">
    <w:name w:val="content"/>
    <w:qFormat/>
    <w:uiPriority w:val="0"/>
  </w:style>
  <w:style w:type="character" w:customStyle="1" w:styleId="95">
    <w:name w:val="font51"/>
    <w:qFormat/>
    <w:uiPriority w:val="0"/>
    <w:rPr>
      <w:rFonts w:hint="eastAsia" w:ascii="宋体" w:hAnsi="宋体" w:eastAsia="宋体" w:cs="宋体"/>
      <w:color w:val="000000"/>
      <w:sz w:val="20"/>
      <w:szCs w:val="20"/>
      <w:u w:val="none"/>
    </w:rPr>
  </w:style>
  <w:style w:type="character" w:customStyle="1" w:styleId="96">
    <w:name w:val="列出段落 字符"/>
    <w:link w:val="63"/>
    <w:qFormat/>
    <w:uiPriority w:val="34"/>
    <w:rPr>
      <w:kern w:val="2"/>
      <w:sz w:val="21"/>
      <w:szCs w:val="24"/>
    </w:rPr>
  </w:style>
  <w:style w:type="character" w:customStyle="1" w:styleId="97">
    <w:name w:val="ant-select-tree-iconele"/>
    <w:qFormat/>
    <w:uiPriority w:val="0"/>
  </w:style>
  <w:style w:type="character" w:customStyle="1" w:styleId="98">
    <w:name w:val="bookmark-item uuid-1588129097073 code-23007 addword single-line-text-input-box-cls readonly"/>
    <w:qFormat/>
    <w:uiPriority w:val="0"/>
  </w:style>
  <w:style w:type="character" w:customStyle="1" w:styleId="99">
    <w:name w:val="ant-badge-status-dot2"/>
    <w:qFormat/>
    <w:uiPriority w:val="0"/>
    <w:rPr>
      <w:shd w:val="clear" w:color="auto" w:fill="FFFFFF"/>
    </w:rPr>
  </w:style>
  <w:style w:type="character" w:customStyle="1" w:styleId="100">
    <w:name w:val="change-camera-place"/>
    <w:qFormat/>
    <w:uiPriority w:val="0"/>
    <w:rPr>
      <w:color w:val="3177FD"/>
    </w:rPr>
  </w:style>
  <w:style w:type="character" w:customStyle="1" w:styleId="101">
    <w:name w:val="last-child1"/>
    <w:qFormat/>
    <w:uiPriority w:val="0"/>
  </w:style>
  <w:style w:type="character" w:customStyle="1" w:styleId="102">
    <w:name w:val="first-child9"/>
    <w:qFormat/>
    <w:uiPriority w:val="0"/>
  </w:style>
  <w:style w:type="character" w:customStyle="1" w:styleId="103">
    <w:name w:val="all-fit-info2"/>
    <w:qFormat/>
    <w:uiPriority w:val="0"/>
    <w:rPr>
      <w:color w:val="939393"/>
    </w:rPr>
  </w:style>
  <w:style w:type="character" w:customStyle="1" w:styleId="104">
    <w:name w:val="ant-tree-switcher"/>
    <w:qFormat/>
    <w:uiPriority w:val="0"/>
  </w:style>
  <w:style w:type="character" w:customStyle="1" w:styleId="105">
    <w:name w:val="temp2"/>
    <w:qFormat/>
    <w:uiPriority w:val="0"/>
  </w:style>
  <w:style w:type="character" w:customStyle="1" w:styleId="106">
    <w:name w:val="tpc_content1"/>
    <w:qFormat/>
    <w:uiPriority w:val="0"/>
    <w:rPr>
      <w:sz w:val="20"/>
      <w:szCs w:val="20"/>
    </w:rPr>
  </w:style>
  <w:style w:type="character" w:customStyle="1" w:styleId="107">
    <w:name w:val="font81"/>
    <w:basedOn w:val="47"/>
    <w:qFormat/>
    <w:uiPriority w:val="0"/>
    <w:rPr>
      <w:rFonts w:hint="eastAsia" w:ascii="宋体" w:hAnsi="宋体" w:eastAsia="宋体" w:cs="宋体"/>
      <w:color w:val="FF0000"/>
      <w:sz w:val="24"/>
      <w:szCs w:val="24"/>
      <w:u w:val="none"/>
    </w:rPr>
  </w:style>
  <w:style w:type="character" w:customStyle="1" w:styleId="108">
    <w:name w:val="tag-type1"/>
    <w:qFormat/>
    <w:uiPriority w:val="0"/>
    <w:rPr>
      <w:color w:val="FFFFFF"/>
      <w:sz w:val="18"/>
      <w:szCs w:val="18"/>
      <w:shd w:val="clear" w:color="auto" w:fill="317FFD"/>
    </w:rPr>
  </w:style>
  <w:style w:type="character" w:customStyle="1" w:styleId="109">
    <w:name w:val="font21"/>
    <w:basedOn w:val="47"/>
    <w:qFormat/>
    <w:uiPriority w:val="0"/>
    <w:rPr>
      <w:rFonts w:hint="default" w:ascii="Arial" w:hAnsi="Arial" w:cs="Arial"/>
      <w:color w:val="000000"/>
      <w:sz w:val="21"/>
      <w:szCs w:val="21"/>
      <w:u w:val="none"/>
    </w:rPr>
  </w:style>
  <w:style w:type="character" w:customStyle="1" w:styleId="110">
    <w:name w:val="last-child2"/>
    <w:qFormat/>
    <w:uiPriority w:val="0"/>
  </w:style>
  <w:style w:type="character" w:customStyle="1" w:styleId="111">
    <w:name w:val="info-content"/>
    <w:qFormat/>
    <w:uiPriority w:val="0"/>
    <w:rPr>
      <w:color w:val="808080"/>
    </w:rPr>
  </w:style>
  <w:style w:type="character" w:customStyle="1" w:styleId="112">
    <w:name w:val="Char Char"/>
    <w:qFormat/>
    <w:uiPriority w:val="0"/>
    <w:rPr>
      <w:rFonts w:ascii="Courier New" w:eastAsia="Courier New"/>
      <w:color w:val="FF0000"/>
      <w:kern w:val="2"/>
      <w:sz w:val="24"/>
      <w:szCs w:val="24"/>
      <w:u w:val="single"/>
      <w:lang w:val="en-US" w:eastAsia="zh-CN" w:bidi="ar-SA"/>
    </w:rPr>
  </w:style>
  <w:style w:type="character" w:customStyle="1" w:styleId="113">
    <w:name w:val="ant-tree-checkbox2"/>
    <w:qFormat/>
    <w:uiPriority w:val="0"/>
  </w:style>
  <w:style w:type="character" w:customStyle="1" w:styleId="114">
    <w:name w:val="label2"/>
    <w:qFormat/>
    <w:uiPriority w:val="0"/>
  </w:style>
  <w:style w:type="character" w:customStyle="1" w:styleId="115">
    <w:name w:val="标准文本 Char"/>
    <w:link w:val="116"/>
    <w:qFormat/>
    <w:uiPriority w:val="0"/>
    <w:rPr>
      <w:rFonts w:eastAsia="宋体" w:cs="宋体"/>
      <w:kern w:val="2"/>
      <w:sz w:val="24"/>
      <w:lang w:val="en-US" w:eastAsia="zh-CN" w:bidi="ar-SA"/>
    </w:rPr>
  </w:style>
  <w:style w:type="paragraph" w:customStyle="1" w:styleId="116">
    <w:name w:val="标准文本"/>
    <w:basedOn w:val="1"/>
    <w:link w:val="115"/>
    <w:qFormat/>
    <w:uiPriority w:val="0"/>
    <w:pPr>
      <w:spacing w:line="360" w:lineRule="auto"/>
      <w:ind w:firstLine="480" w:firstLineChars="200"/>
    </w:pPr>
    <w:rPr>
      <w:rFonts w:ascii="Times New Roman" w:hAnsi="Times New Roman" w:cs="宋体"/>
      <w:sz w:val="24"/>
      <w:szCs w:val="20"/>
    </w:rPr>
  </w:style>
  <w:style w:type="character" w:customStyle="1" w:styleId="117">
    <w:name w:val="正文2 Char"/>
    <w:link w:val="118"/>
    <w:qFormat/>
    <w:uiPriority w:val="0"/>
    <w:rPr>
      <w:rFonts w:eastAsia="宋体"/>
      <w:kern w:val="2"/>
      <w:sz w:val="24"/>
      <w:lang w:val="en-US" w:eastAsia="zh-CN" w:bidi="ar-SA"/>
    </w:rPr>
  </w:style>
  <w:style w:type="paragraph" w:customStyle="1" w:styleId="118">
    <w:name w:val="正文2"/>
    <w:basedOn w:val="1"/>
    <w:link w:val="117"/>
    <w:qFormat/>
    <w:uiPriority w:val="0"/>
    <w:pPr>
      <w:spacing w:line="360" w:lineRule="auto"/>
      <w:ind w:firstLine="510" w:firstLineChars="200"/>
    </w:pPr>
    <w:rPr>
      <w:rFonts w:ascii="Times New Roman" w:hAnsi="Times New Roman"/>
      <w:sz w:val="24"/>
      <w:szCs w:val="20"/>
    </w:rPr>
  </w:style>
  <w:style w:type="character" w:customStyle="1" w:styleId="119">
    <w:name w:val="bulletintext1"/>
    <w:qFormat/>
    <w:uiPriority w:val="0"/>
    <w:rPr>
      <w:color w:val="000000"/>
      <w:sz w:val="18"/>
    </w:rPr>
  </w:style>
  <w:style w:type="character" w:customStyle="1" w:styleId="120">
    <w:name w:val="last-child"/>
    <w:qFormat/>
    <w:uiPriority w:val="0"/>
  </w:style>
  <w:style w:type="character" w:customStyle="1" w:styleId="121">
    <w:name w:val="font101"/>
    <w:qFormat/>
    <w:uiPriority w:val="0"/>
    <w:rPr>
      <w:rFonts w:ascii="Calibri" w:hAnsi="Calibri" w:cs="Calibri"/>
      <w:color w:val="000000"/>
      <w:sz w:val="20"/>
      <w:szCs w:val="20"/>
      <w:u w:val="none"/>
    </w:rPr>
  </w:style>
  <w:style w:type="character" w:customStyle="1" w:styleId="122">
    <w:name w:val="font61"/>
    <w:basedOn w:val="47"/>
    <w:qFormat/>
    <w:uiPriority w:val="0"/>
    <w:rPr>
      <w:rFonts w:hint="eastAsia" w:ascii="宋体" w:hAnsi="宋体" w:eastAsia="宋体" w:cs="宋体"/>
      <w:color w:val="161616"/>
      <w:sz w:val="20"/>
      <w:szCs w:val="20"/>
      <w:u w:val="none"/>
    </w:rPr>
  </w:style>
  <w:style w:type="character" w:customStyle="1" w:styleId="123">
    <w:name w:val="all-fit-info"/>
    <w:qFormat/>
    <w:uiPriority w:val="0"/>
    <w:rPr>
      <w:color w:val="939393"/>
    </w:rPr>
  </w:style>
  <w:style w:type="character" w:customStyle="1" w:styleId="124">
    <w:name w:val="ant-tree-checkbox"/>
    <w:qFormat/>
    <w:uiPriority w:val="0"/>
  </w:style>
  <w:style w:type="character" w:customStyle="1" w:styleId="125">
    <w:name w:val="ant-badge-status-dot"/>
    <w:qFormat/>
    <w:uiPriority w:val="0"/>
    <w:rPr>
      <w:shd w:val="clear" w:color="auto" w:fill="FFFFFF"/>
    </w:rPr>
  </w:style>
  <w:style w:type="character" w:customStyle="1" w:styleId="126">
    <w:name w:val="bookmark-item uuid-1591619842642 code-23011 addword date-time-selection-cls"/>
    <w:qFormat/>
    <w:uiPriority w:val="0"/>
  </w:style>
  <w:style w:type="character" w:customStyle="1" w:styleId="127">
    <w:name w:val="content8"/>
    <w:qFormat/>
    <w:uiPriority w:val="0"/>
  </w:style>
  <w:style w:type="character" w:customStyle="1" w:styleId="128">
    <w:name w:val="info-label"/>
    <w:qFormat/>
    <w:uiPriority w:val="0"/>
    <w:rPr>
      <w:b/>
    </w:rPr>
  </w:style>
  <w:style w:type="character" w:customStyle="1" w:styleId="129">
    <w:name w:val="ant-select-tree-checkbox2"/>
    <w:qFormat/>
    <w:uiPriority w:val="0"/>
  </w:style>
  <w:style w:type="character" w:customStyle="1" w:styleId="130">
    <w:name w:val="temp"/>
    <w:qFormat/>
    <w:uiPriority w:val="0"/>
  </w:style>
  <w:style w:type="character" w:customStyle="1" w:styleId="131">
    <w:name w:val="label"/>
    <w:qFormat/>
    <w:uiPriority w:val="0"/>
  </w:style>
  <w:style w:type="character" w:customStyle="1" w:styleId="132">
    <w:name w:val="ant-tree-icon_loading"/>
    <w:qFormat/>
    <w:uiPriority w:val="0"/>
    <w:rPr>
      <w:shd w:val="clear" w:color="auto" w:fill="FFFFFF"/>
    </w:rPr>
  </w:style>
  <w:style w:type="character" w:customStyle="1" w:styleId="133">
    <w:name w:val="last-child3"/>
    <w:qFormat/>
    <w:uiPriority w:val="0"/>
  </w:style>
  <w:style w:type="character" w:customStyle="1" w:styleId="134">
    <w:name w:val="font11"/>
    <w:basedOn w:val="47"/>
    <w:qFormat/>
    <w:uiPriority w:val="0"/>
    <w:rPr>
      <w:rFonts w:hint="eastAsia" w:ascii="宋体" w:hAnsi="宋体" w:eastAsia="宋体" w:cs="宋体"/>
      <w:color w:val="000000"/>
      <w:sz w:val="21"/>
      <w:szCs w:val="21"/>
      <w:u w:val="none"/>
    </w:rPr>
  </w:style>
  <w:style w:type="character" w:customStyle="1" w:styleId="135">
    <w:name w:val="all-fit-info1"/>
    <w:qFormat/>
    <w:uiPriority w:val="0"/>
    <w:rPr>
      <w:color w:val="939393"/>
    </w:rPr>
  </w:style>
  <w:style w:type="paragraph" w:customStyle="1" w:styleId="136">
    <w:name w:val="[Normal]"/>
    <w:qFormat/>
    <w:uiPriority w:val="0"/>
    <w:rPr>
      <w:rFonts w:ascii="宋体" w:hAnsi="宋体" w:eastAsia="宋体" w:cs="Arial"/>
      <w:sz w:val="24"/>
      <w:szCs w:val="22"/>
      <w:lang w:val="zh-CN" w:eastAsia="zh-CN" w:bidi="ar-SA"/>
    </w:rPr>
  </w:style>
  <w:style w:type="paragraph" w:customStyle="1" w:styleId="137">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8">
    <w:name w:val="样式5"/>
    <w:basedOn w:val="5"/>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0">
    <w:name w:val="标书标题4"/>
    <w:basedOn w:val="5"/>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41">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2">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43">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4">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font6"/>
    <w:basedOn w:val="1"/>
    <w:qFormat/>
    <w:uiPriority w:val="0"/>
    <w:pPr>
      <w:widowControl/>
      <w:spacing w:beforeAutospacing="1" w:afterAutospacing="1"/>
      <w:jc w:val="left"/>
    </w:pPr>
    <w:rPr>
      <w:kern w:val="0"/>
      <w:sz w:val="18"/>
      <w:szCs w:val="18"/>
    </w:rPr>
  </w:style>
  <w:style w:type="paragraph" w:customStyle="1" w:styleId="1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8">
    <w:name w:val="列出段落1"/>
    <w:basedOn w:val="1"/>
    <w:qFormat/>
    <w:uiPriority w:val="0"/>
    <w:pPr>
      <w:ind w:firstLine="420" w:firstLineChars="200"/>
    </w:pPr>
    <w:rPr>
      <w:rFonts w:ascii="等线" w:hAnsi="等线"/>
      <w:szCs w:val="21"/>
    </w:rPr>
  </w:style>
  <w:style w:type="paragraph" w:customStyle="1" w:styleId="149">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50">
    <w:name w:val="BodyText1I"/>
    <w:basedOn w:val="151"/>
    <w:qFormat/>
    <w:uiPriority w:val="0"/>
    <w:pPr>
      <w:spacing w:after="120"/>
      <w:ind w:firstLine="420" w:firstLineChars="100"/>
    </w:pPr>
  </w:style>
  <w:style w:type="paragraph" w:customStyle="1" w:styleId="151">
    <w:name w:val="BodyText"/>
    <w:basedOn w:val="1"/>
    <w:next w:val="150"/>
    <w:qFormat/>
    <w:uiPriority w:val="0"/>
    <w:rPr>
      <w:sz w:val="20"/>
    </w:rPr>
  </w:style>
  <w:style w:type="paragraph" w:customStyle="1" w:styleId="152">
    <w:name w:val="索引 11"/>
    <w:basedOn w:val="1"/>
    <w:next w:val="1"/>
    <w:qFormat/>
    <w:uiPriority w:val="99"/>
    <w:pPr>
      <w:spacing w:line="360" w:lineRule="auto"/>
    </w:pPr>
    <w:rPr>
      <w:rFonts w:ascii="仿宋_GB2312" w:eastAsia="仿宋_GB2312"/>
      <w:sz w:val="24"/>
      <w:szCs w:val="20"/>
    </w:rPr>
  </w:style>
  <w:style w:type="paragraph" w:customStyle="1" w:styleId="153">
    <w:name w:val="Char Char Char Char Char"/>
    <w:basedOn w:val="1"/>
    <w:qFormat/>
    <w:uiPriority w:val="0"/>
    <w:pPr>
      <w:widowControl/>
      <w:spacing w:line="240" w:lineRule="exact"/>
      <w:jc w:val="left"/>
    </w:pPr>
    <w:rPr>
      <w:rFonts w:ascii="Verdana" w:hAnsi="Verdana" w:eastAsia="华文细黑"/>
    </w:rPr>
  </w:style>
  <w:style w:type="paragraph" w:customStyle="1" w:styleId="154">
    <w:name w:val="无间距1"/>
    <w:qFormat/>
    <w:uiPriority w:val="0"/>
    <w:rPr>
      <w:rFonts w:ascii="Times New Roman" w:hAnsi="Times New Roman" w:eastAsia="??" w:cs="宋体"/>
      <w:sz w:val="22"/>
      <w:szCs w:val="22"/>
      <w:lang w:val="en-US" w:eastAsia="en-US" w:bidi="ar-SA"/>
    </w:rPr>
  </w:style>
  <w:style w:type="paragraph" w:customStyle="1" w:styleId="155">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6">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方案三级标题"/>
    <w:basedOn w:val="3"/>
    <w:qFormat/>
    <w:uiPriority w:val="0"/>
    <w:pPr>
      <w:spacing w:before="120" w:after="120" w:line="300" w:lineRule="auto"/>
    </w:pPr>
    <w:rPr>
      <w:rFonts w:ascii="宋体" w:hAnsi="宋体" w:eastAsia="宋体"/>
      <w:sz w:val="30"/>
    </w:rPr>
  </w:style>
  <w:style w:type="paragraph" w:customStyle="1" w:styleId="159">
    <w:name w:val="标书标题2"/>
    <w:basedOn w:val="3"/>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60">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61">
    <w:name w:val="正文（缩进）"/>
    <w:basedOn w:val="1"/>
    <w:qFormat/>
    <w:uiPriority w:val="0"/>
    <w:pPr>
      <w:spacing w:before="156" w:after="156"/>
      <w:ind w:firstLine="480"/>
    </w:pPr>
    <w:rPr>
      <w:rFonts w:ascii="Times New Roman" w:hAnsi="Times New Roman"/>
    </w:rPr>
  </w:style>
  <w:style w:type="paragraph" w:customStyle="1" w:styleId="162">
    <w:name w:val="Body Text Indent1"/>
    <w:basedOn w:val="1"/>
    <w:qFormat/>
    <w:uiPriority w:val="0"/>
    <w:pPr>
      <w:spacing w:line="200" w:lineRule="exact"/>
      <w:ind w:firstLine="301"/>
    </w:pPr>
    <w:rPr>
      <w:rFonts w:ascii="宋体" w:hAnsi="Courier New"/>
      <w:spacing w:val="-4"/>
      <w:sz w:val="18"/>
    </w:rPr>
  </w:style>
  <w:style w:type="paragraph" w:customStyle="1" w:styleId="163">
    <w:name w:val="title11"/>
    <w:basedOn w:val="1"/>
    <w:qFormat/>
    <w:uiPriority w:val="0"/>
    <w:pPr>
      <w:spacing w:before="150"/>
      <w:jc w:val="left"/>
    </w:pPr>
    <w:rPr>
      <w:b/>
      <w:kern w:val="0"/>
    </w:rPr>
  </w:style>
  <w:style w:type="paragraph" w:customStyle="1" w:styleId="164">
    <w:name w:val="Char Char Char Char"/>
    <w:basedOn w:val="1"/>
    <w:qFormat/>
    <w:uiPriority w:val="0"/>
    <w:rPr>
      <w:szCs w:val="20"/>
    </w:rPr>
  </w:style>
  <w:style w:type="paragraph" w:customStyle="1" w:styleId="165">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纯文本1"/>
    <w:basedOn w:val="1"/>
    <w:qFormat/>
    <w:uiPriority w:val="0"/>
    <w:rPr>
      <w:rFonts w:ascii="宋体" w:hAnsi="Courier New"/>
      <w:kern w:val="0"/>
      <w:sz w:val="20"/>
      <w:szCs w:val="20"/>
    </w:rPr>
  </w:style>
  <w:style w:type="paragraph" w:customStyle="1" w:styleId="167">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8">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9">
    <w:name w:val="标书标题3"/>
    <w:basedOn w:val="4"/>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70">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1">
    <w:name w:val="p0"/>
    <w:basedOn w:val="1"/>
    <w:unhideWhenUsed/>
    <w:qFormat/>
    <w:uiPriority w:val="0"/>
    <w:pPr>
      <w:widowControl/>
    </w:pPr>
    <w:rPr>
      <w:rFonts w:hint="eastAsia"/>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节"/>
    <w:basedOn w:val="3"/>
    <w:qFormat/>
    <w:uiPriority w:val="0"/>
    <w:pPr>
      <w:adjustRightInd/>
      <w:spacing w:line="720" w:lineRule="exact"/>
      <w:jc w:val="center"/>
    </w:pPr>
    <w:rPr>
      <w:rFonts w:ascii="Arial" w:hAnsi="Arial"/>
      <w:b w:val="0"/>
      <w:color w:val="000000"/>
      <w:spacing w:val="14"/>
      <w:kern w:val="24"/>
      <w:sz w:val="28"/>
      <w:szCs w:val="20"/>
    </w:rPr>
  </w:style>
  <w:style w:type="paragraph" w:customStyle="1" w:styleId="174">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5">
    <w:name w:val="Char3 Char Char Char"/>
    <w:basedOn w:val="1"/>
    <w:qFormat/>
    <w:uiPriority w:val="0"/>
    <w:pPr>
      <w:widowControl/>
      <w:spacing w:line="240" w:lineRule="exact"/>
      <w:jc w:val="left"/>
    </w:pPr>
    <w:rPr>
      <w:szCs w:val="20"/>
    </w:rPr>
  </w:style>
  <w:style w:type="paragraph" w:customStyle="1" w:styleId="1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8">
    <w:name w:val="小节"/>
    <w:basedOn w:val="4"/>
    <w:qFormat/>
    <w:uiPriority w:val="0"/>
    <w:pPr>
      <w:spacing w:line="560" w:lineRule="exact"/>
      <w:jc w:val="left"/>
    </w:pPr>
    <w:rPr>
      <w:rFonts w:ascii="Century Gothic" w:hAnsi="Century Gothic"/>
      <w:bCs w:val="0"/>
      <w:color w:val="000000"/>
      <w:spacing w:val="10"/>
      <w:kern w:val="24"/>
      <w:sz w:val="28"/>
    </w:rPr>
  </w:style>
  <w:style w:type="paragraph" w:customStyle="1" w:styleId="179">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80">
    <w:name w:val="1正文"/>
    <w:basedOn w:val="1"/>
    <w:qFormat/>
    <w:uiPriority w:val="0"/>
    <w:rPr>
      <w:rFonts w:ascii="仿宋_GB2312" w:hAnsi="仿宋_GB2312"/>
      <w:szCs w:val="28"/>
    </w:rPr>
  </w:style>
  <w:style w:type="paragraph" w:customStyle="1" w:styleId="181">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2">
    <w:name w:val="Char1"/>
    <w:basedOn w:val="1"/>
    <w:qFormat/>
    <w:uiPriority w:val="0"/>
    <w:pPr>
      <w:widowControl/>
      <w:spacing w:line="240" w:lineRule="exact"/>
      <w:jc w:val="left"/>
    </w:pPr>
    <w:rPr>
      <w:szCs w:val="20"/>
    </w:rPr>
  </w:style>
  <w:style w:type="paragraph" w:customStyle="1" w:styleId="183">
    <w:name w:val="Char"/>
    <w:basedOn w:val="1"/>
    <w:qFormat/>
    <w:uiPriority w:val="0"/>
  </w:style>
  <w:style w:type="paragraph" w:customStyle="1" w:styleId="184">
    <w:name w:val="正文文字格式"/>
    <w:basedOn w:val="1"/>
    <w:qFormat/>
    <w:uiPriority w:val="0"/>
    <w:pPr>
      <w:spacing w:line="460" w:lineRule="exact"/>
      <w:ind w:firstLine="505"/>
      <w:jc w:val="left"/>
    </w:pPr>
    <w:rPr>
      <w:rFonts w:ascii="Century Gothic"/>
      <w:kern w:val="24"/>
      <w:sz w:val="24"/>
      <w:szCs w:val="20"/>
    </w:rPr>
  </w:style>
  <w:style w:type="paragraph" w:customStyle="1" w:styleId="185">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6">
    <w:name w:val="纯文本2"/>
    <w:basedOn w:val="62"/>
    <w:qFormat/>
    <w:uiPriority w:val="0"/>
    <w:pPr>
      <w:widowControl/>
      <w:jc w:val="left"/>
    </w:pPr>
    <w:rPr>
      <w:rFonts w:ascii="宋体" w:hAnsi="Courier New"/>
    </w:rPr>
  </w:style>
  <w:style w:type="paragraph" w:customStyle="1" w:styleId="187">
    <w:name w:val="Heading2"/>
    <w:basedOn w:val="179"/>
    <w:next w:val="1"/>
    <w:qFormat/>
    <w:uiPriority w:val="0"/>
    <w:pPr>
      <w:keepLines/>
      <w:tabs>
        <w:tab w:val="left" w:pos="706"/>
        <w:tab w:val="left" w:pos="1110"/>
      </w:tabs>
      <w:ind w:left="106" w:firstLine="454"/>
    </w:pPr>
    <w:rPr>
      <w:rFonts w:ascii="Arial" w:hAnsi="Arial" w:cs="Arial"/>
      <w:bCs/>
      <w:szCs w:val="32"/>
    </w:rPr>
  </w:style>
  <w:style w:type="paragraph" w:customStyle="1" w:styleId="188">
    <w:name w:val="样式 标题 1 + 四号 加粗"/>
    <w:basedOn w:val="2"/>
    <w:qFormat/>
    <w:uiPriority w:val="0"/>
    <w:rPr>
      <w:rFonts w:eastAsia="黑体"/>
    </w:rPr>
  </w:style>
  <w:style w:type="paragraph" w:customStyle="1" w:styleId="189">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DAS正文"/>
    <w:basedOn w:val="1"/>
    <w:qFormat/>
    <w:uiPriority w:val="0"/>
    <w:pPr>
      <w:spacing w:line="360" w:lineRule="auto"/>
      <w:ind w:right="181" w:firstLine="480" w:firstLineChars="200"/>
    </w:pPr>
    <w:rPr>
      <w:rFonts w:ascii="Verdana" w:hAnsi="Verdana"/>
      <w:sz w:val="24"/>
      <w:szCs w:val="20"/>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3">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List Paragraph1"/>
    <w:basedOn w:val="1"/>
    <w:qFormat/>
    <w:uiPriority w:val="0"/>
    <w:pPr>
      <w:ind w:firstLine="420" w:firstLineChars="200"/>
    </w:pPr>
  </w:style>
  <w:style w:type="paragraph" w:customStyle="1" w:styleId="196">
    <w:name w:val="纯文本_0_0"/>
    <w:basedOn w:val="145"/>
    <w:qFormat/>
    <w:uiPriority w:val="0"/>
    <w:rPr>
      <w:rFonts w:ascii="宋体" w:hAnsi="Courier New"/>
      <w:szCs w:val="21"/>
    </w:rPr>
  </w:style>
  <w:style w:type="paragraph" w:customStyle="1" w:styleId="197">
    <w:name w:val="p15"/>
    <w:basedOn w:val="1"/>
    <w:qFormat/>
    <w:uiPriority w:val="0"/>
    <w:pPr>
      <w:widowControl/>
      <w:ind w:firstLine="420"/>
    </w:pPr>
    <w:rPr>
      <w:rFonts w:cs="宋体"/>
      <w:kern w:val="0"/>
      <w:szCs w:val="21"/>
    </w:rPr>
  </w:style>
  <w:style w:type="paragraph" w:customStyle="1" w:styleId="198">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9">
    <w:name w:val="Blockquote"/>
    <w:basedOn w:val="1"/>
    <w:qFormat/>
    <w:uiPriority w:val="0"/>
    <w:pPr>
      <w:autoSpaceDE w:val="0"/>
      <w:autoSpaceDN w:val="0"/>
      <w:adjustRightInd w:val="0"/>
      <w:ind w:left="360" w:right="360"/>
      <w:jc w:val="left"/>
    </w:pPr>
    <w:rPr>
      <w:kern w:val="0"/>
      <w:sz w:val="24"/>
      <w:szCs w:val="20"/>
    </w:rPr>
  </w:style>
  <w:style w:type="paragraph" w:customStyle="1" w:styleId="200">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20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02">
    <w:name w:val="【正文】"/>
    <w:basedOn w:val="1"/>
    <w:qFormat/>
    <w:uiPriority w:val="0"/>
    <w:pPr>
      <w:ind w:firstLine="480"/>
    </w:pPr>
    <w:rPr>
      <w:rFonts w:cs="DokChampa"/>
      <w:szCs w:val="22"/>
    </w:rPr>
  </w:style>
  <w:style w:type="paragraph" w:customStyle="1" w:styleId="2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5">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6">
    <w:name w:val="无间隔1"/>
    <w:qFormat/>
    <w:uiPriority w:val="0"/>
    <w:rPr>
      <w:rFonts w:ascii="Times New Roman" w:hAnsi="Times New Roman" w:eastAsia="宋体" w:cs="Times New Roman"/>
      <w:sz w:val="22"/>
      <w:szCs w:val="22"/>
      <w:lang w:val="en-US" w:eastAsia="en-US" w:bidi="ar-SA"/>
    </w:rPr>
  </w:style>
  <w:style w:type="paragraph" w:customStyle="1" w:styleId="207">
    <w:name w:val="正文不缩进"/>
    <w:basedOn w:val="1"/>
    <w:qFormat/>
    <w:uiPriority w:val="0"/>
    <w:pPr>
      <w:spacing w:before="240" w:after="240" w:line="360" w:lineRule="auto"/>
      <w:jc w:val="left"/>
    </w:pPr>
  </w:style>
  <w:style w:type="paragraph" w:customStyle="1" w:styleId="208">
    <w:name w:val="Body Text First Indent 21"/>
    <w:basedOn w:val="162"/>
    <w:qFormat/>
    <w:uiPriority w:val="0"/>
    <w:pPr>
      <w:spacing w:after="120" w:line="240" w:lineRule="auto"/>
      <w:ind w:left="420" w:leftChars="200" w:firstLine="420" w:firstLineChars="200"/>
    </w:pPr>
    <w:rPr>
      <w:sz w:val="21"/>
    </w:rPr>
  </w:style>
  <w:style w:type="paragraph" w:customStyle="1" w:styleId="209">
    <w:name w:val="样式1"/>
    <w:basedOn w:val="1"/>
    <w:qFormat/>
    <w:uiPriority w:val="0"/>
    <w:pPr>
      <w:spacing w:line="360" w:lineRule="exact"/>
      <w:ind w:firstLine="200" w:firstLineChars="200"/>
    </w:pPr>
    <w:rPr>
      <w:rFonts w:ascii="Arial" w:hAnsi="Arial"/>
    </w:rPr>
  </w:style>
  <w:style w:type="paragraph" w:customStyle="1" w:styleId="210">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Char Char Char Char Char Char Char Char"/>
    <w:basedOn w:val="1"/>
    <w:qFormat/>
    <w:uiPriority w:val="0"/>
    <w:pPr>
      <w:tabs>
        <w:tab w:val="left" w:pos="360"/>
      </w:tabs>
    </w:pPr>
    <w:rPr>
      <w:szCs w:val="20"/>
    </w:rPr>
  </w:style>
  <w:style w:type="paragraph" w:customStyle="1" w:styleId="212">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13">
    <w:name w:val="Char2"/>
    <w:basedOn w:val="1"/>
    <w:qFormat/>
    <w:uiPriority w:val="0"/>
    <w:rPr>
      <w:rFonts w:ascii="Courier New" w:eastAsia="Courier New"/>
      <w:b/>
      <w:sz w:val="32"/>
      <w:szCs w:val="32"/>
    </w:rPr>
  </w:style>
  <w:style w:type="paragraph" w:customStyle="1" w:styleId="214">
    <w:name w:val="首行缩进"/>
    <w:basedOn w:val="1"/>
    <w:next w:val="17"/>
    <w:qFormat/>
    <w:uiPriority w:val="0"/>
    <w:pPr>
      <w:spacing w:line="360" w:lineRule="auto"/>
      <w:ind w:firstLine="480" w:firstLineChars="200"/>
    </w:pPr>
    <w:rPr>
      <w:rFonts w:ascii="宋体"/>
      <w:sz w:val="24"/>
      <w:szCs w:val="20"/>
    </w:rPr>
  </w:style>
  <w:style w:type="character" w:customStyle="1" w:styleId="215">
    <w:name w:val="font31"/>
    <w:basedOn w:val="47"/>
    <w:qFormat/>
    <w:uiPriority w:val="0"/>
    <w:rPr>
      <w:rFonts w:hint="default" w:ascii="仿宋_GB2312" w:eastAsia="仿宋_GB2312" w:cs="仿宋_GB2312"/>
      <w:color w:val="000000"/>
      <w:sz w:val="22"/>
      <w:szCs w:val="22"/>
      <w:u w:val="none"/>
    </w:rPr>
  </w:style>
  <w:style w:type="character" w:customStyle="1" w:styleId="216">
    <w:name w:val="font131"/>
    <w:basedOn w:val="47"/>
    <w:qFormat/>
    <w:uiPriority w:val="0"/>
    <w:rPr>
      <w:rFonts w:hint="eastAsia" w:ascii="宋体" w:hAnsi="宋体" w:eastAsia="宋体" w:cs="宋体"/>
      <w:color w:val="000000"/>
      <w:sz w:val="22"/>
      <w:szCs w:val="22"/>
      <w:u w:val="none"/>
    </w:rPr>
  </w:style>
  <w:style w:type="character" w:customStyle="1" w:styleId="217">
    <w:name w:val="NormalCharacter"/>
    <w:link w:val="218"/>
    <w:qFormat/>
    <w:uiPriority w:val="0"/>
    <w:rPr>
      <w:rFonts w:ascii="Calibri"/>
      <w:szCs w:val="22"/>
    </w:rPr>
  </w:style>
  <w:style w:type="paragraph" w:customStyle="1" w:styleId="218">
    <w:name w:val="UserStyle_127"/>
    <w:basedOn w:val="1"/>
    <w:link w:val="217"/>
    <w:qFormat/>
    <w:uiPriority w:val="0"/>
    <w:pPr>
      <w:spacing w:after="160" w:line="240" w:lineRule="exact"/>
      <w:jc w:val="left"/>
    </w:pPr>
    <w:rPr>
      <w:szCs w:val="22"/>
    </w:rPr>
  </w:style>
  <w:style w:type="character" w:customStyle="1" w:styleId="219">
    <w:name w:val="hover29"/>
    <w:basedOn w:val="47"/>
    <w:qFormat/>
    <w:uiPriority w:val="0"/>
    <w:rPr>
      <w:color w:val="315EFB"/>
    </w:rPr>
  </w:style>
  <w:style w:type="character" w:customStyle="1" w:styleId="220">
    <w:name w:val="hover30"/>
    <w:basedOn w:val="47"/>
    <w:qFormat/>
    <w:uiPriority w:val="0"/>
    <w:rPr>
      <w:color w:val="315EFB"/>
      <w:shd w:val="clear" w:color="auto" w:fill="F0F3FD"/>
    </w:rPr>
  </w:style>
  <w:style w:type="character" w:customStyle="1" w:styleId="221">
    <w:name w:val="hover31"/>
    <w:basedOn w:val="47"/>
    <w:qFormat/>
    <w:uiPriority w:val="0"/>
  </w:style>
  <w:style w:type="character" w:customStyle="1" w:styleId="222">
    <w:name w:val="hover32"/>
    <w:basedOn w:val="47"/>
    <w:qFormat/>
    <w:uiPriority w:val="0"/>
    <w:rPr>
      <w:color w:val="315EFB"/>
    </w:rPr>
  </w:style>
  <w:style w:type="character" w:customStyle="1" w:styleId="223">
    <w:name w:val="c-icon32"/>
    <w:basedOn w:val="47"/>
    <w:qFormat/>
    <w:uiPriority w:val="0"/>
  </w:style>
  <w:style w:type="character" w:customStyle="1" w:styleId="224">
    <w:name w:val="ec_d20_recomm_link1"/>
    <w:basedOn w:val="47"/>
    <w:qFormat/>
    <w:uiPriority w:val="0"/>
    <w:rPr>
      <w:shd w:val="clear" w:color="auto" w:fill="F5F5F6"/>
    </w:rPr>
  </w:style>
  <w:style w:type="paragraph" w:customStyle="1" w:styleId="225">
    <w:name w:val="中等深浅网格 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85</Pages>
  <Words>10659</Words>
  <Characters>11380</Characters>
  <Lines>355</Lines>
  <Paragraphs>100</Paragraphs>
  <TotalTime>17</TotalTime>
  <ScaleCrop>false</ScaleCrop>
  <LinksUpToDate>false</LinksUpToDate>
  <CharactersWithSpaces>11787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2022-10-02T04:37:00Z</dcterms:created>
  <dc:creator>pc</dc:creator>
  <cp:lastModifiedBy>唐稳</cp:lastModifiedBy>
  <cp:lastPrinted>2023-05-07T14:01:00Z</cp:lastPrinted>
  <dcterms:modified xsi:type="dcterms:W3CDTF">2024-11-19T10:37:23Z</dcterms:modified>
  <dc:title>杭州下沙服务外包人才培训基地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D69D724C994B4F438CC6F01E0E75EBD3_13</vt:lpwstr>
  </property>
</Properties>
</file>