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355D78">
      <w:pPr>
        <w:spacing w:line="360" w:lineRule="auto"/>
        <w:jc w:val="center"/>
        <w:rPr>
          <w:rFonts w:ascii="宋体" w:hAnsi="宋体" w:cs="宋体"/>
          <w:b/>
          <w:color w:val="auto"/>
          <w:sz w:val="24"/>
          <w:highlight w:val="none"/>
        </w:rPr>
      </w:pPr>
    </w:p>
    <w:p w14:paraId="65183A19">
      <w:pPr>
        <w:spacing w:line="360" w:lineRule="auto"/>
        <w:jc w:val="center"/>
        <w:rPr>
          <w:rFonts w:ascii="宋体" w:hAnsi="宋体" w:cs="宋体"/>
          <w:b/>
          <w:color w:val="auto"/>
          <w:sz w:val="24"/>
          <w:highlight w:val="none"/>
        </w:rPr>
      </w:pPr>
    </w:p>
    <w:p w14:paraId="79CD5F96">
      <w:pPr>
        <w:adjustRightInd/>
        <w:spacing w:line="360" w:lineRule="auto"/>
        <w:jc w:val="center"/>
        <w:rPr>
          <w:rFonts w:ascii="宋体" w:hAnsi="宋体" w:cs="宋体"/>
          <w:b/>
          <w:color w:val="auto"/>
          <w:sz w:val="44"/>
          <w:szCs w:val="44"/>
          <w:highlight w:val="none"/>
        </w:rPr>
      </w:pPr>
    </w:p>
    <w:p w14:paraId="74AF5206">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浙江省司法行政综合业务管理系统迭代升级项目</w:t>
      </w:r>
    </w:p>
    <w:p w14:paraId="26773527">
      <w:pPr>
        <w:pStyle w:val="90"/>
        <w:rPr>
          <w:rFonts w:ascii="宋体" w:hAnsi="宋体" w:eastAsia="宋体" w:cs="宋体"/>
          <w:color w:val="auto"/>
          <w:highlight w:val="none"/>
        </w:rPr>
      </w:pPr>
    </w:p>
    <w:p w14:paraId="63EF81ED">
      <w:pPr>
        <w:adjustRightInd/>
        <w:spacing w:line="360" w:lineRule="auto"/>
        <w:jc w:val="center"/>
        <w:rPr>
          <w:rFonts w:ascii="宋体" w:hAnsi="宋体" w:cs="宋体"/>
          <w:color w:val="auto"/>
          <w:sz w:val="84"/>
          <w:szCs w:val="84"/>
          <w:highlight w:val="none"/>
        </w:rPr>
      </w:pPr>
    </w:p>
    <w:p w14:paraId="15209F59">
      <w:pPr>
        <w:adjustRightInd/>
        <w:spacing w:line="360" w:lineRule="auto"/>
        <w:jc w:val="center"/>
        <w:rPr>
          <w:rFonts w:ascii="宋体" w:hAnsi="宋体" w:cs="宋体"/>
          <w:color w:val="auto"/>
          <w:sz w:val="84"/>
          <w:szCs w:val="84"/>
          <w:highlight w:val="none"/>
        </w:rPr>
      </w:pPr>
      <w:r>
        <w:rPr>
          <w:rFonts w:hint="eastAsia" w:ascii="宋体" w:hAnsi="宋体" w:cs="宋体"/>
          <w:color w:val="auto"/>
          <w:sz w:val="84"/>
          <w:szCs w:val="84"/>
          <w:highlight w:val="none"/>
        </w:rPr>
        <w:t xml:space="preserve">招标文件 </w:t>
      </w:r>
    </w:p>
    <w:p w14:paraId="52F72A9B">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06649529">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lang w:val="en-US" w:eastAsia="zh-CN"/>
        </w:rPr>
        <w:t>项目</w:t>
      </w: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ZJ-2580230-03</w:t>
      </w:r>
    </w:p>
    <w:p w14:paraId="490F0AC2">
      <w:pPr>
        <w:adjustRightInd/>
        <w:spacing w:line="360" w:lineRule="auto"/>
        <w:rPr>
          <w:rFonts w:ascii="宋体" w:hAnsi="宋体" w:cs="宋体"/>
          <w:color w:val="auto"/>
          <w:sz w:val="28"/>
          <w:szCs w:val="20"/>
          <w:highlight w:val="none"/>
        </w:rPr>
      </w:pPr>
    </w:p>
    <w:p w14:paraId="40F30058">
      <w:pPr>
        <w:spacing w:line="360" w:lineRule="auto"/>
        <w:jc w:val="center"/>
        <w:rPr>
          <w:rFonts w:ascii="宋体" w:hAnsi="宋体" w:cs="宋体"/>
          <w:b/>
          <w:color w:val="auto"/>
          <w:sz w:val="44"/>
          <w:szCs w:val="44"/>
          <w:highlight w:val="none"/>
        </w:rPr>
      </w:pPr>
    </w:p>
    <w:p w14:paraId="2D117C51">
      <w:pPr>
        <w:spacing w:line="360" w:lineRule="auto"/>
        <w:rPr>
          <w:rFonts w:ascii="宋体" w:hAnsi="宋体" w:cs="宋体"/>
          <w:color w:val="auto"/>
          <w:sz w:val="32"/>
          <w:szCs w:val="32"/>
          <w:highlight w:val="none"/>
        </w:rPr>
      </w:pPr>
    </w:p>
    <w:p w14:paraId="28F946A6">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浙江省司法厅</w:t>
      </w:r>
    </w:p>
    <w:p w14:paraId="50945BE0">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浙江国际招投标有限公司</w:t>
      </w:r>
    </w:p>
    <w:p w14:paraId="1E2F3B3A">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二〇</w:t>
      </w:r>
      <w:r>
        <w:rPr>
          <w:rFonts w:hint="eastAsia" w:ascii="宋体" w:hAnsi="宋体" w:cs="宋体"/>
          <w:bCs/>
          <w:color w:val="auto"/>
          <w:sz w:val="32"/>
          <w:szCs w:val="32"/>
          <w:highlight w:val="none"/>
          <w:lang w:eastAsia="zh-CN"/>
        </w:rPr>
        <w:t>二五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lang w:eastAsia="zh-CN"/>
        </w:rPr>
        <w:t>月</w:t>
      </w:r>
    </w:p>
    <w:p w14:paraId="7D535F79">
      <w:pPr>
        <w:pStyle w:val="639"/>
        <w:rPr>
          <w:rFonts w:ascii="宋体" w:hAnsi="宋体" w:eastAsia="宋体" w:cs="宋体"/>
          <w:color w:val="auto"/>
          <w:highlight w:val="none"/>
        </w:rPr>
        <w:sectPr>
          <w:headerReference r:id="rId4" w:type="first"/>
          <w:headerReference r:id="rId3" w:type="default"/>
          <w:footerReference r:id="rId5" w:type="even"/>
          <w:pgSz w:w="11906" w:h="16838"/>
          <w:pgMar w:top="680" w:right="1418" w:bottom="468" w:left="1418" w:header="851" w:footer="352" w:gutter="0"/>
          <w:cols w:space="720" w:num="1"/>
          <w:titlePg/>
          <w:docGrid w:linePitch="312" w:charSpace="0"/>
        </w:sectPr>
      </w:pPr>
    </w:p>
    <w:p w14:paraId="16CF1C7E">
      <w:pPr>
        <w:pStyle w:val="639"/>
        <w:rPr>
          <w:rFonts w:ascii="宋体" w:hAnsi="宋体" w:eastAsia="宋体" w:cs="宋体"/>
          <w:color w:val="auto"/>
          <w:highlight w:val="none"/>
        </w:rPr>
      </w:pPr>
    </w:p>
    <w:p w14:paraId="453BD5D8">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3EC05531">
      <w:pPr>
        <w:spacing w:line="360" w:lineRule="auto"/>
        <w:rPr>
          <w:rFonts w:ascii="宋体" w:hAnsi="宋体" w:cs="宋体"/>
          <w:color w:val="auto"/>
          <w:sz w:val="32"/>
          <w:szCs w:val="32"/>
          <w:highlight w:val="none"/>
        </w:rPr>
      </w:pPr>
    </w:p>
    <w:p w14:paraId="38FAB5D5">
      <w:pPr>
        <w:spacing w:line="360" w:lineRule="auto"/>
        <w:rPr>
          <w:rFonts w:ascii="宋体" w:hAnsi="宋体" w:cs="宋体"/>
          <w:color w:val="auto"/>
          <w:sz w:val="32"/>
          <w:szCs w:val="32"/>
          <w:highlight w:val="none"/>
        </w:rPr>
      </w:pPr>
    </w:p>
    <w:p w14:paraId="23C9D51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929456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629C9D7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A911DD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849C69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48D236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7053B593">
      <w:pPr>
        <w:spacing w:line="360" w:lineRule="auto"/>
        <w:ind w:firstLine="549" w:firstLineChars="229"/>
        <w:rPr>
          <w:rFonts w:ascii="宋体" w:hAnsi="宋体" w:cs="宋体"/>
          <w:color w:val="auto"/>
          <w:sz w:val="24"/>
          <w:highlight w:val="none"/>
        </w:rPr>
      </w:pPr>
      <w:bookmarkStart w:id="0" w:name="_Hlt91233176"/>
      <w:bookmarkEnd w:id="0"/>
      <w:bookmarkStart w:id="1" w:name="_Toc91899869"/>
    </w:p>
    <w:p w14:paraId="663AC572">
      <w:pPr>
        <w:spacing w:line="360" w:lineRule="auto"/>
        <w:ind w:firstLine="549" w:firstLineChars="229"/>
        <w:rPr>
          <w:rFonts w:ascii="宋体" w:hAnsi="宋体" w:cs="宋体"/>
          <w:color w:val="auto"/>
          <w:sz w:val="24"/>
          <w:highlight w:val="none"/>
        </w:rPr>
      </w:pPr>
    </w:p>
    <w:p w14:paraId="5712BC34">
      <w:pPr>
        <w:spacing w:line="360" w:lineRule="auto"/>
        <w:ind w:firstLine="549" w:firstLineChars="229"/>
        <w:rPr>
          <w:rFonts w:ascii="宋体" w:hAnsi="宋体" w:cs="宋体"/>
          <w:color w:val="auto"/>
          <w:sz w:val="24"/>
          <w:highlight w:val="none"/>
        </w:rPr>
      </w:pPr>
    </w:p>
    <w:p w14:paraId="3CBE0153">
      <w:pPr>
        <w:spacing w:line="360" w:lineRule="auto"/>
        <w:ind w:firstLine="549" w:firstLineChars="229"/>
        <w:rPr>
          <w:rFonts w:ascii="宋体" w:hAnsi="宋体" w:cs="宋体"/>
          <w:color w:val="auto"/>
          <w:sz w:val="24"/>
          <w:highlight w:val="none"/>
        </w:rPr>
      </w:pPr>
    </w:p>
    <w:p w14:paraId="663CAD82">
      <w:pPr>
        <w:spacing w:line="360" w:lineRule="auto"/>
        <w:ind w:firstLine="549" w:firstLineChars="229"/>
        <w:rPr>
          <w:rFonts w:ascii="宋体" w:hAnsi="宋体" w:cs="宋体"/>
          <w:color w:val="auto"/>
          <w:sz w:val="24"/>
          <w:highlight w:val="none"/>
        </w:rPr>
      </w:pPr>
    </w:p>
    <w:p w14:paraId="3721C986">
      <w:pPr>
        <w:spacing w:line="360" w:lineRule="auto"/>
        <w:ind w:firstLine="549" w:firstLineChars="229"/>
        <w:rPr>
          <w:rFonts w:ascii="宋体" w:hAnsi="宋体" w:cs="宋体"/>
          <w:color w:val="auto"/>
          <w:sz w:val="24"/>
          <w:highlight w:val="none"/>
        </w:rPr>
      </w:pPr>
    </w:p>
    <w:p w14:paraId="1311A770">
      <w:pPr>
        <w:spacing w:line="360" w:lineRule="auto"/>
        <w:ind w:firstLine="549" w:firstLineChars="229"/>
        <w:rPr>
          <w:rFonts w:ascii="宋体" w:hAnsi="宋体" w:cs="宋体"/>
          <w:color w:val="auto"/>
          <w:sz w:val="24"/>
          <w:highlight w:val="none"/>
        </w:rPr>
      </w:pPr>
    </w:p>
    <w:p w14:paraId="20848F2E">
      <w:pPr>
        <w:spacing w:line="360" w:lineRule="auto"/>
        <w:ind w:firstLine="549" w:firstLineChars="229"/>
        <w:rPr>
          <w:rFonts w:ascii="宋体" w:hAnsi="宋体" w:cs="宋体"/>
          <w:color w:val="auto"/>
          <w:sz w:val="24"/>
          <w:highlight w:val="none"/>
        </w:rPr>
      </w:pPr>
    </w:p>
    <w:p w14:paraId="13746B3D">
      <w:pPr>
        <w:spacing w:line="360" w:lineRule="auto"/>
        <w:ind w:firstLine="549" w:firstLineChars="229"/>
        <w:rPr>
          <w:rFonts w:ascii="宋体" w:hAnsi="宋体" w:cs="宋体"/>
          <w:color w:val="auto"/>
          <w:sz w:val="24"/>
          <w:highlight w:val="none"/>
        </w:rPr>
      </w:pPr>
    </w:p>
    <w:p w14:paraId="5B3BC779">
      <w:pPr>
        <w:spacing w:line="360" w:lineRule="auto"/>
        <w:ind w:firstLine="549" w:firstLineChars="229"/>
        <w:rPr>
          <w:rFonts w:ascii="宋体" w:hAnsi="宋体" w:cs="宋体"/>
          <w:color w:val="auto"/>
          <w:sz w:val="24"/>
          <w:highlight w:val="none"/>
        </w:rPr>
      </w:pPr>
    </w:p>
    <w:p w14:paraId="1FB5CD06">
      <w:pPr>
        <w:spacing w:line="360" w:lineRule="auto"/>
        <w:ind w:firstLine="549" w:firstLineChars="229"/>
        <w:rPr>
          <w:rFonts w:ascii="宋体" w:hAnsi="宋体" w:cs="宋体"/>
          <w:color w:val="auto"/>
          <w:sz w:val="24"/>
          <w:highlight w:val="none"/>
        </w:rPr>
      </w:pPr>
    </w:p>
    <w:p w14:paraId="47DBEB1B">
      <w:pPr>
        <w:spacing w:line="360" w:lineRule="auto"/>
        <w:ind w:firstLine="549" w:firstLineChars="229"/>
        <w:rPr>
          <w:rFonts w:ascii="宋体" w:hAnsi="宋体" w:cs="宋体"/>
          <w:color w:val="auto"/>
          <w:sz w:val="24"/>
          <w:highlight w:val="none"/>
        </w:rPr>
      </w:pPr>
    </w:p>
    <w:p w14:paraId="188096EB">
      <w:pPr>
        <w:spacing w:line="360" w:lineRule="auto"/>
        <w:ind w:firstLine="549" w:firstLineChars="229"/>
        <w:rPr>
          <w:rFonts w:ascii="宋体" w:hAnsi="宋体" w:cs="宋体"/>
          <w:color w:val="auto"/>
          <w:sz w:val="24"/>
          <w:highlight w:val="none"/>
        </w:rPr>
      </w:pPr>
    </w:p>
    <w:p w14:paraId="284A5904">
      <w:pPr>
        <w:spacing w:line="360" w:lineRule="auto"/>
        <w:rPr>
          <w:rFonts w:ascii="宋体" w:hAnsi="宋体" w:cs="宋体"/>
          <w:color w:val="auto"/>
          <w:sz w:val="24"/>
          <w:highlight w:val="none"/>
        </w:rPr>
      </w:pPr>
    </w:p>
    <w:p w14:paraId="67CD81AE">
      <w:pPr>
        <w:adjustRightInd/>
        <w:spacing w:line="360" w:lineRule="auto"/>
        <w:jc w:val="center"/>
        <w:outlineLvl w:val="0"/>
        <w:rPr>
          <w:rFonts w:ascii="宋体" w:hAnsi="宋体" w:cs="宋体"/>
          <w:b/>
          <w:color w:val="auto"/>
          <w:sz w:val="36"/>
          <w:szCs w:val="20"/>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728647"/>
      <w:bookmarkEnd w:id="3"/>
      <w:bookmarkStart w:id="4" w:name="_Hlt74649545"/>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宋体" w:hAnsi="宋体" w:cs="宋体"/>
          <w:b/>
          <w:color w:val="auto"/>
          <w:sz w:val="36"/>
          <w:szCs w:val="20"/>
          <w:highlight w:val="none"/>
        </w:rPr>
        <w:t>第一部分 招标公告</w:t>
      </w:r>
    </w:p>
    <w:p w14:paraId="7AAA9D75">
      <w:pPr>
        <w:pBdr>
          <w:top w:val="single" w:color="auto" w:sz="4" w:space="1"/>
          <w:left w:val="single" w:color="auto" w:sz="4" w:space="4"/>
          <w:bottom w:val="single" w:color="auto" w:sz="4" w:space="1"/>
          <w:right w:val="single" w:color="auto" w:sz="4" w:space="4"/>
        </w:pBdr>
        <w:spacing w:line="360" w:lineRule="auto"/>
        <w:rPr>
          <w:rFonts w:ascii="宋体" w:hAnsi="宋体" w:cs="宋体"/>
          <w:color w:val="auto"/>
          <w:sz w:val="24"/>
          <w:highlight w:val="none"/>
        </w:rPr>
      </w:pPr>
      <w:r>
        <w:rPr>
          <w:rFonts w:hint="eastAsia" w:ascii="宋体" w:hAnsi="宋体" w:cs="宋体"/>
          <w:color w:val="auto"/>
          <w:sz w:val="24"/>
          <w:highlight w:val="none"/>
        </w:rPr>
        <w:t>项目概况</w:t>
      </w:r>
    </w:p>
    <w:p w14:paraId="44A052F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rPr>
        <w:t>招标项目的潜在投标人应在政采云平台</w:t>
      </w:r>
      <w:r>
        <w:rPr>
          <w:rFonts w:hint="eastAsia" w:ascii="宋体" w:hAnsi="宋体" w:cs="宋体"/>
          <w:color w:val="auto"/>
          <w:sz w:val="24"/>
          <w:highlight w:val="none"/>
          <w:lang w:val="en-US" w:eastAsia="zh-CN"/>
        </w:rPr>
        <w:t>线上</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获取（下载）招标文件，并于</w:t>
      </w:r>
      <w:r>
        <w:rPr>
          <w:rStyle w:val="77"/>
          <w:rFonts w:hint="eastAsia" w:ascii="宋体" w:hAnsi="宋体" w:eastAsia="宋体" w:cs="宋体"/>
          <w:snapToGrid/>
          <w:color w:val="auto"/>
          <w:kern w:val="2"/>
          <w:sz w:val="24"/>
          <w:szCs w:val="24"/>
          <w:highlight w:val="none"/>
          <w:lang w:eastAsia="zh-CN"/>
        </w:rPr>
        <w:t>2025年</w:t>
      </w:r>
      <w:r>
        <w:rPr>
          <w:rStyle w:val="77"/>
          <w:rFonts w:hint="eastAsia" w:ascii="宋体" w:hAnsi="宋体" w:cs="宋体"/>
          <w:snapToGrid/>
          <w:color w:val="auto"/>
          <w:kern w:val="2"/>
          <w:sz w:val="24"/>
          <w:szCs w:val="24"/>
          <w:highlight w:val="none"/>
          <w:lang w:eastAsia="zh-CN"/>
        </w:rPr>
        <w:t>4月18日09：00</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6AAD6359">
      <w:pPr>
        <w:spacing w:line="360" w:lineRule="auto"/>
        <w:rPr>
          <w:rFonts w:ascii="宋体" w:hAnsi="宋体" w:cs="宋体"/>
          <w:b/>
          <w:color w:val="auto"/>
          <w:sz w:val="24"/>
          <w:highlight w:val="none"/>
        </w:rPr>
      </w:pPr>
    </w:p>
    <w:p w14:paraId="46ECF24E">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2C7128D">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Cs/>
          <w:color w:val="auto"/>
          <w:sz w:val="24"/>
          <w:highlight w:val="none"/>
          <w:lang w:eastAsia="zh-CN"/>
        </w:rPr>
        <w:t>ZJ-2580230-03</w:t>
      </w:r>
    </w:p>
    <w:p w14:paraId="33C29C87">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 w:val="0"/>
          <w:bCs/>
          <w:color w:val="auto"/>
          <w:sz w:val="24"/>
          <w:highlight w:val="none"/>
          <w:lang w:eastAsia="zh-CN"/>
        </w:rPr>
        <w:t>浙江省司法行政综合业务管理系统迭代升级项目</w:t>
      </w:r>
    </w:p>
    <w:p w14:paraId="3F17D5A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val="0"/>
          <w:bCs/>
          <w:color w:val="auto"/>
          <w:sz w:val="24"/>
          <w:highlight w:val="none"/>
          <w:lang w:val="en-US" w:eastAsia="zh-CN"/>
        </w:rPr>
        <w:t>208</w:t>
      </w:r>
      <w:r>
        <w:rPr>
          <w:rFonts w:hint="eastAsia" w:ascii="宋体" w:hAnsi="宋体" w:cs="宋体"/>
          <w:bCs/>
          <w:color w:val="auto"/>
          <w:sz w:val="24"/>
          <w:highlight w:val="none"/>
        </w:rPr>
        <w:t>0000</w:t>
      </w:r>
    </w:p>
    <w:p w14:paraId="293F904C">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Cs/>
          <w:color w:val="auto"/>
          <w:sz w:val="24"/>
          <w:highlight w:val="none"/>
          <w:lang w:val="en-US" w:eastAsia="zh-CN"/>
        </w:rPr>
        <w:t>1800000，280000</w:t>
      </w:r>
    </w:p>
    <w:p w14:paraId="64194FCF">
      <w:pPr>
        <w:pStyle w:val="6"/>
        <w:spacing w:line="360" w:lineRule="auto"/>
        <w:ind w:firstLine="480"/>
        <w:rPr>
          <w:rFonts w:hAnsi="宋体" w:cs="宋体"/>
          <w:b/>
          <w:color w:val="auto"/>
          <w:sz w:val="24"/>
          <w:highlight w:val="none"/>
        </w:rPr>
      </w:pPr>
      <w:r>
        <w:rPr>
          <w:rFonts w:hint="eastAsia" w:hAnsi="宋体" w:cs="宋体"/>
          <w:b/>
          <w:color w:val="auto"/>
          <w:sz w:val="24"/>
          <w:highlight w:val="none"/>
        </w:rPr>
        <w:t>采购需求：</w:t>
      </w:r>
    </w:p>
    <w:p w14:paraId="32A6691D">
      <w:pPr>
        <w:pStyle w:val="6"/>
        <w:spacing w:line="360" w:lineRule="auto"/>
        <w:ind w:left="420" w:leftChars="200" w:firstLine="422" w:firstLineChars="175"/>
        <w:rPr>
          <w:rFonts w:hint="eastAsia" w:hAnsi="宋体" w:cs="宋体"/>
          <w:b/>
          <w:color w:val="auto"/>
          <w:sz w:val="24"/>
          <w:highlight w:val="none"/>
          <w:lang w:val="en-US" w:eastAsia="zh-CN"/>
        </w:rPr>
      </w:pPr>
    </w:p>
    <w:p w14:paraId="2B2C2E22">
      <w:pPr>
        <w:pStyle w:val="6"/>
        <w:spacing w:line="360" w:lineRule="auto"/>
        <w:ind w:left="420" w:leftChars="200" w:firstLine="422" w:firstLineChars="175"/>
        <w:rPr>
          <w:rFonts w:hint="default" w:ascii="宋体" w:hAnsi="宋体" w:eastAsia="宋体" w:cs="宋体"/>
          <w:b/>
          <w:color w:val="auto"/>
          <w:sz w:val="24"/>
          <w:highlight w:val="none"/>
          <w:lang w:val="en-US" w:eastAsia="zh-CN"/>
        </w:rPr>
      </w:pPr>
      <w:r>
        <w:rPr>
          <w:rFonts w:hint="eastAsia" w:hAnsi="宋体" w:cs="宋体"/>
          <w:b/>
          <w:color w:val="auto"/>
          <w:sz w:val="24"/>
          <w:highlight w:val="none"/>
          <w:lang w:val="en-US" w:eastAsia="zh-CN"/>
        </w:rPr>
        <w:t>标项一</w:t>
      </w:r>
    </w:p>
    <w:p w14:paraId="5DE98838">
      <w:pPr>
        <w:pStyle w:val="6"/>
        <w:spacing w:line="360" w:lineRule="auto"/>
        <w:ind w:left="420" w:leftChars="200" w:firstLine="422" w:firstLineChars="175"/>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rPr>
        <w:t>标项名称：</w:t>
      </w:r>
      <w:r>
        <w:rPr>
          <w:rFonts w:hint="eastAsia" w:hAnsi="宋体" w:cs="宋体"/>
          <w:b/>
          <w:color w:val="auto"/>
          <w:sz w:val="24"/>
          <w:highlight w:val="none"/>
          <w:lang w:eastAsia="zh-CN"/>
        </w:rPr>
        <w:t>浙江省司法行政综合业务管理系统迭代升级项目——市县工作平台升级</w:t>
      </w:r>
    </w:p>
    <w:p w14:paraId="10CCC618">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r>
        <w:rPr>
          <w:rFonts w:hint="eastAsia" w:ascii="宋体" w:hAnsi="宋体" w:eastAsia="宋体" w:cs="宋体"/>
          <w:b w:val="0"/>
          <w:bCs/>
          <w:color w:val="auto"/>
          <w:sz w:val="24"/>
          <w:highlight w:val="none"/>
        </w:rPr>
        <w:t xml:space="preserve">1 </w:t>
      </w:r>
      <w:r>
        <w:rPr>
          <w:rFonts w:hint="eastAsia" w:ascii="宋体" w:hAnsi="宋体" w:eastAsia="宋体" w:cs="宋体"/>
          <w:b/>
          <w:color w:val="auto"/>
          <w:sz w:val="24"/>
          <w:highlight w:val="none"/>
        </w:rPr>
        <w:t xml:space="preserve">             </w:t>
      </w:r>
    </w:p>
    <w:p w14:paraId="49642EAE">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预算金额（元）：</w:t>
      </w:r>
      <w:r>
        <w:rPr>
          <w:rFonts w:hint="eastAsia" w:hAnsi="宋体" w:cs="宋体"/>
          <w:b w:val="0"/>
          <w:bCs/>
          <w:color w:val="auto"/>
          <w:sz w:val="24"/>
          <w:highlight w:val="none"/>
          <w:lang w:val="en-US" w:eastAsia="zh-CN"/>
        </w:rPr>
        <w:t>1800000</w:t>
      </w:r>
      <w:r>
        <w:rPr>
          <w:rFonts w:hint="eastAsia" w:ascii="宋体" w:hAnsi="宋体" w:eastAsia="宋体" w:cs="宋体"/>
          <w:b/>
          <w:color w:val="auto"/>
          <w:sz w:val="24"/>
          <w:highlight w:val="none"/>
        </w:rPr>
        <w:t xml:space="preserve">          </w:t>
      </w:r>
    </w:p>
    <w:p w14:paraId="30538395">
      <w:pPr>
        <w:pStyle w:val="6"/>
        <w:spacing w:line="360" w:lineRule="auto"/>
        <w:ind w:left="420" w:leftChars="200" w:firstLine="422" w:firstLineChars="175"/>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简要规格描述或项目基本概况介绍、用途：</w:t>
      </w:r>
      <w:r>
        <w:rPr>
          <w:rFonts w:hint="eastAsia" w:ascii="宋体" w:hAnsi="宋体" w:eastAsia="宋体" w:cs="宋体"/>
          <w:snapToGrid/>
          <w:color w:val="auto"/>
          <w:kern w:val="2"/>
          <w:sz w:val="24"/>
          <w:szCs w:val="24"/>
          <w:highlight w:val="none"/>
          <w:lang w:val="en-US" w:eastAsia="zh-CN"/>
        </w:rPr>
        <w:t>本</w:t>
      </w:r>
      <w:r>
        <w:rPr>
          <w:rFonts w:hint="eastAsia" w:hAnsi="宋体" w:cs="宋体"/>
          <w:snapToGrid/>
          <w:color w:val="auto"/>
          <w:kern w:val="2"/>
          <w:sz w:val="24"/>
          <w:szCs w:val="24"/>
          <w:highlight w:val="none"/>
          <w:lang w:val="en-US" w:eastAsia="zh-CN"/>
        </w:rPr>
        <w:t>标项</w:t>
      </w:r>
      <w:r>
        <w:rPr>
          <w:rFonts w:hint="eastAsia" w:ascii="宋体" w:hAnsi="宋体" w:eastAsia="宋体" w:cs="宋体"/>
          <w:snapToGrid/>
          <w:color w:val="auto"/>
          <w:kern w:val="2"/>
          <w:sz w:val="24"/>
          <w:szCs w:val="24"/>
          <w:highlight w:val="none"/>
          <w:lang w:val="en-US" w:eastAsia="zh-CN"/>
        </w:rPr>
        <w:t>为浙江省司法行政综合业务管理系统迭代升级项目——市县工作平台升级</w:t>
      </w:r>
      <w:r>
        <w:rPr>
          <w:rFonts w:hint="eastAsia" w:hAnsi="宋体" w:cs="宋体"/>
          <w:color w:val="auto"/>
          <w:sz w:val="24"/>
          <w:highlight w:val="none"/>
          <w:lang w:eastAsia="zh-CN"/>
        </w:rPr>
        <w:t>，</w:t>
      </w:r>
      <w:r>
        <w:rPr>
          <w:rFonts w:hint="eastAsia" w:ascii="宋体" w:hAnsi="宋体" w:eastAsia="宋体" w:cs="宋体"/>
          <w:snapToGrid/>
          <w:color w:val="auto"/>
          <w:kern w:val="2"/>
          <w:sz w:val="24"/>
          <w:szCs w:val="24"/>
          <w:highlight w:val="none"/>
        </w:rPr>
        <w:t>具体以招标文件第三部分采购需求为准</w:t>
      </w:r>
      <w:r>
        <w:rPr>
          <w:rFonts w:hint="eastAsia" w:hAnsi="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rPr>
        <w:t>供应商可点击本公告下方“浏览采购文件”查看采购需求。</w:t>
      </w:r>
    </w:p>
    <w:p w14:paraId="2662885D">
      <w:pPr>
        <w:pStyle w:val="141"/>
        <w:keepNext w:val="0"/>
        <w:keepLines w:val="0"/>
        <w:pageBreakBefore w:val="0"/>
        <w:widowControl w:val="0"/>
        <w:kinsoku/>
        <w:wordWrap/>
        <w:overflowPunct/>
        <w:topLinePunct w:val="0"/>
        <w:autoSpaceDE/>
        <w:autoSpaceDN/>
        <w:bidi w:val="0"/>
        <w:adjustRightInd w:val="0"/>
        <w:snapToGrid/>
        <w:spacing w:before="0"/>
        <w:ind w:left="420" w:leftChars="200" w:firstLine="422" w:firstLineChars="175"/>
        <w:textAlignment w:val="auto"/>
        <w:outlineLvl w:val="2"/>
        <w:rPr>
          <w:rFonts w:hint="eastAsia" w:ascii="宋体" w:hAnsi="宋体" w:eastAsia="宋体" w:cs="宋体"/>
          <w:b/>
          <w:color w:val="auto"/>
          <w:highlight w:val="none"/>
          <w:lang w:val="en-US" w:eastAsia="zh-CN"/>
        </w:rPr>
      </w:pPr>
      <w:r>
        <w:rPr>
          <w:rFonts w:hint="eastAsia" w:ascii="宋体" w:hAnsi="宋体" w:eastAsia="宋体" w:cs="宋体"/>
          <w:b/>
          <w:color w:val="auto"/>
          <w:highlight w:val="none"/>
          <w:lang w:val="en-US" w:eastAsia="zh-CN"/>
        </w:rPr>
        <w:t>备注：/</w:t>
      </w:r>
    </w:p>
    <w:p w14:paraId="74544244">
      <w:pPr>
        <w:pStyle w:val="141"/>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b/>
          <w:color w:val="auto"/>
          <w:highlight w:val="none"/>
        </w:rPr>
      </w:pPr>
    </w:p>
    <w:p w14:paraId="7B50AC15">
      <w:pPr>
        <w:pStyle w:val="6"/>
        <w:spacing w:line="360" w:lineRule="auto"/>
        <w:ind w:left="420" w:leftChars="200" w:firstLine="422" w:firstLineChars="175"/>
        <w:rPr>
          <w:rFonts w:hint="default" w:ascii="宋体" w:hAnsi="宋体" w:eastAsia="宋体" w:cs="宋体"/>
          <w:b/>
          <w:color w:val="auto"/>
          <w:sz w:val="24"/>
          <w:highlight w:val="none"/>
          <w:lang w:val="en-US" w:eastAsia="zh-CN"/>
        </w:rPr>
      </w:pPr>
      <w:r>
        <w:rPr>
          <w:rFonts w:hint="eastAsia" w:hAnsi="宋体" w:cs="宋体"/>
          <w:b/>
          <w:color w:val="auto"/>
          <w:sz w:val="24"/>
          <w:highlight w:val="none"/>
          <w:lang w:val="en-US" w:eastAsia="zh-CN"/>
        </w:rPr>
        <w:t>标项二</w:t>
      </w:r>
    </w:p>
    <w:p w14:paraId="42F55816">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标项名称：</w:t>
      </w:r>
      <w:r>
        <w:rPr>
          <w:rFonts w:hint="eastAsia" w:hAnsi="宋体" w:cs="宋体"/>
          <w:b/>
          <w:color w:val="auto"/>
          <w:sz w:val="24"/>
          <w:highlight w:val="none"/>
          <w:lang w:val="en-US" w:eastAsia="zh-CN"/>
        </w:rPr>
        <w:t>浙江省司法行政综合业务管理系统迭代升级项目——机关内控管理功能升级</w:t>
      </w:r>
    </w:p>
    <w:p w14:paraId="26E97CAD">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r>
        <w:rPr>
          <w:rFonts w:hint="eastAsia" w:ascii="宋体" w:hAnsi="宋体" w:eastAsia="宋体" w:cs="宋体"/>
          <w:b w:val="0"/>
          <w:bCs/>
          <w:color w:val="auto"/>
          <w:sz w:val="24"/>
          <w:highlight w:val="none"/>
        </w:rPr>
        <w:t xml:space="preserve">1 </w:t>
      </w:r>
      <w:r>
        <w:rPr>
          <w:rFonts w:hint="eastAsia" w:ascii="宋体" w:hAnsi="宋体" w:eastAsia="宋体" w:cs="宋体"/>
          <w:b/>
          <w:color w:val="auto"/>
          <w:sz w:val="24"/>
          <w:highlight w:val="none"/>
        </w:rPr>
        <w:t xml:space="preserve">             </w:t>
      </w:r>
    </w:p>
    <w:p w14:paraId="53FF4F1F">
      <w:pPr>
        <w:pStyle w:val="6"/>
        <w:spacing w:line="360" w:lineRule="auto"/>
        <w:ind w:left="420" w:leftChars="200" w:firstLine="422" w:firstLineChars="17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预算金额（元）：</w:t>
      </w:r>
      <w:r>
        <w:rPr>
          <w:rFonts w:hint="eastAsia" w:hAnsi="宋体" w:cs="宋体"/>
          <w:b w:val="0"/>
          <w:bCs/>
          <w:color w:val="auto"/>
          <w:sz w:val="24"/>
          <w:highlight w:val="none"/>
          <w:lang w:val="en-US" w:eastAsia="zh-CN"/>
        </w:rPr>
        <w:t>280000</w:t>
      </w:r>
      <w:r>
        <w:rPr>
          <w:rFonts w:hint="eastAsia" w:ascii="宋体" w:hAnsi="宋体" w:eastAsia="宋体" w:cs="宋体"/>
          <w:b/>
          <w:color w:val="auto"/>
          <w:sz w:val="24"/>
          <w:highlight w:val="none"/>
        </w:rPr>
        <w:t xml:space="preserve">          </w:t>
      </w:r>
    </w:p>
    <w:p w14:paraId="64717628">
      <w:pPr>
        <w:pStyle w:val="6"/>
        <w:spacing w:line="360" w:lineRule="auto"/>
        <w:ind w:left="420" w:leftChars="200" w:firstLine="422" w:firstLineChars="175"/>
        <w:rPr>
          <w:rFonts w:hint="eastAsia" w:ascii="宋体" w:hAnsi="宋体" w:eastAsia="宋体" w:cs="宋体"/>
          <w:bCs/>
          <w:snapToGrid/>
          <w:color w:val="auto"/>
          <w:kern w:val="2"/>
          <w:sz w:val="24"/>
          <w:szCs w:val="24"/>
          <w:highlight w:val="none"/>
        </w:rPr>
      </w:pPr>
      <w:r>
        <w:rPr>
          <w:rFonts w:hint="eastAsia" w:ascii="宋体" w:hAnsi="宋体" w:eastAsia="宋体" w:cs="宋体"/>
          <w:b/>
          <w:color w:val="auto"/>
          <w:sz w:val="24"/>
          <w:highlight w:val="none"/>
        </w:rPr>
        <w:t>简要规格描述或项目基本概况介绍、用途：</w:t>
      </w:r>
      <w:r>
        <w:rPr>
          <w:rFonts w:hint="eastAsia" w:ascii="宋体" w:hAnsi="宋体" w:eastAsia="宋体" w:cs="宋体"/>
          <w:snapToGrid/>
          <w:color w:val="auto"/>
          <w:kern w:val="2"/>
          <w:sz w:val="24"/>
          <w:szCs w:val="24"/>
          <w:highlight w:val="none"/>
          <w:lang w:val="en-US" w:eastAsia="zh-CN"/>
        </w:rPr>
        <w:t>本项目为浙江省司法行政综合业务管理系统迭代升级项目——机关内控管理功能升级</w:t>
      </w:r>
      <w:r>
        <w:rPr>
          <w:rFonts w:hint="eastAsia" w:hAnsi="宋体" w:cs="宋体"/>
          <w:color w:val="auto"/>
          <w:sz w:val="24"/>
          <w:highlight w:val="none"/>
          <w:lang w:eastAsia="zh-CN"/>
        </w:rPr>
        <w:t>，</w:t>
      </w:r>
      <w:r>
        <w:rPr>
          <w:rFonts w:hint="eastAsia" w:ascii="宋体" w:hAnsi="宋体" w:eastAsia="宋体" w:cs="宋体"/>
          <w:snapToGrid/>
          <w:color w:val="auto"/>
          <w:kern w:val="2"/>
          <w:sz w:val="24"/>
          <w:szCs w:val="24"/>
          <w:highlight w:val="none"/>
        </w:rPr>
        <w:t>具体以招标文件第三部分采购需求为准</w:t>
      </w:r>
      <w:r>
        <w:rPr>
          <w:rFonts w:hint="eastAsia" w:hAnsi="宋体" w:cs="宋体"/>
          <w:snapToGrid/>
          <w:color w:val="auto"/>
          <w:kern w:val="2"/>
          <w:sz w:val="24"/>
          <w:szCs w:val="24"/>
          <w:highlight w:val="none"/>
          <w:lang w:eastAsia="zh-CN"/>
        </w:rPr>
        <w:t>。</w:t>
      </w:r>
      <w:r>
        <w:rPr>
          <w:rFonts w:hint="eastAsia" w:ascii="宋体" w:hAnsi="宋体" w:eastAsia="宋体" w:cs="宋体"/>
          <w:snapToGrid/>
          <w:color w:val="auto"/>
          <w:kern w:val="2"/>
          <w:sz w:val="24"/>
          <w:szCs w:val="24"/>
          <w:highlight w:val="none"/>
        </w:rPr>
        <w:t>供应商可点击本公告下方“浏览采购文件”查看采购需求。</w:t>
      </w:r>
    </w:p>
    <w:p w14:paraId="1199038D">
      <w:pPr>
        <w:pStyle w:val="141"/>
        <w:keepNext w:val="0"/>
        <w:keepLines w:val="0"/>
        <w:pageBreakBefore w:val="0"/>
        <w:widowControl w:val="0"/>
        <w:kinsoku/>
        <w:wordWrap/>
        <w:overflowPunct/>
        <w:topLinePunct w:val="0"/>
        <w:autoSpaceDE/>
        <w:autoSpaceDN/>
        <w:bidi w:val="0"/>
        <w:adjustRightInd w:val="0"/>
        <w:snapToGrid/>
        <w:spacing w:before="0"/>
        <w:ind w:left="420" w:leftChars="200" w:firstLine="422" w:firstLineChars="175"/>
        <w:textAlignment w:val="auto"/>
        <w:outlineLvl w:val="2"/>
        <w:rPr>
          <w:rFonts w:hint="eastAsia" w:ascii="宋体" w:hAnsi="宋体" w:eastAsia="宋体" w:cs="宋体"/>
          <w:b/>
          <w:color w:val="auto"/>
          <w:highlight w:val="none"/>
          <w:lang w:val="en-US" w:eastAsia="zh-CN"/>
        </w:rPr>
      </w:pPr>
      <w:r>
        <w:rPr>
          <w:rFonts w:hint="eastAsia" w:ascii="宋体" w:hAnsi="宋体" w:eastAsia="宋体" w:cs="宋体"/>
          <w:b/>
          <w:color w:val="auto"/>
          <w:highlight w:val="none"/>
          <w:lang w:val="en-US" w:eastAsia="zh-CN"/>
        </w:rPr>
        <w:t>备注：/</w:t>
      </w:r>
    </w:p>
    <w:p w14:paraId="2FFA4321">
      <w:pPr>
        <w:pStyle w:val="141"/>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b/>
          <w:color w:val="auto"/>
          <w:highlight w:val="none"/>
        </w:rPr>
      </w:pPr>
    </w:p>
    <w:p w14:paraId="4419B7FB">
      <w:pPr>
        <w:pStyle w:val="141"/>
        <w:keepNext w:val="0"/>
        <w:keepLines w:val="0"/>
        <w:pageBreakBefore w:val="0"/>
        <w:widowControl w:val="0"/>
        <w:kinsoku/>
        <w:wordWrap/>
        <w:overflowPunct/>
        <w:topLinePunct w:val="0"/>
        <w:autoSpaceDE/>
        <w:autoSpaceDN/>
        <w:bidi w:val="0"/>
        <w:adjustRightInd w:val="0"/>
        <w:snapToGrid/>
        <w:spacing w:before="0"/>
        <w:ind w:firstLine="482"/>
        <w:textAlignment w:val="auto"/>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w:t>
      </w:r>
      <w:r>
        <w:rPr>
          <w:rFonts w:hint="eastAsia" w:ascii="宋体" w:hAnsi="宋体" w:eastAsia="宋体" w:cs="宋体"/>
          <w:b w:val="0"/>
          <w:bCs w:val="0"/>
          <w:color w:val="auto"/>
          <w:highlight w:val="none"/>
          <w:lang w:val="en-US" w:eastAsia="zh-CN"/>
        </w:rPr>
        <w:t>标项1</w:t>
      </w:r>
      <w:r>
        <w:rPr>
          <w:rFonts w:hint="eastAsia" w:ascii="宋体" w:hAnsi="宋体" w:cs="宋体"/>
          <w:b w:val="0"/>
          <w:bCs w:val="0"/>
          <w:color w:val="auto"/>
          <w:highlight w:val="none"/>
          <w:lang w:val="en-US" w:eastAsia="zh-CN"/>
        </w:rPr>
        <w:t>、2</w:t>
      </w:r>
      <w:r>
        <w:rPr>
          <w:rFonts w:hint="eastAsia" w:ascii="宋体" w:hAnsi="宋体" w:eastAsia="宋体" w:cs="宋体"/>
          <w:b w:val="0"/>
          <w:bCs w:val="0"/>
          <w:color w:val="auto"/>
          <w:highlight w:val="none"/>
          <w:lang w:val="en-US" w:eastAsia="zh-CN"/>
        </w:rPr>
        <w:t>，</w:t>
      </w:r>
      <w:r>
        <w:rPr>
          <w:rFonts w:hint="eastAsia" w:ascii="宋体" w:hAnsi="宋体" w:cs="宋体"/>
          <w:b w:val="0"/>
          <w:bCs w:val="0"/>
          <w:color w:val="auto"/>
          <w:highlight w:val="none"/>
          <w:lang w:val="en-US" w:eastAsia="zh-CN"/>
        </w:rPr>
        <w:t>详见采购文件</w:t>
      </w:r>
      <w:r>
        <w:rPr>
          <w:rFonts w:hint="eastAsia" w:ascii="宋体" w:hAnsi="宋体" w:eastAsia="宋体" w:cs="宋体"/>
          <w:b w:val="0"/>
          <w:bCs w:val="0"/>
          <w:color w:val="auto"/>
          <w:highlight w:val="none"/>
          <w:lang w:eastAsia="zh-CN"/>
        </w:rPr>
        <w:t>。</w:t>
      </w:r>
    </w:p>
    <w:p w14:paraId="029C814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本项目（是）接受联合体投标。</w:t>
      </w:r>
    </w:p>
    <w:p w14:paraId="1BA6C2B5">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669605D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71B006B">
      <w:pPr>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2.落实政府采购政策需满足的资格要求：标项1</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2</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无</w:t>
      </w:r>
      <w:r>
        <w:rPr>
          <w:rFonts w:hint="eastAsia" w:ascii="宋体" w:hAnsi="宋体" w:cs="宋体"/>
          <w:snapToGrid w:val="0"/>
          <w:color w:val="auto"/>
          <w:kern w:val="28"/>
          <w:sz w:val="24"/>
          <w:szCs w:val="20"/>
          <w:highlight w:val="none"/>
        </w:rPr>
        <w:t>。</w:t>
      </w:r>
    </w:p>
    <w:p w14:paraId="1422ADD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3.本项目的特定资格要求：无。</w:t>
      </w:r>
    </w:p>
    <w:p w14:paraId="15564B6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A026D4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2025年4月18日</w:t>
      </w:r>
      <w:r>
        <w:rPr>
          <w:rFonts w:hint="eastAsia" w:ascii="宋体" w:hAnsi="宋体" w:cs="宋体"/>
          <w:color w:val="auto"/>
          <w:sz w:val="24"/>
          <w:highlight w:val="none"/>
        </w:rPr>
        <w:t>，每天上午00:00至12:00 ，下午12:00至23:59（北京时间，线上获取法定节假日均可，线下获取文件法定节假日除外）</w:t>
      </w:r>
    </w:p>
    <w:p w14:paraId="1D08411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65194A7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bCs/>
          <w:color w:val="auto"/>
          <w:sz w:val="24"/>
          <w:highlight w:val="none"/>
        </w:rPr>
        <w:t>供应商通过“浙江政府采购网”在线获取（招标公告下方选取“潜在供应商”处“获取采购文件”），不提供纸质版采购文件；供应商只有在“浙江政府采购网”完成获取采购文件申请并下载了采购文件后才视作依法获取采购文件（法律法规所指的供应商获取采购文件时间以供应商完成获取采购文件申请后下载采购文件的时间为准）。</w:t>
      </w:r>
    </w:p>
    <w:p w14:paraId="647AD685">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5E126A8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2025年4月18日09：00</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5A5D6A9F">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8F00B9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2025年4月18日09：00</w:t>
      </w:r>
      <w:r>
        <w:rPr>
          <w:rFonts w:hint="eastAsia" w:ascii="宋体" w:hAnsi="宋体" w:cs="宋体"/>
          <w:bCs/>
          <w:color w:val="auto"/>
          <w:sz w:val="24"/>
          <w:highlight w:val="none"/>
          <w:u w:val="single"/>
        </w:rPr>
        <w:t xml:space="preserve">  </w:t>
      </w:r>
    </w:p>
    <w:p w14:paraId="66496E2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DCC3B9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79C7C1C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163D690D">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5D2363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2124A4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D13B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w:t>
      </w:r>
      <w:r>
        <w:rPr>
          <w:rFonts w:hint="eastAsia" w:ascii="宋体" w:hAnsi="宋体" w:cs="宋体"/>
          <w:color w:val="auto"/>
          <w:sz w:val="24"/>
          <w:highlight w:val="none"/>
          <w:lang w:val="en-US" w:eastAsia="zh-CN"/>
        </w:rPr>
        <w:t>对</w:t>
      </w:r>
      <w:r>
        <w:rPr>
          <w:rFonts w:hint="eastAsia" w:ascii="宋体" w:hAnsi="宋体" w:cs="宋体"/>
          <w:color w:val="auto"/>
          <w:sz w:val="24"/>
          <w:highlight w:val="none"/>
        </w:rPr>
        <w:t>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D5A93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3DE67A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71243310">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1.采购人信息</w:t>
      </w:r>
    </w:p>
    <w:p w14:paraId="5CEC9FDA">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名    称：浙江省司法厅</w:t>
      </w:r>
    </w:p>
    <w:p w14:paraId="592C2BD6">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地址：杭州市西湖区省府路8号省政府十号楼</w:t>
      </w:r>
    </w:p>
    <w:p w14:paraId="10FCC29C">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传真：/</w:t>
      </w:r>
    </w:p>
    <w:p w14:paraId="70DE04ED">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项目联系人（询问）：张先生</w:t>
      </w:r>
    </w:p>
    <w:p w14:paraId="6F115F37">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项目联系方式（询问）：0571-87054435</w:t>
      </w:r>
    </w:p>
    <w:p w14:paraId="1752EE7A">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质疑联系人：郭女士</w:t>
      </w:r>
    </w:p>
    <w:p w14:paraId="2DE1199D">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质疑联系方式：0571-87052477</w:t>
      </w:r>
    </w:p>
    <w:p w14:paraId="570EF474">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2.采购代理机构信息</w:t>
      </w:r>
    </w:p>
    <w:p w14:paraId="059AD9A6">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名    称：浙江国际招投标有限公司</w:t>
      </w:r>
    </w:p>
    <w:p w14:paraId="01A88BCF">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地址：杭州市西湖区文三路90号东部软件园1号楼3楼</w:t>
      </w:r>
    </w:p>
    <w:p w14:paraId="22AB2611">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传真：0571-88473430</w:t>
      </w:r>
    </w:p>
    <w:p w14:paraId="5585D492">
      <w:pPr>
        <w:spacing w:line="360" w:lineRule="auto"/>
        <w:ind w:firstLine="420" w:firstLineChars="175"/>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项目联系人（询问）：周群峰、</w:t>
      </w:r>
      <w:r>
        <w:rPr>
          <w:rFonts w:hint="eastAsia" w:ascii="宋体" w:hAnsi="宋体" w:cs="宋体"/>
          <w:color w:val="auto"/>
          <w:sz w:val="24"/>
          <w:highlight w:val="none"/>
          <w:lang w:val="en-US" w:eastAsia="zh-CN"/>
        </w:rPr>
        <w:t>易芳明、夏逸云</w:t>
      </w:r>
    </w:p>
    <w:p w14:paraId="09EF8911">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项目联系方式（询问）：0571-81061804、</w:t>
      </w:r>
      <w:r>
        <w:rPr>
          <w:rFonts w:hint="eastAsia" w:ascii="宋体" w:hAnsi="宋体" w:eastAsia="宋体" w:cs="宋体"/>
          <w:color w:val="auto"/>
          <w:sz w:val="24"/>
          <w:highlight w:val="none"/>
        </w:rPr>
        <w:t>0571-</w:t>
      </w:r>
      <w:r>
        <w:rPr>
          <w:rFonts w:hint="eastAsia" w:ascii="宋体" w:hAnsi="宋体" w:cs="宋体"/>
          <w:color w:val="auto"/>
          <w:sz w:val="24"/>
          <w:highlight w:val="none"/>
          <w:lang w:val="en-US" w:eastAsia="zh-CN"/>
        </w:rPr>
        <w:t>81061820</w:t>
      </w:r>
    </w:p>
    <w:p w14:paraId="58A89D3D">
      <w:pPr>
        <w:spacing w:line="360" w:lineRule="auto"/>
        <w:ind w:firstLine="420" w:firstLineChars="175"/>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葛珍妮</w:t>
      </w:r>
    </w:p>
    <w:p w14:paraId="60455366">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质疑联系方式：0571-81061821</w:t>
      </w:r>
    </w:p>
    <w:p w14:paraId="3227B229">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3.同级政府采购监督管理部门</w:t>
      </w:r>
    </w:p>
    <w:p w14:paraId="53A0D3B6">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名称：浙江省政府采购行政裁决服务中心（杭州市上城区清泰街549号城建综合大楼11楼）</w:t>
      </w:r>
    </w:p>
    <w:p w14:paraId="726774BC">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地址：杭州市上城区清泰街549号城建综合大楼11楼</w:t>
      </w:r>
    </w:p>
    <w:p w14:paraId="27597F44">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传真：/</w:t>
      </w:r>
    </w:p>
    <w:p w14:paraId="5A649893">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联系人：朱老师、王老师、匡老师</w:t>
      </w:r>
    </w:p>
    <w:p w14:paraId="508E5754">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监督投诉电话：0571-87800218，0571-87227671</w:t>
      </w:r>
    </w:p>
    <w:p w14:paraId="6EBC3CCB">
      <w:pPr>
        <w:spacing w:line="360" w:lineRule="auto"/>
        <w:ind w:firstLine="420" w:firstLineChars="175"/>
        <w:rPr>
          <w:rFonts w:ascii="宋体" w:hAnsi="宋体" w:cs="宋体"/>
          <w:color w:val="auto"/>
          <w:sz w:val="24"/>
          <w:highlight w:val="none"/>
        </w:rPr>
      </w:pPr>
    </w:p>
    <w:p w14:paraId="2C24507E">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政策咨询：何一平、冯华，0571-87058424、87055741</w:t>
      </w:r>
    </w:p>
    <w:p w14:paraId="7AE345BA">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预算金额未达100万元的采购项目，由采购人处理采购争议。</w:t>
      </w:r>
    </w:p>
    <w:p w14:paraId="14FEE024">
      <w:pPr>
        <w:spacing w:line="360" w:lineRule="auto"/>
        <w:ind w:firstLine="420" w:firstLineChars="175"/>
        <w:rPr>
          <w:rFonts w:ascii="宋体" w:hAnsi="宋体" w:cs="宋体"/>
          <w:color w:val="auto"/>
          <w:sz w:val="24"/>
          <w:highlight w:val="none"/>
        </w:rPr>
      </w:pPr>
    </w:p>
    <w:p w14:paraId="04E8634E">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27F2D29">
      <w:pPr>
        <w:spacing w:line="360" w:lineRule="auto"/>
        <w:ind w:firstLine="420" w:firstLineChars="175"/>
        <w:rPr>
          <w:rFonts w:ascii="宋体" w:hAnsi="宋体" w:cs="宋体"/>
          <w:b/>
          <w:color w:val="auto"/>
          <w:sz w:val="36"/>
          <w:szCs w:val="20"/>
          <w:highlight w:val="none"/>
        </w:rPr>
      </w:pPr>
      <w:r>
        <w:rPr>
          <w:rFonts w:hint="eastAsia" w:ascii="宋体" w:hAnsi="宋体" w:cs="宋体"/>
          <w:color w:val="auto"/>
          <w:sz w:val="24"/>
          <w:highlight w:val="none"/>
        </w:rPr>
        <w:t>CA问题联系电话（人工）：汇信CA 400-888-4636；天谷CA 400-087-8198。</w:t>
      </w:r>
      <w:r>
        <w:rPr>
          <w:rFonts w:hint="eastAsia" w:ascii="宋体" w:hAnsi="宋体" w:cs="宋体"/>
          <w:b/>
          <w:color w:val="auto"/>
          <w:sz w:val="36"/>
          <w:szCs w:val="20"/>
          <w:highlight w:val="none"/>
        </w:rPr>
        <w:br w:type="page"/>
      </w:r>
    </w:p>
    <w:p w14:paraId="0290D6BA">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14:paraId="27C874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302" w:type="dxa"/>
        <w:tblInd w:w="-13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473"/>
        <w:gridCol w:w="7200"/>
      </w:tblGrid>
      <w:tr w14:paraId="51D49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blHeader/>
        </w:trPr>
        <w:tc>
          <w:tcPr>
            <w:tcW w:w="629" w:type="dxa"/>
            <w:tcBorders>
              <w:top w:val="single" w:color="auto" w:sz="4" w:space="0"/>
              <w:left w:val="single" w:color="auto" w:sz="4" w:space="0"/>
              <w:bottom w:val="single" w:color="auto" w:sz="4" w:space="0"/>
              <w:right w:val="single" w:color="auto" w:sz="4" w:space="0"/>
            </w:tcBorders>
          </w:tcPr>
          <w:p w14:paraId="17DB400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73" w:type="dxa"/>
            <w:tcBorders>
              <w:top w:val="single" w:color="000000" w:sz="8" w:space="0"/>
              <w:left w:val="single" w:color="auto" w:sz="4" w:space="0"/>
              <w:bottom w:val="single" w:color="000000" w:sz="8" w:space="0"/>
              <w:right w:val="single" w:color="000000" w:sz="8" w:space="0"/>
            </w:tcBorders>
            <w:vAlign w:val="center"/>
          </w:tcPr>
          <w:p w14:paraId="038CCE7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7200" w:type="dxa"/>
            <w:tcBorders>
              <w:top w:val="single" w:color="000000" w:sz="8" w:space="0"/>
              <w:left w:val="single" w:color="000000" w:sz="2" w:space="0"/>
              <w:bottom w:val="single" w:color="000000" w:sz="8" w:space="0"/>
              <w:right w:val="single" w:color="000000" w:sz="8" w:space="0"/>
            </w:tcBorders>
            <w:vAlign w:val="center"/>
          </w:tcPr>
          <w:p w14:paraId="4C9FAF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AA381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044898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73" w:type="dxa"/>
            <w:tcBorders>
              <w:top w:val="single" w:color="000000" w:sz="8" w:space="0"/>
              <w:left w:val="single" w:color="auto" w:sz="4" w:space="0"/>
              <w:bottom w:val="single" w:color="000000" w:sz="8" w:space="0"/>
              <w:right w:val="single" w:color="000000" w:sz="8" w:space="0"/>
            </w:tcBorders>
            <w:vAlign w:val="center"/>
          </w:tcPr>
          <w:p w14:paraId="5C3A2AEC">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7200" w:type="dxa"/>
            <w:tcBorders>
              <w:top w:val="single" w:color="000000" w:sz="8" w:space="0"/>
              <w:left w:val="single" w:color="000000" w:sz="2" w:space="0"/>
              <w:bottom w:val="single" w:color="000000" w:sz="8" w:space="0"/>
              <w:right w:val="single" w:color="000000" w:sz="8" w:space="0"/>
            </w:tcBorders>
            <w:vAlign w:val="center"/>
          </w:tcPr>
          <w:p w14:paraId="56165777">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21F609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0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C2958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73" w:type="dxa"/>
            <w:tcBorders>
              <w:top w:val="single" w:color="000000" w:sz="8" w:space="0"/>
              <w:left w:val="single" w:color="auto" w:sz="4" w:space="0"/>
              <w:bottom w:val="single" w:color="000000" w:sz="8" w:space="0"/>
              <w:right w:val="single" w:color="000000" w:sz="8" w:space="0"/>
            </w:tcBorders>
            <w:vAlign w:val="center"/>
          </w:tcPr>
          <w:p w14:paraId="5CF38F7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200" w:type="dxa"/>
            <w:tcBorders>
              <w:top w:val="single" w:color="000000" w:sz="8" w:space="0"/>
              <w:left w:val="single" w:color="000000" w:sz="2" w:space="0"/>
              <w:bottom w:val="single" w:color="000000" w:sz="8" w:space="0"/>
              <w:right w:val="single" w:color="000000" w:sz="8" w:space="0"/>
            </w:tcBorders>
            <w:vAlign w:val="center"/>
          </w:tcPr>
          <w:p w14:paraId="7E72FF1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lang w:val="en-US" w:eastAsia="zh-CN"/>
              </w:rPr>
              <w:t>标项1为</w:t>
            </w:r>
            <w:r>
              <w:rPr>
                <w:rFonts w:hint="eastAsia" w:ascii="宋体" w:hAnsi="宋体" w:cs="宋体"/>
                <w:color w:val="auto"/>
                <w:kern w:val="0"/>
                <w:sz w:val="24"/>
                <w:highlight w:val="none"/>
                <w:u w:val="single"/>
                <w:lang w:eastAsia="zh-CN"/>
              </w:rPr>
              <w:t>浙江省司法行政综合业务管理系统迭代升级项目——市县工作平台升级，</w:t>
            </w:r>
            <w:r>
              <w:rPr>
                <w:rFonts w:hint="eastAsia" w:ascii="宋体" w:hAnsi="宋体" w:cs="宋体"/>
                <w:color w:val="auto"/>
                <w:kern w:val="0"/>
                <w:sz w:val="24"/>
                <w:highlight w:val="none"/>
                <w:u w:val="single"/>
                <w:lang w:val="en-US" w:eastAsia="zh-CN"/>
              </w:rPr>
              <w:t>标项2为浙江省司法行政综合业务管理系统迭代升级项目——机关内控管理功能升级</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软件和信息技术服务业 </w:t>
            </w:r>
            <w:r>
              <w:rPr>
                <w:rFonts w:hint="eastAsia" w:ascii="宋体" w:hAnsi="宋体" w:cs="宋体"/>
                <w:color w:val="auto"/>
                <w:kern w:val="0"/>
                <w:sz w:val="24"/>
                <w:highlight w:val="none"/>
              </w:rPr>
              <w:t>行业；</w:t>
            </w:r>
          </w:p>
          <w:p w14:paraId="6686151F">
            <w:pPr>
              <w:pStyle w:val="4"/>
              <w:ind w:left="0" w:firstLine="0"/>
              <w:rPr>
                <w:rFonts w:ascii="宋体" w:hAnsi="宋体" w:eastAsia="宋体" w:cs="宋体"/>
                <w:color w:val="auto"/>
                <w:sz w:val="24"/>
                <w:szCs w:val="24"/>
                <w:highlight w:val="none"/>
                <w:lang w:val="en-US"/>
              </w:rPr>
            </w:pPr>
            <w:r>
              <w:rPr>
                <w:rFonts w:hint="eastAsia" w:ascii="宋体" w:hAnsi="宋体" w:eastAsia="宋体" w:cs="宋体"/>
                <w:b w:val="0"/>
                <w:bCs w:val="0"/>
                <w:color w:val="auto"/>
                <w:kern w:val="0"/>
                <w:sz w:val="24"/>
                <w:szCs w:val="24"/>
                <w:highlight w:val="none"/>
                <w:lang w:val="en-US"/>
              </w:rPr>
              <w:t>（2）根据《关于印发中小企业划型标准规定的通知》（工信部联企业〔2011〕300）第四条第（二）项规定：软件和信息技术服务业行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47D3A0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3D6FD6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473" w:type="dxa"/>
            <w:tcBorders>
              <w:top w:val="single" w:color="000000" w:sz="8" w:space="0"/>
              <w:left w:val="single" w:color="auto" w:sz="4" w:space="0"/>
              <w:bottom w:val="single" w:color="000000" w:sz="8" w:space="0"/>
              <w:right w:val="single" w:color="000000" w:sz="8" w:space="0"/>
            </w:tcBorders>
            <w:vAlign w:val="center"/>
          </w:tcPr>
          <w:p w14:paraId="42EAEE9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200" w:type="dxa"/>
            <w:tcBorders>
              <w:top w:val="single" w:color="000000" w:sz="8" w:space="0"/>
              <w:left w:val="single" w:color="000000" w:sz="2" w:space="0"/>
              <w:bottom w:val="single" w:color="000000" w:sz="8" w:space="0"/>
              <w:right w:val="single" w:color="000000" w:sz="8" w:space="0"/>
            </w:tcBorders>
            <w:vAlign w:val="center"/>
          </w:tcPr>
          <w:p w14:paraId="729657C5">
            <w:pPr>
              <w:spacing w:line="360" w:lineRule="auto"/>
              <w:rPr>
                <w:rFonts w:ascii="宋体" w:hAnsi="宋体" w:cs="宋体"/>
                <w:color w:val="auto"/>
                <w:kern w:val="0"/>
                <w:sz w:val="24"/>
                <w:highlight w:val="none"/>
              </w:rPr>
            </w:pPr>
            <w:r>
              <w:rPr>
                <w:rFonts w:hint="eastAsia" w:ascii="宋体" w:hAnsi="宋体" w:cs="宋体"/>
                <w:b/>
                <w:bCs/>
                <w:snapToGrid w:val="0"/>
                <w:color w:val="auto"/>
                <w:kern w:val="28"/>
                <w:sz w:val="24"/>
                <w:highlight w:val="none"/>
              </w:rPr>
              <w:t xml:space="preserve">√ </w:t>
            </w:r>
            <w:r>
              <w:rPr>
                <w:rFonts w:hint="eastAsia" w:ascii="宋体" w:hAnsi="宋体" w:cs="宋体"/>
                <w:b/>
                <w:bCs/>
                <w:color w:val="auto"/>
                <w:kern w:val="0"/>
                <w:sz w:val="24"/>
                <w:highlight w:val="none"/>
              </w:rPr>
              <w:t>本项目不允许采购进口产品。</w:t>
            </w:r>
          </w:p>
          <w:p w14:paraId="23D9DB3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147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CC416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ABD65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473" w:type="dxa"/>
            <w:tcBorders>
              <w:top w:val="single" w:color="000000" w:sz="8" w:space="0"/>
              <w:left w:val="single" w:color="auto" w:sz="4" w:space="0"/>
              <w:bottom w:val="single" w:color="000000" w:sz="8" w:space="0"/>
              <w:right w:val="single" w:color="000000" w:sz="8" w:space="0"/>
            </w:tcBorders>
            <w:vAlign w:val="center"/>
          </w:tcPr>
          <w:p w14:paraId="2332406A">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7200" w:type="dxa"/>
            <w:tcBorders>
              <w:top w:val="single" w:color="000000" w:sz="8" w:space="0"/>
              <w:left w:val="single" w:color="000000" w:sz="2" w:space="0"/>
              <w:bottom w:val="single" w:color="000000" w:sz="8" w:space="0"/>
              <w:right w:val="single" w:color="000000" w:sz="8" w:space="0"/>
            </w:tcBorders>
            <w:vAlign w:val="center"/>
          </w:tcPr>
          <w:p w14:paraId="046C509C">
            <w:pPr>
              <w:spacing w:line="360" w:lineRule="auto"/>
              <w:rPr>
                <w:rFonts w:ascii="宋体" w:hAnsi="宋体" w:cs="宋体"/>
                <w:color w:val="auto"/>
                <w:sz w:val="24"/>
                <w:highlight w:val="none"/>
              </w:rPr>
            </w:pPr>
            <w:r>
              <w:rPr>
                <w:rFonts w:hint="eastAsia" w:ascii="宋体" w:hAnsi="宋体" w:cs="宋体"/>
                <w:b/>
                <w:bCs/>
                <w:snapToGrid w:val="0"/>
                <w:color w:val="auto"/>
                <w:kern w:val="28"/>
                <w:sz w:val="24"/>
                <w:highlight w:val="none"/>
              </w:rPr>
              <w:t>√</w:t>
            </w:r>
            <w:r>
              <w:rPr>
                <w:rFonts w:hint="eastAsia" w:ascii="宋体" w:hAnsi="宋体" w:cs="宋体"/>
                <w:color w:val="auto"/>
                <w:kern w:val="0"/>
                <w:sz w:val="24"/>
                <w:highlight w:val="none"/>
              </w:rPr>
              <w:t xml:space="preserve"> </w:t>
            </w:r>
            <w:r>
              <w:rPr>
                <w:rFonts w:hint="eastAsia" w:ascii="宋体" w:hAnsi="宋体" w:cs="宋体"/>
                <w:b/>
                <w:bCs/>
                <w:color w:val="auto"/>
                <w:kern w:val="0"/>
                <w:sz w:val="24"/>
                <w:highlight w:val="none"/>
              </w:rPr>
              <w:t xml:space="preserve">A同意除 </w:t>
            </w:r>
            <w:r>
              <w:rPr>
                <w:rFonts w:hint="eastAsia" w:ascii="宋体" w:hAnsi="宋体" w:cs="宋体"/>
                <w:b/>
                <w:bCs/>
                <w:color w:val="auto"/>
                <w:kern w:val="0"/>
                <w:sz w:val="24"/>
                <w:highlight w:val="none"/>
                <w:u w:val="single"/>
              </w:rPr>
              <w:t>软件开发</w:t>
            </w:r>
            <w:r>
              <w:rPr>
                <w:rFonts w:hint="eastAsia" w:ascii="宋体" w:hAnsi="宋体" w:cs="宋体"/>
                <w:b/>
                <w:bCs/>
                <w:color w:val="auto"/>
                <w:kern w:val="0"/>
                <w:sz w:val="24"/>
                <w:highlight w:val="none"/>
                <w:u w:val="single"/>
              </w:rPr>
              <w:t xml:space="preserve"> </w:t>
            </w:r>
            <w:r>
              <w:rPr>
                <w:rFonts w:hint="eastAsia" w:ascii="宋体" w:hAnsi="宋体" w:cs="宋体"/>
                <w:b/>
                <w:bCs/>
                <w:color w:val="auto"/>
                <w:kern w:val="0"/>
                <w:sz w:val="24"/>
                <w:highlight w:val="none"/>
              </w:rPr>
              <w:t>外的</w:t>
            </w:r>
            <w:r>
              <w:rPr>
                <w:rFonts w:hint="eastAsia" w:ascii="宋体" w:hAnsi="宋体" w:cs="宋体"/>
                <w:b/>
                <w:bCs/>
                <w:color w:val="auto"/>
                <w:sz w:val="24"/>
                <w:highlight w:val="none"/>
              </w:rPr>
              <w:t>非主体、非关键性的工作分包。</w:t>
            </w:r>
          </w:p>
          <w:p w14:paraId="6767AA0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437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240415E5">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6E93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5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8EC82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473" w:type="dxa"/>
            <w:tcBorders>
              <w:top w:val="single" w:color="000000" w:sz="8" w:space="0"/>
              <w:left w:val="single" w:color="auto" w:sz="4" w:space="0"/>
              <w:bottom w:val="single" w:color="000000" w:sz="8" w:space="0"/>
              <w:right w:val="single" w:color="000000" w:sz="8" w:space="0"/>
            </w:tcBorders>
            <w:vAlign w:val="center"/>
          </w:tcPr>
          <w:p w14:paraId="0759C90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7200" w:type="dxa"/>
            <w:tcBorders>
              <w:top w:val="single" w:color="000000" w:sz="8" w:space="0"/>
              <w:left w:val="single" w:color="000000" w:sz="2" w:space="0"/>
              <w:bottom w:val="single" w:color="000000" w:sz="8" w:space="0"/>
              <w:right w:val="single" w:color="000000" w:sz="8" w:space="0"/>
            </w:tcBorders>
            <w:vAlign w:val="center"/>
          </w:tcPr>
          <w:p w14:paraId="7641AE05">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634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b w:val="0"/>
                <w:bCs w:val="0"/>
                <w:color w:val="auto"/>
                <w:kern w:val="0"/>
                <w:sz w:val="24"/>
                <w:highlight w:val="none"/>
              </w:rPr>
              <w:t>A</w:t>
            </w:r>
            <w:r>
              <w:rPr>
                <w:rFonts w:hint="eastAsia" w:ascii="宋体" w:hAnsi="宋体" w:cs="宋体"/>
                <w:b w:val="0"/>
                <w:bCs w:val="0"/>
                <w:color w:val="auto"/>
                <w:sz w:val="24"/>
                <w:highlight w:val="none"/>
              </w:rPr>
              <w:t>不组织</w:t>
            </w:r>
            <w:r>
              <w:rPr>
                <w:rFonts w:hint="eastAsia" w:ascii="宋体" w:hAnsi="宋体" w:cs="宋体"/>
                <w:b/>
                <w:bCs/>
                <w:color w:val="auto"/>
                <w:sz w:val="24"/>
                <w:highlight w:val="none"/>
              </w:rPr>
              <w:t>。</w:t>
            </w:r>
          </w:p>
          <w:p w14:paraId="34DA4A9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8065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0F16745">
            <w:pPr>
              <w:pStyle w:val="90"/>
              <w:spacing w:line="360" w:lineRule="auto"/>
              <w:rPr>
                <w:rFonts w:ascii="宋体" w:hAnsi="宋体" w:eastAsia="宋体" w:cs="宋体"/>
                <w:color w:val="auto"/>
                <w:highlight w:val="none"/>
              </w:rPr>
            </w:pPr>
            <w:r>
              <w:rPr>
                <w:rFonts w:hint="eastAsia" w:ascii="宋体" w:hAnsi="宋体" w:eastAsia="宋体" w:cs="宋体"/>
                <w:b/>
                <w:bCs/>
                <w:snapToGrid w:val="0"/>
                <w:color w:val="auto"/>
                <w:kern w:val="28"/>
                <w:highlight w:val="none"/>
              </w:rPr>
              <w:t>√</w:t>
            </w:r>
            <w:r>
              <w:rPr>
                <w:rFonts w:hint="eastAsia" w:ascii="宋体" w:hAnsi="宋体" w:eastAsia="宋体" w:cs="宋体"/>
                <w:b/>
                <w:bCs/>
                <w:snapToGrid w:val="0"/>
                <w:color w:val="auto"/>
                <w:kern w:val="28"/>
                <w:highlight w:val="none"/>
                <w:lang w:val="en-US" w:eastAsia="zh-CN"/>
              </w:rPr>
              <w:t xml:space="preserve"> </w:t>
            </w:r>
            <w:r>
              <w:rPr>
                <w:rFonts w:hint="eastAsia" w:ascii="宋体" w:hAnsi="宋体" w:cs="宋体"/>
                <w:b/>
                <w:bCs/>
                <w:color w:val="auto"/>
                <w:kern w:val="0"/>
                <w:sz w:val="24"/>
                <w:highlight w:val="none"/>
                <w:lang w:val="en-US" w:eastAsia="zh-CN"/>
              </w:rPr>
              <w:t>C</w:t>
            </w:r>
            <w:r>
              <w:rPr>
                <w:rFonts w:hint="eastAsia" w:ascii="宋体" w:hAnsi="宋体" w:eastAsia="宋体" w:cs="宋体"/>
                <w:b/>
                <w:bCs/>
                <w:color w:val="auto"/>
                <w:highlight w:val="none"/>
              </w:rPr>
              <w:t>不统一组织，供应商在获取采购文件后，自行至项目现场考察。地点：</w:t>
            </w:r>
            <w:r>
              <w:rPr>
                <w:rFonts w:hint="eastAsia" w:ascii="宋体" w:hAnsi="宋体" w:eastAsia="宋体" w:cs="宋体"/>
                <w:b/>
                <w:bCs/>
                <w:color w:val="auto"/>
                <w:highlight w:val="none"/>
                <w:u w:val="single"/>
              </w:rPr>
              <w:t>杭州市西湖区省府路8号省政府十号楼</w:t>
            </w:r>
            <w:r>
              <w:rPr>
                <w:rFonts w:hint="eastAsia" w:ascii="宋体" w:hAnsi="宋体" w:eastAsia="宋体" w:cs="宋体"/>
                <w:b/>
                <w:bCs/>
                <w:color w:val="auto"/>
                <w:highlight w:val="none"/>
              </w:rPr>
              <w:t>，联系人：</w:t>
            </w:r>
            <w:r>
              <w:rPr>
                <w:rFonts w:hint="eastAsia" w:ascii="宋体" w:hAnsi="宋体" w:eastAsia="宋体" w:cs="宋体"/>
                <w:b/>
                <w:bCs/>
                <w:color w:val="auto"/>
                <w:highlight w:val="none"/>
                <w:u w:val="single"/>
              </w:rPr>
              <w:t xml:space="preserve">见招标公告 </w:t>
            </w:r>
            <w:r>
              <w:rPr>
                <w:rFonts w:hint="eastAsia" w:ascii="宋体" w:hAnsi="宋体" w:eastAsia="宋体" w:cs="宋体"/>
                <w:b/>
                <w:bCs/>
                <w:color w:val="auto"/>
                <w:highlight w:val="none"/>
              </w:rPr>
              <w:t>，联系方式：</w:t>
            </w:r>
            <w:r>
              <w:rPr>
                <w:rFonts w:hint="eastAsia" w:ascii="宋体" w:hAnsi="宋体" w:eastAsia="宋体" w:cs="宋体"/>
                <w:b/>
                <w:bCs/>
                <w:color w:val="auto"/>
                <w:highlight w:val="none"/>
                <w:u w:val="single"/>
              </w:rPr>
              <w:t xml:space="preserve"> 见招标公告 </w:t>
            </w:r>
            <w:r>
              <w:rPr>
                <w:rFonts w:hint="eastAsia" w:ascii="宋体" w:hAnsi="宋体" w:eastAsia="宋体" w:cs="宋体"/>
                <w:b/>
                <w:bCs/>
                <w:color w:val="auto"/>
                <w:highlight w:val="none"/>
              </w:rPr>
              <w:t>。</w:t>
            </w:r>
          </w:p>
        </w:tc>
      </w:tr>
      <w:tr w14:paraId="77FB72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99BCC7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473" w:type="dxa"/>
            <w:tcBorders>
              <w:top w:val="single" w:color="000000" w:sz="8" w:space="0"/>
              <w:left w:val="single" w:color="auto" w:sz="4" w:space="0"/>
              <w:bottom w:val="single" w:color="000000" w:sz="8" w:space="0"/>
              <w:right w:val="single" w:color="000000" w:sz="8" w:space="0"/>
            </w:tcBorders>
            <w:vAlign w:val="center"/>
          </w:tcPr>
          <w:p w14:paraId="567EBDE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7200" w:type="dxa"/>
            <w:tcBorders>
              <w:top w:val="single" w:color="000000" w:sz="8" w:space="0"/>
              <w:left w:val="single" w:color="000000" w:sz="2" w:space="0"/>
              <w:bottom w:val="single" w:color="000000" w:sz="8" w:space="0"/>
              <w:right w:val="single" w:color="000000" w:sz="8" w:space="0"/>
            </w:tcBorders>
            <w:vAlign w:val="center"/>
          </w:tcPr>
          <w:p w14:paraId="474FE6E1">
            <w:pPr>
              <w:spacing w:line="420" w:lineRule="exact"/>
              <w:rPr>
                <w:rFonts w:ascii="宋体" w:hAnsi="宋体" w:cs="宋体"/>
                <w:color w:val="auto"/>
                <w:sz w:val="24"/>
                <w:highlight w:val="none"/>
              </w:rPr>
            </w:pPr>
            <w:r>
              <w:rPr>
                <w:rFonts w:hint="eastAsia" w:ascii="宋体" w:hAnsi="宋体" w:cs="宋体"/>
                <w:b/>
                <w:bCs/>
                <w:snapToGrid w:val="0"/>
                <w:color w:val="auto"/>
                <w:kern w:val="28"/>
                <w:sz w:val="24"/>
                <w:highlight w:val="none"/>
              </w:rPr>
              <w:t>√</w:t>
            </w:r>
            <w:r>
              <w:rPr>
                <w:rFonts w:hint="eastAsia" w:ascii="宋体" w:hAnsi="宋体" w:cs="宋体"/>
                <w:color w:val="auto"/>
                <w:kern w:val="0"/>
                <w:sz w:val="24"/>
                <w:highlight w:val="none"/>
              </w:rPr>
              <w:t xml:space="preserve"> </w:t>
            </w:r>
            <w:r>
              <w:rPr>
                <w:rFonts w:hint="eastAsia" w:ascii="宋体" w:hAnsi="宋体" w:cs="宋体"/>
                <w:b/>
                <w:bCs/>
                <w:color w:val="auto"/>
                <w:kern w:val="0"/>
                <w:sz w:val="24"/>
                <w:highlight w:val="none"/>
              </w:rPr>
              <w:t>A</w:t>
            </w:r>
            <w:r>
              <w:rPr>
                <w:rFonts w:hint="eastAsia" w:ascii="宋体" w:hAnsi="宋体" w:cs="宋体"/>
                <w:b/>
                <w:bCs/>
                <w:color w:val="auto"/>
                <w:sz w:val="24"/>
                <w:highlight w:val="none"/>
              </w:rPr>
              <w:t>不要求提供。</w:t>
            </w:r>
          </w:p>
          <w:p w14:paraId="73EAE7D4">
            <w:pPr>
              <w:spacing w:line="420" w:lineRule="exact"/>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 xml:space="preserve"> B要求提供，</w:t>
            </w:r>
          </w:p>
          <w:p w14:paraId="7DD798C5">
            <w:pPr>
              <w:spacing w:line="420" w:lineRule="exact"/>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61CEE80">
            <w:pPr>
              <w:spacing w:line="420" w:lineRule="exac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6ACD5664">
            <w:pPr>
              <w:spacing w:line="420" w:lineRule="exact"/>
              <w:rPr>
                <w:rFonts w:ascii="宋体" w:hAnsi="宋体" w:cs="宋体"/>
                <w:b/>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7）制作、运输、安装和保管样品所发生的一切费用由投标人自理。</w:t>
            </w:r>
          </w:p>
        </w:tc>
      </w:tr>
      <w:tr w14:paraId="6875D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385CB0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473" w:type="dxa"/>
            <w:tcBorders>
              <w:top w:val="single" w:color="000000" w:sz="8" w:space="0"/>
              <w:left w:val="single" w:color="auto" w:sz="4" w:space="0"/>
              <w:bottom w:val="single" w:color="000000" w:sz="8" w:space="0"/>
              <w:right w:val="single" w:color="000000" w:sz="8" w:space="0"/>
            </w:tcBorders>
            <w:vAlign w:val="center"/>
          </w:tcPr>
          <w:p w14:paraId="2AC57978">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系统演示</w:t>
            </w:r>
          </w:p>
        </w:tc>
        <w:tc>
          <w:tcPr>
            <w:tcW w:w="7200" w:type="dxa"/>
            <w:tcBorders>
              <w:top w:val="single" w:color="000000" w:sz="8" w:space="0"/>
              <w:left w:val="single" w:color="000000" w:sz="2" w:space="0"/>
              <w:bottom w:val="single" w:color="000000" w:sz="8" w:space="0"/>
              <w:right w:val="single" w:color="000000" w:sz="8" w:space="0"/>
            </w:tcBorders>
            <w:vAlign w:val="center"/>
          </w:tcPr>
          <w:p w14:paraId="59B0531E">
            <w:pPr>
              <w:snapToGrid w:val="0"/>
              <w:spacing w:line="360" w:lineRule="auto"/>
              <w:contextualSpacing/>
              <w:rPr>
                <w:rFonts w:ascii="宋体" w:hAnsi="宋体" w:cs="宋体"/>
                <w:color w:val="auto"/>
                <w:sz w:val="24"/>
                <w:highlight w:val="none"/>
              </w:rPr>
            </w:pPr>
            <w:r>
              <w:rPr>
                <w:rFonts w:hint="eastAsia" w:ascii="宋体" w:hAnsi="宋体" w:cs="宋体"/>
                <w:b/>
                <w:bCs/>
                <w:snapToGrid w:val="0"/>
                <w:color w:val="auto"/>
                <w:kern w:val="28"/>
                <w:sz w:val="24"/>
                <w:highlight w:val="none"/>
              </w:rPr>
              <w:t>√</w:t>
            </w:r>
            <w:r>
              <w:rPr>
                <w:rFonts w:hint="eastAsia" w:ascii="宋体" w:hAnsi="宋体" w:cs="宋体"/>
                <w:color w:val="auto"/>
                <w:kern w:val="0"/>
                <w:sz w:val="24"/>
                <w:highlight w:val="none"/>
              </w:rPr>
              <w:t xml:space="preserve"> </w:t>
            </w:r>
            <w:r>
              <w:rPr>
                <w:rFonts w:hint="eastAsia" w:ascii="宋体" w:hAnsi="宋体" w:cs="宋体"/>
                <w:b/>
                <w:bCs/>
                <w:color w:val="auto"/>
                <w:kern w:val="0"/>
                <w:sz w:val="24"/>
                <w:highlight w:val="none"/>
              </w:rPr>
              <w:t>A</w:t>
            </w:r>
            <w:r>
              <w:rPr>
                <w:rFonts w:hint="eastAsia" w:ascii="宋体" w:hAnsi="宋体" w:cs="宋体"/>
                <w:b/>
                <w:bCs/>
                <w:color w:val="auto"/>
                <w:kern w:val="0"/>
                <w:sz w:val="24"/>
                <w:highlight w:val="none"/>
                <w:lang w:val="en-US" w:eastAsia="zh-CN"/>
              </w:rPr>
              <w:t xml:space="preserve">标项2 </w:t>
            </w:r>
            <w:r>
              <w:rPr>
                <w:rFonts w:hint="eastAsia" w:ascii="宋体" w:hAnsi="宋体" w:cs="宋体"/>
                <w:b/>
                <w:bCs/>
                <w:color w:val="auto"/>
                <w:sz w:val="24"/>
                <w:highlight w:val="none"/>
              </w:rPr>
              <w:t>不组织。</w:t>
            </w:r>
          </w:p>
          <w:p w14:paraId="66D774AB">
            <w:pPr>
              <w:snapToGrid w:val="0"/>
              <w:spacing w:line="360" w:lineRule="auto"/>
              <w:contextualSpacing/>
              <w:rPr>
                <w:rFonts w:ascii="宋体" w:hAnsi="宋体" w:cs="宋体"/>
                <w:b/>
                <w:bCs/>
                <w:color w:val="auto"/>
                <w:kern w:val="0"/>
                <w:sz w:val="24"/>
                <w:highlight w:val="none"/>
              </w:rPr>
            </w:pPr>
            <w:r>
              <w:rPr>
                <w:rFonts w:hint="eastAsia" w:ascii="宋体" w:hAnsi="宋体" w:cs="宋体"/>
                <w:b/>
                <w:bCs/>
                <w:snapToGrid w:val="0"/>
                <w:color w:val="auto"/>
                <w:kern w:val="28"/>
                <w:sz w:val="24"/>
                <w:highlight w:val="none"/>
              </w:rPr>
              <w:t>√</w:t>
            </w:r>
            <w:r>
              <w:rPr>
                <w:rFonts w:hint="eastAsia" w:ascii="宋体" w:hAnsi="宋体" w:cs="宋体"/>
                <w:b w:val="0"/>
                <w:bCs w:val="0"/>
                <w:snapToGrid w:val="0"/>
                <w:color w:val="auto"/>
                <w:kern w:val="28"/>
                <w:sz w:val="24"/>
                <w:highlight w:val="none"/>
              </w:rPr>
              <w:t xml:space="preserve"> </w:t>
            </w:r>
            <w:r>
              <w:rPr>
                <w:rFonts w:hint="eastAsia" w:ascii="宋体" w:hAnsi="宋体" w:cs="宋体"/>
                <w:b/>
                <w:bCs/>
                <w:color w:val="auto"/>
                <w:kern w:val="0"/>
                <w:sz w:val="24"/>
                <w:highlight w:val="none"/>
              </w:rPr>
              <w:t>B</w:t>
            </w:r>
            <w:r>
              <w:rPr>
                <w:rFonts w:hint="eastAsia" w:ascii="宋体" w:hAnsi="宋体" w:cs="宋体"/>
                <w:b/>
                <w:bCs/>
                <w:color w:val="auto"/>
                <w:kern w:val="0"/>
                <w:sz w:val="24"/>
                <w:highlight w:val="none"/>
                <w:lang w:val="en-US" w:eastAsia="zh-CN"/>
              </w:rPr>
              <w:t xml:space="preserve">标项1 </w:t>
            </w:r>
            <w:r>
              <w:rPr>
                <w:rFonts w:hint="eastAsia" w:ascii="宋体" w:hAnsi="宋体" w:cs="宋体"/>
                <w:b/>
                <w:bCs/>
                <w:color w:val="auto"/>
                <w:kern w:val="0"/>
                <w:sz w:val="24"/>
                <w:highlight w:val="none"/>
              </w:rPr>
              <w:t>组织。</w:t>
            </w:r>
          </w:p>
          <w:p w14:paraId="10ED493C">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（1）在评标时安排每个投标人进行系统演示。每个投标人时间不超过</w:t>
            </w:r>
            <w:r>
              <w:rPr>
                <w:rFonts w:hint="eastAsia" w:ascii="宋体" w:hAnsi="宋体" w:cs="宋体"/>
                <w:color w:val="auto"/>
                <w:kern w:val="0"/>
                <w:sz w:val="24"/>
                <w:highlight w:val="none"/>
                <w:u w:val="single"/>
              </w:rPr>
              <w:t xml:space="preserve"> 15 </w:t>
            </w:r>
            <w:r>
              <w:rPr>
                <w:rFonts w:hint="eastAsia" w:ascii="宋体" w:hAnsi="宋体" w:cs="宋体"/>
                <w:color w:val="auto"/>
                <w:kern w:val="0"/>
                <w:sz w:val="24"/>
                <w:highlight w:val="none"/>
              </w:rPr>
              <w:t>分钟（不含现场评标委员会提问时间），演示次序以投标文件解密时间先后次序为准，演示人员需为拟派项目组成员之一。演示结束后按要求解答评标委员会提问。</w:t>
            </w:r>
          </w:p>
          <w:p w14:paraId="67813A19">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（2）系统演示选择采用</w:t>
            </w:r>
            <w:r>
              <w:rPr>
                <w:rFonts w:hint="eastAsia" w:ascii="宋体" w:hAnsi="宋体" w:cs="宋体"/>
                <w:color w:val="auto"/>
                <w:kern w:val="0"/>
                <w:sz w:val="24"/>
                <w:highlight w:val="none"/>
                <w:u w:val="none"/>
              </w:rPr>
              <w:t>现场系统演示</w:t>
            </w:r>
            <w:r>
              <w:rPr>
                <w:rFonts w:hint="eastAsia" w:ascii="宋体" w:hAnsi="宋体" w:cs="宋体"/>
                <w:color w:val="auto"/>
                <w:kern w:val="0"/>
                <w:sz w:val="24"/>
                <w:highlight w:val="none"/>
              </w:rPr>
              <w:t>：</w:t>
            </w:r>
          </w:p>
          <w:p w14:paraId="779D6976">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u w:val="single"/>
              </w:rPr>
              <w:t>现场演示签到地点为</w:t>
            </w:r>
            <w:r>
              <w:rPr>
                <w:rFonts w:hint="eastAsia" w:ascii="宋体" w:hAnsi="宋体" w:cs="宋体"/>
                <w:color w:val="auto"/>
                <w:sz w:val="24"/>
                <w:highlight w:val="none"/>
                <w:u w:val="single"/>
              </w:rPr>
              <w:t>杭州市西湖区文三路90号东部软件园1号楼3楼301开标室</w:t>
            </w:r>
            <w:r>
              <w:rPr>
                <w:rFonts w:hint="eastAsia" w:ascii="宋体" w:hAnsi="宋体" w:cs="宋体"/>
                <w:color w:val="auto"/>
                <w:kern w:val="0"/>
                <w:sz w:val="24"/>
                <w:highlight w:val="none"/>
                <w:u w:val="single"/>
              </w:rPr>
              <w:t>，现场演示签到截止时间同提交投标文件截止时间</w:t>
            </w:r>
            <w:r>
              <w:rPr>
                <w:rFonts w:hint="eastAsia" w:ascii="宋体" w:hAnsi="宋体" w:cs="宋体"/>
                <w:color w:val="auto"/>
                <w:kern w:val="0"/>
                <w:sz w:val="24"/>
                <w:highlight w:val="none"/>
              </w:rPr>
              <w:t>，未按时签到视为自动放弃系统演示。</w:t>
            </w:r>
          </w:p>
          <w:p w14:paraId="614E1223">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演示人员开始演示前须提供身份证明并与投标文件项目组相应成员一致，否则演示不得</w:t>
            </w:r>
            <w:r>
              <w:rPr>
                <w:rFonts w:hint="eastAsia" w:ascii="宋体" w:hAnsi="宋体" w:cs="宋体"/>
                <w:color w:val="auto"/>
                <w:kern w:val="0"/>
                <w:sz w:val="24"/>
                <w:highlight w:val="none"/>
                <w:lang w:val="en-US" w:eastAsia="zh-CN"/>
              </w:rPr>
              <w:t>分</w:t>
            </w:r>
            <w:r>
              <w:rPr>
                <w:rFonts w:hint="eastAsia" w:ascii="宋体" w:hAnsi="宋体" w:cs="宋体"/>
                <w:color w:val="auto"/>
                <w:kern w:val="0"/>
                <w:sz w:val="24"/>
                <w:highlight w:val="none"/>
              </w:rPr>
              <w:t>。</w:t>
            </w:r>
          </w:p>
          <w:p w14:paraId="7B5990C8">
            <w:pPr>
              <w:snapToGrid w:val="0"/>
              <w:spacing w:line="360" w:lineRule="auto"/>
              <w:contextualSpacing/>
              <w:rPr>
                <w:rFonts w:ascii="宋体" w:hAnsi="宋体" w:cs="宋体"/>
                <w:color w:val="auto"/>
                <w:kern w:val="0"/>
                <w:sz w:val="24"/>
                <w:highlight w:val="none"/>
              </w:rPr>
            </w:pPr>
            <w:r>
              <w:rPr>
                <w:rFonts w:hint="eastAsia" w:ascii="宋体" w:hAnsi="宋体" w:cs="宋体"/>
                <w:color w:val="auto"/>
                <w:kern w:val="0"/>
                <w:sz w:val="24"/>
                <w:highlight w:val="none"/>
              </w:rPr>
              <w:t>演示现场提供投影仪及无线网络环境，演示所用电脑等其他演示相关设备由投标人自备。</w:t>
            </w:r>
          </w:p>
          <w:p w14:paraId="4DC6002A">
            <w:pPr>
              <w:snapToGrid w:val="0"/>
              <w:spacing w:line="360" w:lineRule="auto"/>
              <w:contextualSpacing/>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注：因投标人自身原因导致无法演示或者演示效果不理想的，责任自负。因平台原因导致本项目演示环节无法顺利开展，按照《浙江省政府采购项目电子交易管理暂行办法》相关规定执行。</w:t>
            </w:r>
          </w:p>
        </w:tc>
      </w:tr>
      <w:tr w14:paraId="182802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75EF7EF6">
            <w:pPr>
              <w:snapToGrid w:val="0"/>
              <w:spacing w:line="360" w:lineRule="auto"/>
              <w:jc w:val="center"/>
              <w:rPr>
                <w:rFonts w:ascii="宋体" w:hAnsi="宋体" w:cs="宋体"/>
                <w:color w:val="auto"/>
                <w:sz w:val="24"/>
                <w:highlight w:val="none"/>
              </w:rPr>
            </w:pPr>
          </w:p>
          <w:p w14:paraId="3EEAF5AB">
            <w:pPr>
              <w:snapToGrid w:val="0"/>
              <w:spacing w:line="360" w:lineRule="auto"/>
              <w:jc w:val="center"/>
              <w:rPr>
                <w:rFonts w:ascii="宋体" w:hAnsi="宋体" w:cs="宋体"/>
                <w:color w:val="auto"/>
                <w:sz w:val="24"/>
                <w:highlight w:val="none"/>
              </w:rPr>
            </w:pPr>
          </w:p>
          <w:p w14:paraId="0526C7D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473" w:type="dxa"/>
            <w:vMerge w:val="restart"/>
            <w:tcBorders>
              <w:top w:val="single" w:color="000000" w:sz="8" w:space="0"/>
              <w:left w:val="single" w:color="auto" w:sz="4" w:space="0"/>
              <w:right w:val="single" w:color="000000" w:sz="8" w:space="0"/>
            </w:tcBorders>
            <w:vAlign w:val="center"/>
          </w:tcPr>
          <w:p w14:paraId="4ECF204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7200" w:type="dxa"/>
            <w:tcBorders>
              <w:top w:val="single" w:color="000000" w:sz="8" w:space="0"/>
              <w:left w:val="single" w:color="000000" w:sz="2" w:space="0"/>
              <w:bottom w:val="single" w:color="auto" w:sz="4" w:space="0"/>
              <w:right w:val="single" w:color="000000" w:sz="8" w:space="0"/>
            </w:tcBorders>
            <w:vAlign w:val="center"/>
          </w:tcPr>
          <w:p w14:paraId="6F68E462">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FB159F0">
            <w:pPr>
              <w:spacing w:line="360" w:lineRule="auto"/>
              <w:rPr>
                <w:rFonts w:ascii="宋体" w:hAnsi="宋体" w:cs="宋体"/>
                <w:snapToGrid w:val="0"/>
                <w:color w:val="auto"/>
                <w:kern w:val="0"/>
                <w:sz w:val="24"/>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314E6A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8" w:hRule="atLeast"/>
          <w:tblHeader/>
        </w:trPr>
        <w:tc>
          <w:tcPr>
            <w:tcW w:w="629" w:type="dxa"/>
            <w:vMerge w:val="continue"/>
            <w:tcBorders>
              <w:left w:val="single" w:color="auto" w:sz="4" w:space="0"/>
              <w:bottom w:val="single" w:color="auto" w:sz="4" w:space="0"/>
              <w:right w:val="single" w:color="auto" w:sz="4" w:space="0"/>
            </w:tcBorders>
          </w:tcPr>
          <w:p w14:paraId="653A8096">
            <w:pPr>
              <w:snapToGrid w:val="0"/>
              <w:spacing w:line="360" w:lineRule="auto"/>
              <w:jc w:val="center"/>
              <w:rPr>
                <w:rFonts w:ascii="宋体" w:hAnsi="宋体" w:cs="宋体"/>
                <w:color w:val="auto"/>
                <w:sz w:val="24"/>
                <w:highlight w:val="none"/>
              </w:rPr>
            </w:pPr>
          </w:p>
        </w:tc>
        <w:tc>
          <w:tcPr>
            <w:tcW w:w="1473" w:type="dxa"/>
            <w:vMerge w:val="continue"/>
            <w:tcBorders>
              <w:left w:val="single" w:color="auto" w:sz="4" w:space="0"/>
              <w:bottom w:val="single" w:color="000000" w:sz="8" w:space="0"/>
              <w:right w:val="single" w:color="000000" w:sz="8" w:space="0"/>
            </w:tcBorders>
            <w:vAlign w:val="center"/>
          </w:tcPr>
          <w:p w14:paraId="612582FA">
            <w:pPr>
              <w:snapToGrid w:val="0"/>
              <w:spacing w:line="360" w:lineRule="auto"/>
              <w:jc w:val="center"/>
              <w:rPr>
                <w:rFonts w:ascii="宋体" w:hAnsi="宋体" w:cs="宋体"/>
                <w:b/>
                <w:color w:val="auto"/>
                <w:sz w:val="24"/>
                <w:highlight w:val="none"/>
              </w:rPr>
            </w:pPr>
          </w:p>
        </w:tc>
        <w:tc>
          <w:tcPr>
            <w:tcW w:w="7200" w:type="dxa"/>
            <w:tcBorders>
              <w:top w:val="single" w:color="auto" w:sz="4" w:space="0"/>
              <w:left w:val="single" w:color="000000" w:sz="2" w:space="0"/>
              <w:bottom w:val="single" w:color="000000" w:sz="8" w:space="0"/>
              <w:right w:val="single" w:color="000000" w:sz="8" w:space="0"/>
            </w:tcBorders>
            <w:vAlign w:val="center"/>
          </w:tcPr>
          <w:p w14:paraId="4886DA63">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6BAF18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E44FBBB">
            <w:pPr>
              <w:snapToGrid w:val="0"/>
              <w:spacing w:line="360" w:lineRule="auto"/>
              <w:jc w:val="center"/>
              <w:rPr>
                <w:rFonts w:ascii="宋体" w:hAnsi="宋体" w:cs="宋体"/>
                <w:color w:val="auto"/>
                <w:sz w:val="24"/>
                <w:highlight w:val="none"/>
              </w:rPr>
            </w:pPr>
          </w:p>
          <w:p w14:paraId="5E9283B5">
            <w:pPr>
              <w:snapToGrid w:val="0"/>
              <w:spacing w:line="360" w:lineRule="auto"/>
              <w:jc w:val="center"/>
              <w:rPr>
                <w:rFonts w:ascii="宋体" w:hAnsi="宋体" w:cs="宋体"/>
                <w:color w:val="auto"/>
                <w:sz w:val="24"/>
                <w:highlight w:val="none"/>
              </w:rPr>
            </w:pPr>
          </w:p>
          <w:p w14:paraId="5D060D8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473" w:type="dxa"/>
            <w:tcBorders>
              <w:top w:val="single" w:color="000000" w:sz="8" w:space="0"/>
              <w:left w:val="single" w:color="000000" w:sz="2" w:space="0"/>
              <w:bottom w:val="single" w:color="000000" w:sz="8" w:space="0"/>
              <w:right w:val="single" w:color="000000" w:sz="8" w:space="0"/>
            </w:tcBorders>
            <w:vAlign w:val="center"/>
          </w:tcPr>
          <w:p w14:paraId="3ED04B8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200" w:type="dxa"/>
            <w:tcBorders>
              <w:top w:val="single" w:color="000000" w:sz="8" w:space="0"/>
              <w:left w:val="single" w:color="000000" w:sz="2" w:space="0"/>
              <w:bottom w:val="single" w:color="000000" w:sz="8" w:space="0"/>
              <w:right w:val="single" w:color="000000" w:sz="8" w:space="0"/>
            </w:tcBorders>
            <w:vAlign w:val="center"/>
          </w:tcPr>
          <w:p w14:paraId="52ED7C0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68AFB6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☐强制采购。产品：    </w:t>
            </w:r>
          </w:p>
          <w:p w14:paraId="75CC201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□优先采购节能产品。产品：   </w:t>
            </w:r>
          </w:p>
          <w:p w14:paraId="6977A2C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□优先采购环保产品。产品：    </w:t>
            </w:r>
          </w:p>
          <w:p w14:paraId="7AF5864A">
            <w:pPr>
              <w:snapToGrid w:val="0"/>
              <w:spacing w:line="360" w:lineRule="auto"/>
              <w:rPr>
                <w:rFonts w:ascii="宋体" w:hAnsi="宋体" w:cs="宋体"/>
                <w:color w:val="auto"/>
                <w:sz w:val="24"/>
                <w:highlight w:val="none"/>
              </w:rPr>
            </w:pPr>
            <w:r>
              <w:rPr>
                <w:rFonts w:hint="eastAsia" w:ascii="宋体" w:hAnsi="宋体" w:cs="宋体"/>
                <w:b/>
                <w:bCs/>
                <w:snapToGrid w:val="0"/>
                <w:color w:val="auto"/>
                <w:kern w:val="28"/>
                <w:sz w:val="24"/>
                <w:highlight w:val="none"/>
              </w:rPr>
              <w:t xml:space="preserve">√ </w:t>
            </w:r>
            <w:r>
              <w:rPr>
                <w:rFonts w:hint="eastAsia" w:ascii="宋体" w:hAnsi="宋体" w:cs="宋体"/>
                <w:b/>
                <w:bCs/>
                <w:color w:val="auto"/>
                <w:sz w:val="24"/>
                <w:highlight w:val="none"/>
              </w:rPr>
              <w:t>无</w:t>
            </w:r>
          </w:p>
        </w:tc>
      </w:tr>
      <w:tr w14:paraId="62AB6B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C35E401">
            <w:pPr>
              <w:snapToGrid w:val="0"/>
              <w:spacing w:line="360" w:lineRule="auto"/>
              <w:jc w:val="center"/>
              <w:rPr>
                <w:rFonts w:ascii="宋体" w:hAnsi="宋体" w:cs="宋体"/>
                <w:color w:val="auto"/>
                <w:sz w:val="24"/>
                <w:highlight w:val="none"/>
              </w:rPr>
            </w:pPr>
          </w:p>
          <w:p w14:paraId="74E9A065">
            <w:pPr>
              <w:snapToGrid w:val="0"/>
              <w:spacing w:line="360" w:lineRule="auto"/>
              <w:jc w:val="center"/>
              <w:rPr>
                <w:rFonts w:ascii="宋体" w:hAnsi="宋体" w:cs="宋体"/>
                <w:color w:val="auto"/>
                <w:sz w:val="24"/>
                <w:highlight w:val="none"/>
              </w:rPr>
            </w:pPr>
          </w:p>
          <w:p w14:paraId="058063C6">
            <w:pPr>
              <w:snapToGrid w:val="0"/>
              <w:spacing w:line="360" w:lineRule="auto"/>
              <w:jc w:val="center"/>
              <w:rPr>
                <w:rFonts w:ascii="宋体" w:hAnsi="宋体" w:cs="宋体"/>
                <w:color w:val="auto"/>
                <w:sz w:val="24"/>
                <w:highlight w:val="none"/>
              </w:rPr>
            </w:pPr>
          </w:p>
          <w:p w14:paraId="6FD0EC87">
            <w:pPr>
              <w:snapToGrid w:val="0"/>
              <w:spacing w:line="360" w:lineRule="auto"/>
              <w:jc w:val="center"/>
              <w:rPr>
                <w:rFonts w:ascii="宋体" w:hAnsi="宋体" w:cs="宋体"/>
                <w:color w:val="auto"/>
                <w:sz w:val="24"/>
                <w:highlight w:val="none"/>
              </w:rPr>
            </w:pPr>
          </w:p>
          <w:p w14:paraId="7E0FFA0D">
            <w:pPr>
              <w:snapToGrid w:val="0"/>
              <w:spacing w:line="360" w:lineRule="auto"/>
              <w:jc w:val="center"/>
              <w:rPr>
                <w:rFonts w:ascii="宋体" w:hAnsi="宋体" w:cs="宋体"/>
                <w:color w:val="auto"/>
                <w:sz w:val="24"/>
                <w:highlight w:val="none"/>
              </w:rPr>
            </w:pPr>
          </w:p>
          <w:p w14:paraId="40DF633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473" w:type="dxa"/>
            <w:tcBorders>
              <w:top w:val="single" w:color="000000" w:sz="8" w:space="0"/>
              <w:left w:val="single" w:color="000000" w:sz="2" w:space="0"/>
              <w:bottom w:val="single" w:color="000000" w:sz="8" w:space="0"/>
              <w:right w:val="single" w:color="000000" w:sz="8" w:space="0"/>
            </w:tcBorders>
            <w:vAlign w:val="center"/>
          </w:tcPr>
          <w:p w14:paraId="094521E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7200" w:type="dxa"/>
            <w:tcBorders>
              <w:top w:val="single" w:color="000000" w:sz="8" w:space="0"/>
              <w:left w:val="single" w:color="000000" w:sz="2" w:space="0"/>
              <w:bottom w:val="single" w:color="000000" w:sz="8" w:space="0"/>
              <w:right w:val="single" w:color="000000" w:sz="8" w:space="0"/>
            </w:tcBorders>
            <w:vAlign w:val="center"/>
          </w:tcPr>
          <w:p w14:paraId="14586580">
            <w:pPr>
              <w:pageBreakBefore w:val="0"/>
              <w:widowControl w:val="0"/>
              <w:kinsoku/>
              <w:wordWrap/>
              <w:overflowPunct/>
              <w:topLinePunct w:val="0"/>
              <w:bidi w:val="0"/>
              <w:snapToGrid w:val="0"/>
              <w:spacing w:line="360" w:lineRule="auto"/>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A 报价方式：</w:t>
            </w:r>
          </w:p>
          <w:p w14:paraId="28BD0CC1">
            <w:pPr>
              <w:pageBreakBefore w:val="0"/>
              <w:widowControl w:val="0"/>
              <w:kinsoku/>
              <w:wordWrap/>
              <w:overflowPunct/>
              <w:topLinePunct w:val="0"/>
              <w:bidi w:val="0"/>
              <w:snapToGrid w:val="0"/>
              <w:spacing w:line="360" w:lineRule="auto"/>
              <w:contextualSpacing/>
              <w:textAlignment w:val="auto"/>
              <w:rPr>
                <w:rFonts w:hint="eastAsia" w:ascii="宋体" w:hAnsi="宋体" w:eastAsia="宋体" w:cs="宋体"/>
                <w:b/>
                <w:bCs/>
                <w:color w:val="auto"/>
                <w:sz w:val="24"/>
                <w:szCs w:val="24"/>
                <w:highlight w:val="none"/>
              </w:rPr>
            </w:pPr>
            <w:r>
              <w:rPr>
                <w:rFonts w:hint="eastAsia" w:ascii="宋体" w:hAnsi="宋体" w:eastAsia="宋体" w:cs="宋体"/>
                <w:b/>
                <w:bCs/>
                <w:snapToGrid w:val="0"/>
                <w:color w:val="auto"/>
                <w:kern w:val="28"/>
                <w:sz w:val="24"/>
                <w:szCs w:val="24"/>
                <w:highlight w:val="none"/>
              </w:rPr>
              <w:t>√</w:t>
            </w:r>
            <w:r>
              <w:rPr>
                <w:rFonts w:hint="eastAsia" w:ascii="宋体" w:hAnsi="宋体" w:eastAsia="宋体" w:cs="宋体"/>
                <w:b/>
                <w:bCs/>
                <w:snapToGrid w:val="0"/>
                <w:color w:val="auto"/>
                <w:kern w:val="28"/>
                <w:sz w:val="24"/>
                <w:szCs w:val="24"/>
                <w:highlight w:val="none"/>
                <w:lang w:val="en-US" w:eastAsia="zh-CN"/>
              </w:rPr>
              <w:t xml:space="preserve"> </w:t>
            </w:r>
            <w:r>
              <w:rPr>
                <w:rFonts w:hint="eastAsia" w:ascii="宋体" w:hAnsi="宋体" w:eastAsia="宋体" w:cs="宋体"/>
                <w:b/>
                <w:bCs/>
                <w:color w:val="auto"/>
                <w:kern w:val="0"/>
                <w:sz w:val="24"/>
                <w:szCs w:val="24"/>
                <w:highlight w:val="none"/>
                <w:lang w:val="en-US" w:eastAsia="zh-CN"/>
              </w:rPr>
              <w:t xml:space="preserve"> 固定总价</w:t>
            </w:r>
            <w:r>
              <w:rPr>
                <w:rFonts w:hint="eastAsia" w:ascii="宋体" w:hAnsi="宋体" w:eastAsia="宋体" w:cs="宋体"/>
                <w:b/>
                <w:bCs/>
                <w:color w:val="auto"/>
                <w:sz w:val="24"/>
                <w:szCs w:val="24"/>
                <w:highlight w:val="none"/>
              </w:rPr>
              <w:t>。</w:t>
            </w:r>
          </w:p>
          <w:p w14:paraId="3B8F3E21">
            <w:pPr>
              <w:pageBreakBefore w:val="0"/>
              <w:widowControl w:val="0"/>
              <w:kinsoku/>
              <w:wordWrap/>
              <w:overflowPunct/>
              <w:topLinePunct w:val="0"/>
              <w:bidi w:val="0"/>
              <w:snapToGrid w:val="0"/>
              <w:spacing w:line="360" w:lineRule="auto"/>
              <w:contextualSpacing/>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w:t>
            </w:r>
            <w:r>
              <w:rPr>
                <w:rFonts w:hint="eastAsia" w:ascii="宋体" w:hAnsi="宋体" w:eastAsia="宋体" w:cs="宋体"/>
                <w:b w:val="0"/>
                <w:bCs w:val="0"/>
                <w:color w:val="auto"/>
                <w:kern w:val="0"/>
                <w:sz w:val="24"/>
                <w:szCs w:val="24"/>
                <w:highlight w:val="none"/>
                <w:lang w:val="en-US" w:eastAsia="zh-CN"/>
              </w:rPr>
              <w:t xml:space="preserve">  固定单价</w:t>
            </w:r>
            <w:r>
              <w:rPr>
                <w:rFonts w:hint="eastAsia" w:ascii="宋体" w:hAnsi="宋体" w:eastAsia="宋体" w:cs="宋体"/>
                <w:b w:val="0"/>
                <w:bCs w:val="0"/>
                <w:color w:val="auto"/>
                <w:kern w:val="0"/>
                <w:sz w:val="24"/>
                <w:szCs w:val="24"/>
                <w:highlight w:val="none"/>
              </w:rPr>
              <w:t>。</w:t>
            </w:r>
          </w:p>
          <w:p w14:paraId="05D11147">
            <w:pPr>
              <w:pageBreakBefore w:val="0"/>
              <w:widowControl w:val="0"/>
              <w:kinsoku/>
              <w:wordWrap/>
              <w:overflowPunct/>
              <w:topLinePunct w:val="0"/>
              <w:bidi w:val="0"/>
              <w:snapToGrid w:val="0"/>
              <w:spacing w:line="360" w:lineRule="auto"/>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B报价相关要求：</w:t>
            </w:r>
          </w:p>
          <w:p w14:paraId="6A093AFE">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7FAF421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F37BD47">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5A41688">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4D7E4B8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highlight w:val="none"/>
              </w:rPr>
              <w:t>；</w:t>
            </w:r>
          </w:p>
          <w:p w14:paraId="72CE9358">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5A435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74" w:hRule="atLeast"/>
          <w:tblHeader/>
        </w:trPr>
        <w:tc>
          <w:tcPr>
            <w:tcW w:w="629" w:type="dxa"/>
            <w:tcBorders>
              <w:top w:val="single" w:color="auto" w:sz="4" w:space="0"/>
              <w:left w:val="single" w:color="000000" w:sz="8" w:space="0"/>
              <w:right w:val="single" w:color="000000" w:sz="2" w:space="0"/>
            </w:tcBorders>
          </w:tcPr>
          <w:p w14:paraId="0D4382B0">
            <w:pPr>
              <w:snapToGrid w:val="0"/>
              <w:spacing w:line="360" w:lineRule="auto"/>
              <w:jc w:val="center"/>
              <w:rPr>
                <w:rFonts w:ascii="宋体" w:hAnsi="宋体" w:cs="宋体"/>
                <w:color w:val="auto"/>
                <w:sz w:val="24"/>
                <w:highlight w:val="none"/>
              </w:rPr>
            </w:pPr>
          </w:p>
          <w:p w14:paraId="00084E8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473" w:type="dxa"/>
            <w:tcBorders>
              <w:top w:val="single" w:color="000000" w:sz="8" w:space="0"/>
              <w:left w:val="single" w:color="000000" w:sz="2" w:space="0"/>
              <w:right w:val="single" w:color="000000" w:sz="8" w:space="0"/>
            </w:tcBorders>
            <w:vAlign w:val="center"/>
          </w:tcPr>
          <w:p w14:paraId="259993B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200" w:type="dxa"/>
            <w:tcBorders>
              <w:top w:val="single" w:color="000000" w:sz="8" w:space="0"/>
              <w:left w:val="single" w:color="000000" w:sz="2" w:space="0"/>
              <w:right w:val="single" w:color="000000" w:sz="8" w:space="0"/>
            </w:tcBorders>
            <w:vAlign w:val="center"/>
          </w:tcPr>
          <w:p w14:paraId="3EA2F617">
            <w:pPr>
              <w:spacing w:line="360" w:lineRule="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B156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D7D533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473" w:type="dxa"/>
            <w:tcBorders>
              <w:top w:val="single" w:color="000000" w:sz="8" w:space="0"/>
              <w:left w:val="single" w:color="000000" w:sz="2" w:space="0"/>
              <w:bottom w:val="single" w:color="000000" w:sz="8" w:space="0"/>
              <w:right w:val="single" w:color="000000" w:sz="8" w:space="0"/>
            </w:tcBorders>
            <w:vAlign w:val="center"/>
          </w:tcPr>
          <w:p w14:paraId="297CB2A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7200" w:type="dxa"/>
            <w:tcBorders>
              <w:top w:val="single" w:color="000000" w:sz="8" w:space="0"/>
              <w:left w:val="single" w:color="000000" w:sz="2" w:space="0"/>
              <w:bottom w:val="single" w:color="000000" w:sz="8" w:space="0"/>
              <w:right w:val="single" w:color="000000" w:sz="8" w:space="0"/>
            </w:tcBorders>
            <w:vAlign w:val="center"/>
          </w:tcPr>
          <w:p w14:paraId="071AB88E">
            <w:pPr>
              <w:pStyle w:val="32"/>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szCs w:val="24"/>
                <w:highlight w:val="none"/>
                <w:u w:val="single"/>
              </w:rPr>
              <w:t>杭州市西湖区文三路90号东部软件园1号楼3楼</w:t>
            </w:r>
            <w:r>
              <w:rPr>
                <w:rFonts w:hint="eastAsia" w:hAnsi="宋体" w:cs="宋体"/>
                <w:color w:val="auto"/>
                <w:sz w:val="24"/>
                <w:szCs w:val="24"/>
                <w:highlight w:val="none"/>
                <w:u w:val="single"/>
                <w:lang w:val="en-US" w:eastAsia="zh-CN"/>
              </w:rPr>
              <w:t>321室</w:t>
            </w:r>
            <w:r>
              <w:rPr>
                <w:rFonts w:hint="eastAsia" w:hAnsi="宋体" w:cs="宋体"/>
                <w:color w:val="auto"/>
                <w:kern w:val="28"/>
                <w:sz w:val="24"/>
                <w:szCs w:val="24"/>
                <w:highlight w:val="none"/>
              </w:rPr>
              <w:t>；备份投标文件签收人员联系电话：</w:t>
            </w:r>
            <w:r>
              <w:rPr>
                <w:rFonts w:hint="eastAsia" w:hAnsi="宋体" w:cs="宋体"/>
                <w:color w:val="auto"/>
                <w:sz w:val="24"/>
                <w:szCs w:val="24"/>
                <w:highlight w:val="none"/>
                <w:u w:val="single"/>
              </w:rPr>
              <w:t>葛珍妮，0571-810618</w:t>
            </w:r>
            <w:r>
              <w:rPr>
                <w:rFonts w:hint="eastAsia" w:hAnsi="宋体" w:cs="宋体"/>
                <w:color w:val="auto"/>
                <w:sz w:val="24"/>
                <w:szCs w:val="24"/>
                <w:highlight w:val="none"/>
                <w:u w:val="single"/>
                <w:lang w:val="en-US" w:eastAsia="zh-CN"/>
              </w:rPr>
              <w:t>21</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52D4EB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EF62F3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473" w:type="dxa"/>
            <w:tcBorders>
              <w:top w:val="single" w:color="000000" w:sz="8" w:space="0"/>
              <w:left w:val="single" w:color="000000" w:sz="2" w:space="0"/>
              <w:bottom w:val="single" w:color="000000" w:sz="8" w:space="0"/>
              <w:right w:val="single" w:color="000000" w:sz="8" w:space="0"/>
            </w:tcBorders>
            <w:vAlign w:val="center"/>
          </w:tcPr>
          <w:p w14:paraId="543904EC">
            <w:pPr>
              <w:snapToGrid w:val="0"/>
              <w:spacing w:line="360" w:lineRule="auto"/>
              <w:jc w:val="center"/>
              <w:rPr>
                <w:rFonts w:ascii="宋体" w:hAnsi="宋体" w:cs="宋体"/>
                <w:b/>
                <w:color w:val="auto"/>
                <w:sz w:val="24"/>
                <w:highlight w:val="none"/>
              </w:rPr>
            </w:pPr>
            <w:r>
              <w:rPr>
                <w:rFonts w:hint="eastAsia" w:ascii="宋体" w:hAnsi="宋体" w:cs="宋体"/>
                <w:color w:val="auto"/>
                <w:sz w:val="24"/>
                <w:highlight w:val="none"/>
              </w:rPr>
              <w:t>采购代理服务费</w:t>
            </w:r>
          </w:p>
        </w:tc>
        <w:tc>
          <w:tcPr>
            <w:tcW w:w="7200" w:type="dxa"/>
            <w:tcBorders>
              <w:top w:val="single" w:color="000000" w:sz="8" w:space="0"/>
              <w:left w:val="single" w:color="000000" w:sz="2" w:space="0"/>
              <w:bottom w:val="single" w:color="000000" w:sz="8" w:space="0"/>
              <w:right w:val="single" w:color="000000" w:sz="8" w:space="0"/>
            </w:tcBorders>
            <w:vAlign w:val="center"/>
          </w:tcPr>
          <w:p w14:paraId="293B694C">
            <w:pPr>
              <w:spacing w:line="360" w:lineRule="auto"/>
              <w:rPr>
                <w:rFonts w:ascii="宋体" w:hAnsi="宋体" w:cs="宋体"/>
                <w:bCs/>
                <w:color w:val="auto"/>
                <w:sz w:val="24"/>
                <w:highlight w:val="none"/>
              </w:rPr>
            </w:pPr>
            <w:r>
              <w:rPr>
                <w:rFonts w:hint="eastAsia" w:ascii="宋体" w:hAnsi="宋体" w:cs="宋体"/>
                <w:bCs/>
                <w:color w:val="auto"/>
                <w:sz w:val="24"/>
                <w:highlight w:val="none"/>
              </w:rPr>
              <w:t>（1）收取方式：本项目代理服务费由中标供应商在本项目合同签订前支付。</w:t>
            </w:r>
          </w:p>
          <w:p w14:paraId="1496C8FF">
            <w:pPr>
              <w:spacing w:line="360" w:lineRule="auto"/>
              <w:rPr>
                <w:rFonts w:ascii="宋体" w:hAnsi="宋体" w:cs="宋体"/>
                <w:color w:val="auto"/>
                <w:sz w:val="24"/>
                <w:highlight w:val="none"/>
              </w:rPr>
            </w:pPr>
            <w:r>
              <w:rPr>
                <w:rFonts w:hint="eastAsia" w:ascii="宋体" w:hAnsi="宋体" w:cs="宋体"/>
                <w:bCs/>
                <w:color w:val="auto"/>
                <w:sz w:val="24"/>
                <w:highlight w:val="none"/>
              </w:rPr>
              <w:t>（2）收取标准</w:t>
            </w:r>
            <w:r>
              <w:rPr>
                <w:rFonts w:hint="eastAsia" w:ascii="宋体" w:hAnsi="宋体" w:cs="宋体"/>
                <w:color w:val="auto"/>
                <w:sz w:val="24"/>
                <w:highlight w:val="none"/>
              </w:rPr>
              <w:t>：本项目</w:t>
            </w:r>
            <w:r>
              <w:rPr>
                <w:rFonts w:hint="eastAsia" w:ascii="宋体" w:hAnsi="宋体" w:cs="宋体"/>
                <w:bCs/>
                <w:color w:val="auto"/>
                <w:sz w:val="24"/>
                <w:highlight w:val="none"/>
              </w:rPr>
              <w:t>代理服务</w:t>
            </w:r>
            <w:r>
              <w:rPr>
                <w:rFonts w:hint="eastAsia" w:ascii="宋体" w:hAnsi="宋体" w:cs="宋体"/>
                <w:color w:val="auto"/>
                <w:sz w:val="24"/>
                <w:highlight w:val="none"/>
              </w:rPr>
              <w:t>费用参照</w:t>
            </w:r>
            <w:r>
              <w:rPr>
                <w:rFonts w:hint="eastAsia" w:ascii="宋体" w:hAnsi="宋体" w:cs="宋体"/>
                <w:bCs/>
                <w:color w:val="auto"/>
                <w:sz w:val="24"/>
                <w:highlight w:val="none"/>
              </w:rPr>
              <w:t>《招标代理服务收费管理暂行办法》(</w:t>
            </w:r>
            <w:r>
              <w:rPr>
                <w:rFonts w:hint="eastAsia" w:ascii="宋体" w:hAnsi="宋体" w:cs="宋体"/>
                <w:color w:val="auto"/>
                <w:sz w:val="24"/>
                <w:highlight w:val="none"/>
              </w:rPr>
              <w:t>计价格〔2002〕1980号）的规定，以</w:t>
            </w:r>
            <w:r>
              <w:rPr>
                <w:rFonts w:hint="eastAsia" w:ascii="宋体" w:hAnsi="宋体" w:cs="宋体"/>
                <w:bCs/>
                <w:color w:val="auto"/>
                <w:sz w:val="24"/>
                <w:highlight w:val="none"/>
              </w:rPr>
              <w:t>中标</w:t>
            </w:r>
            <w:r>
              <w:rPr>
                <w:rFonts w:hint="eastAsia" w:ascii="宋体" w:hAnsi="宋体" w:cs="宋体"/>
                <w:color w:val="auto"/>
                <w:sz w:val="24"/>
                <w:highlight w:val="none"/>
              </w:rPr>
              <w:t>金额为计费基数，按分段按优惠后的费率差额定率计算（分段按优惠后的费率如下）：</w:t>
            </w:r>
          </w:p>
          <w:tbl>
            <w:tblPr>
              <w:tblStyle w:val="63"/>
              <w:tblW w:w="5753" w:type="dxa"/>
              <w:tblInd w:w="355"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2482"/>
              <w:gridCol w:w="3271"/>
            </w:tblGrid>
            <w:tr w14:paraId="1F33142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468" w:hRule="atLeast"/>
              </w:trPr>
              <w:tc>
                <w:tcPr>
                  <w:tcW w:w="2482" w:type="dxa"/>
                  <w:vMerge w:val="restart"/>
                  <w:tcMar>
                    <w:top w:w="0" w:type="dxa"/>
                    <w:left w:w="108" w:type="dxa"/>
                    <w:bottom w:w="0" w:type="dxa"/>
                    <w:right w:w="108" w:type="dxa"/>
                  </w:tcMar>
                  <w:vAlign w:val="center"/>
                </w:tcPr>
                <w:p w14:paraId="79FFC6F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中标金额（万元）</w:t>
                  </w:r>
                </w:p>
              </w:tc>
              <w:tc>
                <w:tcPr>
                  <w:tcW w:w="3271" w:type="dxa"/>
                  <w:vMerge w:val="restart"/>
                  <w:vAlign w:val="center"/>
                </w:tcPr>
                <w:p w14:paraId="74DC149E">
                  <w:pPr>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本协议约定的优惠后的费率</w:t>
                  </w:r>
                </w:p>
              </w:tc>
            </w:tr>
            <w:tr w14:paraId="1478C3A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467" w:hRule="atLeast"/>
              </w:trPr>
              <w:tc>
                <w:tcPr>
                  <w:tcW w:w="2482" w:type="dxa"/>
                  <w:vMerge w:val="continue"/>
                  <w:vAlign w:val="center"/>
                </w:tcPr>
                <w:p w14:paraId="539E462B">
                  <w:pPr>
                    <w:spacing w:line="360" w:lineRule="auto"/>
                    <w:jc w:val="center"/>
                    <w:rPr>
                      <w:rFonts w:ascii="宋体" w:hAnsi="宋体" w:cs="宋体"/>
                      <w:color w:val="auto"/>
                      <w:sz w:val="24"/>
                      <w:highlight w:val="none"/>
                    </w:rPr>
                  </w:pPr>
                </w:p>
              </w:tc>
              <w:tc>
                <w:tcPr>
                  <w:tcW w:w="3271" w:type="dxa"/>
                  <w:vMerge w:val="continue"/>
                  <w:vAlign w:val="center"/>
                </w:tcPr>
                <w:p w14:paraId="2559C88D">
                  <w:pPr>
                    <w:spacing w:line="360" w:lineRule="auto"/>
                    <w:jc w:val="center"/>
                    <w:rPr>
                      <w:rFonts w:ascii="宋体" w:hAnsi="宋体" w:cs="宋体"/>
                      <w:color w:val="auto"/>
                      <w:sz w:val="24"/>
                      <w:highlight w:val="none"/>
                    </w:rPr>
                  </w:pPr>
                </w:p>
              </w:tc>
            </w:tr>
            <w:tr w14:paraId="5DB9494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186DCC1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100以下</w:t>
                  </w:r>
                </w:p>
              </w:tc>
              <w:tc>
                <w:tcPr>
                  <w:tcW w:w="3271" w:type="dxa"/>
                  <w:vAlign w:val="center"/>
                </w:tcPr>
                <w:p w14:paraId="338B918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按标准费率计取</w:t>
                  </w:r>
                </w:p>
              </w:tc>
            </w:tr>
            <w:tr w14:paraId="28C3C88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2392BC9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100（含）-500</w:t>
                  </w:r>
                </w:p>
              </w:tc>
              <w:tc>
                <w:tcPr>
                  <w:tcW w:w="3271" w:type="dxa"/>
                  <w:vAlign w:val="center"/>
                </w:tcPr>
                <w:p w14:paraId="3106D0A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按标准费率的90%计取</w:t>
                  </w:r>
                </w:p>
              </w:tc>
            </w:tr>
            <w:tr w14:paraId="106CA8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71477DC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500（含）-1000</w:t>
                  </w:r>
                </w:p>
              </w:tc>
              <w:tc>
                <w:tcPr>
                  <w:tcW w:w="3271" w:type="dxa"/>
                  <w:vAlign w:val="center"/>
                </w:tcPr>
                <w:p w14:paraId="52929E5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按标准费率的85%折计取</w:t>
                  </w:r>
                </w:p>
              </w:tc>
            </w:tr>
            <w:tr w14:paraId="6768BF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c>
                <w:tcPr>
                  <w:tcW w:w="2482" w:type="dxa"/>
                  <w:tcMar>
                    <w:top w:w="0" w:type="dxa"/>
                    <w:left w:w="108" w:type="dxa"/>
                    <w:bottom w:w="0" w:type="dxa"/>
                    <w:right w:w="108" w:type="dxa"/>
                  </w:tcMar>
                  <w:vAlign w:val="center"/>
                </w:tcPr>
                <w:p w14:paraId="5D61DC6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1000（含）以上</w:t>
                  </w:r>
                </w:p>
              </w:tc>
              <w:tc>
                <w:tcPr>
                  <w:tcW w:w="3271" w:type="dxa"/>
                  <w:vAlign w:val="center"/>
                </w:tcPr>
                <w:p w14:paraId="388F96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按标准费率的80%计取</w:t>
                  </w:r>
                </w:p>
              </w:tc>
            </w:tr>
          </w:tbl>
          <w:p w14:paraId="7EBE9F8C">
            <w:pPr>
              <w:spacing w:line="360" w:lineRule="auto"/>
              <w:rPr>
                <w:rFonts w:ascii="宋体" w:hAnsi="宋体" w:cs="宋体"/>
                <w:color w:val="auto"/>
                <w:sz w:val="24"/>
                <w:highlight w:val="none"/>
              </w:rPr>
            </w:pPr>
            <w:r>
              <w:rPr>
                <w:rFonts w:hint="eastAsia" w:ascii="宋体" w:hAnsi="宋体" w:cs="宋体"/>
                <w:bCs/>
                <w:color w:val="auto"/>
                <w:sz w:val="24"/>
                <w:highlight w:val="none"/>
              </w:rPr>
              <w:t>（3）</w:t>
            </w:r>
            <w:r>
              <w:rPr>
                <w:rFonts w:hint="eastAsia" w:ascii="宋体" w:hAnsi="宋体" w:cs="宋体"/>
                <w:color w:val="auto"/>
                <w:sz w:val="24"/>
                <w:highlight w:val="none"/>
              </w:rPr>
              <w:t>代理服务费其他约定：单个项目按以上约定的优惠收费标准计算代理服务费不足人民币5000元时，按人民币5000元计取。</w:t>
            </w:r>
          </w:p>
          <w:p w14:paraId="76134677">
            <w:pPr>
              <w:snapToGrid w:val="0"/>
              <w:spacing w:line="360" w:lineRule="auto"/>
              <w:rPr>
                <w:rFonts w:ascii="宋体" w:hAnsi="宋体" w:cs="宋体"/>
                <w:color w:val="auto"/>
                <w:sz w:val="24"/>
                <w:highlight w:val="none"/>
              </w:rPr>
            </w:pPr>
            <w:r>
              <w:rPr>
                <w:rFonts w:hint="eastAsia" w:ascii="宋体" w:hAnsi="宋体" w:cs="宋体"/>
                <w:bCs/>
                <w:color w:val="auto"/>
                <w:sz w:val="24"/>
                <w:highlight w:val="none"/>
              </w:rPr>
              <w:t>（4）</w:t>
            </w:r>
            <w:r>
              <w:rPr>
                <w:rFonts w:hint="eastAsia" w:ascii="宋体" w:hAnsi="宋体" w:cs="宋体"/>
                <w:color w:val="auto"/>
                <w:sz w:val="24"/>
                <w:highlight w:val="none"/>
              </w:rPr>
              <w:t>代理服务费支付：</w:t>
            </w:r>
          </w:p>
          <w:p w14:paraId="484FCCB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 代理服务费缴纳形式：汇票/支票/电汇/现金</w:t>
            </w:r>
          </w:p>
          <w:p w14:paraId="19C79FF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 代理服务费汇入以下账户 ：</w:t>
            </w:r>
          </w:p>
          <w:p w14:paraId="62EF5AF0">
            <w:pPr>
              <w:pStyle w:val="2"/>
              <w:spacing w:line="360" w:lineRule="auto"/>
              <w:rPr>
                <w:rFonts w:cs="宋体"/>
                <w:color w:val="auto"/>
                <w:highlight w:val="none"/>
              </w:rPr>
            </w:pPr>
            <w:r>
              <w:rPr>
                <w:rFonts w:hint="eastAsia" w:cs="宋体"/>
                <w:color w:val="auto"/>
                <w:highlight w:val="none"/>
              </w:rPr>
              <w:t>收款单位（户名）：浙江国际招投标有限公司</w:t>
            </w:r>
          </w:p>
          <w:p w14:paraId="544F2538">
            <w:pPr>
              <w:pStyle w:val="2"/>
              <w:spacing w:line="360" w:lineRule="auto"/>
              <w:rPr>
                <w:rFonts w:cs="宋体"/>
                <w:color w:val="auto"/>
                <w:highlight w:val="none"/>
              </w:rPr>
            </w:pPr>
            <w:r>
              <w:rPr>
                <w:rFonts w:hint="eastAsia" w:cs="宋体"/>
                <w:color w:val="auto"/>
                <w:highlight w:val="none"/>
              </w:rPr>
              <w:t>开  户：中国工商银行杭州市武林支行</w:t>
            </w:r>
          </w:p>
          <w:p w14:paraId="4843882F">
            <w:pPr>
              <w:pStyle w:val="2"/>
              <w:spacing w:line="360" w:lineRule="auto"/>
              <w:rPr>
                <w:rFonts w:cs="宋体"/>
                <w:color w:val="auto"/>
                <w:highlight w:val="none"/>
              </w:rPr>
            </w:pPr>
            <w:r>
              <w:rPr>
                <w:rFonts w:hint="eastAsia" w:cs="宋体"/>
                <w:color w:val="auto"/>
                <w:highlight w:val="none"/>
              </w:rPr>
              <w:t>账  号：1202021209906782015</w:t>
            </w:r>
          </w:p>
          <w:p w14:paraId="613997C0">
            <w:pPr>
              <w:pStyle w:val="2"/>
              <w:spacing w:line="360" w:lineRule="auto"/>
              <w:ind w:firstLine="0" w:firstLineChars="0"/>
              <w:rPr>
                <w:rFonts w:cs="宋体"/>
                <w:color w:val="auto"/>
                <w:kern w:val="28"/>
                <w:highlight w:val="none"/>
              </w:rPr>
            </w:pPr>
            <w:r>
              <w:rPr>
                <w:rFonts w:hint="eastAsia" w:cs="宋体"/>
                <w:bCs/>
                <w:color w:val="auto"/>
                <w:highlight w:val="none"/>
              </w:rPr>
              <w:t>（5）</w:t>
            </w:r>
            <w:r>
              <w:rPr>
                <w:rFonts w:hint="eastAsia" w:cs="宋体"/>
                <w:color w:val="auto"/>
                <w:highlight w:val="none"/>
              </w:rPr>
              <w:t>收取流程：中标供应商按照中标结果公告确定金额支付后将汇款底单、开票信息和</w:t>
            </w:r>
            <w:r>
              <w:rPr>
                <w:rFonts w:hint="eastAsia" w:cs="宋体"/>
                <w:color w:val="auto"/>
                <w:highlight w:val="none"/>
                <w:lang w:val="en-US" w:eastAsia="zh-CN"/>
              </w:rPr>
              <w:t>电子发票收件邮箱</w:t>
            </w:r>
            <w:r>
              <w:rPr>
                <w:rFonts w:hint="eastAsia" w:cs="宋体"/>
                <w:color w:val="auto"/>
                <w:highlight w:val="none"/>
              </w:rPr>
              <w:t>发送至zq017@163.com，采购代理机构在收到邮件后开具发票并及时给中标供应商。</w:t>
            </w:r>
          </w:p>
        </w:tc>
      </w:tr>
      <w:tr w14:paraId="6CF17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77D83CE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473" w:type="dxa"/>
            <w:vMerge w:val="restart"/>
            <w:tcBorders>
              <w:top w:val="single" w:color="000000" w:sz="8" w:space="0"/>
              <w:left w:val="single" w:color="000000" w:sz="2" w:space="0"/>
              <w:right w:val="single" w:color="000000" w:sz="8" w:space="0"/>
            </w:tcBorders>
            <w:vAlign w:val="center"/>
          </w:tcPr>
          <w:p w14:paraId="7C5733B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特别说明</w:t>
            </w:r>
          </w:p>
        </w:tc>
        <w:tc>
          <w:tcPr>
            <w:tcW w:w="7200" w:type="dxa"/>
            <w:tcBorders>
              <w:top w:val="single" w:color="000000" w:sz="8" w:space="0"/>
              <w:left w:val="single" w:color="000000" w:sz="2" w:space="0"/>
              <w:bottom w:val="single" w:color="000000" w:sz="8" w:space="0"/>
              <w:right w:val="single" w:color="000000" w:sz="8" w:space="0"/>
            </w:tcBorders>
            <w:vAlign w:val="center"/>
          </w:tcPr>
          <w:p w14:paraId="2E322549">
            <w:pPr>
              <w:pStyle w:val="32"/>
              <w:snapToGrid w:val="0"/>
              <w:spacing w:line="360" w:lineRule="auto"/>
              <w:rPr>
                <w:rFonts w:hAnsi="宋体" w:cs="宋体"/>
                <w:b/>
                <w:bCs/>
                <w:color w:val="auto"/>
                <w:kern w:val="28"/>
                <w:sz w:val="24"/>
                <w:szCs w:val="24"/>
                <w:highlight w:val="none"/>
              </w:rPr>
            </w:pPr>
            <w:r>
              <w:rPr>
                <w:rFonts w:hint="eastAsia" w:hAnsi="宋体" w:cs="宋体"/>
                <w:b/>
                <w:bCs/>
                <w:color w:val="auto"/>
                <w:kern w:val="28"/>
                <w:sz w:val="24"/>
                <w:szCs w:val="24"/>
                <w:highlight w:val="none"/>
              </w:rPr>
              <w:t>业绩证明材料</w:t>
            </w:r>
          </w:p>
          <w:p w14:paraId="7EB1AD5A">
            <w:pPr>
              <w:pStyle w:val="32"/>
              <w:snapToGrid w:val="0"/>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w:t>
            </w:r>
            <w:r>
              <w:rPr>
                <w:rFonts w:hint="eastAsia" w:hAnsi="宋体" w:cs="宋体"/>
                <w:b/>
                <w:bCs/>
                <w:color w:val="auto"/>
                <w:sz w:val="24"/>
                <w:szCs w:val="24"/>
                <w:highlight w:val="none"/>
              </w:rPr>
              <w:t xml:space="preserve"> </w:t>
            </w:r>
            <w:r>
              <w:rPr>
                <w:rFonts w:hint="eastAsia" w:hAnsi="宋体" w:cs="宋体"/>
                <w:color w:val="auto"/>
                <w:kern w:val="28"/>
                <w:sz w:val="24"/>
                <w:szCs w:val="24"/>
                <w:highlight w:val="none"/>
              </w:rPr>
              <w:t>联合体投标的，按联合体协议约定的分工内容出具相应的业绩证明材料。承担相同工作的各方或工作内容存在部分相同的，业绩数量以提供材料较少的一方为准。</w:t>
            </w:r>
          </w:p>
          <w:p w14:paraId="15D602F6">
            <w:pPr>
              <w:pStyle w:val="32"/>
              <w:snapToGrid w:val="0"/>
              <w:spacing w:line="360" w:lineRule="auto"/>
              <w:rPr>
                <w:rFonts w:hAnsi="宋体" w:cs="宋体"/>
                <w:b/>
                <w:bCs/>
                <w:color w:val="auto"/>
                <w:kern w:val="28"/>
                <w:sz w:val="24"/>
                <w:szCs w:val="24"/>
                <w:highlight w:val="none"/>
              </w:rPr>
            </w:pPr>
            <w:r>
              <w:rPr>
                <w:rFonts w:hint="eastAsia" w:hAnsi="宋体" w:cs="宋体"/>
                <w:b/>
                <w:bCs/>
                <w:color w:val="auto"/>
                <w:sz w:val="24"/>
                <w:szCs w:val="24"/>
                <w:highlight w:val="none"/>
              </w:rPr>
              <w:t xml:space="preserve">√ </w:t>
            </w:r>
            <w:r>
              <w:rPr>
                <w:rFonts w:hint="eastAsia" w:hAnsi="宋体" w:cs="宋体"/>
                <w:b/>
                <w:bCs/>
                <w:color w:val="auto"/>
                <w:kern w:val="28"/>
                <w:sz w:val="24"/>
                <w:szCs w:val="24"/>
                <w:highlight w:val="none"/>
              </w:rPr>
              <w:t>联合体投标的，由联合体牵头方出具相应的业绩证明材料。</w:t>
            </w:r>
          </w:p>
          <w:p w14:paraId="187486A0">
            <w:pPr>
              <w:spacing w:line="360" w:lineRule="auto"/>
              <w:rPr>
                <w:rFonts w:ascii="宋体" w:hAnsi="宋体" w:cs="宋体"/>
                <w:snapToGrid w:val="0"/>
                <w:color w:val="auto"/>
                <w:kern w:val="28"/>
                <w:sz w:val="24"/>
                <w:highlight w:val="none"/>
              </w:rPr>
            </w:pPr>
            <w:r>
              <w:rPr>
                <w:rFonts w:hint="eastAsia" w:ascii="宋体" w:hAnsi="宋体" w:cs="宋体"/>
                <w:color w:val="auto"/>
                <w:kern w:val="28"/>
                <w:sz w:val="24"/>
                <w:highlight w:val="none"/>
              </w:rPr>
              <w:t>☐ 其他规定：/</w:t>
            </w:r>
          </w:p>
        </w:tc>
      </w:tr>
      <w:tr w14:paraId="0A6C6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2FCC0011">
            <w:pPr>
              <w:snapToGrid w:val="0"/>
              <w:spacing w:line="360" w:lineRule="auto"/>
              <w:jc w:val="center"/>
              <w:rPr>
                <w:rFonts w:ascii="宋体" w:hAnsi="宋体" w:cs="宋体"/>
                <w:color w:val="auto"/>
                <w:sz w:val="24"/>
                <w:highlight w:val="none"/>
              </w:rPr>
            </w:pPr>
          </w:p>
        </w:tc>
        <w:tc>
          <w:tcPr>
            <w:tcW w:w="1473" w:type="dxa"/>
            <w:vMerge w:val="continue"/>
            <w:tcBorders>
              <w:left w:val="single" w:color="000000" w:sz="2" w:space="0"/>
              <w:right w:val="single" w:color="000000" w:sz="8" w:space="0"/>
            </w:tcBorders>
            <w:vAlign w:val="center"/>
          </w:tcPr>
          <w:p w14:paraId="110A6073">
            <w:pPr>
              <w:snapToGrid w:val="0"/>
              <w:spacing w:line="360" w:lineRule="auto"/>
              <w:jc w:val="center"/>
              <w:rPr>
                <w:rFonts w:ascii="宋体" w:hAnsi="宋体" w:cs="宋体"/>
                <w:b/>
                <w:color w:val="auto"/>
                <w:sz w:val="24"/>
                <w:highlight w:val="none"/>
              </w:rPr>
            </w:pPr>
          </w:p>
        </w:tc>
        <w:tc>
          <w:tcPr>
            <w:tcW w:w="7200" w:type="dxa"/>
            <w:tcBorders>
              <w:top w:val="single" w:color="000000" w:sz="8" w:space="0"/>
              <w:left w:val="single" w:color="000000" w:sz="2" w:space="0"/>
              <w:bottom w:val="single" w:color="000000" w:sz="8" w:space="0"/>
              <w:right w:val="single" w:color="000000" w:sz="8" w:space="0"/>
            </w:tcBorders>
            <w:vAlign w:val="center"/>
          </w:tcPr>
          <w:p w14:paraId="34ABD1B4">
            <w:pPr>
              <w:spacing w:line="360" w:lineRule="auto"/>
              <w:rPr>
                <w:rFonts w:ascii="宋体" w:hAnsi="宋体" w:cs="宋体"/>
                <w:b/>
                <w:bCs/>
                <w:color w:val="auto"/>
                <w:kern w:val="28"/>
                <w:sz w:val="24"/>
                <w:highlight w:val="none"/>
              </w:rPr>
            </w:pPr>
            <w:r>
              <w:rPr>
                <w:rFonts w:hint="eastAsia" w:ascii="宋体" w:hAnsi="宋体" w:cs="宋体"/>
                <w:b/>
                <w:bCs/>
                <w:color w:val="auto"/>
                <w:kern w:val="28"/>
                <w:sz w:val="24"/>
                <w:highlight w:val="none"/>
              </w:rPr>
              <w:t xml:space="preserve">其他资信证明材料 </w:t>
            </w:r>
          </w:p>
          <w:p w14:paraId="22B5AC26">
            <w:pPr>
              <w:spacing w:line="360" w:lineRule="auto"/>
              <w:rPr>
                <w:rFonts w:ascii="宋体" w:hAnsi="宋体" w:cs="宋体"/>
                <w:b/>
                <w:bCs/>
                <w:snapToGrid w:val="0"/>
                <w:color w:val="auto"/>
                <w:kern w:val="28"/>
                <w:sz w:val="24"/>
                <w:highlight w:val="none"/>
              </w:rPr>
            </w:pPr>
            <w:r>
              <w:rPr>
                <w:rFonts w:hint="eastAsia" w:ascii="宋体" w:hAnsi="宋体" w:cs="宋体"/>
                <w:b/>
                <w:bCs/>
                <w:snapToGrid w:val="0"/>
                <w:color w:val="auto"/>
                <w:kern w:val="28"/>
                <w:sz w:val="24"/>
                <w:highlight w:val="none"/>
              </w:rPr>
              <w:t>√ 联合体投标的，联合体各方均需按招标文件第四部分评标标准要求提供资信证明文件，否则视为不符合相关要求。</w:t>
            </w:r>
          </w:p>
          <w:p w14:paraId="4281C14A">
            <w:pPr>
              <w:spacing w:line="360" w:lineRule="auto"/>
              <w:rPr>
                <w:rFonts w:ascii="宋体" w:hAnsi="宋体" w:cs="宋体"/>
                <w:snapToGrid w:val="0"/>
                <w:color w:val="auto"/>
                <w:kern w:val="28"/>
                <w:sz w:val="24"/>
                <w:highlight w:val="none"/>
              </w:rPr>
            </w:pPr>
            <w:sdt>
              <w:sdtPr>
                <w:rPr>
                  <w:rFonts w:hint="eastAsia" w:ascii="宋体" w:hAnsi="宋体" w:cs="宋体"/>
                  <w:color w:val="auto"/>
                  <w:kern w:val="0"/>
                  <w:sz w:val="24"/>
                  <w:highlight w:val="none"/>
                </w:rPr>
                <w:id w:val="14745543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3DAF8A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vMerge w:val="continue"/>
            <w:tcBorders>
              <w:left w:val="single" w:color="000000" w:sz="8" w:space="0"/>
              <w:bottom w:val="single" w:color="auto" w:sz="4" w:space="0"/>
              <w:right w:val="single" w:color="000000" w:sz="2" w:space="0"/>
            </w:tcBorders>
          </w:tcPr>
          <w:p w14:paraId="60E6B864">
            <w:pPr>
              <w:snapToGrid w:val="0"/>
              <w:spacing w:line="360" w:lineRule="auto"/>
              <w:jc w:val="center"/>
              <w:rPr>
                <w:rFonts w:ascii="宋体" w:hAnsi="宋体" w:cs="宋体"/>
                <w:color w:val="auto"/>
                <w:sz w:val="24"/>
                <w:highlight w:val="none"/>
              </w:rPr>
            </w:pPr>
          </w:p>
        </w:tc>
        <w:tc>
          <w:tcPr>
            <w:tcW w:w="1473" w:type="dxa"/>
            <w:vMerge w:val="continue"/>
            <w:tcBorders>
              <w:left w:val="single" w:color="000000" w:sz="2" w:space="0"/>
              <w:bottom w:val="single" w:color="000000" w:sz="8" w:space="0"/>
              <w:right w:val="single" w:color="000000" w:sz="8" w:space="0"/>
            </w:tcBorders>
            <w:vAlign w:val="center"/>
          </w:tcPr>
          <w:p w14:paraId="355E3AA0">
            <w:pPr>
              <w:snapToGrid w:val="0"/>
              <w:spacing w:line="360" w:lineRule="auto"/>
              <w:jc w:val="center"/>
              <w:rPr>
                <w:rFonts w:ascii="宋体" w:hAnsi="宋体" w:cs="宋体"/>
                <w:b/>
                <w:color w:val="auto"/>
                <w:sz w:val="24"/>
                <w:highlight w:val="none"/>
              </w:rPr>
            </w:pPr>
          </w:p>
        </w:tc>
        <w:tc>
          <w:tcPr>
            <w:tcW w:w="7200" w:type="dxa"/>
            <w:tcBorders>
              <w:top w:val="single" w:color="000000" w:sz="8" w:space="0"/>
              <w:left w:val="single" w:color="000000" w:sz="2" w:space="0"/>
              <w:bottom w:val="single" w:color="000000" w:sz="8" w:space="0"/>
              <w:right w:val="single" w:color="000000" w:sz="8" w:space="0"/>
            </w:tcBorders>
            <w:vAlign w:val="center"/>
          </w:tcPr>
          <w:p w14:paraId="2324A5E0">
            <w:pPr>
              <w:spacing w:line="360" w:lineRule="auto"/>
              <w:rPr>
                <w:rFonts w:ascii="宋体" w:hAnsi="宋体" w:cs="宋体"/>
                <w:snapToGrid w:val="0"/>
                <w:color w:val="auto"/>
                <w:kern w:val="28"/>
                <w:sz w:val="24"/>
                <w:highlight w:val="none"/>
              </w:rPr>
            </w:pPr>
            <w:r>
              <w:rPr>
                <w:rFonts w:hint="eastAsia" w:ascii="宋体" w:hAnsi="宋体" w:cs="宋体"/>
                <w:b/>
                <w:bCs/>
                <w:color w:val="auto"/>
                <w:kern w:val="0"/>
                <w:sz w:val="24"/>
                <w:highlight w:val="none"/>
                <w:lang w:val="en"/>
              </w:rPr>
              <w:t>本项目</w:t>
            </w:r>
            <w:r>
              <w:rPr>
                <w:rFonts w:hint="eastAsia" w:ascii="宋体" w:hAnsi="宋体" w:cs="宋体"/>
                <w:b/>
                <w:bCs/>
                <w:color w:val="auto"/>
                <w:kern w:val="0"/>
                <w:sz w:val="24"/>
                <w:highlight w:val="none"/>
                <w:lang w:val="en-US" w:eastAsia="zh-CN"/>
              </w:rPr>
              <w:t>各标项</w:t>
            </w:r>
            <w:r>
              <w:rPr>
                <w:rFonts w:hint="eastAsia" w:ascii="宋体" w:hAnsi="宋体" w:cs="宋体"/>
                <w:b/>
                <w:bCs/>
                <w:color w:val="auto"/>
                <w:kern w:val="0"/>
                <w:sz w:val="24"/>
                <w:highlight w:val="none"/>
                <w:lang w:val="en"/>
              </w:rPr>
              <w:t>推荐的中标候选人数量：</w:t>
            </w:r>
            <w:r>
              <w:rPr>
                <w:rFonts w:hint="eastAsia" w:ascii="宋体" w:hAnsi="宋体" w:cs="宋体"/>
                <w:b/>
                <w:bCs/>
                <w:color w:val="auto"/>
                <w:kern w:val="0"/>
                <w:sz w:val="24"/>
                <w:highlight w:val="none"/>
                <w:u w:val="single"/>
              </w:rPr>
              <w:t xml:space="preserve"> 1家  </w:t>
            </w:r>
            <w:r>
              <w:rPr>
                <w:rFonts w:hint="eastAsia" w:ascii="宋体" w:hAnsi="宋体" w:cs="宋体"/>
                <w:b/>
                <w:bCs/>
                <w:color w:val="auto"/>
                <w:kern w:val="0"/>
                <w:sz w:val="24"/>
                <w:highlight w:val="none"/>
                <w:lang w:val="en"/>
              </w:rPr>
              <w:t>。</w:t>
            </w:r>
          </w:p>
        </w:tc>
      </w:tr>
    </w:tbl>
    <w:p w14:paraId="22C345EF">
      <w:pPr>
        <w:snapToGrid w:val="0"/>
        <w:spacing w:line="360" w:lineRule="auto"/>
        <w:jc w:val="center"/>
        <w:rPr>
          <w:rFonts w:ascii="宋体" w:hAnsi="宋体" w:cs="宋体"/>
          <w:b/>
          <w:color w:val="auto"/>
          <w:sz w:val="32"/>
          <w:szCs w:val="20"/>
          <w:highlight w:val="none"/>
        </w:rPr>
      </w:pPr>
    </w:p>
    <w:bookmarkEnd w:id="9"/>
    <w:p w14:paraId="06566C00">
      <w:pPr>
        <w:rPr>
          <w:rFonts w:ascii="宋体" w:hAnsi="宋体" w:cs="宋体"/>
          <w:b/>
          <w:color w:val="auto"/>
          <w:sz w:val="32"/>
          <w:szCs w:val="20"/>
          <w:highlight w:val="none"/>
        </w:rPr>
      </w:pPr>
      <w:bookmarkStart w:id="10" w:name="第三部分"/>
      <w:bookmarkStart w:id="11" w:name="_Toc164416483"/>
      <w:r>
        <w:rPr>
          <w:rFonts w:hint="eastAsia" w:ascii="宋体" w:hAnsi="宋体" w:cs="宋体"/>
          <w:b/>
          <w:color w:val="auto"/>
          <w:sz w:val="32"/>
          <w:szCs w:val="20"/>
          <w:highlight w:val="none"/>
        </w:rPr>
        <w:br w:type="page"/>
      </w:r>
    </w:p>
    <w:p w14:paraId="4DB7E6B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4E6C101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9B4AE2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1BA6D02">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25784E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6A3087C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0EAE34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121296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1A15279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87CB6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1FD2474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hint="eastAsia" w:hAnsi="宋体" w:cs="宋体"/>
          <w:b/>
          <w:bCs/>
          <w:color w:val="auto"/>
          <w:sz w:val="24"/>
          <w:szCs w:val="24"/>
          <w:highlight w:val="none"/>
        </w:rPr>
        <w:t>√</w:t>
      </w:r>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C1AE87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D3097D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DD8950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20CCF29">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28A98DD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8E58F1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AF893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F85CE5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6EFC288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7255DC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546C0CB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A88668A">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ED319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14E311C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2C26CC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10433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eastAsia="宋体" w:cs="宋体"/>
          <w:color w:val="auto"/>
          <w:sz w:val="24"/>
          <w:highlight w:val="none"/>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798419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7ADEFE9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2CA30BC">
      <w:pPr>
        <w:spacing w:line="360" w:lineRule="auto"/>
        <w:ind w:left="0" w:leftChars="0" w:firstLine="420" w:firstLineChars="175"/>
        <w:rPr>
          <w:rFonts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eastAsia="宋体" w:cs="宋体"/>
          <w:color w:val="auto"/>
          <w:sz w:val="24"/>
          <w:highlight w:val="none"/>
        </w:rPr>
        <w:t>首台套、“制造精品”、“专精特新”等创新产品按规定享受政府采购支持政策</w:t>
      </w:r>
      <w:r>
        <w:rPr>
          <w:rFonts w:hint="eastAsia" w:ascii="宋体" w:hAnsi="宋体" w:cs="宋体"/>
          <w:color w:val="auto"/>
          <w:sz w:val="24"/>
          <w:highlight w:val="none"/>
        </w:rPr>
        <w:t>。</w:t>
      </w:r>
    </w:p>
    <w:p w14:paraId="2816D759">
      <w:pPr>
        <w:pStyle w:val="4"/>
        <w:adjustRightInd w:val="0"/>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3.4.2</w:t>
      </w:r>
      <w:r>
        <w:rPr>
          <w:rFonts w:hint="eastAsia" w:ascii="宋体" w:hAnsi="宋体" w:eastAsia="宋体" w:cs="宋体"/>
          <w:b w:val="0"/>
          <w:bCs w:val="0"/>
          <w:color w:val="auto"/>
          <w:sz w:val="24"/>
          <w:szCs w:val="24"/>
          <w:highlight w:val="none"/>
          <w:lang w:val="en-US"/>
        </w:rPr>
        <w:t>采购人应当贯彻落实知识产权保护相关法律法规，应当采购使用正版软件。</w:t>
      </w:r>
    </w:p>
    <w:p w14:paraId="747B8A91">
      <w:pPr>
        <w:pStyle w:val="4"/>
        <w:adjustRightInd w:val="0"/>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3.5平等对待内外资企业和符合条件的破产重整企业</w:t>
      </w:r>
    </w:p>
    <w:p w14:paraId="5F6B5E32">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14:paraId="4306C6E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05D04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509D01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BFBDE1D">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7A100F1C">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63785E7">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2D49D7A">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1561A640">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1236853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5D505B15">
      <w:pPr>
        <w:pStyle w:val="32"/>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12AFC471">
      <w:pPr>
        <w:pStyle w:val="32"/>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6DC3EEF8">
      <w:pPr>
        <w:pStyle w:val="32"/>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62D52E4B">
      <w:pPr>
        <w:pStyle w:val="32"/>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74517942">
      <w:pPr>
        <w:pStyle w:val="32"/>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52F3683A">
      <w:pPr>
        <w:pStyle w:val="32"/>
        <w:spacing w:line="360" w:lineRule="auto"/>
        <w:ind w:firstLine="840" w:firstLineChars="35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F889267">
      <w:pPr>
        <w:pStyle w:val="890"/>
        <w:shd w:val="clear" w:color="auto" w:fill="FFFFFF"/>
        <w:snapToGrid w:val="0"/>
        <w:spacing w:before="0" w:beforeAutospacing="0" w:after="0" w:afterAutospacing="0" w:line="360" w:lineRule="auto"/>
        <w:ind w:firstLine="403"/>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D9316EE">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8BBF7EB">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2AB35980">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6E7A587A">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1CD5021">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453A5093">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6382B04F">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366F12EE">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00C7E26B">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60D98A22">
      <w:pPr>
        <w:pStyle w:val="890"/>
        <w:shd w:val="clear" w:color="auto" w:fill="FFFFFF"/>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4.5 补偿救济</w:t>
      </w:r>
    </w:p>
    <w:p w14:paraId="048AB8C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采购人（行政机关）因政策变化、规划调整而不履行政府采购合同的，供应商可向采购人（行政机关）提起补偿申请。</w:t>
      </w:r>
    </w:p>
    <w:p w14:paraId="749A99CB">
      <w:pPr>
        <w:pStyle w:val="890"/>
        <w:shd w:val="clear" w:color="auto" w:fill="FFFFFF"/>
        <w:snapToGrid w:val="0"/>
        <w:spacing w:before="0" w:beforeAutospacing="0" w:after="0" w:afterAutospacing="0" w:line="360" w:lineRule="auto"/>
        <w:ind w:firstLine="403"/>
        <w:contextualSpacing/>
        <w:rPr>
          <w:color w:val="auto"/>
          <w:highlight w:val="none"/>
        </w:rPr>
      </w:pPr>
      <w:r>
        <w:rPr>
          <w:rFonts w:hint="eastAsia"/>
          <w:color w:val="auto"/>
          <w:highlight w:val="none"/>
        </w:rPr>
        <w:t>投诉书范本及制作说明详见附件3。</w:t>
      </w:r>
    </w:p>
    <w:p w14:paraId="0E6A850E">
      <w:pPr>
        <w:pStyle w:val="141"/>
        <w:snapToGrid w:val="0"/>
        <w:spacing w:before="0"/>
        <w:ind w:firstLine="360"/>
        <w:rPr>
          <w:rFonts w:ascii="宋体" w:hAnsi="宋体" w:cs="宋体"/>
          <w:color w:val="auto"/>
          <w:sz w:val="18"/>
          <w:szCs w:val="18"/>
          <w:highlight w:val="none"/>
        </w:rPr>
      </w:pPr>
    </w:p>
    <w:p w14:paraId="2898CCB7">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24993365">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55FB8E67">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3A34DB5A">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086BA5E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28C6349C">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968DF4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1A1B45E8">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2961A7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5BDEDCF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A96EBB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16FC66B8">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170F37F8">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F768CB0">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05D7F8D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8B624D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7C6C33C1">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646C535">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1A4AD68">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311DB420">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37BA62EF">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6CDFFFE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1264EF97">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721C716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257F3E50">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11.1资格文件</w:t>
      </w:r>
    </w:p>
    <w:p w14:paraId="06E8DF0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03196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11.1.2</w:t>
      </w:r>
      <w:r>
        <w:rPr>
          <w:rFonts w:hint="eastAsia" w:ascii="宋体" w:hAnsi="宋体" w:cs="宋体"/>
          <w:snapToGrid w:val="0"/>
          <w:color w:val="auto"/>
          <w:kern w:val="28"/>
          <w:sz w:val="24"/>
          <w:szCs w:val="20"/>
          <w:highlight w:val="none"/>
        </w:rPr>
        <w:t>联合协议（如果有）；</w:t>
      </w:r>
    </w:p>
    <w:p w14:paraId="38DEC1E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11.1.3落实政府采购政策需满足的资格要求</w:t>
      </w: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无</w:t>
      </w:r>
      <w:r>
        <w:rPr>
          <w:rFonts w:hint="eastAsia" w:ascii="宋体" w:hAnsi="宋体" w:cs="宋体"/>
          <w:color w:val="auto"/>
          <w:sz w:val="24"/>
          <w:highlight w:val="none"/>
        </w:rPr>
        <w:t>；</w:t>
      </w:r>
    </w:p>
    <w:p w14:paraId="0F6F278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11.1.4本项目的特定资格要求</w:t>
      </w:r>
      <w:r>
        <w:rPr>
          <w:rFonts w:hint="eastAsia" w:ascii="宋体" w:hAnsi="宋体" w:cs="宋体"/>
          <w:snapToGrid w:val="0"/>
          <w:color w:val="auto"/>
          <w:kern w:val="28"/>
          <w:sz w:val="24"/>
          <w:szCs w:val="20"/>
          <w:highlight w:val="none"/>
        </w:rPr>
        <w:t>：无</w:t>
      </w:r>
      <w:r>
        <w:rPr>
          <w:rFonts w:hint="eastAsia" w:ascii="宋体" w:hAnsi="宋体" w:cs="宋体"/>
          <w:color w:val="auto"/>
          <w:sz w:val="24"/>
          <w:highlight w:val="none"/>
        </w:rPr>
        <w:t>；</w:t>
      </w:r>
    </w:p>
    <w:p w14:paraId="5911CC18">
      <w:pPr>
        <w:snapToGrid w:val="0"/>
        <w:spacing w:line="360" w:lineRule="auto"/>
        <w:ind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14:paraId="4934875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101E638">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7951936F">
      <w:pPr>
        <w:snapToGrid w:val="0"/>
        <w:spacing w:line="360" w:lineRule="auto"/>
        <w:ind w:firstLine="960" w:firstLineChars="40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11.2.3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p>
    <w:p w14:paraId="5ECB879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符合性审查资料；</w:t>
      </w:r>
    </w:p>
    <w:p w14:paraId="3348697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评标标准相应的商务技术资料；</w:t>
      </w:r>
    </w:p>
    <w:p w14:paraId="0CE5A4C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投标标的清单；</w:t>
      </w:r>
    </w:p>
    <w:p w14:paraId="1BF16D2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p>
    <w:p w14:paraId="702280BD">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sz w:val="24"/>
          <w:highlight w:val="none"/>
        </w:rPr>
        <w:t>。</w:t>
      </w:r>
    </w:p>
    <w:p w14:paraId="10F50EF3">
      <w:pPr>
        <w:snapToGrid w:val="0"/>
        <w:spacing w:line="360" w:lineRule="auto"/>
        <w:ind w:firstLine="482" w:firstLineChars="200"/>
        <w:rPr>
          <w:rFonts w:ascii="宋体" w:hAnsi="宋体" w:cs="宋体"/>
          <w:b/>
          <w:bCs/>
          <w:color w:val="auto"/>
          <w:sz w:val="24"/>
          <w:highlight w:val="none"/>
          <w:u w:val="single"/>
          <w:lang w:val="zh-CN"/>
        </w:rPr>
      </w:pPr>
      <w:r>
        <w:rPr>
          <w:rFonts w:hint="eastAsia" w:ascii="宋体" w:hAnsi="宋体" w:cs="宋体"/>
          <w:b/>
          <w:bCs/>
          <w:color w:val="auto"/>
          <w:kern w:val="0"/>
          <w:sz w:val="24"/>
          <w:highlight w:val="none"/>
          <w:lang w:val="zh-CN"/>
        </w:rPr>
        <w:t>11.</w:t>
      </w:r>
      <w:r>
        <w:rPr>
          <w:rFonts w:hint="eastAsia" w:ascii="宋体" w:hAnsi="宋体" w:cs="宋体"/>
          <w:b/>
          <w:bCs/>
          <w:color w:val="auto"/>
          <w:kern w:val="0"/>
          <w:sz w:val="24"/>
          <w:highlight w:val="none"/>
        </w:rPr>
        <w:t>3</w:t>
      </w:r>
      <w:r>
        <w:rPr>
          <w:rFonts w:hint="eastAsia" w:ascii="宋体" w:hAnsi="宋体" w:cs="宋体"/>
          <w:b/>
          <w:bCs/>
          <w:color w:val="auto"/>
          <w:sz w:val="24"/>
          <w:highlight w:val="none"/>
        </w:rPr>
        <w:t>报价文件</w:t>
      </w:r>
    </w:p>
    <w:p w14:paraId="32B8C99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6103309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lang w:val="en-US" w:eastAsia="zh-CN"/>
        </w:rPr>
        <w:t>11.3.2中小企业声明函（</w:t>
      </w:r>
      <w:r>
        <w:rPr>
          <w:rFonts w:hint="eastAsia" w:ascii="宋体" w:hAnsi="宋体" w:cs="宋体"/>
          <w:snapToGrid w:val="0"/>
          <w:color w:val="auto"/>
          <w:kern w:val="28"/>
          <w:sz w:val="24"/>
          <w:szCs w:val="20"/>
          <w:highlight w:val="none"/>
        </w:rPr>
        <w:t>如果</w:t>
      </w:r>
      <w:r>
        <w:rPr>
          <w:rFonts w:hint="eastAsia" w:ascii="宋体" w:hAnsi="宋体" w:cs="宋体"/>
          <w:color w:val="auto"/>
          <w:sz w:val="24"/>
          <w:highlight w:val="none"/>
          <w:lang w:val="en-US" w:eastAsia="zh-CN"/>
        </w:rPr>
        <w:t>有）</w:t>
      </w:r>
      <w:r>
        <w:rPr>
          <w:rFonts w:hint="eastAsia" w:ascii="宋体" w:hAnsi="宋体" w:cs="宋体"/>
          <w:color w:val="auto"/>
          <w:sz w:val="24"/>
          <w:highlight w:val="none"/>
        </w:rPr>
        <w:t>。</w:t>
      </w:r>
    </w:p>
    <w:p w14:paraId="0C9C5C0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2CF7DD6">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64D80AC5">
      <w:pPr>
        <w:spacing w:line="360" w:lineRule="auto"/>
        <w:ind w:left="0" w:leftChars="0" w:firstLine="420" w:firstLineChars="175"/>
        <w:rPr>
          <w:rFonts w:hint="eastAsia"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投标人应对投标文件中材料的真实性、合法性负责。</w:t>
      </w:r>
    </w:p>
    <w:p w14:paraId="5039D063">
      <w:pPr>
        <w:spacing w:line="360" w:lineRule="auto"/>
        <w:ind w:left="0" w:leftChars="0"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投标人可事先在公开官网查询、核对相关证书和报告内容，确保投标（响应）文件资料准确无误。投标人应对投标文件中材料的真实性、合法性负责。</w:t>
      </w:r>
    </w:p>
    <w:p w14:paraId="46B29ADB">
      <w:pPr>
        <w:pStyle w:val="14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D2C8527">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w:t>
      </w:r>
      <w:r>
        <w:rPr>
          <w:rFonts w:hint="eastAsia" w:ascii="宋体" w:hAnsi="宋体" w:cs="宋体"/>
          <w:color w:val="auto"/>
          <w:kern w:val="0"/>
          <w:sz w:val="24"/>
          <w:highlight w:val="none"/>
          <w:lang w:val="en-US" w:eastAsia="zh-CN"/>
        </w:rPr>
        <w:t>投标人如参加多个标项投标，投标文件应按标项分别编制递交。</w:t>
      </w:r>
      <w:r>
        <w:rPr>
          <w:rFonts w:hint="eastAsia" w:ascii="宋体" w:hAnsi="宋体" w:cs="宋体"/>
          <w:color w:val="auto"/>
          <w:kern w:val="0"/>
          <w:sz w:val="24"/>
          <w:highlight w:val="none"/>
          <w:lang w:val="zh-CN"/>
        </w:rPr>
        <w:t>各投标人在编制投标文件时请按照招标文件第六部分规定的格式进行，混乱的编排导致投标文件被误读或评标委员会查找不到有效文件是投标人的风险。</w:t>
      </w:r>
    </w:p>
    <w:p w14:paraId="67433B85">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DB7663E">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CCE7A9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B96F10C">
      <w:pPr>
        <w:pStyle w:val="14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79359D8A">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0C60137F">
      <w:pPr>
        <w:pStyle w:val="14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4574D9DE">
      <w:pPr>
        <w:pStyle w:val="14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65FF9371">
      <w:pPr>
        <w:pStyle w:val="141"/>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3E83EDF">
      <w:pPr>
        <w:pStyle w:val="14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5BB83A7">
      <w:pPr>
        <w:pStyle w:val="14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4BAE2F2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14DE258D">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3D8885C9">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DDABB1D">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77A0F7D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43EA528B">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26CD7367">
      <w:pPr>
        <w:pStyle w:val="14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5462C1BE">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有招标文件第四部分4.2规定的情形之一的，投标无效：</w:t>
      </w:r>
    </w:p>
    <w:p w14:paraId="34D8EBB4">
      <w:pPr>
        <w:pStyle w:val="14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C4D39DF">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0274378B">
      <w:pPr>
        <w:pStyle w:val="14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7F4EA871">
      <w:pPr>
        <w:pStyle w:val="14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57C502D8">
      <w:pPr>
        <w:pStyle w:val="14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51DE213B">
      <w:pPr>
        <w:pStyle w:val="559"/>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12E4EF56">
      <w:pPr>
        <w:pStyle w:val="55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49E451FF">
      <w:pPr>
        <w:pStyle w:val="55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0B5A0EAC">
      <w:pPr>
        <w:pStyle w:val="55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1382908">
      <w:pPr>
        <w:pStyle w:val="559"/>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14:paraId="33AE8B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58528A9A">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1EAC8A94">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330C2A01">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3D91CE30">
      <w:pPr>
        <w:pStyle w:val="559"/>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20.信用信息查询</w:t>
      </w:r>
    </w:p>
    <w:p w14:paraId="6CAF035E">
      <w:pPr>
        <w:pStyle w:val="14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52D67320">
      <w:pPr>
        <w:pStyle w:val="14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09447F8A">
      <w:pPr>
        <w:pStyle w:val="14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144C29F">
      <w:pPr>
        <w:pStyle w:val="14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BB4186D">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2F50B941">
      <w:pPr>
        <w:spacing w:line="360" w:lineRule="auto"/>
        <w:rPr>
          <w:rFonts w:ascii="宋体" w:hAnsi="宋体" w:cs="宋体"/>
          <w:b/>
          <w:color w:val="auto"/>
          <w:sz w:val="24"/>
          <w:highlight w:val="none"/>
        </w:rPr>
      </w:pPr>
      <w:bookmarkStart w:id="12"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4AC6E82F">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2BC1A33B">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2DFC8884">
      <w:pPr>
        <w:pStyle w:val="14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22.1采购代理机构应当在评审结束后2个工作日内将评审报告送采购人确认。</w:t>
      </w:r>
    </w:p>
    <w:p w14:paraId="6593AEB0">
      <w:pPr>
        <w:pStyle w:val="141"/>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22.2采购人应当在收到评审报告后5个工作日内，从评审报告提出的中标或者成交候选供应商中，按照排序由高到低的原则确定1名中标或者成交供应商，也可以书面授权评标委员会直接确定中标或者成交供应商。采购人逾期未确定中标或者成交供应商且不提出异议的，视为确定评审报告提出的排序第一的中标或者成交候选供应商为中标或者成交供应商。</w:t>
      </w:r>
    </w:p>
    <w:p w14:paraId="1BC2F0BB">
      <w:pPr>
        <w:pStyle w:val="14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DE535E2">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1AA356A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23.2中标结果公告内容包括采购人及其委托的采购代理机构的名称、地址、联系方式，项目名称和项目编号，中标人名称、地址和中标金额，主要中标标的的名称、数量、单价、服务要求，开标记录、</w:t>
      </w:r>
      <w:bookmarkStart w:id="13" w:name="_Hlk101184471"/>
      <w:r>
        <w:rPr>
          <w:rFonts w:hint="eastAsia" w:ascii="宋体" w:hAnsi="宋体" w:cs="宋体"/>
          <w:color w:val="auto"/>
          <w:sz w:val="24"/>
          <w:highlight w:val="none"/>
        </w:rPr>
        <w:t>资格审查情况、评审专家抽取规则、符合性审查情况、</w:t>
      </w:r>
      <w:bookmarkEnd w:id="13"/>
      <w:r>
        <w:rPr>
          <w:rFonts w:hint="eastAsia" w:ascii="宋体" w:hAnsi="宋体" w:cs="宋体"/>
          <w:color w:val="auto"/>
          <w:sz w:val="24"/>
          <w:highlight w:val="none"/>
        </w:rPr>
        <w:t>中标公告期限以及评审专家名单、评分汇总及明细等。</w:t>
      </w:r>
    </w:p>
    <w:p w14:paraId="271AEC72">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4DF791C4">
      <w:pPr>
        <w:pStyle w:val="141"/>
        <w:snapToGrid w:val="0"/>
        <w:spacing w:before="0"/>
        <w:ind w:firstLine="482"/>
        <w:rPr>
          <w:rStyle w:val="79"/>
          <w:rFonts w:ascii="宋体" w:hAnsi="宋体" w:cs="宋体"/>
          <w:color w:val="auto"/>
          <w:highlight w:val="none"/>
        </w:rPr>
      </w:pPr>
      <w:r>
        <w:rPr>
          <w:rFonts w:hint="eastAsia" w:ascii="宋体" w:hAnsi="宋体" w:cs="宋体"/>
          <w:b/>
          <w:color w:val="auto"/>
          <w:szCs w:val="24"/>
          <w:highlight w:val="none"/>
        </w:rPr>
        <w:t xml:space="preserve">23.4 </w:t>
      </w:r>
      <w:r>
        <w:rPr>
          <w:rFonts w:hint="eastAsia" w:ascii="宋体" w:hAnsi="宋体" w:cs="宋体"/>
          <w:bCs/>
          <w:color w:val="auto"/>
          <w:szCs w:val="24"/>
          <w:highlight w:val="none"/>
        </w:rPr>
        <w:t>由于中标、成交供应商原因导致重新采购的，应当承担支付代理费和专家评审费等费用在内的赔偿责任。</w:t>
      </w:r>
    </w:p>
    <w:p w14:paraId="327AF336">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D708F38">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5529AF16">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17C4C743">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w:t>
      </w:r>
      <w:r>
        <w:rPr>
          <w:rFonts w:hint="eastAsia" w:ascii="宋体" w:hAnsi="宋体" w:eastAsia="宋体" w:cs="宋体"/>
          <w:color w:val="auto"/>
          <w:kern w:val="0"/>
          <w:sz w:val="24"/>
          <w:highlight w:val="none"/>
        </w:rPr>
        <w:t>供应商</w:t>
      </w:r>
      <w:r>
        <w:rPr>
          <w:rFonts w:hint="eastAsia" w:ascii="宋体" w:hAnsi="宋体" w:cs="宋体"/>
          <w:color w:val="auto"/>
          <w:kern w:val="0"/>
          <w:sz w:val="24"/>
          <w:highlight w:val="none"/>
        </w:rPr>
        <w:t>应当通过电子交易平台在中标通知书发出之日起30日内，按照招标文件确定的事项签订政府采购合同，并在签订之日起2个工作日内将政府采购合同在浙江政府采购网上公告。</w:t>
      </w:r>
    </w:p>
    <w:p w14:paraId="6A37F98A">
      <w:pPr>
        <w:pStyle w:val="14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w:t>
      </w:r>
      <w:r>
        <w:rPr>
          <w:rFonts w:hint="eastAsia" w:ascii="宋体" w:hAnsi="宋体" w:cs="宋体"/>
          <w:color w:val="auto"/>
          <w:highlight w:val="none"/>
        </w:rPr>
        <w:t>供应商</w:t>
      </w:r>
      <w:r>
        <w:rPr>
          <w:rFonts w:hint="eastAsia" w:ascii="宋体" w:hAnsi="宋体" w:cs="宋体"/>
          <w:color w:val="auto"/>
          <w:kern w:val="0"/>
          <w:highlight w:val="none"/>
          <w:lang w:val="zh-CN"/>
        </w:rPr>
        <w:t>按规定的日期、时间、地点，由法定代表人或其授权代表与采购人代表签订合同。如中标</w:t>
      </w:r>
      <w:r>
        <w:rPr>
          <w:rFonts w:hint="eastAsia" w:ascii="宋体" w:hAnsi="宋体" w:cs="宋体"/>
          <w:color w:val="auto"/>
          <w:highlight w:val="none"/>
        </w:rPr>
        <w:t>供应商</w:t>
      </w:r>
      <w:r>
        <w:rPr>
          <w:rFonts w:hint="eastAsia" w:ascii="宋体" w:hAnsi="宋体" w:cs="宋体"/>
          <w:color w:val="auto"/>
          <w:kern w:val="0"/>
          <w:highlight w:val="none"/>
          <w:lang w:val="zh-CN"/>
        </w:rPr>
        <w:t>为联合体的，由联合体成员各方法定代表人或其授权代表与采购人代表签订合同。</w:t>
      </w:r>
    </w:p>
    <w:p w14:paraId="0DC89046">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25.3如签订合同并生效后，供应商无故拒绝或延期，除按照合同条款处理外，上报监督管理部门列入不良行为记录一次，并给予通报。</w:t>
      </w:r>
    </w:p>
    <w:p w14:paraId="626C3DDA">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25.4中标供应商拒绝与采购人签订合同的，采购人可以依法依规按照评审报告推荐的中标或者成交候选人名单排序，确定下一候选人为中标供应商，否则应当重新开展政府采购活动。</w:t>
      </w:r>
    </w:p>
    <w:p w14:paraId="7C43530E">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41D1FB36">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169C724B">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14:paraId="1FD2D65E">
      <w:pPr>
        <w:pStyle w:val="4"/>
        <w:rPr>
          <w:rFonts w:ascii="宋体" w:hAnsi="宋体" w:eastAsia="宋体" w:cs="宋体"/>
          <w:color w:val="auto"/>
          <w:highlight w:val="none"/>
        </w:rPr>
      </w:pPr>
      <w:r>
        <w:rPr>
          <w:rFonts w:hint="eastAsia" w:ascii="宋体" w:hAnsi="宋体" w:eastAsia="宋体" w:cs="宋体"/>
          <w:color w:val="auto"/>
          <w:sz w:val="24"/>
          <w:highlight w:val="none"/>
          <w:lang w:val="en-US"/>
        </w:rPr>
        <w:t>27.预付款</w:t>
      </w:r>
    </w:p>
    <w:p w14:paraId="03E639CB">
      <w:pPr>
        <w:adjustRightInd/>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采购人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人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607B1CD1">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693641E0">
      <w:pPr>
        <w:pStyle w:val="141"/>
        <w:snapToGrid w:val="0"/>
        <w:spacing w:before="0"/>
        <w:ind w:firstLine="0" w:firstLineChars="0"/>
        <w:rPr>
          <w:rFonts w:ascii="宋体" w:hAnsi="宋体" w:cs="宋体"/>
          <w:color w:val="auto"/>
          <w:highlight w:val="none"/>
        </w:rPr>
      </w:pPr>
      <w:r>
        <w:rPr>
          <w:rFonts w:hint="eastAsia" w:ascii="宋体" w:hAnsi="宋体" w:cs="宋体"/>
          <w:b/>
          <w:bCs/>
          <w:color w:val="auto"/>
          <w:highlight w:val="none"/>
        </w:rPr>
        <w:t>2</w:t>
      </w:r>
      <w:r>
        <w:rPr>
          <w:rFonts w:hint="eastAsia"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7EBE671F">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646EA377">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3C7A6C56">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1133D611">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3F9D2F14">
      <w:pPr>
        <w:pStyle w:val="14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131675E7">
      <w:pPr>
        <w:pStyle w:val="14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0FD4D27E">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874CB7E">
      <w:pPr>
        <w:pStyle w:val="2"/>
        <w:spacing w:line="360" w:lineRule="auto"/>
        <w:ind w:firstLine="0" w:firstLineChars="0"/>
        <w:rPr>
          <w:rFonts w:cs="宋体"/>
          <w:b/>
          <w:color w:val="auto"/>
          <w:highlight w:val="none"/>
        </w:rPr>
      </w:pPr>
      <w:r>
        <w:rPr>
          <w:rFonts w:hint="eastAsia" w:cs="宋体"/>
          <w:b/>
          <w:color w:val="auto"/>
          <w:highlight w:val="none"/>
        </w:rPr>
        <w:t>30.验收</w:t>
      </w:r>
    </w:p>
    <w:p w14:paraId="50095C5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3663BA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29F9346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ECA263E">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0C0F1FE">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9BB32CC">
      <w:pPr>
        <w:pStyle w:val="91"/>
        <w:rPr>
          <w:rFonts w:ascii="宋体" w:hAnsi="宋体" w:eastAsia="宋体" w:cs="宋体"/>
          <w:color w:val="auto"/>
          <w:highlight w:val="none"/>
        </w:rPr>
      </w:pPr>
    </w:p>
    <w:bookmarkEnd w:id="12"/>
    <w:p w14:paraId="2DBF4D40">
      <w:pPr>
        <w:tabs>
          <w:tab w:val="left" w:pos="0"/>
        </w:tabs>
        <w:spacing w:line="360" w:lineRule="auto"/>
        <w:ind w:firstLine="480"/>
        <w:rPr>
          <w:rFonts w:ascii="宋体" w:hAnsi="宋体" w:cs="宋体"/>
          <w:color w:val="auto"/>
          <w:kern w:val="0"/>
          <w:sz w:val="24"/>
          <w:highlight w:val="none"/>
        </w:rPr>
        <w:sectPr>
          <w:footerReference r:id="rId7" w:type="first"/>
          <w:footerReference r:id="rId6" w:type="default"/>
          <w:pgSz w:w="11906" w:h="16838"/>
          <w:pgMar w:top="1100" w:right="1418" w:bottom="1458" w:left="1418" w:header="851" w:footer="352" w:gutter="0"/>
          <w:pgNumType w:start="1"/>
          <w:cols w:space="720" w:num="1"/>
          <w:docGrid w:linePitch="312" w:charSpace="0"/>
        </w:sectPr>
      </w:pPr>
      <w:bookmarkStart w:id="14" w:name="_Hlt75236101"/>
      <w:bookmarkEnd w:id="14"/>
      <w:bookmarkStart w:id="15" w:name="_Hlt75236011"/>
      <w:bookmarkEnd w:id="15"/>
      <w:bookmarkStart w:id="16" w:name="_Hlt68403820"/>
      <w:bookmarkEnd w:id="16"/>
      <w:bookmarkStart w:id="17" w:name="_Hlt68072998"/>
      <w:bookmarkEnd w:id="17"/>
      <w:bookmarkStart w:id="18" w:name="_Hlt74729768"/>
      <w:bookmarkEnd w:id="18"/>
      <w:bookmarkStart w:id="19" w:name="_Hlt68072990"/>
      <w:bookmarkEnd w:id="19"/>
      <w:bookmarkStart w:id="20" w:name="_Hlt75236290"/>
      <w:bookmarkEnd w:id="20"/>
      <w:bookmarkStart w:id="21" w:name="_Hlt74730295"/>
      <w:bookmarkEnd w:id="21"/>
      <w:bookmarkStart w:id="22" w:name="_Hlt68073093"/>
      <w:bookmarkEnd w:id="22"/>
      <w:bookmarkStart w:id="23" w:name="_Hlt74714665"/>
      <w:bookmarkEnd w:id="23"/>
      <w:bookmarkStart w:id="24" w:name="_Hlt74707468"/>
      <w:bookmarkEnd w:id="24"/>
      <w:bookmarkStart w:id="25" w:name="_Hlt68057669"/>
      <w:bookmarkEnd w:id="25"/>
    </w:p>
    <w:bookmarkEnd w:id="10"/>
    <w:bookmarkEnd w:id="11"/>
    <w:p w14:paraId="4B630D84">
      <w:pPr>
        <w:spacing w:line="360" w:lineRule="auto"/>
        <w:jc w:val="center"/>
        <w:outlineLvl w:val="0"/>
        <w:rPr>
          <w:rFonts w:ascii="宋体" w:hAnsi="宋体" w:cs="宋体"/>
          <w:b/>
          <w:color w:val="auto"/>
          <w:sz w:val="36"/>
          <w:szCs w:val="36"/>
          <w:highlight w:val="none"/>
        </w:rPr>
      </w:pPr>
      <w:bookmarkStart w:id="26" w:name="第四部分"/>
      <w:r>
        <w:rPr>
          <w:rFonts w:hint="eastAsia" w:ascii="宋体" w:hAnsi="宋体" w:cs="宋体"/>
          <w:b/>
          <w:color w:val="auto"/>
          <w:sz w:val="36"/>
          <w:szCs w:val="36"/>
          <w:highlight w:val="none"/>
        </w:rPr>
        <w:t>第三部分   采购需求</w:t>
      </w:r>
    </w:p>
    <w:p w14:paraId="74C3A2F7">
      <w:pPr>
        <w:pStyle w:val="3"/>
        <w:numPr>
          <w:ilvl w:val="0"/>
          <w:numId w:val="0"/>
        </w:numPr>
        <w:tabs>
          <w:tab w:val="left" w:pos="0"/>
          <w:tab w:val="clear" w:pos="432"/>
        </w:tabs>
        <w:spacing w:line="360" w:lineRule="auto"/>
        <w:ind w:left="0" w:leftChars="0" w:firstLine="422" w:firstLineChars="175"/>
        <w:jc w:val="left"/>
        <w:rPr>
          <w:rFonts w:hint="eastAsia" w:ascii="宋体" w:hAnsi="宋体" w:eastAsia="宋体" w:cs="宋体"/>
          <w:color w:val="auto"/>
          <w:sz w:val="24"/>
          <w:szCs w:val="24"/>
          <w:highlight w:val="none"/>
          <w:lang w:val="en-US"/>
        </w:rPr>
      </w:pPr>
      <w:bookmarkStart w:id="27" w:name="_Toc23968"/>
      <w:bookmarkStart w:id="28" w:name="_Toc7043"/>
      <w:bookmarkStart w:id="29" w:name="_Toc3754"/>
      <w:r>
        <w:rPr>
          <w:rFonts w:hint="eastAsia" w:ascii="宋体" w:hAnsi="宋体" w:eastAsia="宋体" w:cs="宋体"/>
          <w:color w:val="auto"/>
          <w:sz w:val="24"/>
          <w:szCs w:val="24"/>
          <w:highlight w:val="none"/>
          <w:lang w:val="en-US" w:eastAsia="zh-CN"/>
        </w:rPr>
        <w:t>一、标项一：浙江省司法行政综合业务管理系统迭代升级项目——市县工作平台升级采购需求</w:t>
      </w:r>
    </w:p>
    <w:bookmarkEnd w:id="27"/>
    <w:bookmarkEnd w:id="28"/>
    <w:bookmarkEnd w:id="29"/>
    <w:p w14:paraId="7602494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1"/>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1.</w:t>
      </w:r>
      <w:r>
        <w:rPr>
          <w:rFonts w:hint="eastAsia" w:ascii="宋体" w:hAnsi="宋体" w:eastAsia="宋体" w:cs="宋体"/>
          <w:b/>
          <w:bCs/>
          <w:color w:val="auto"/>
          <w:sz w:val="24"/>
          <w:szCs w:val="24"/>
          <w:highlight w:val="none"/>
          <w:lang w:val="en-US" w:eastAsia="zh-CN"/>
        </w:rPr>
        <w:t>建设背景</w:t>
      </w:r>
    </w:p>
    <w:p w14:paraId="14337053">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浙江省司法行政事业发展“十四五”规划》及《浙江省司法行政科技信息化建设总体方案（2021-2023）》建设要求，加快推进物联网、区块链、5G、人工智能等新兴信息技术在司法行政领域应用建设，积极构建“智汇”数据管理、“智理”能力支撑、“智能”业务应用、“智效”运维保障工作体系，为实现对司法行政工作的机制架构、方式流程、手段工具进行全方位、系统性重塑，实现司法行政信息化项目综合集成、业务协同、信息共享、互联互通，需要加强建设司法行政综合业务管理系统，持续优化全省应用整合、贯通和监管体系。</w:t>
      </w:r>
    </w:p>
    <w:p w14:paraId="6CD1B42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1"/>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2.</w:t>
      </w:r>
      <w:r>
        <w:rPr>
          <w:rFonts w:hint="eastAsia" w:ascii="宋体" w:hAnsi="宋体" w:eastAsia="宋体" w:cs="宋体"/>
          <w:b/>
          <w:bCs/>
          <w:color w:val="auto"/>
          <w:sz w:val="24"/>
          <w:szCs w:val="24"/>
          <w:highlight w:val="none"/>
          <w:lang w:val="en-US" w:eastAsia="zh-CN"/>
        </w:rPr>
        <w:t>建设目标</w:t>
      </w:r>
    </w:p>
    <w:p w14:paraId="6978A685">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到2025年，纵横贯通、全面覆盖、融合共享、智能高效、安全可控的“智慧法治”信息化体系基本建成，全量实时汇聚、高质量治理、高价值转化的法治大数据体系基本建成，信息动态感知、学习深度学习、数据精准分析、业务智能辅助的信息化新格局基本建成，网络安全综合防御能力显著增强，有力支撑全面依法治国和司法行政治理体系和治理能力现代化。</w:t>
      </w:r>
    </w:p>
    <w:p w14:paraId="562BE942">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坚持“大平台、大数据、大系统”的建设理念，着力解决信息化建设碎片化、分散化问题，强化系统整合、资源集聚、管理集成，推动“智慧法治”建设集约化发展。</w:t>
      </w:r>
    </w:p>
    <w:p w14:paraId="70F51706">
      <w:pPr>
        <w:keepNext w:val="0"/>
        <w:keepLines w:val="0"/>
        <w:pageBreakBefore w:val="0"/>
        <w:numPr>
          <w:ilvl w:val="0"/>
          <w:numId w:val="0"/>
        </w:numPr>
        <w:kinsoku/>
        <w:wordWrap/>
        <w:overflowPunct/>
        <w:topLinePunct w:val="0"/>
        <w:autoSpaceDE/>
        <w:autoSpaceDN/>
        <w:bidi w:val="0"/>
        <w:snapToGrid/>
        <w:spacing w:line="360" w:lineRule="auto"/>
        <w:ind w:left="0" w:leftChars="0" w:firstLine="422" w:firstLineChars="175"/>
        <w:textAlignment w:val="auto"/>
        <w:outlineLvl w:val="1"/>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3.</w:t>
      </w:r>
      <w:r>
        <w:rPr>
          <w:rFonts w:hint="eastAsia" w:ascii="宋体" w:hAnsi="宋体" w:eastAsia="宋体" w:cs="宋体"/>
          <w:b/>
          <w:bCs/>
          <w:color w:val="auto"/>
          <w:sz w:val="24"/>
          <w:szCs w:val="24"/>
          <w:highlight w:val="none"/>
          <w:lang w:val="en-US" w:eastAsia="zh-CN"/>
        </w:rPr>
        <w:t>系统现状</w:t>
      </w:r>
    </w:p>
    <w:p w14:paraId="72E3FD86">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本系统已完成司法行政综合业务管理系统的总体框架建设，实现了应用系统集成、统一认证中心、统一用户中心、统一待办中心、统一预警中心、统一流程中心、统一协同中心、统一门户等主要功能。</w:t>
      </w:r>
    </w:p>
    <w:p w14:paraId="5D07AD03">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本次建设要求在保留现有省厅司法行政综合业务管理系统功能的基础上进行提升优化，并实现市县司法局贯通使用。具体需求如下：</w:t>
      </w:r>
    </w:p>
    <w:p w14:paraId="549D5046">
      <w:pPr>
        <w:keepNext w:val="0"/>
        <w:keepLines w:val="0"/>
        <w:pageBreakBefore w:val="0"/>
        <w:kinsoku/>
        <w:wordWrap/>
        <w:overflowPunct/>
        <w:topLinePunct w:val="0"/>
        <w:autoSpaceDE/>
        <w:autoSpaceDN/>
        <w:bidi w:val="0"/>
        <w:snapToGrid/>
        <w:spacing w:line="360" w:lineRule="auto"/>
        <w:ind w:left="0" w:leftChars="0" w:firstLine="422"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（1）全省司法行政工作台迭代升级：</w:t>
      </w:r>
      <w:r>
        <w:rPr>
          <w:rFonts w:hint="eastAsia" w:ascii="宋体" w:hAnsi="宋体" w:eastAsia="宋体" w:cs="宋体"/>
          <w:color w:val="auto"/>
          <w:sz w:val="24"/>
          <w:szCs w:val="24"/>
          <w:highlight w:val="none"/>
          <w:lang w:val="en-US" w:eastAsia="zh-CN"/>
        </w:rPr>
        <w:t>将现有省级</w:t>
      </w:r>
      <w:r>
        <w:rPr>
          <w:rFonts w:hint="eastAsia" w:ascii="宋体" w:hAnsi="宋体" w:eastAsia="宋体" w:cs="宋体"/>
          <w:color w:val="auto"/>
          <w:sz w:val="24"/>
          <w:szCs w:val="24"/>
          <w:highlight w:val="none"/>
          <w:lang w:eastAsia="zh-CN"/>
        </w:rPr>
        <w:t>司法行政综合业务管理系统</w:t>
      </w:r>
      <w:r>
        <w:rPr>
          <w:rFonts w:hint="eastAsia" w:ascii="宋体" w:hAnsi="宋体" w:eastAsia="宋体" w:cs="宋体"/>
          <w:color w:val="auto"/>
          <w:sz w:val="24"/>
          <w:szCs w:val="24"/>
          <w:highlight w:val="none"/>
          <w:lang w:val="en-US" w:eastAsia="zh-CN"/>
        </w:rPr>
        <w:t>进行全省三级（省市县）司法行政用户的全面覆盖，支持全省原有分散建设的应用进行整合，实现统一门户、登录、待办、日志及管理。</w:t>
      </w:r>
    </w:p>
    <w:p w14:paraId="6A120BD9">
      <w:pPr>
        <w:keepNext w:val="0"/>
        <w:keepLines w:val="0"/>
        <w:pageBreakBefore w:val="0"/>
        <w:kinsoku/>
        <w:wordWrap/>
        <w:overflowPunct/>
        <w:topLinePunct w:val="0"/>
        <w:autoSpaceDE/>
        <w:autoSpaceDN/>
        <w:bidi w:val="0"/>
        <w:snapToGrid/>
        <w:spacing w:line="360" w:lineRule="auto"/>
        <w:ind w:left="0" w:leftChars="0" w:firstLine="422"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（2）全省应用监管能力提升：</w:t>
      </w:r>
      <w:r>
        <w:rPr>
          <w:rFonts w:hint="eastAsia" w:ascii="宋体" w:hAnsi="宋体" w:eastAsia="宋体" w:cs="宋体"/>
          <w:color w:val="auto"/>
          <w:sz w:val="24"/>
          <w:szCs w:val="24"/>
          <w:highlight w:val="none"/>
          <w:lang w:val="en-US" w:eastAsia="zh-CN"/>
        </w:rPr>
        <w:t>对接入应用进行统一埋点管理；加强全省待办中心能力，对于基层高频使用的应用进行待办通道的集成管理及发送，统一待办接收及一键跳转处理。</w:t>
      </w:r>
    </w:p>
    <w:p w14:paraId="5B4D4CC7">
      <w:pPr>
        <w:keepNext w:val="0"/>
        <w:keepLines w:val="0"/>
        <w:pageBreakBefore w:val="0"/>
        <w:kinsoku/>
        <w:wordWrap/>
        <w:overflowPunct/>
        <w:topLinePunct w:val="0"/>
        <w:autoSpaceDE/>
        <w:autoSpaceDN/>
        <w:bidi w:val="0"/>
        <w:snapToGrid/>
        <w:spacing w:line="360" w:lineRule="auto"/>
        <w:ind w:left="0" w:leftChars="0" w:firstLine="422"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（3）个人用户中心完善优化：</w:t>
      </w:r>
      <w:r>
        <w:rPr>
          <w:rFonts w:hint="eastAsia" w:ascii="宋体" w:hAnsi="宋体" w:eastAsia="宋体" w:cs="宋体"/>
          <w:color w:val="auto"/>
          <w:sz w:val="24"/>
          <w:szCs w:val="24"/>
          <w:highlight w:val="none"/>
          <w:lang w:val="en-US" w:eastAsia="zh-CN"/>
        </w:rPr>
        <w:t>根据</w:t>
      </w:r>
      <w:r>
        <w:rPr>
          <w:rFonts w:hint="default" w:ascii="宋体" w:hAnsi="宋体" w:cs="宋体"/>
          <w:color w:val="auto"/>
          <w:sz w:val="24"/>
          <w:szCs w:val="24"/>
          <w:highlight w:val="none"/>
          <w:lang w:eastAsia="zh-CN"/>
        </w:rPr>
        <w:t>业务工作</w:t>
      </w:r>
      <w:r>
        <w:rPr>
          <w:rFonts w:hint="eastAsia" w:ascii="宋体" w:hAnsi="宋体" w:eastAsia="宋体" w:cs="宋体"/>
          <w:color w:val="auto"/>
          <w:sz w:val="24"/>
          <w:szCs w:val="24"/>
          <w:highlight w:val="none"/>
          <w:lang w:val="en-US" w:eastAsia="zh-CN"/>
        </w:rPr>
        <w:t>业务分类，支持多种类型的学习资料上传、学习、分享、收藏和记录；对接整合：对接现有考评及其他业务板块，提供模块化嵌入的功能。</w:t>
      </w:r>
    </w:p>
    <w:p w14:paraId="10333302">
      <w:pPr>
        <w:keepNext w:val="0"/>
        <w:keepLines w:val="0"/>
        <w:pageBreakBefore w:val="0"/>
        <w:kinsoku/>
        <w:wordWrap/>
        <w:overflowPunct/>
        <w:topLinePunct w:val="0"/>
        <w:autoSpaceDE/>
        <w:autoSpaceDN/>
        <w:bidi w:val="0"/>
        <w:snapToGrid/>
        <w:spacing w:line="360" w:lineRule="auto"/>
        <w:ind w:left="0" w:leftChars="0" w:firstLine="422"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（4）统一工作台页面重构：</w:t>
      </w:r>
      <w:r>
        <w:rPr>
          <w:rFonts w:hint="eastAsia" w:ascii="宋体" w:hAnsi="宋体" w:eastAsia="宋体" w:cs="宋体"/>
          <w:color w:val="auto"/>
          <w:sz w:val="24"/>
          <w:szCs w:val="24"/>
          <w:highlight w:val="none"/>
          <w:lang w:val="en-US" w:eastAsia="zh-CN"/>
        </w:rPr>
        <w:t>对工作台首页进行布局重构与UI优化；增加首页检索能力；对接OA实现协同办公；嵌入省司法的法治、立法、司法、普法守法等驾驶舱；对内跑系统进行迁移。</w:t>
      </w:r>
    </w:p>
    <w:p w14:paraId="50F33A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1"/>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w:t>
      </w:r>
      <w:r>
        <w:rPr>
          <w:rFonts w:hint="eastAsia" w:ascii="宋体" w:hAnsi="宋体" w:eastAsia="宋体" w:cs="宋体"/>
          <w:b/>
          <w:bCs/>
          <w:color w:val="auto"/>
          <w:sz w:val="24"/>
          <w:szCs w:val="24"/>
          <w:highlight w:val="none"/>
        </w:rPr>
        <w:t>司法行政综合业务管理系统迭代升级</w:t>
      </w:r>
    </w:p>
    <w:p w14:paraId="7C2EB1B5">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w:t>
      </w:r>
      <w:r>
        <w:rPr>
          <w:rFonts w:hint="eastAsia" w:ascii="宋体" w:hAnsi="宋体" w:eastAsia="宋体" w:cs="宋体"/>
          <w:b/>
          <w:bCs/>
          <w:color w:val="auto"/>
          <w:sz w:val="24"/>
          <w:szCs w:val="24"/>
          <w:highlight w:val="none"/>
        </w:rPr>
        <w:t>省市县三级平台贯通</w:t>
      </w:r>
    </w:p>
    <w:p w14:paraId="45D37005">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w:t>
      </w:r>
      <w:r>
        <w:rPr>
          <w:rFonts w:hint="eastAsia" w:ascii="宋体" w:hAnsi="宋体" w:eastAsia="宋体" w:cs="宋体"/>
          <w:b/>
          <w:bCs/>
          <w:color w:val="auto"/>
          <w:sz w:val="24"/>
          <w:szCs w:val="24"/>
          <w:highlight w:val="none"/>
        </w:rPr>
        <w:t>全面门户贯通</w:t>
      </w:r>
    </w:p>
    <w:p w14:paraId="3DD9FEC2">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4.1.1.1.</w:t>
      </w:r>
      <w:r>
        <w:rPr>
          <w:rFonts w:hint="eastAsia" w:ascii="宋体" w:hAnsi="宋体" w:eastAsia="宋体" w:cs="宋体"/>
          <w:b/>
          <w:bCs/>
          <w:color w:val="auto"/>
          <w:sz w:val="24"/>
          <w:szCs w:val="24"/>
          <w:highlight w:val="none"/>
        </w:rPr>
        <w:t>全省统一工作门户</w:t>
      </w:r>
    </w:p>
    <w:p w14:paraId="3E6D5FBE">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覆盖全省司法行政用户体系，实现跨部门、跨业务、跨体系层级的司法行政全周期全流程的跟踪</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各市县根据省级提供的标准进行联合使用，也支持现有具备一定能力的地市进行有机整合，级联一体</w:t>
      </w:r>
      <w:r>
        <w:rPr>
          <w:rFonts w:hint="eastAsia" w:ascii="宋体" w:hAnsi="宋体" w:eastAsia="宋体" w:cs="宋体"/>
          <w:color w:val="auto"/>
          <w:sz w:val="24"/>
          <w:szCs w:val="24"/>
          <w:highlight w:val="none"/>
          <w:lang w:eastAsia="zh-CN"/>
        </w:rPr>
        <w:t>。</w:t>
      </w:r>
    </w:p>
    <w:p w14:paraId="2E0ACF04">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4.1.1.2.</w:t>
      </w:r>
      <w:r>
        <w:rPr>
          <w:rFonts w:hint="eastAsia" w:ascii="宋体" w:hAnsi="宋体" w:eastAsia="宋体" w:cs="宋体"/>
          <w:b/>
          <w:bCs/>
          <w:color w:val="auto"/>
          <w:sz w:val="24"/>
          <w:szCs w:val="24"/>
          <w:highlight w:val="none"/>
        </w:rPr>
        <w:t>全省统一用户管理</w:t>
      </w:r>
    </w:p>
    <w:p w14:paraId="5BF7E5A2">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对省市县三级司法行政工作用户信息收集和统一管理，支持用户信息属性项、属性值和属性分类维护</w:t>
      </w:r>
      <w:r>
        <w:rPr>
          <w:rFonts w:hint="eastAsia" w:ascii="宋体" w:hAnsi="宋体" w:eastAsia="宋体" w:cs="宋体"/>
          <w:color w:val="auto"/>
          <w:sz w:val="24"/>
          <w:szCs w:val="24"/>
          <w:highlight w:val="none"/>
          <w:lang w:eastAsia="zh-CN"/>
        </w:rPr>
        <w:t>。</w:t>
      </w:r>
    </w:p>
    <w:p w14:paraId="5C3FAFE9">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4.1.1.3.</w:t>
      </w:r>
      <w:r>
        <w:rPr>
          <w:rFonts w:hint="eastAsia" w:ascii="宋体" w:hAnsi="宋体" w:eastAsia="宋体" w:cs="宋体"/>
          <w:b/>
          <w:bCs/>
          <w:color w:val="auto"/>
          <w:sz w:val="24"/>
          <w:szCs w:val="24"/>
          <w:highlight w:val="none"/>
        </w:rPr>
        <w:t>全省统一组织管理</w:t>
      </w:r>
    </w:p>
    <w:p w14:paraId="787C1799">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以司法行政体系现有的组织结构为基础，通过平台可以依照现有的组织机构建立树状的</w:t>
      </w:r>
      <w:r>
        <w:rPr>
          <w:rFonts w:hint="eastAsia" w:ascii="宋体" w:hAnsi="宋体" w:eastAsia="宋体" w:cs="宋体"/>
          <w:color w:val="auto"/>
          <w:sz w:val="24"/>
          <w:szCs w:val="24"/>
          <w:highlight w:val="none"/>
          <w:lang w:val="en-US" w:eastAsia="zh-CN"/>
        </w:rPr>
        <w:t>省市县</w:t>
      </w:r>
      <w:r>
        <w:rPr>
          <w:rFonts w:hint="eastAsia" w:ascii="宋体" w:hAnsi="宋体" w:eastAsia="宋体" w:cs="宋体"/>
          <w:color w:val="auto"/>
          <w:sz w:val="24"/>
          <w:szCs w:val="24"/>
          <w:highlight w:val="none"/>
        </w:rPr>
        <w:t>用户身份信息管理架构</w:t>
      </w:r>
      <w:r>
        <w:rPr>
          <w:rFonts w:hint="eastAsia" w:ascii="宋体" w:hAnsi="宋体" w:eastAsia="宋体" w:cs="宋体"/>
          <w:color w:val="auto"/>
          <w:sz w:val="24"/>
          <w:szCs w:val="24"/>
          <w:highlight w:val="none"/>
          <w:lang w:eastAsia="zh-CN"/>
        </w:rPr>
        <w:t>。</w:t>
      </w:r>
    </w:p>
    <w:p w14:paraId="34E78168">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4.1.1.4.</w:t>
      </w:r>
      <w:r>
        <w:rPr>
          <w:rFonts w:hint="eastAsia" w:ascii="宋体" w:hAnsi="宋体" w:eastAsia="宋体" w:cs="宋体"/>
          <w:b/>
          <w:bCs/>
          <w:color w:val="auto"/>
          <w:sz w:val="24"/>
          <w:szCs w:val="24"/>
          <w:highlight w:val="none"/>
        </w:rPr>
        <w:t>全省统一权限管理</w:t>
      </w:r>
    </w:p>
    <w:p w14:paraId="44A51D62">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通过默认部门组和自建角色组，对用户进行多维度及细颗粒度的划分，实现跨部门、跨地区的分层分级管理</w:t>
      </w:r>
      <w:r>
        <w:rPr>
          <w:rFonts w:hint="eastAsia" w:ascii="宋体" w:hAnsi="宋体" w:eastAsia="宋体" w:cs="宋体"/>
          <w:color w:val="auto"/>
          <w:sz w:val="24"/>
          <w:szCs w:val="24"/>
          <w:highlight w:val="none"/>
          <w:lang w:eastAsia="zh-CN"/>
        </w:rPr>
        <w:t>。</w:t>
      </w:r>
    </w:p>
    <w:p w14:paraId="4DFFF9F0">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4.1.1.5.</w:t>
      </w:r>
      <w:r>
        <w:rPr>
          <w:rFonts w:hint="eastAsia" w:ascii="宋体" w:hAnsi="宋体" w:eastAsia="宋体" w:cs="宋体"/>
          <w:b/>
          <w:bCs/>
          <w:color w:val="auto"/>
          <w:sz w:val="24"/>
          <w:szCs w:val="24"/>
          <w:highlight w:val="none"/>
        </w:rPr>
        <w:t>全省统一认证管理</w:t>
      </w:r>
    </w:p>
    <w:p w14:paraId="08D15850">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实现用户在各个不同业务应用过程中的单点登录功能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支持不同域下业务应用统一认证集成</w:t>
      </w:r>
      <w:r>
        <w:rPr>
          <w:rFonts w:hint="eastAsia" w:ascii="宋体" w:hAnsi="宋体" w:eastAsia="宋体" w:cs="宋体"/>
          <w:color w:val="auto"/>
          <w:sz w:val="24"/>
          <w:szCs w:val="24"/>
          <w:highlight w:val="none"/>
          <w:lang w:eastAsia="zh-CN"/>
        </w:rPr>
        <w:t>。</w:t>
      </w:r>
    </w:p>
    <w:p w14:paraId="52BAA5DB">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4.1.1.6.</w:t>
      </w:r>
      <w:r>
        <w:rPr>
          <w:rFonts w:hint="eastAsia" w:ascii="宋体" w:hAnsi="宋体" w:eastAsia="宋体" w:cs="宋体"/>
          <w:b/>
          <w:bCs/>
          <w:color w:val="auto"/>
          <w:sz w:val="24"/>
          <w:szCs w:val="24"/>
          <w:highlight w:val="none"/>
        </w:rPr>
        <w:t>个性组件布局支持</w:t>
      </w:r>
    </w:p>
    <w:p w14:paraId="5A6A4CE6">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支持业务系统根据布局要求设置</w:t>
      </w:r>
      <w:r>
        <w:rPr>
          <w:rFonts w:hint="eastAsia" w:ascii="宋体" w:hAnsi="宋体" w:eastAsia="宋体" w:cs="宋体"/>
          <w:color w:val="auto"/>
          <w:sz w:val="24"/>
          <w:szCs w:val="24"/>
          <w:highlight w:val="none"/>
          <w:lang w:val="en-US" w:eastAsia="zh-CN"/>
        </w:rPr>
        <w:t>核心业务</w:t>
      </w:r>
      <w:r>
        <w:rPr>
          <w:rFonts w:hint="eastAsia" w:ascii="宋体" w:hAnsi="宋体" w:eastAsia="宋体" w:cs="宋体"/>
          <w:color w:val="auto"/>
          <w:sz w:val="24"/>
          <w:szCs w:val="24"/>
          <w:highlight w:val="none"/>
        </w:rPr>
        <w:t>模块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对相关模块进行布局重排。</w:t>
      </w:r>
    </w:p>
    <w:p w14:paraId="17ADD25D">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w:t>
      </w:r>
      <w:r>
        <w:rPr>
          <w:rFonts w:hint="eastAsia" w:ascii="宋体" w:hAnsi="宋体" w:eastAsia="宋体" w:cs="宋体"/>
          <w:b/>
          <w:bCs/>
          <w:color w:val="auto"/>
          <w:sz w:val="24"/>
          <w:szCs w:val="24"/>
          <w:highlight w:val="none"/>
          <w:lang w:val="en-US" w:eastAsia="zh-CN"/>
        </w:rPr>
        <w:t>埋点</w:t>
      </w:r>
      <w:r>
        <w:rPr>
          <w:rFonts w:hint="eastAsia" w:ascii="宋体" w:hAnsi="宋体" w:eastAsia="宋体" w:cs="宋体"/>
          <w:b/>
          <w:bCs/>
          <w:color w:val="auto"/>
          <w:sz w:val="24"/>
          <w:szCs w:val="24"/>
          <w:highlight w:val="none"/>
        </w:rPr>
        <w:t>日志监控</w:t>
      </w:r>
    </w:p>
    <w:p w14:paraId="672AC131">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4.1.2.1.</w:t>
      </w:r>
      <w:r>
        <w:rPr>
          <w:rFonts w:hint="eastAsia" w:ascii="宋体" w:hAnsi="宋体" w:eastAsia="宋体" w:cs="宋体"/>
          <w:b/>
          <w:bCs/>
          <w:color w:val="auto"/>
          <w:sz w:val="24"/>
          <w:szCs w:val="24"/>
          <w:highlight w:val="none"/>
        </w:rPr>
        <w:t>事件类型管理</w:t>
      </w:r>
    </w:p>
    <w:p w14:paraId="00C0E532">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构建一个高效的系统，明确定义和标识每个事件类型</w:t>
      </w:r>
      <w:r>
        <w:rPr>
          <w:rFonts w:hint="eastAsia" w:ascii="宋体" w:hAnsi="宋体" w:eastAsia="宋体" w:cs="宋体"/>
          <w:color w:val="auto"/>
          <w:sz w:val="24"/>
          <w:szCs w:val="24"/>
          <w:highlight w:val="none"/>
          <w:lang w:eastAsia="zh-CN"/>
        </w:rPr>
        <w:t>。</w:t>
      </w:r>
    </w:p>
    <w:p w14:paraId="15A62EF1">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4.1.2.2.</w:t>
      </w:r>
      <w:r>
        <w:rPr>
          <w:rFonts w:hint="eastAsia" w:ascii="宋体" w:hAnsi="宋体" w:eastAsia="宋体" w:cs="宋体"/>
          <w:b/>
          <w:bCs/>
          <w:color w:val="auto"/>
          <w:sz w:val="24"/>
          <w:szCs w:val="24"/>
          <w:highlight w:val="none"/>
        </w:rPr>
        <w:t>埋点指标管理</w:t>
      </w:r>
    </w:p>
    <w:p w14:paraId="5E4717AB">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根据应用程序的需求，定义需要监控的指标和事件，监控页面性能、用户行为和异常情况</w:t>
      </w:r>
      <w:r>
        <w:rPr>
          <w:rFonts w:hint="eastAsia" w:ascii="宋体" w:hAnsi="宋体" w:eastAsia="宋体" w:cs="宋体"/>
          <w:color w:val="auto"/>
          <w:sz w:val="24"/>
          <w:szCs w:val="24"/>
          <w:highlight w:val="none"/>
          <w:lang w:eastAsia="zh-CN"/>
        </w:rPr>
        <w:t>。</w:t>
      </w:r>
    </w:p>
    <w:p w14:paraId="73FD9A0E">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4.1.2.3.</w:t>
      </w:r>
      <w:r>
        <w:rPr>
          <w:rFonts w:hint="eastAsia" w:ascii="宋体" w:hAnsi="宋体" w:eastAsia="宋体" w:cs="宋体"/>
          <w:b/>
          <w:bCs/>
          <w:color w:val="auto"/>
          <w:sz w:val="24"/>
          <w:szCs w:val="24"/>
          <w:highlight w:val="none"/>
        </w:rPr>
        <w:t>应用埋点方案</w:t>
      </w:r>
    </w:p>
    <w:p w14:paraId="266FA93C">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根据埋点监控指标，对每个应用设计相应的埋点方案</w:t>
      </w:r>
      <w:r>
        <w:rPr>
          <w:rFonts w:hint="eastAsia" w:ascii="宋体" w:hAnsi="宋体" w:eastAsia="宋体" w:cs="宋体"/>
          <w:color w:val="auto"/>
          <w:sz w:val="24"/>
          <w:szCs w:val="24"/>
          <w:highlight w:val="none"/>
          <w:lang w:eastAsia="zh-CN"/>
        </w:rPr>
        <w:t>。</w:t>
      </w:r>
    </w:p>
    <w:p w14:paraId="76F0CCA2">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5"/>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4.1.2.4.</w:t>
      </w:r>
      <w:r>
        <w:rPr>
          <w:rFonts w:hint="eastAsia" w:ascii="宋体" w:hAnsi="宋体" w:eastAsia="宋体" w:cs="宋体"/>
          <w:b/>
          <w:bCs/>
          <w:color w:val="auto"/>
          <w:sz w:val="24"/>
          <w:szCs w:val="24"/>
          <w:highlight w:val="none"/>
        </w:rPr>
        <w:t>数据接收管理</w:t>
      </w:r>
    </w:p>
    <w:p w14:paraId="44FCFC74">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数据接收端接收、验证和存储从应用程序发送的埋点数据</w:t>
      </w:r>
      <w:r>
        <w:rPr>
          <w:rFonts w:hint="eastAsia" w:ascii="宋体" w:hAnsi="宋体" w:eastAsia="宋体" w:cs="宋体"/>
          <w:color w:val="auto"/>
          <w:sz w:val="24"/>
          <w:szCs w:val="24"/>
          <w:highlight w:val="none"/>
          <w:lang w:eastAsia="zh-CN"/>
        </w:rPr>
        <w:t>。</w:t>
      </w:r>
    </w:p>
    <w:p w14:paraId="35C071E9">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4.1.2.5.</w:t>
      </w:r>
      <w:r>
        <w:rPr>
          <w:rFonts w:hint="eastAsia" w:ascii="宋体" w:hAnsi="宋体" w:eastAsia="宋体" w:cs="宋体"/>
          <w:b/>
          <w:bCs/>
          <w:color w:val="auto"/>
          <w:sz w:val="24"/>
          <w:szCs w:val="24"/>
          <w:highlight w:val="none"/>
        </w:rPr>
        <w:t>数据处理管理</w:t>
      </w:r>
    </w:p>
    <w:p w14:paraId="384FA09F">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将原始埋点数据转化为可用于分析和报告的格式</w:t>
      </w:r>
    </w:p>
    <w:p w14:paraId="4D95B7B1">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4.1.2.6.</w:t>
      </w:r>
      <w:r>
        <w:rPr>
          <w:rFonts w:hint="eastAsia" w:ascii="宋体" w:hAnsi="宋体" w:eastAsia="宋体" w:cs="宋体"/>
          <w:b/>
          <w:bCs/>
          <w:color w:val="auto"/>
          <w:sz w:val="24"/>
          <w:szCs w:val="24"/>
          <w:highlight w:val="none"/>
        </w:rPr>
        <w:t>省市县应用埋点</w:t>
      </w:r>
    </w:p>
    <w:p w14:paraId="1A4BF5B1">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对省市县三级多个应用进行日志埋点监控，对各应用二级功能模块的点击操作进行监控</w:t>
      </w:r>
      <w:r>
        <w:rPr>
          <w:rFonts w:hint="eastAsia" w:ascii="宋体" w:hAnsi="宋体" w:eastAsia="宋体" w:cs="宋体"/>
          <w:color w:val="auto"/>
          <w:sz w:val="24"/>
          <w:szCs w:val="24"/>
          <w:highlight w:val="none"/>
          <w:lang w:eastAsia="zh-CN"/>
        </w:rPr>
        <w:t>。</w:t>
      </w:r>
    </w:p>
    <w:p w14:paraId="0FE4CA8E">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4.1.2.7.</w:t>
      </w:r>
      <w:r>
        <w:rPr>
          <w:rFonts w:hint="eastAsia" w:ascii="宋体" w:hAnsi="宋体" w:eastAsia="宋体" w:cs="宋体"/>
          <w:b/>
          <w:bCs/>
          <w:color w:val="auto"/>
          <w:sz w:val="24"/>
          <w:szCs w:val="24"/>
          <w:highlight w:val="none"/>
        </w:rPr>
        <w:t>全量日志采集</w:t>
      </w:r>
    </w:p>
    <w:p w14:paraId="5D18B001">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已集成至司法行政综合业务管理系统的业务系统日志收集代理，监视相应日志文件的内容更新</w:t>
      </w:r>
      <w:r>
        <w:rPr>
          <w:rFonts w:hint="eastAsia" w:ascii="宋体" w:hAnsi="宋体" w:eastAsia="宋体" w:cs="宋体"/>
          <w:color w:val="auto"/>
          <w:sz w:val="24"/>
          <w:szCs w:val="24"/>
          <w:highlight w:val="none"/>
          <w:lang w:eastAsia="zh-CN"/>
        </w:rPr>
        <w:t>。</w:t>
      </w:r>
    </w:p>
    <w:p w14:paraId="70F45E4E">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4.1.2.8.</w:t>
      </w:r>
      <w:r>
        <w:rPr>
          <w:rFonts w:hint="eastAsia" w:ascii="宋体" w:hAnsi="宋体" w:eastAsia="宋体" w:cs="宋体"/>
          <w:b/>
          <w:bCs/>
          <w:color w:val="auto"/>
          <w:sz w:val="24"/>
          <w:szCs w:val="24"/>
          <w:highlight w:val="none"/>
        </w:rPr>
        <w:t>系统日志分析</w:t>
      </w:r>
    </w:p>
    <w:p w14:paraId="069BA303">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val="en-US" w:eastAsia="zh-CN"/>
        </w:rPr>
        <w:t>系统</w:t>
      </w:r>
      <w:r>
        <w:rPr>
          <w:rFonts w:hint="eastAsia" w:ascii="宋体" w:hAnsi="宋体" w:eastAsia="宋体" w:cs="宋体"/>
          <w:color w:val="auto"/>
          <w:sz w:val="24"/>
          <w:szCs w:val="24"/>
          <w:highlight w:val="none"/>
        </w:rPr>
        <w:t>日志进行分类分级统计</w:t>
      </w:r>
      <w:r>
        <w:rPr>
          <w:rFonts w:hint="eastAsia" w:ascii="宋体" w:hAnsi="宋体" w:eastAsia="宋体" w:cs="宋体"/>
          <w:color w:val="auto"/>
          <w:sz w:val="24"/>
          <w:szCs w:val="24"/>
          <w:highlight w:val="none"/>
          <w:lang w:val="en-US" w:eastAsia="zh-CN"/>
        </w:rPr>
        <w:t>分析</w:t>
      </w:r>
      <w:r>
        <w:rPr>
          <w:rFonts w:hint="eastAsia" w:ascii="宋体" w:hAnsi="宋体" w:eastAsia="宋体" w:cs="宋体"/>
          <w:color w:val="auto"/>
          <w:sz w:val="24"/>
          <w:szCs w:val="24"/>
          <w:highlight w:val="none"/>
          <w:lang w:eastAsia="zh-CN"/>
        </w:rPr>
        <w:t>。</w:t>
      </w:r>
    </w:p>
    <w:p w14:paraId="6CF6A12B">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4.1.2.9.</w:t>
      </w:r>
      <w:r>
        <w:rPr>
          <w:rFonts w:hint="eastAsia" w:ascii="宋体" w:hAnsi="宋体" w:eastAsia="宋体" w:cs="宋体"/>
          <w:b/>
          <w:bCs/>
          <w:color w:val="auto"/>
          <w:sz w:val="24"/>
          <w:szCs w:val="24"/>
          <w:highlight w:val="none"/>
        </w:rPr>
        <w:t>行为日志分析</w:t>
      </w:r>
    </w:p>
    <w:p w14:paraId="15BD0E36">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对行为日志进行实时分析，判断其是否符合行为白名单、是否符合行为基线</w:t>
      </w:r>
      <w:r>
        <w:rPr>
          <w:rFonts w:hint="eastAsia" w:ascii="宋体" w:hAnsi="宋体" w:eastAsia="宋体" w:cs="宋体"/>
          <w:color w:val="auto"/>
          <w:sz w:val="24"/>
          <w:szCs w:val="24"/>
          <w:highlight w:val="none"/>
          <w:lang w:eastAsia="zh-CN"/>
        </w:rPr>
        <w:t>。</w:t>
      </w:r>
    </w:p>
    <w:p w14:paraId="169DD983">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4.1.2.10.</w:t>
      </w:r>
      <w:r>
        <w:rPr>
          <w:rFonts w:hint="eastAsia" w:ascii="宋体" w:hAnsi="宋体" w:eastAsia="宋体" w:cs="宋体"/>
          <w:b/>
          <w:bCs/>
          <w:color w:val="auto"/>
          <w:sz w:val="24"/>
          <w:szCs w:val="24"/>
          <w:highlight w:val="none"/>
        </w:rPr>
        <w:t>日志存储服务</w:t>
      </w:r>
    </w:p>
    <w:p w14:paraId="254FA20E">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将日志以标准化的格式存储，以便于检索和离线分析</w:t>
      </w:r>
      <w:r>
        <w:rPr>
          <w:rFonts w:hint="eastAsia" w:ascii="宋体" w:hAnsi="宋体" w:eastAsia="宋体" w:cs="宋体"/>
          <w:color w:val="auto"/>
          <w:sz w:val="24"/>
          <w:szCs w:val="24"/>
          <w:highlight w:val="none"/>
          <w:lang w:eastAsia="zh-CN"/>
        </w:rPr>
        <w:t>。</w:t>
      </w:r>
    </w:p>
    <w:p w14:paraId="5998ADF1">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4.1.2.11.</w:t>
      </w:r>
      <w:r>
        <w:rPr>
          <w:rFonts w:hint="eastAsia" w:ascii="宋体" w:hAnsi="宋体" w:eastAsia="宋体" w:cs="宋体"/>
          <w:b/>
          <w:bCs/>
          <w:color w:val="auto"/>
          <w:sz w:val="24"/>
          <w:szCs w:val="24"/>
          <w:highlight w:val="none"/>
        </w:rPr>
        <w:t>日志查询服务</w:t>
      </w:r>
    </w:p>
    <w:p w14:paraId="72457DEA">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为操作人员提供日志查询界面，允许操作人员根据时间、应用、类别、消息内容等查询相关的日志条目</w:t>
      </w:r>
      <w:r>
        <w:rPr>
          <w:rFonts w:hint="eastAsia" w:ascii="宋体" w:hAnsi="宋体" w:eastAsia="宋体" w:cs="宋体"/>
          <w:color w:val="auto"/>
          <w:sz w:val="24"/>
          <w:szCs w:val="24"/>
          <w:highlight w:val="none"/>
          <w:lang w:eastAsia="zh-CN"/>
        </w:rPr>
        <w:t>。</w:t>
      </w:r>
    </w:p>
    <w:p w14:paraId="3F559AE0">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4.1.2.12.</w:t>
      </w:r>
      <w:r>
        <w:rPr>
          <w:rFonts w:hint="eastAsia" w:ascii="宋体" w:hAnsi="宋体" w:eastAsia="宋体" w:cs="宋体"/>
          <w:b/>
          <w:bCs/>
          <w:color w:val="auto"/>
          <w:sz w:val="24"/>
          <w:szCs w:val="24"/>
          <w:highlight w:val="none"/>
        </w:rPr>
        <w:t>日志看板与报表</w:t>
      </w:r>
    </w:p>
    <w:p w14:paraId="7076A0BE">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实现实时日志看板</w:t>
      </w:r>
      <w:r>
        <w:rPr>
          <w:rFonts w:hint="eastAsia" w:ascii="宋体" w:hAnsi="宋体" w:eastAsia="宋体" w:cs="宋体"/>
          <w:color w:val="auto"/>
          <w:sz w:val="24"/>
          <w:szCs w:val="24"/>
          <w:highlight w:val="none"/>
          <w:lang w:eastAsia="zh-CN"/>
        </w:rPr>
        <w:t>，提供日志审计报表。</w:t>
      </w:r>
    </w:p>
    <w:p w14:paraId="31FA6825">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4.1.2.13.</w:t>
      </w:r>
      <w:r>
        <w:rPr>
          <w:rFonts w:hint="eastAsia" w:ascii="宋体" w:hAnsi="宋体" w:eastAsia="宋体" w:cs="宋体"/>
          <w:b/>
          <w:bCs/>
          <w:color w:val="auto"/>
          <w:sz w:val="24"/>
          <w:szCs w:val="24"/>
          <w:highlight w:val="none"/>
        </w:rPr>
        <w:t>用户行为审计</w:t>
      </w:r>
    </w:p>
    <w:p w14:paraId="7899ADE7">
      <w:pPr>
        <w:keepNext w:val="0"/>
        <w:keepLines w:val="0"/>
        <w:pageBreakBefore w:val="0"/>
        <w:widowControl/>
        <w:numPr>
          <w:ilvl w:val="-1"/>
          <w:numId w:val="0"/>
        </w:numPr>
        <w:kinsoku/>
        <w:wordWrap/>
        <w:overflowPunct/>
        <w:topLinePunct w:val="0"/>
        <w:autoSpaceDE/>
        <w:autoSpaceDN/>
        <w:bidi w:val="0"/>
        <w:adjustRightInd w:val="0"/>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对用户的行为日志进行自动归类归档</w:t>
      </w:r>
      <w:r>
        <w:rPr>
          <w:rFonts w:hint="eastAsia" w:ascii="宋体" w:hAnsi="宋体" w:eastAsia="宋体" w:cs="宋体"/>
          <w:color w:val="auto"/>
          <w:sz w:val="24"/>
          <w:szCs w:val="24"/>
          <w:highlight w:val="none"/>
          <w:lang w:eastAsia="zh-CN"/>
        </w:rPr>
        <w:t>。</w:t>
      </w:r>
    </w:p>
    <w:p w14:paraId="085AF76B">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4.1.3.</w:t>
      </w:r>
      <w:r>
        <w:rPr>
          <w:rFonts w:hint="eastAsia" w:ascii="宋体" w:hAnsi="宋体" w:eastAsia="宋体" w:cs="宋体"/>
          <w:b/>
          <w:bCs/>
          <w:color w:val="auto"/>
          <w:sz w:val="24"/>
          <w:szCs w:val="24"/>
          <w:highlight w:val="none"/>
          <w:lang w:val="en-US" w:eastAsia="zh-CN"/>
        </w:rPr>
        <w:t>省市县消息管理</w:t>
      </w:r>
    </w:p>
    <w:p w14:paraId="5ECB9CB5">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4.1.3.1.</w:t>
      </w:r>
      <w:r>
        <w:rPr>
          <w:rFonts w:hint="eastAsia" w:ascii="宋体" w:hAnsi="宋体" w:eastAsia="宋体" w:cs="宋体"/>
          <w:b/>
          <w:bCs/>
          <w:color w:val="auto"/>
          <w:sz w:val="24"/>
          <w:szCs w:val="24"/>
          <w:highlight w:val="none"/>
        </w:rPr>
        <w:t>统一消息采集通道</w:t>
      </w:r>
    </w:p>
    <w:p w14:paraId="0459E954">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通过统一的消息采集通道实现对省市县综管谋划系统的消息采集，确保信息传递的高效和及时性。通过统一消息采集消息，实现信息共享和互通</w:t>
      </w:r>
      <w:r>
        <w:rPr>
          <w:rFonts w:hint="eastAsia" w:ascii="宋体" w:hAnsi="宋体" w:eastAsia="宋体" w:cs="宋体"/>
          <w:color w:val="auto"/>
          <w:sz w:val="24"/>
          <w:szCs w:val="24"/>
          <w:highlight w:val="none"/>
          <w:lang w:eastAsia="zh-CN"/>
        </w:rPr>
        <w:t>。</w:t>
      </w:r>
    </w:p>
    <w:p w14:paraId="0FCFCB5E">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4.1.3.2.</w:t>
      </w:r>
      <w:r>
        <w:rPr>
          <w:rFonts w:hint="eastAsia" w:ascii="宋体" w:hAnsi="宋体" w:eastAsia="宋体" w:cs="宋体"/>
          <w:b/>
          <w:bCs/>
          <w:color w:val="auto"/>
          <w:sz w:val="24"/>
          <w:szCs w:val="24"/>
          <w:highlight w:val="none"/>
        </w:rPr>
        <w:t>消息鉴权</w:t>
      </w:r>
    </w:p>
    <w:p w14:paraId="5DE496CB">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建立鉴权机制，确保省市县综管能查看和操作属于自己权限范围内的信息</w:t>
      </w:r>
      <w:r>
        <w:rPr>
          <w:rFonts w:hint="eastAsia" w:ascii="宋体" w:hAnsi="宋体" w:eastAsia="宋体" w:cs="宋体"/>
          <w:color w:val="auto"/>
          <w:sz w:val="24"/>
          <w:szCs w:val="24"/>
          <w:highlight w:val="none"/>
          <w:lang w:eastAsia="zh-CN"/>
        </w:rPr>
        <w:t>。</w:t>
      </w:r>
    </w:p>
    <w:p w14:paraId="23E7022A">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4.1.3.3.</w:t>
      </w:r>
      <w:r>
        <w:rPr>
          <w:rFonts w:hint="eastAsia" w:ascii="宋体" w:hAnsi="宋体" w:eastAsia="宋体" w:cs="宋体"/>
          <w:b/>
          <w:bCs/>
          <w:color w:val="auto"/>
          <w:sz w:val="24"/>
          <w:szCs w:val="24"/>
          <w:highlight w:val="none"/>
        </w:rPr>
        <w:t>省市县消息展示</w:t>
      </w:r>
    </w:p>
    <w:p w14:paraId="4964A552">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系统根据接入系统层级识别并在对应的综管上分类展示省、市、县级别的信息，确保不同消息的权限隔离</w:t>
      </w:r>
      <w:r>
        <w:rPr>
          <w:rFonts w:hint="eastAsia" w:ascii="宋体" w:hAnsi="宋体" w:eastAsia="宋体" w:cs="宋体"/>
          <w:color w:val="auto"/>
          <w:sz w:val="24"/>
          <w:szCs w:val="24"/>
          <w:highlight w:val="none"/>
          <w:lang w:eastAsia="zh-CN"/>
        </w:rPr>
        <w:t>。</w:t>
      </w:r>
    </w:p>
    <w:p w14:paraId="2958A964">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4.1.3.4.</w:t>
      </w:r>
      <w:r>
        <w:rPr>
          <w:rFonts w:hint="eastAsia" w:ascii="宋体" w:hAnsi="宋体" w:eastAsia="宋体" w:cs="宋体"/>
          <w:b/>
          <w:bCs/>
          <w:color w:val="auto"/>
          <w:sz w:val="24"/>
          <w:szCs w:val="24"/>
          <w:highlight w:val="none"/>
        </w:rPr>
        <w:t>消息数据备份与归档</w:t>
      </w:r>
    </w:p>
    <w:p w14:paraId="4F23DA02">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系统对历史消息数据进行备份和归档管理，以便查阅过往信息和数据。同时，根据不同层级的存储需求，设置相应的数据保存期限和管理规定，确保信息的长期保存和安全性</w:t>
      </w:r>
      <w:r>
        <w:rPr>
          <w:rFonts w:hint="eastAsia" w:ascii="宋体" w:hAnsi="宋体" w:eastAsia="宋体" w:cs="宋体"/>
          <w:color w:val="auto"/>
          <w:sz w:val="24"/>
          <w:szCs w:val="24"/>
          <w:highlight w:val="none"/>
          <w:lang w:eastAsia="zh-CN"/>
        </w:rPr>
        <w:t>。</w:t>
      </w:r>
    </w:p>
    <w:p w14:paraId="4780F2FE">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4.1.4.</w:t>
      </w:r>
      <w:r>
        <w:rPr>
          <w:rFonts w:hint="eastAsia" w:ascii="宋体" w:hAnsi="宋体" w:eastAsia="宋体" w:cs="宋体"/>
          <w:b/>
          <w:bCs/>
          <w:color w:val="auto"/>
          <w:sz w:val="24"/>
          <w:szCs w:val="24"/>
          <w:highlight w:val="none"/>
          <w:lang w:val="en-US" w:eastAsia="zh-CN"/>
        </w:rPr>
        <w:t>多租户架构</w:t>
      </w:r>
    </w:p>
    <w:p w14:paraId="13892129">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4.1.4.1.</w:t>
      </w:r>
      <w:r>
        <w:rPr>
          <w:rFonts w:hint="eastAsia" w:ascii="宋体" w:hAnsi="宋体" w:eastAsia="宋体" w:cs="宋体"/>
          <w:b/>
          <w:bCs/>
          <w:color w:val="auto"/>
          <w:sz w:val="24"/>
          <w:szCs w:val="24"/>
          <w:highlight w:val="none"/>
          <w:lang w:val="en-US" w:eastAsia="zh-CN"/>
        </w:rPr>
        <w:t>业务隔离</w:t>
      </w:r>
    </w:p>
    <w:p w14:paraId="5BD31B5D">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实现业务隔离，不同部门用户的内部业务相对其他部门是独立的。</w:t>
      </w:r>
    </w:p>
    <w:p w14:paraId="7434DF48">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4.1.4.2.</w:t>
      </w:r>
      <w:r>
        <w:rPr>
          <w:rFonts w:hint="eastAsia" w:ascii="宋体" w:hAnsi="宋体" w:eastAsia="宋体" w:cs="宋体"/>
          <w:b/>
          <w:bCs/>
          <w:color w:val="auto"/>
          <w:sz w:val="24"/>
          <w:szCs w:val="24"/>
          <w:highlight w:val="none"/>
          <w:lang w:val="en-US" w:eastAsia="zh-CN"/>
        </w:rPr>
        <w:t>数据隔离</w:t>
      </w:r>
    </w:p>
    <w:p w14:paraId="6A9787A3">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实现数据隔离，在数据存储、传输和处理过程中，仅允许本部门用户进行访问与修改。</w:t>
      </w:r>
    </w:p>
    <w:p w14:paraId="772FC1C6">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w:t>
      </w:r>
      <w:r>
        <w:rPr>
          <w:rFonts w:hint="eastAsia" w:ascii="宋体" w:hAnsi="宋体" w:eastAsia="宋体" w:cs="宋体"/>
          <w:b/>
          <w:bCs/>
          <w:color w:val="auto"/>
          <w:sz w:val="24"/>
          <w:szCs w:val="24"/>
          <w:highlight w:val="none"/>
        </w:rPr>
        <w:t>全省应用管理及监控</w:t>
      </w:r>
    </w:p>
    <w:p w14:paraId="4BE25011">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4.2.1.</w:t>
      </w:r>
      <w:r>
        <w:rPr>
          <w:rFonts w:hint="eastAsia" w:ascii="宋体" w:hAnsi="宋体" w:eastAsia="宋体" w:cs="宋体"/>
          <w:b/>
          <w:bCs/>
          <w:color w:val="auto"/>
          <w:sz w:val="24"/>
          <w:szCs w:val="24"/>
          <w:highlight w:val="none"/>
        </w:rPr>
        <w:t>全域应用集成</w:t>
      </w:r>
    </w:p>
    <w:p w14:paraId="37706710">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4.2.1.1.</w:t>
      </w:r>
      <w:r>
        <w:rPr>
          <w:rFonts w:hint="eastAsia" w:ascii="宋体" w:hAnsi="宋体" w:eastAsia="宋体" w:cs="宋体"/>
          <w:b/>
          <w:bCs/>
          <w:color w:val="auto"/>
          <w:sz w:val="24"/>
          <w:szCs w:val="24"/>
          <w:highlight w:val="none"/>
        </w:rPr>
        <w:t>全省应用审批</w:t>
      </w:r>
    </w:p>
    <w:p w14:paraId="0AF84658">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管理员可以对平台所有的开放功能的添加、修改、删除发起审批</w:t>
      </w:r>
      <w:r>
        <w:rPr>
          <w:rFonts w:hint="eastAsia" w:ascii="宋体" w:hAnsi="宋体" w:eastAsia="宋体" w:cs="宋体"/>
          <w:color w:val="auto"/>
          <w:sz w:val="24"/>
          <w:szCs w:val="24"/>
          <w:highlight w:val="none"/>
          <w:lang w:eastAsia="zh-CN"/>
        </w:rPr>
        <w:t>。</w:t>
      </w:r>
    </w:p>
    <w:p w14:paraId="45C0636A">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4.2.1.2.</w:t>
      </w:r>
      <w:r>
        <w:rPr>
          <w:rFonts w:hint="eastAsia" w:ascii="宋体" w:hAnsi="宋体" w:eastAsia="宋体" w:cs="宋体"/>
          <w:b/>
          <w:bCs/>
          <w:color w:val="auto"/>
          <w:sz w:val="24"/>
          <w:szCs w:val="24"/>
          <w:highlight w:val="none"/>
        </w:rPr>
        <w:t>应用信息审批</w:t>
      </w:r>
    </w:p>
    <w:p w14:paraId="2409FCCA">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管理员可以在页面查看、修改应用信息</w:t>
      </w:r>
      <w:r>
        <w:rPr>
          <w:rFonts w:hint="eastAsia" w:ascii="宋体" w:hAnsi="宋体" w:eastAsia="宋体" w:cs="宋体"/>
          <w:color w:val="auto"/>
          <w:sz w:val="24"/>
          <w:szCs w:val="24"/>
          <w:highlight w:val="none"/>
          <w:lang w:eastAsia="zh-CN"/>
        </w:rPr>
        <w:t>。</w:t>
      </w:r>
    </w:p>
    <w:p w14:paraId="2B2E44AB">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4.2.1.3.</w:t>
      </w:r>
      <w:r>
        <w:rPr>
          <w:rFonts w:hint="eastAsia" w:ascii="宋体" w:hAnsi="宋体" w:eastAsia="宋体" w:cs="宋体"/>
          <w:b/>
          <w:bCs/>
          <w:color w:val="auto"/>
          <w:sz w:val="24"/>
          <w:szCs w:val="24"/>
          <w:highlight w:val="none"/>
        </w:rPr>
        <w:t>应用记录管理</w:t>
      </w:r>
    </w:p>
    <w:p w14:paraId="5B31BEB6">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管理员可以在页面查看该应用的审批记录，查看每一次申请修改的详情</w:t>
      </w:r>
      <w:r>
        <w:rPr>
          <w:rFonts w:hint="eastAsia" w:ascii="宋体" w:hAnsi="宋体" w:eastAsia="宋体" w:cs="宋体"/>
          <w:color w:val="auto"/>
          <w:sz w:val="24"/>
          <w:szCs w:val="24"/>
          <w:highlight w:val="none"/>
          <w:lang w:eastAsia="zh-CN"/>
        </w:rPr>
        <w:t>。</w:t>
      </w:r>
    </w:p>
    <w:p w14:paraId="78BEE95F">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4.2.2.</w:t>
      </w:r>
      <w:r>
        <w:rPr>
          <w:rFonts w:hint="eastAsia" w:ascii="宋体" w:hAnsi="宋体" w:eastAsia="宋体" w:cs="宋体"/>
          <w:b/>
          <w:bCs/>
          <w:color w:val="auto"/>
          <w:sz w:val="24"/>
          <w:szCs w:val="24"/>
          <w:highlight w:val="none"/>
          <w:lang w:val="en-US" w:eastAsia="zh-CN"/>
        </w:rPr>
        <w:t>全</w:t>
      </w:r>
      <w:r>
        <w:rPr>
          <w:rFonts w:hint="eastAsia" w:ascii="宋体" w:hAnsi="宋体" w:cs="宋体"/>
          <w:b/>
          <w:bCs/>
          <w:color w:val="auto"/>
          <w:sz w:val="24"/>
          <w:szCs w:val="24"/>
          <w:highlight w:val="none"/>
          <w:lang w:val="en-US" w:eastAsia="zh-CN"/>
        </w:rPr>
        <w:t>量</w:t>
      </w:r>
      <w:r>
        <w:rPr>
          <w:rFonts w:hint="eastAsia" w:ascii="宋体" w:hAnsi="宋体" w:eastAsia="宋体" w:cs="宋体"/>
          <w:b/>
          <w:bCs/>
          <w:color w:val="auto"/>
          <w:sz w:val="24"/>
          <w:szCs w:val="24"/>
          <w:highlight w:val="none"/>
          <w:lang w:val="en-US" w:eastAsia="zh-CN"/>
        </w:rPr>
        <w:t>待办中心</w:t>
      </w:r>
    </w:p>
    <w:p w14:paraId="1AF96247">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4.2.2.1.</w:t>
      </w:r>
      <w:r>
        <w:rPr>
          <w:rFonts w:hint="eastAsia" w:ascii="宋体" w:hAnsi="宋体" w:eastAsia="宋体" w:cs="宋体"/>
          <w:b/>
          <w:bCs/>
          <w:color w:val="auto"/>
          <w:sz w:val="24"/>
          <w:szCs w:val="24"/>
          <w:highlight w:val="none"/>
          <w:lang w:val="en-US" w:eastAsia="zh-CN"/>
        </w:rPr>
        <w:t>待办集成</w:t>
      </w:r>
    </w:p>
    <w:p w14:paraId="1C9967E8">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实现与省司法厅</w:t>
      </w:r>
      <w:r>
        <w:rPr>
          <w:rFonts w:hint="default" w:ascii="宋体" w:hAnsi="宋体" w:cs="宋体"/>
          <w:color w:val="auto"/>
          <w:sz w:val="24"/>
          <w:szCs w:val="24"/>
          <w:highlight w:val="none"/>
          <w:lang w:eastAsia="zh-CN"/>
        </w:rPr>
        <w:t>业务工作</w:t>
      </w:r>
      <w:r>
        <w:rPr>
          <w:rFonts w:hint="eastAsia" w:ascii="宋体" w:hAnsi="宋体" w:eastAsia="宋体" w:cs="宋体"/>
          <w:color w:val="auto"/>
          <w:sz w:val="24"/>
          <w:szCs w:val="24"/>
          <w:highlight w:val="none"/>
          <w:lang w:val="en-US" w:eastAsia="zh-CN"/>
        </w:rPr>
        <w:t>等业务系统进行待办集成对接，支持</w:t>
      </w:r>
      <w:r>
        <w:rPr>
          <w:rFonts w:hint="eastAsia" w:ascii="宋体" w:hAnsi="宋体" w:eastAsia="宋体" w:cs="宋体"/>
          <w:color w:val="auto"/>
          <w:sz w:val="24"/>
          <w:szCs w:val="24"/>
          <w:highlight w:val="none"/>
        </w:rPr>
        <w:t>整合各种待办形式，对各种信息加以智能管理、转换、分发、存储</w:t>
      </w:r>
      <w:r>
        <w:rPr>
          <w:rFonts w:hint="eastAsia" w:ascii="宋体" w:hAnsi="宋体" w:eastAsia="宋体" w:cs="宋体"/>
          <w:color w:val="auto"/>
          <w:sz w:val="24"/>
          <w:szCs w:val="24"/>
          <w:highlight w:val="none"/>
          <w:lang w:eastAsia="zh-CN"/>
        </w:rPr>
        <w:t>。</w:t>
      </w:r>
    </w:p>
    <w:p w14:paraId="53646463">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4.2.2.2.</w:t>
      </w:r>
      <w:r>
        <w:rPr>
          <w:rFonts w:hint="eastAsia" w:ascii="宋体" w:hAnsi="宋体" w:eastAsia="宋体" w:cs="宋体"/>
          <w:b/>
          <w:bCs/>
          <w:color w:val="auto"/>
          <w:sz w:val="24"/>
          <w:szCs w:val="24"/>
          <w:highlight w:val="none"/>
          <w:lang w:val="en-US" w:eastAsia="zh-CN"/>
        </w:rPr>
        <w:t>待办服务</w:t>
      </w:r>
    </w:p>
    <w:p w14:paraId="47FCA4B7">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提供统一的待办发送服务接口，使得不同的应用系统都可以通过标准化接口调用统一待办服务</w:t>
      </w:r>
      <w:r>
        <w:rPr>
          <w:rFonts w:hint="eastAsia" w:ascii="宋体" w:hAnsi="宋体" w:eastAsia="宋体" w:cs="宋体"/>
          <w:color w:val="auto"/>
          <w:sz w:val="24"/>
          <w:szCs w:val="24"/>
          <w:highlight w:val="none"/>
          <w:lang w:eastAsia="zh-CN"/>
        </w:rPr>
        <w:t>。</w:t>
      </w:r>
    </w:p>
    <w:p w14:paraId="09E3C487">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4.2.2.3.</w:t>
      </w:r>
      <w:r>
        <w:rPr>
          <w:rFonts w:hint="eastAsia" w:ascii="宋体" w:hAnsi="宋体" w:eastAsia="宋体" w:cs="宋体"/>
          <w:b/>
          <w:bCs/>
          <w:color w:val="auto"/>
          <w:sz w:val="24"/>
          <w:szCs w:val="24"/>
          <w:highlight w:val="none"/>
          <w:lang w:val="en-US" w:eastAsia="zh-CN"/>
        </w:rPr>
        <w:t>待办管理</w:t>
      </w:r>
    </w:p>
    <w:p w14:paraId="7C9EE591">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管理平台对不同应用中的待办</w:t>
      </w:r>
      <w:r>
        <w:rPr>
          <w:rFonts w:hint="eastAsia" w:ascii="宋体" w:hAnsi="宋体" w:eastAsia="宋体" w:cs="宋体"/>
          <w:color w:val="auto"/>
          <w:sz w:val="24"/>
          <w:szCs w:val="24"/>
          <w:highlight w:val="none"/>
          <w:lang w:val="en-US" w:eastAsia="zh-CN"/>
        </w:rPr>
        <w:t>属性</w:t>
      </w:r>
      <w:r>
        <w:rPr>
          <w:rFonts w:hint="eastAsia" w:ascii="宋体" w:hAnsi="宋体" w:eastAsia="宋体" w:cs="宋体"/>
          <w:color w:val="auto"/>
          <w:sz w:val="24"/>
          <w:szCs w:val="24"/>
          <w:highlight w:val="none"/>
        </w:rPr>
        <w:t>进行管理</w:t>
      </w:r>
      <w:r>
        <w:rPr>
          <w:rFonts w:hint="eastAsia" w:ascii="宋体" w:hAnsi="宋体" w:eastAsia="宋体" w:cs="宋体"/>
          <w:color w:val="auto"/>
          <w:sz w:val="24"/>
          <w:szCs w:val="24"/>
          <w:highlight w:val="none"/>
          <w:lang w:eastAsia="zh-CN"/>
        </w:rPr>
        <w:t>。</w:t>
      </w:r>
    </w:p>
    <w:p w14:paraId="281D67DB">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4.2.2.4.</w:t>
      </w:r>
      <w:r>
        <w:rPr>
          <w:rFonts w:hint="eastAsia" w:ascii="宋体" w:hAnsi="宋体" w:eastAsia="宋体" w:cs="宋体"/>
          <w:b/>
          <w:bCs/>
          <w:color w:val="auto"/>
          <w:sz w:val="24"/>
          <w:szCs w:val="24"/>
          <w:highlight w:val="none"/>
          <w:lang w:val="en-US" w:eastAsia="zh-CN"/>
        </w:rPr>
        <w:t>待办推送</w:t>
      </w:r>
    </w:p>
    <w:p w14:paraId="095C5252">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为提供服务与服务、服务与用户、用户与用户之间提供高实时性的待办推送服务</w:t>
      </w:r>
      <w:r>
        <w:rPr>
          <w:rFonts w:hint="eastAsia" w:ascii="宋体" w:hAnsi="宋体" w:eastAsia="宋体" w:cs="宋体"/>
          <w:color w:val="auto"/>
          <w:sz w:val="24"/>
          <w:szCs w:val="24"/>
          <w:highlight w:val="none"/>
          <w:lang w:eastAsia="zh-CN"/>
        </w:rPr>
        <w:t>。</w:t>
      </w:r>
    </w:p>
    <w:p w14:paraId="5EB8BA65">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4.2.2.5.</w:t>
      </w:r>
      <w:r>
        <w:rPr>
          <w:rFonts w:hint="eastAsia" w:ascii="宋体" w:hAnsi="宋体" w:eastAsia="宋体" w:cs="宋体"/>
          <w:b/>
          <w:bCs/>
          <w:color w:val="auto"/>
          <w:sz w:val="24"/>
          <w:szCs w:val="24"/>
          <w:highlight w:val="none"/>
        </w:rPr>
        <w:t>待办存储与检索</w:t>
      </w:r>
    </w:p>
    <w:p w14:paraId="1C46B76B">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实现待办的持久化存储与高效率的全文检索</w:t>
      </w:r>
      <w:r>
        <w:rPr>
          <w:rFonts w:hint="eastAsia" w:ascii="宋体" w:hAnsi="宋体" w:eastAsia="宋体" w:cs="宋体"/>
          <w:color w:val="auto"/>
          <w:sz w:val="24"/>
          <w:szCs w:val="24"/>
          <w:highlight w:val="none"/>
          <w:lang w:eastAsia="zh-CN"/>
        </w:rPr>
        <w:t>。</w:t>
      </w:r>
    </w:p>
    <w:p w14:paraId="3758157F">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4.2.2.6.</w:t>
      </w:r>
      <w:r>
        <w:rPr>
          <w:rFonts w:hint="eastAsia" w:ascii="宋体" w:hAnsi="宋体" w:eastAsia="宋体" w:cs="宋体"/>
          <w:b/>
          <w:bCs/>
          <w:color w:val="auto"/>
          <w:sz w:val="24"/>
          <w:szCs w:val="24"/>
          <w:highlight w:val="none"/>
        </w:rPr>
        <w:t>待办通知</w:t>
      </w:r>
    </w:p>
    <w:p w14:paraId="7F6A9CF7">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向用户集中提醒、展示本平台及相关业务系统与用户相关的待办通知</w:t>
      </w:r>
      <w:r>
        <w:rPr>
          <w:rFonts w:hint="eastAsia" w:ascii="宋体" w:hAnsi="宋体" w:eastAsia="宋体" w:cs="宋体"/>
          <w:color w:val="auto"/>
          <w:sz w:val="24"/>
          <w:szCs w:val="24"/>
          <w:highlight w:val="none"/>
          <w:lang w:eastAsia="zh-CN"/>
        </w:rPr>
        <w:t>。</w:t>
      </w:r>
    </w:p>
    <w:p w14:paraId="1C4B9633">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4.3.</w:t>
      </w:r>
      <w:r>
        <w:rPr>
          <w:rFonts w:hint="eastAsia" w:ascii="宋体" w:hAnsi="宋体" w:eastAsia="宋体" w:cs="宋体"/>
          <w:b/>
          <w:bCs/>
          <w:color w:val="auto"/>
          <w:sz w:val="24"/>
          <w:szCs w:val="24"/>
          <w:highlight w:val="none"/>
        </w:rPr>
        <w:t>全省用户中心</w:t>
      </w:r>
    </w:p>
    <w:p w14:paraId="591C789C">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4.3.1.</w:t>
      </w:r>
      <w:r>
        <w:rPr>
          <w:rFonts w:hint="eastAsia" w:ascii="宋体" w:hAnsi="宋体" w:eastAsia="宋体" w:cs="宋体"/>
          <w:b/>
          <w:bCs/>
          <w:color w:val="auto"/>
          <w:sz w:val="24"/>
          <w:szCs w:val="24"/>
          <w:highlight w:val="none"/>
          <w:lang w:val="en-US" w:eastAsia="zh-CN"/>
        </w:rPr>
        <w:t>专家库建设</w:t>
      </w:r>
    </w:p>
    <w:p w14:paraId="6CE2D369">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4.3.1.1.</w:t>
      </w:r>
      <w:r>
        <w:rPr>
          <w:rFonts w:hint="eastAsia" w:ascii="宋体" w:hAnsi="宋体" w:eastAsia="宋体" w:cs="宋体"/>
          <w:b/>
          <w:bCs/>
          <w:color w:val="auto"/>
          <w:sz w:val="24"/>
          <w:szCs w:val="24"/>
          <w:highlight w:val="none"/>
          <w:lang w:val="en-US" w:eastAsia="zh-CN"/>
        </w:rPr>
        <w:t>基础信息维护</w:t>
      </w:r>
    </w:p>
    <w:p w14:paraId="39B65A1B">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支持对专家的基础信息进行新增、批量导入、批量导出。</w:t>
      </w:r>
    </w:p>
    <w:p w14:paraId="560C610D">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4.3.1.2.</w:t>
      </w:r>
      <w:r>
        <w:rPr>
          <w:rFonts w:hint="eastAsia" w:ascii="宋体" w:hAnsi="宋体" w:eastAsia="宋体" w:cs="宋体"/>
          <w:b/>
          <w:bCs/>
          <w:color w:val="auto"/>
          <w:sz w:val="24"/>
          <w:szCs w:val="24"/>
          <w:highlight w:val="none"/>
          <w:lang w:val="en-US" w:eastAsia="zh-CN"/>
        </w:rPr>
        <w:t>个人信息维护</w:t>
      </w:r>
    </w:p>
    <w:p w14:paraId="42F4BD4F">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支持对专家的个人基本信息、学历信息、执业信息、专业信息进行维护。</w:t>
      </w:r>
    </w:p>
    <w:p w14:paraId="1F1C10C4">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4.3.1.3.</w:t>
      </w:r>
      <w:r>
        <w:rPr>
          <w:rFonts w:hint="eastAsia" w:ascii="宋体" w:hAnsi="宋体" w:eastAsia="宋体" w:cs="宋体"/>
          <w:b/>
          <w:bCs/>
          <w:color w:val="auto"/>
          <w:sz w:val="24"/>
          <w:szCs w:val="24"/>
          <w:highlight w:val="none"/>
          <w:lang w:val="en-US" w:eastAsia="zh-CN"/>
        </w:rPr>
        <w:t>参与数字化应用信息维护</w:t>
      </w:r>
    </w:p>
    <w:p w14:paraId="0A6D6799">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支持对专家参与过的数字化应用信息进行维护。</w:t>
      </w:r>
    </w:p>
    <w:p w14:paraId="402C5F19">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4.3.1.4.</w:t>
      </w:r>
      <w:r>
        <w:rPr>
          <w:rFonts w:hint="eastAsia" w:ascii="宋体" w:hAnsi="宋体" w:eastAsia="宋体" w:cs="宋体"/>
          <w:b/>
          <w:bCs/>
          <w:color w:val="auto"/>
          <w:sz w:val="24"/>
          <w:szCs w:val="24"/>
          <w:highlight w:val="none"/>
          <w:lang w:val="en-US" w:eastAsia="zh-CN"/>
        </w:rPr>
        <w:t>履历经历维护</w:t>
      </w:r>
    </w:p>
    <w:p w14:paraId="3A6DB1A4">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支持对专家的履历经历信息进行维护。</w:t>
      </w:r>
    </w:p>
    <w:p w14:paraId="3B3CC26B">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4.4.</w:t>
      </w:r>
      <w:r>
        <w:rPr>
          <w:rFonts w:hint="eastAsia" w:ascii="宋体" w:hAnsi="宋体" w:eastAsia="宋体" w:cs="宋体"/>
          <w:b/>
          <w:bCs/>
          <w:color w:val="auto"/>
          <w:sz w:val="24"/>
          <w:szCs w:val="24"/>
          <w:highlight w:val="none"/>
          <w:lang w:val="en-US" w:eastAsia="zh-CN"/>
        </w:rPr>
        <w:t>学习中心</w:t>
      </w:r>
    </w:p>
    <w:p w14:paraId="12B29AC7">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4.4.1.</w:t>
      </w:r>
      <w:r>
        <w:rPr>
          <w:rFonts w:hint="default" w:ascii="宋体" w:hAnsi="宋体" w:cs="宋体"/>
          <w:b/>
          <w:bCs/>
          <w:color w:val="auto"/>
          <w:sz w:val="24"/>
          <w:szCs w:val="24"/>
          <w:highlight w:val="none"/>
        </w:rPr>
        <w:t>业务工作</w:t>
      </w:r>
      <w:r>
        <w:rPr>
          <w:rFonts w:hint="eastAsia" w:ascii="宋体" w:hAnsi="宋体" w:eastAsia="宋体" w:cs="宋体"/>
          <w:b/>
          <w:bCs/>
          <w:color w:val="auto"/>
          <w:sz w:val="24"/>
          <w:szCs w:val="24"/>
          <w:highlight w:val="none"/>
        </w:rPr>
        <w:t>学习中心</w:t>
      </w:r>
    </w:p>
    <w:p w14:paraId="799A0315">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4.4.1.1.</w:t>
      </w:r>
      <w:r>
        <w:rPr>
          <w:rFonts w:hint="eastAsia" w:ascii="宋体" w:hAnsi="宋体" w:eastAsia="宋体" w:cs="宋体"/>
          <w:b/>
          <w:bCs/>
          <w:color w:val="auto"/>
          <w:sz w:val="24"/>
          <w:szCs w:val="24"/>
          <w:highlight w:val="none"/>
        </w:rPr>
        <w:t>学习基础管理</w:t>
      </w:r>
    </w:p>
    <w:p w14:paraId="55374982">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提供对学习数据进行基础管理，</w:t>
      </w:r>
      <w:r>
        <w:rPr>
          <w:rFonts w:hint="eastAsia" w:ascii="宋体" w:hAnsi="宋体" w:eastAsia="宋体" w:cs="宋体"/>
          <w:color w:val="auto"/>
          <w:sz w:val="24"/>
          <w:szCs w:val="24"/>
          <w:highlight w:val="none"/>
          <w:lang w:val="en-US" w:eastAsia="zh-CN"/>
        </w:rPr>
        <w:t>实现综合查询以及信息新增</w:t>
      </w:r>
      <w:r>
        <w:rPr>
          <w:rFonts w:hint="eastAsia" w:ascii="宋体" w:hAnsi="宋体" w:eastAsia="宋体" w:cs="宋体"/>
          <w:color w:val="auto"/>
          <w:sz w:val="24"/>
          <w:szCs w:val="24"/>
          <w:highlight w:val="none"/>
          <w:lang w:eastAsia="zh-CN"/>
        </w:rPr>
        <w:t>。</w:t>
      </w:r>
    </w:p>
    <w:p w14:paraId="5FA7B16B">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4.4.1.2.</w:t>
      </w:r>
      <w:r>
        <w:rPr>
          <w:rFonts w:hint="eastAsia" w:ascii="宋体" w:hAnsi="宋体" w:eastAsia="宋体" w:cs="宋体"/>
          <w:b/>
          <w:bCs/>
          <w:color w:val="auto"/>
          <w:sz w:val="24"/>
          <w:szCs w:val="24"/>
          <w:highlight w:val="none"/>
        </w:rPr>
        <w:t>学习文件管理</w:t>
      </w:r>
    </w:p>
    <w:p w14:paraId="4132B8DB">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rPr>
        <w:t>学习文件进行在线管理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在线修改上传的文件，对已上传的文件进行在线预览等功能</w:t>
      </w:r>
      <w:r>
        <w:rPr>
          <w:rFonts w:hint="eastAsia" w:ascii="宋体" w:hAnsi="宋体" w:eastAsia="宋体" w:cs="宋体"/>
          <w:color w:val="auto"/>
          <w:sz w:val="24"/>
          <w:szCs w:val="24"/>
          <w:highlight w:val="none"/>
          <w:lang w:eastAsia="zh-CN"/>
        </w:rPr>
        <w:t>。</w:t>
      </w:r>
    </w:p>
    <w:p w14:paraId="11A2B7BF">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4.4.1.3.</w:t>
      </w:r>
      <w:r>
        <w:rPr>
          <w:rFonts w:hint="eastAsia" w:ascii="宋体" w:hAnsi="宋体" w:eastAsia="宋体" w:cs="宋体"/>
          <w:b/>
          <w:bCs/>
          <w:color w:val="auto"/>
          <w:sz w:val="24"/>
          <w:szCs w:val="24"/>
          <w:highlight w:val="none"/>
        </w:rPr>
        <w:t>学习视频管理</w:t>
      </w:r>
    </w:p>
    <w:p w14:paraId="51CED6E3">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rPr>
        <w:t>对学习视频进行在线管理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提供在线预览视频，删除已上传视频等功能</w:t>
      </w:r>
      <w:r>
        <w:rPr>
          <w:rFonts w:hint="eastAsia" w:ascii="宋体" w:hAnsi="宋体" w:eastAsia="宋体" w:cs="宋体"/>
          <w:color w:val="auto"/>
          <w:sz w:val="24"/>
          <w:szCs w:val="24"/>
          <w:highlight w:val="none"/>
          <w:lang w:eastAsia="zh-CN"/>
        </w:rPr>
        <w:t>。</w:t>
      </w:r>
    </w:p>
    <w:p w14:paraId="0349FBEF">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4.4.2.</w:t>
      </w:r>
      <w:r>
        <w:rPr>
          <w:rFonts w:hint="default" w:ascii="宋体" w:hAnsi="宋体" w:cs="宋体"/>
          <w:b/>
          <w:bCs/>
          <w:color w:val="auto"/>
          <w:sz w:val="24"/>
          <w:szCs w:val="24"/>
          <w:highlight w:val="none"/>
        </w:rPr>
        <w:t>业务工作</w:t>
      </w:r>
      <w:r>
        <w:rPr>
          <w:rFonts w:hint="eastAsia" w:ascii="宋体" w:hAnsi="宋体" w:eastAsia="宋体" w:cs="宋体"/>
          <w:b/>
          <w:bCs/>
          <w:color w:val="auto"/>
          <w:sz w:val="24"/>
          <w:szCs w:val="24"/>
          <w:highlight w:val="none"/>
        </w:rPr>
        <w:t>案例中心</w:t>
      </w:r>
    </w:p>
    <w:p w14:paraId="02B13C47">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4.4.2.1.</w:t>
      </w:r>
      <w:r>
        <w:rPr>
          <w:rFonts w:hint="eastAsia" w:ascii="宋体" w:hAnsi="宋体" w:eastAsia="宋体" w:cs="宋体"/>
          <w:b/>
          <w:bCs/>
          <w:color w:val="auto"/>
          <w:sz w:val="24"/>
          <w:szCs w:val="24"/>
          <w:highlight w:val="none"/>
        </w:rPr>
        <w:t>案例基础管理</w:t>
      </w:r>
    </w:p>
    <w:p w14:paraId="7609D6FD">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提供对案例数据进行基础管理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实现综合查询以及信息新增。</w:t>
      </w:r>
    </w:p>
    <w:p w14:paraId="73B5F995">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4.4.2.2.</w:t>
      </w:r>
      <w:r>
        <w:rPr>
          <w:rFonts w:hint="eastAsia" w:ascii="宋体" w:hAnsi="宋体" w:eastAsia="宋体" w:cs="宋体"/>
          <w:b/>
          <w:bCs/>
          <w:color w:val="auto"/>
          <w:sz w:val="24"/>
          <w:szCs w:val="24"/>
          <w:highlight w:val="none"/>
        </w:rPr>
        <w:t>案例审查管理</w:t>
      </w:r>
    </w:p>
    <w:p w14:paraId="436F133E">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由市级部门对乡镇（街道）上传的案例进行审查管理</w:t>
      </w:r>
      <w:r>
        <w:rPr>
          <w:rFonts w:hint="eastAsia" w:ascii="宋体" w:hAnsi="宋体" w:eastAsia="宋体" w:cs="宋体"/>
          <w:color w:val="auto"/>
          <w:sz w:val="24"/>
          <w:szCs w:val="24"/>
          <w:highlight w:val="none"/>
          <w:lang w:eastAsia="zh-CN"/>
        </w:rPr>
        <w:t>。</w:t>
      </w:r>
    </w:p>
    <w:p w14:paraId="52DE67B7">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4.4.2.3.</w:t>
      </w:r>
      <w:r>
        <w:rPr>
          <w:rFonts w:hint="eastAsia" w:ascii="宋体" w:hAnsi="宋体" w:eastAsia="宋体" w:cs="宋体"/>
          <w:b/>
          <w:bCs/>
          <w:color w:val="auto"/>
          <w:sz w:val="24"/>
          <w:szCs w:val="24"/>
          <w:highlight w:val="none"/>
        </w:rPr>
        <w:t>重点案例推荐</w:t>
      </w:r>
    </w:p>
    <w:p w14:paraId="17A6AB2B">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根据案例详情进行分析，将重点案例进行推荐到司法大脑案例库中</w:t>
      </w:r>
      <w:r>
        <w:rPr>
          <w:rFonts w:hint="eastAsia" w:ascii="宋体" w:hAnsi="宋体" w:eastAsia="宋体" w:cs="宋体"/>
          <w:color w:val="auto"/>
          <w:sz w:val="24"/>
          <w:szCs w:val="24"/>
          <w:highlight w:val="none"/>
          <w:lang w:eastAsia="zh-CN"/>
        </w:rPr>
        <w:t>。</w:t>
      </w:r>
    </w:p>
    <w:p w14:paraId="7EAAAE53">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4.4.3.</w:t>
      </w:r>
      <w:r>
        <w:rPr>
          <w:rFonts w:hint="eastAsia" w:ascii="宋体" w:hAnsi="宋体" w:eastAsia="宋体" w:cs="宋体"/>
          <w:b/>
          <w:bCs/>
          <w:color w:val="auto"/>
          <w:sz w:val="24"/>
          <w:szCs w:val="24"/>
          <w:highlight w:val="none"/>
        </w:rPr>
        <w:t>学习视图</w:t>
      </w:r>
    </w:p>
    <w:p w14:paraId="3749B97A">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4.4.3.1.</w:t>
      </w:r>
      <w:r>
        <w:rPr>
          <w:rFonts w:hint="eastAsia" w:ascii="宋体" w:hAnsi="宋体" w:eastAsia="宋体" w:cs="宋体"/>
          <w:b/>
          <w:bCs/>
          <w:color w:val="auto"/>
          <w:sz w:val="24"/>
          <w:szCs w:val="24"/>
          <w:highlight w:val="none"/>
        </w:rPr>
        <w:t>学习资料排行</w:t>
      </w:r>
    </w:p>
    <w:p w14:paraId="696D3825">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实现</w:t>
      </w:r>
      <w:r>
        <w:rPr>
          <w:rFonts w:hint="eastAsia" w:ascii="宋体" w:hAnsi="宋体" w:eastAsia="宋体" w:cs="宋体"/>
          <w:color w:val="auto"/>
          <w:sz w:val="24"/>
          <w:szCs w:val="24"/>
          <w:highlight w:val="none"/>
        </w:rPr>
        <w:t>按照</w:t>
      </w:r>
      <w:r>
        <w:rPr>
          <w:rFonts w:hint="default" w:ascii="宋体" w:hAnsi="宋体" w:cs="宋体"/>
          <w:color w:val="auto"/>
          <w:sz w:val="24"/>
          <w:szCs w:val="24"/>
          <w:highlight w:val="none"/>
        </w:rPr>
        <w:t>业务工作</w:t>
      </w:r>
      <w:r>
        <w:rPr>
          <w:rFonts w:hint="eastAsia" w:ascii="宋体" w:hAnsi="宋体" w:eastAsia="宋体" w:cs="宋体"/>
          <w:color w:val="auto"/>
          <w:sz w:val="24"/>
          <w:szCs w:val="24"/>
          <w:highlight w:val="none"/>
        </w:rPr>
        <w:t>管理系统访问量最多的信息排序仪表视图</w:t>
      </w:r>
      <w:r>
        <w:rPr>
          <w:rFonts w:hint="eastAsia" w:ascii="宋体" w:hAnsi="宋体" w:eastAsia="宋体" w:cs="宋体"/>
          <w:color w:val="auto"/>
          <w:sz w:val="24"/>
          <w:szCs w:val="24"/>
          <w:highlight w:val="none"/>
          <w:lang w:eastAsia="zh-CN"/>
        </w:rPr>
        <w:t>。</w:t>
      </w:r>
    </w:p>
    <w:p w14:paraId="1F4E90E0">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4.4.3.2.</w:t>
      </w:r>
      <w:r>
        <w:rPr>
          <w:rFonts w:hint="eastAsia" w:ascii="宋体" w:hAnsi="宋体" w:eastAsia="宋体" w:cs="宋体"/>
          <w:b/>
          <w:bCs/>
          <w:color w:val="auto"/>
          <w:sz w:val="24"/>
          <w:szCs w:val="24"/>
          <w:highlight w:val="none"/>
        </w:rPr>
        <w:t>最新学习轨迹</w:t>
      </w:r>
    </w:p>
    <w:p w14:paraId="58132B54">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w:t>
      </w:r>
      <w:r>
        <w:rPr>
          <w:rFonts w:hint="default" w:ascii="宋体" w:hAnsi="宋体" w:cs="宋体"/>
          <w:color w:val="auto"/>
          <w:sz w:val="24"/>
          <w:szCs w:val="24"/>
          <w:highlight w:val="none"/>
        </w:rPr>
        <w:t>业务工作</w:t>
      </w:r>
      <w:r>
        <w:rPr>
          <w:rFonts w:hint="eastAsia" w:ascii="宋体" w:hAnsi="宋体" w:eastAsia="宋体" w:cs="宋体"/>
          <w:color w:val="auto"/>
          <w:sz w:val="24"/>
          <w:szCs w:val="24"/>
          <w:highlight w:val="none"/>
        </w:rPr>
        <w:t>管理系统的用户阅读浏览状态进行监控</w:t>
      </w:r>
      <w:r>
        <w:rPr>
          <w:rFonts w:hint="eastAsia" w:ascii="宋体" w:hAnsi="宋体" w:eastAsia="宋体" w:cs="宋体"/>
          <w:color w:val="auto"/>
          <w:sz w:val="24"/>
          <w:szCs w:val="24"/>
          <w:highlight w:val="none"/>
          <w:lang w:eastAsia="zh-CN"/>
        </w:rPr>
        <w:t>。</w:t>
      </w:r>
    </w:p>
    <w:p w14:paraId="47038E08">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4.4.3.3.</w:t>
      </w:r>
      <w:r>
        <w:rPr>
          <w:rFonts w:hint="eastAsia" w:ascii="宋体" w:hAnsi="宋体" w:eastAsia="宋体" w:cs="宋体"/>
          <w:b/>
          <w:bCs/>
          <w:color w:val="auto"/>
          <w:sz w:val="24"/>
          <w:szCs w:val="24"/>
          <w:highlight w:val="none"/>
        </w:rPr>
        <w:t>我的常用学习</w:t>
      </w:r>
    </w:p>
    <w:p w14:paraId="0DB68620">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对</w:t>
      </w:r>
      <w:r>
        <w:rPr>
          <w:rFonts w:hint="default" w:ascii="宋体" w:hAnsi="宋体" w:cs="宋体"/>
          <w:color w:val="auto"/>
          <w:sz w:val="24"/>
          <w:szCs w:val="24"/>
          <w:highlight w:val="none"/>
        </w:rPr>
        <w:t>业务工作</w:t>
      </w:r>
      <w:r>
        <w:rPr>
          <w:rFonts w:hint="eastAsia" w:ascii="宋体" w:hAnsi="宋体" w:eastAsia="宋体" w:cs="宋体"/>
          <w:color w:val="auto"/>
          <w:sz w:val="24"/>
          <w:szCs w:val="24"/>
          <w:highlight w:val="none"/>
        </w:rPr>
        <w:t>管理系统经过数据统计分析用户的学习行为，总结出用户在学习库中经常使用的学习内容</w:t>
      </w:r>
      <w:r>
        <w:rPr>
          <w:rFonts w:hint="eastAsia" w:ascii="宋体" w:hAnsi="宋体" w:eastAsia="宋体" w:cs="宋体"/>
          <w:color w:val="auto"/>
          <w:sz w:val="24"/>
          <w:szCs w:val="24"/>
          <w:highlight w:val="none"/>
          <w:lang w:val="en-US" w:eastAsia="zh-CN"/>
        </w:rPr>
        <w:t>进行推送。</w:t>
      </w:r>
    </w:p>
    <w:p w14:paraId="708C5F75">
      <w:pPr>
        <w:keepNext w:val="0"/>
        <w:keepLines w:val="0"/>
        <w:pageBreakBefore w:val="0"/>
        <w:widowControl w:val="0"/>
        <w:numPr>
          <w:ilvl w:val="3"/>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4"/>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4.4.3.4.</w:t>
      </w:r>
      <w:r>
        <w:rPr>
          <w:rFonts w:hint="eastAsia" w:ascii="宋体" w:hAnsi="宋体" w:eastAsia="宋体" w:cs="宋体"/>
          <w:b/>
          <w:bCs/>
          <w:color w:val="auto"/>
          <w:sz w:val="24"/>
          <w:szCs w:val="24"/>
          <w:highlight w:val="none"/>
        </w:rPr>
        <w:t>知识收藏</w:t>
      </w:r>
    </w:p>
    <w:p w14:paraId="03006E19">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对资料库中的学习内容按照</w:t>
      </w:r>
      <w:r>
        <w:rPr>
          <w:rFonts w:hint="eastAsia" w:ascii="宋体" w:hAnsi="宋体" w:eastAsia="宋体" w:cs="宋体"/>
          <w:color w:val="auto"/>
          <w:sz w:val="24"/>
          <w:szCs w:val="24"/>
          <w:highlight w:val="none"/>
          <w:lang w:val="en-US" w:eastAsia="zh-CN"/>
        </w:rPr>
        <w:t>个人</w:t>
      </w:r>
      <w:r>
        <w:rPr>
          <w:rFonts w:hint="eastAsia" w:ascii="宋体" w:hAnsi="宋体" w:eastAsia="宋体" w:cs="宋体"/>
          <w:color w:val="auto"/>
          <w:sz w:val="24"/>
          <w:szCs w:val="24"/>
          <w:highlight w:val="none"/>
        </w:rPr>
        <w:t>喜好进行</w:t>
      </w:r>
      <w:r>
        <w:rPr>
          <w:rFonts w:hint="eastAsia" w:ascii="宋体" w:hAnsi="宋体" w:eastAsia="宋体" w:cs="宋体"/>
          <w:color w:val="auto"/>
          <w:sz w:val="24"/>
          <w:szCs w:val="24"/>
          <w:highlight w:val="none"/>
          <w:lang w:val="en-US" w:eastAsia="zh-CN"/>
        </w:rPr>
        <w:t>点亮</w:t>
      </w:r>
      <w:r>
        <w:rPr>
          <w:rFonts w:hint="eastAsia" w:ascii="宋体" w:hAnsi="宋体" w:eastAsia="宋体" w:cs="宋体"/>
          <w:color w:val="auto"/>
          <w:sz w:val="24"/>
          <w:szCs w:val="24"/>
          <w:highlight w:val="none"/>
        </w:rPr>
        <w:t>收藏</w:t>
      </w:r>
      <w:r>
        <w:rPr>
          <w:rFonts w:hint="eastAsia" w:ascii="宋体" w:hAnsi="宋体" w:eastAsia="宋体" w:cs="宋体"/>
          <w:color w:val="auto"/>
          <w:sz w:val="24"/>
          <w:szCs w:val="24"/>
          <w:highlight w:val="none"/>
          <w:lang w:eastAsia="zh-CN"/>
        </w:rPr>
        <w:t>。</w:t>
      </w:r>
    </w:p>
    <w:p w14:paraId="2973A2AE">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4.5.</w:t>
      </w:r>
      <w:r>
        <w:rPr>
          <w:rFonts w:hint="eastAsia" w:ascii="宋体" w:hAnsi="宋体" w:eastAsia="宋体" w:cs="宋体"/>
          <w:b/>
          <w:bCs/>
          <w:color w:val="auto"/>
          <w:sz w:val="24"/>
          <w:szCs w:val="24"/>
          <w:highlight w:val="none"/>
          <w:lang w:val="en-US" w:eastAsia="zh-CN"/>
        </w:rPr>
        <w:t>统一工作台页面重构</w:t>
      </w:r>
    </w:p>
    <w:p w14:paraId="4CCB1301">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4.5.1.</w:t>
      </w:r>
      <w:r>
        <w:rPr>
          <w:rFonts w:hint="eastAsia" w:ascii="宋体" w:hAnsi="宋体" w:eastAsia="宋体" w:cs="宋体"/>
          <w:b/>
          <w:bCs/>
          <w:color w:val="auto"/>
          <w:sz w:val="24"/>
          <w:szCs w:val="24"/>
          <w:highlight w:val="none"/>
          <w:lang w:val="en-US" w:eastAsia="zh-CN"/>
        </w:rPr>
        <w:t>首页布局重构</w:t>
      </w:r>
    </w:p>
    <w:p w14:paraId="7C811CCB">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对司法行政综合业务管理平台的首页进行页面重构，重新排布业务板块内容与位置，优化UI界面设计。</w:t>
      </w:r>
    </w:p>
    <w:p w14:paraId="1A798E90">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4.5.2.</w:t>
      </w:r>
      <w:r>
        <w:rPr>
          <w:rFonts w:hint="eastAsia" w:ascii="宋体" w:hAnsi="宋体" w:eastAsia="宋体" w:cs="宋体"/>
          <w:b/>
          <w:bCs/>
          <w:color w:val="auto"/>
          <w:sz w:val="24"/>
          <w:szCs w:val="24"/>
          <w:highlight w:val="none"/>
          <w:lang w:val="en-US" w:eastAsia="zh-CN"/>
        </w:rPr>
        <w:t>首页检索</w:t>
      </w:r>
    </w:p>
    <w:p w14:paraId="0A031656">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在首页实现知识检索、数据检索，提供法律法规查询与数据直接检索能力。</w:t>
      </w:r>
    </w:p>
    <w:p w14:paraId="117FF61D">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4.5.3.</w:t>
      </w:r>
      <w:r>
        <w:rPr>
          <w:rFonts w:hint="eastAsia" w:ascii="宋体" w:hAnsi="宋体" w:eastAsia="宋体" w:cs="宋体"/>
          <w:b/>
          <w:bCs/>
          <w:color w:val="auto"/>
          <w:sz w:val="24"/>
          <w:szCs w:val="24"/>
          <w:highlight w:val="none"/>
          <w:lang w:val="en-US" w:eastAsia="zh-CN"/>
        </w:rPr>
        <w:t>协同办公（OA）</w:t>
      </w:r>
    </w:p>
    <w:p w14:paraId="5CE8493D">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实现OA协同办公，对接OA系统的数据接口，提供参阅文件查看。</w:t>
      </w:r>
    </w:p>
    <w:p w14:paraId="2C2C3099">
      <w:pPr>
        <w:keepNext w:val="0"/>
        <w:keepLines w:val="0"/>
        <w:pageBreakBefore w:val="0"/>
        <w:widowControl w:val="0"/>
        <w:numPr>
          <w:ilvl w:val="2"/>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3"/>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4.5.4.</w:t>
      </w:r>
      <w:r>
        <w:rPr>
          <w:rFonts w:hint="eastAsia" w:ascii="宋体" w:hAnsi="宋体" w:eastAsia="宋体" w:cs="宋体"/>
          <w:b/>
          <w:bCs/>
          <w:color w:val="auto"/>
          <w:sz w:val="24"/>
          <w:szCs w:val="24"/>
          <w:highlight w:val="none"/>
          <w:lang w:val="en-US" w:eastAsia="zh-CN"/>
        </w:rPr>
        <w:t>驾驶舱嵌入</w:t>
      </w:r>
    </w:p>
    <w:p w14:paraId="757E0A32">
      <w:pPr>
        <w:keepNext w:val="0"/>
        <w:keepLines w:val="0"/>
        <w:pageBreakBefore w:val="0"/>
        <w:widowControl/>
        <w:numPr>
          <w:ilvl w:val="-1"/>
          <w:numId w:val="0"/>
        </w:numPr>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实现省司法驾驶舱页面嵌入，包括法治、立法、司法、普法守法等驾驶舱，提供一键跳转。</w:t>
      </w:r>
    </w:p>
    <w:p w14:paraId="149B5EA9">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4.6.</w:t>
      </w:r>
      <w:r>
        <w:rPr>
          <w:rFonts w:hint="eastAsia" w:ascii="宋体" w:hAnsi="宋体" w:eastAsia="宋体" w:cs="宋体"/>
          <w:b/>
          <w:bCs/>
          <w:color w:val="auto"/>
          <w:sz w:val="24"/>
          <w:szCs w:val="24"/>
          <w:highlight w:val="none"/>
          <w:lang w:val="en-US" w:eastAsia="zh-CN"/>
        </w:rPr>
        <w:t>内跑迁移</w:t>
      </w:r>
    </w:p>
    <w:p w14:paraId="10630921">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在原有司法行政综合业务管理系统的基础上，实现对内跑系统进行迁移。</w:t>
      </w:r>
    </w:p>
    <w:p w14:paraId="5B93C546">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4.7.</w:t>
      </w:r>
      <w:r>
        <w:rPr>
          <w:rFonts w:hint="eastAsia" w:ascii="宋体" w:hAnsi="宋体" w:eastAsia="宋体" w:cs="宋体"/>
          <w:b/>
          <w:bCs/>
          <w:color w:val="auto"/>
          <w:sz w:val="24"/>
          <w:szCs w:val="24"/>
          <w:highlight w:val="none"/>
          <w:lang w:val="en-US" w:eastAsia="zh-CN"/>
        </w:rPr>
        <w:t>资源集成</w:t>
      </w:r>
    </w:p>
    <w:p w14:paraId="4D310E68">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将</w:t>
      </w:r>
      <w:r>
        <w:rPr>
          <w:rFonts w:hint="eastAsia" w:ascii="宋体" w:hAnsi="宋体" w:eastAsia="宋体" w:cs="宋体"/>
          <w:color w:val="auto"/>
          <w:sz w:val="24"/>
          <w:szCs w:val="24"/>
          <w:highlight w:val="none"/>
          <w:lang w:val="en-US" w:eastAsia="zh-CN"/>
        </w:rPr>
        <w:t>省司法厅</w:t>
      </w:r>
      <w:r>
        <w:rPr>
          <w:rFonts w:hint="eastAsia" w:ascii="宋体" w:hAnsi="宋体" w:eastAsia="宋体" w:cs="宋体"/>
          <w:color w:val="auto"/>
          <w:sz w:val="24"/>
          <w:szCs w:val="24"/>
          <w:highlight w:val="none"/>
        </w:rPr>
        <w:t>现有的普法资源库、案例库进行集成管理</w:t>
      </w:r>
      <w:r>
        <w:rPr>
          <w:rFonts w:hint="eastAsia" w:ascii="宋体" w:hAnsi="宋体" w:eastAsia="宋体" w:cs="宋体"/>
          <w:color w:val="auto"/>
          <w:sz w:val="24"/>
          <w:szCs w:val="24"/>
          <w:highlight w:val="none"/>
          <w:lang w:eastAsia="zh-CN"/>
        </w:rPr>
        <w:t>，可根据业务处室需求进行资源提炼至资料库中。</w:t>
      </w:r>
    </w:p>
    <w:p w14:paraId="68ED7ECA">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lang w:val="en-US" w:eastAsia="zh-CN"/>
        </w:rPr>
      </w:pPr>
      <w:r>
        <w:rPr>
          <w:rFonts w:hint="default" w:ascii="宋体" w:hAnsi="宋体" w:eastAsia="宋体" w:cs="宋体"/>
          <w:b/>
          <w:bCs/>
          <w:color w:val="auto"/>
          <w:kern w:val="2"/>
          <w:sz w:val="24"/>
          <w:szCs w:val="24"/>
          <w:highlight w:val="none"/>
          <w:lang w:val="en-US" w:eastAsia="zh-CN" w:bidi="ar-SA"/>
        </w:rPr>
        <w:t>4.8.</w:t>
      </w:r>
      <w:r>
        <w:rPr>
          <w:rFonts w:hint="eastAsia" w:ascii="宋体" w:hAnsi="宋体" w:eastAsia="宋体" w:cs="宋体"/>
          <w:b/>
          <w:bCs/>
          <w:color w:val="auto"/>
          <w:sz w:val="24"/>
          <w:szCs w:val="24"/>
          <w:highlight w:val="none"/>
          <w:lang w:val="en-US" w:eastAsia="zh-CN"/>
        </w:rPr>
        <w:t>对接整合</w:t>
      </w:r>
    </w:p>
    <w:p w14:paraId="7ED1D38C">
      <w:pPr>
        <w:keepNext w:val="0"/>
        <w:keepLines w:val="0"/>
        <w:pageBreakBefore w:val="0"/>
        <w:kinsoku/>
        <w:wordWrap/>
        <w:overflowPunct/>
        <w:topLinePunct w:val="0"/>
        <w:autoSpaceDE/>
        <w:autoSpaceDN/>
        <w:bidi w:val="0"/>
        <w:snapToGrid/>
        <w:spacing w:line="360" w:lineRule="auto"/>
        <w:ind w:left="0" w:leftChars="0" w:firstLine="420" w:firstLineChars="1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对接现有考评及其他业务板块，提供模块化嵌入的功能</w:t>
      </w:r>
      <w:r>
        <w:rPr>
          <w:rFonts w:hint="eastAsia" w:ascii="宋体" w:hAnsi="宋体" w:eastAsia="宋体" w:cs="宋体"/>
          <w:color w:val="auto"/>
          <w:sz w:val="24"/>
          <w:szCs w:val="24"/>
          <w:highlight w:val="none"/>
          <w:lang w:eastAsia="zh-CN"/>
        </w:rPr>
        <w:t>。</w:t>
      </w:r>
    </w:p>
    <w:p w14:paraId="51E65438">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jc w:val="both"/>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4.9.</w:t>
      </w:r>
      <w:r>
        <w:rPr>
          <w:rFonts w:hint="eastAsia" w:ascii="宋体" w:hAnsi="宋体" w:eastAsia="宋体" w:cs="宋体"/>
          <w:b/>
          <w:bCs/>
          <w:color w:val="auto"/>
          <w:sz w:val="24"/>
          <w:szCs w:val="24"/>
          <w:highlight w:val="none"/>
        </w:rPr>
        <w:t>在线编辑</w:t>
      </w:r>
    </w:p>
    <w:p w14:paraId="76E8F43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在线编辑服务为政府客户提供了更加高效的文档协同编辑方式，深度兼容微软 Office</w:t>
      </w:r>
    </w:p>
    <w:p w14:paraId="4FA250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文档格式，覆盖WPS Office 客户端的常用编辑功能。通过H5网页形式提供，支特全平台业务系统接入。无需任何插件，可使业务系统实现文档在线编辑，多人协同功能；业务系统</w:t>
      </w:r>
      <w:r>
        <w:rPr>
          <w:rFonts w:hint="eastAsia" w:ascii="宋体" w:hAnsi="宋体" w:eastAsia="宋体" w:cs="宋体"/>
          <w:b w:val="0"/>
          <w:bCs w:val="0"/>
          <w:color w:val="auto"/>
          <w:sz w:val="24"/>
          <w:szCs w:val="24"/>
          <w:highlight w:val="none"/>
          <w:lang w:eastAsia="zh-CN"/>
        </w:rPr>
        <w:t>：</w:t>
      </w:r>
    </w:p>
    <w:p w14:paraId="3E52D6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自曲设置编辑、复制、导出等权限，自元义文档水印，设盟理制留痕等：在提升政务文档协作效率的同时保证了在线文档的安全性。</w:t>
      </w:r>
    </w:p>
    <w:p w14:paraId="3F7C74E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典型场景：</w:t>
      </w:r>
    </w:p>
    <w:p w14:paraId="269A84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 为企业自建云盘的产品提供文档在线协同编辑的能力。</w:t>
      </w:r>
    </w:p>
    <w:p w14:paraId="702120A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 为业务或门户系统提供协同编辑的能力，解洪相互传递发送导致版本混乱无法淮确表达的问题。</w:t>
      </w:r>
    </w:p>
    <w:p w14:paraId="0E68D502">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4.10.</w:t>
      </w:r>
      <w:r>
        <w:rPr>
          <w:rFonts w:hint="eastAsia" w:ascii="宋体" w:hAnsi="宋体" w:eastAsia="宋体" w:cs="宋体"/>
          <w:b/>
          <w:bCs/>
          <w:color w:val="auto"/>
          <w:sz w:val="24"/>
          <w:szCs w:val="24"/>
          <w:highlight w:val="none"/>
        </w:rPr>
        <w:t>在线预览</w:t>
      </w:r>
    </w:p>
    <w:p w14:paraId="2EED9B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在线预览服务为政企客户提供文宇、表格、演示、版式文件、图片、压缩包等格式的在线预览能力。</w:t>
      </w:r>
    </w:p>
    <w:p w14:paraId="3F15C6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支持格式如下：</w:t>
      </w:r>
    </w:p>
    <w:p w14:paraId="28D5EA2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类型</w:t>
      </w:r>
    </w:p>
    <w:p w14:paraId="1D67AA1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文件格式</w:t>
      </w:r>
    </w:p>
    <w:p w14:paraId="040304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文字</w:t>
      </w:r>
    </w:p>
    <w:p w14:paraId="5DA5722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docx、doc. wps、dot. wpt.dotx、docm、dotm、rtf、 txt</w:t>
      </w:r>
    </w:p>
    <w:p w14:paraId="003DAAC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表格</w:t>
      </w:r>
    </w:p>
    <w:p w14:paraId="1E2CABD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xlsx、xs、 csv、 et. xlt、 xltx、 xsm、xltm</w:t>
      </w:r>
    </w:p>
    <w:p w14:paraId="3DE20E8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演示</w:t>
      </w:r>
    </w:p>
    <w:p w14:paraId="082B353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pptx, ppt, pptm, ppsx, ppsm, pps. potx, potm, dpt, dps</w:t>
      </w:r>
    </w:p>
    <w:p w14:paraId="5062CE2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版式</w:t>
      </w:r>
    </w:p>
    <w:p w14:paraId="63B09DE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pdf. ofd</w:t>
      </w:r>
    </w:p>
    <w:p w14:paraId="4004F7B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图片</w:t>
      </w:r>
    </w:p>
    <w:p w14:paraId="7378876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jpg, jpeg, png, gif, bmp, tif, tiff, svg, psd</w:t>
      </w:r>
    </w:p>
    <w:p w14:paraId="3EFDB35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压缩包</w:t>
      </w:r>
    </w:p>
    <w:p w14:paraId="6DD68A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rar, zip, 7z, tar, gz</w:t>
      </w:r>
    </w:p>
    <w:p w14:paraId="1636F4A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文字格式的预览基于 WPS Office 客户内核精准排版渲染成前端矢量元素，可保证文档显示效果与客户端保持一致。</w:t>
      </w:r>
    </w:p>
    <w:p w14:paraId="102BA28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高清预览：通过客户端内核排版后渲染成 canvas 元素，传输到前端渲染展示，可保证与客户端一致的排版效果。用于对格式要求严格的公文预览场景。</w:t>
      </w:r>
    </w:p>
    <w:p w14:paraId="20029D4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缓存预览：通过客户端将文档渲染成缓存文件，前端排版渲染展示，占用服务器资源低，业务系统去插件化，文档不落地预览场景：解决因浏览器版本或和容性问题，无法通过插件调起客户端进行预览问题，同时支持全平台文档在线不落地预览</w:t>
      </w:r>
      <w:r>
        <w:rPr>
          <w:rFonts w:hint="eastAsia" w:ascii="宋体" w:hAnsi="宋体" w:eastAsia="宋体" w:cs="宋体"/>
          <w:b w:val="0"/>
          <w:bCs w:val="0"/>
          <w:color w:val="auto"/>
          <w:sz w:val="24"/>
          <w:szCs w:val="24"/>
          <w:highlight w:val="none"/>
          <w:lang w:eastAsia="zh-CN"/>
        </w:rPr>
        <w:t>。</w:t>
      </w:r>
    </w:p>
    <w:p w14:paraId="673B8FA9">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4.11.</w:t>
      </w:r>
      <w:r>
        <w:rPr>
          <w:rFonts w:hint="eastAsia" w:ascii="宋体" w:hAnsi="宋体" w:eastAsia="宋体" w:cs="宋体"/>
          <w:b/>
          <w:bCs/>
          <w:color w:val="auto"/>
          <w:sz w:val="24"/>
          <w:szCs w:val="24"/>
          <w:highlight w:val="none"/>
        </w:rPr>
        <w:t>格式处理</w:t>
      </w:r>
    </w:p>
    <w:p w14:paraId="06CF7D8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文档中台不仅</w:t>
      </w:r>
      <w:r>
        <w:rPr>
          <w:rFonts w:hint="eastAsia" w:ascii="宋体" w:hAnsi="宋体" w:eastAsia="宋体" w:cs="宋体"/>
          <w:b w:val="0"/>
          <w:bCs w:val="0"/>
          <w:color w:val="auto"/>
          <w:sz w:val="24"/>
          <w:szCs w:val="24"/>
          <w:highlight w:val="none"/>
          <w:lang w:val="en-US" w:eastAsia="zh-CN"/>
        </w:rPr>
        <w:t>需</w:t>
      </w:r>
      <w:r>
        <w:rPr>
          <w:rFonts w:hint="eastAsia" w:ascii="宋体" w:hAnsi="宋体" w:eastAsia="宋体" w:cs="宋体"/>
          <w:b w:val="0"/>
          <w:bCs w:val="0"/>
          <w:color w:val="auto"/>
          <w:sz w:val="24"/>
          <w:szCs w:val="24"/>
          <w:highlight w:val="none"/>
        </w:rPr>
        <w:t>提供在线预览和编辑服务，基于WPS 客户文档解析和数据转换能力，还</w:t>
      </w:r>
      <w:r>
        <w:rPr>
          <w:rFonts w:hint="eastAsia" w:ascii="宋体" w:hAnsi="宋体" w:eastAsia="宋体" w:cs="宋体"/>
          <w:b w:val="0"/>
          <w:bCs w:val="0"/>
          <w:color w:val="auto"/>
          <w:sz w:val="24"/>
          <w:szCs w:val="24"/>
          <w:highlight w:val="none"/>
          <w:lang w:val="en-US" w:eastAsia="zh-CN"/>
        </w:rPr>
        <w:t>需</w:t>
      </w:r>
      <w:r>
        <w:rPr>
          <w:rFonts w:hint="eastAsia" w:ascii="宋体" w:hAnsi="宋体" w:eastAsia="宋体" w:cs="宋体"/>
          <w:b w:val="0"/>
          <w:bCs w:val="0"/>
          <w:color w:val="auto"/>
          <w:sz w:val="24"/>
          <w:szCs w:val="24"/>
          <w:highlight w:val="none"/>
        </w:rPr>
        <w:t>提供格式转换、多书签套用、内容操作、文档合并、文档拆分、限制编辑、文档加解密、图片处理等服务端文档处理的能力。</w:t>
      </w:r>
    </w:p>
    <w:p w14:paraId="50168511">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4.12.</w:t>
      </w:r>
      <w:r>
        <w:rPr>
          <w:rFonts w:hint="eastAsia" w:ascii="宋体" w:hAnsi="宋体" w:eastAsia="宋体" w:cs="宋体"/>
          <w:b/>
          <w:bCs/>
          <w:color w:val="auto"/>
          <w:sz w:val="24"/>
          <w:szCs w:val="24"/>
          <w:highlight w:val="none"/>
        </w:rPr>
        <w:t>格式转换</w:t>
      </w:r>
    </w:p>
    <w:p w14:paraId="2CB6AA3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文档中台为政企业务系统提供了丰富的格式转换能力，格式转换支持的格式如下：</w:t>
      </w:r>
    </w:p>
    <w:p w14:paraId="0B998B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输入类型   </w:t>
      </w:r>
    </w:p>
    <w:p w14:paraId="02FBB52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输入文件格式</w:t>
      </w:r>
    </w:p>
    <w:p w14:paraId="7C54516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文字</w:t>
      </w:r>
    </w:p>
    <w:p w14:paraId="5B60FEB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docx. doc. wps. dot. wot. dotx, docm.dotm. rtf. uot. mht. mhtml, htm. html,xml </w:t>
      </w:r>
    </w:p>
    <w:p w14:paraId="6EAC94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表格</w:t>
      </w:r>
    </w:p>
    <w:p w14:paraId="04D44D4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xIsx. xls. csv. xlt. xltx, et, ett. xlsm.xItm. xisb.</w:t>
      </w:r>
    </w:p>
    <w:p w14:paraId="0F740E6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演示</w:t>
      </w:r>
    </w:p>
    <w:p w14:paraId="428415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pptx. ppt. pot, potx, pps. ppsx, dpx.dpt. pptm, potm, ppsm. uop</w:t>
      </w:r>
    </w:p>
    <w:p w14:paraId="33AF9EF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版式</w:t>
      </w:r>
    </w:p>
    <w:p w14:paraId="5AC0AA6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pdf</w:t>
      </w:r>
    </w:p>
    <w:p w14:paraId="5148CF3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图片</w:t>
      </w:r>
    </w:p>
    <w:p w14:paraId="600251A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jpg. jpeg, png, gif, bmp, tif, tiff, psd</w:t>
      </w:r>
    </w:p>
    <w:p w14:paraId="7C1AB523">
      <w:pPr>
        <w:keepNext w:val="0"/>
        <w:keepLines w:val="0"/>
        <w:pageBreakBefore w:val="0"/>
        <w:widowControl w:val="0"/>
        <w:numPr>
          <w:ilvl w:val="1"/>
          <w:numId w:val="0"/>
        </w:numPr>
        <w:kinsoku/>
        <w:wordWrap/>
        <w:overflowPunct/>
        <w:topLinePunct w:val="0"/>
        <w:autoSpaceDE/>
        <w:autoSpaceDN/>
        <w:bidi w:val="0"/>
        <w:adjustRightInd/>
        <w:snapToGrid/>
        <w:spacing w:line="360" w:lineRule="auto"/>
        <w:ind w:left="0" w:leftChars="0" w:firstLine="422" w:firstLineChars="175"/>
        <w:textAlignment w:val="auto"/>
        <w:outlineLvl w:val="2"/>
        <w:rPr>
          <w:rFonts w:hint="eastAsia" w:ascii="宋体" w:hAnsi="宋体" w:eastAsia="宋体" w:cs="宋体"/>
          <w:b/>
          <w:bCs/>
          <w:color w:val="auto"/>
          <w:sz w:val="24"/>
          <w:szCs w:val="24"/>
          <w:highlight w:val="none"/>
        </w:rPr>
      </w:pPr>
      <w:r>
        <w:rPr>
          <w:rFonts w:hint="default" w:ascii="宋体" w:hAnsi="宋体" w:eastAsia="宋体" w:cs="宋体"/>
          <w:b/>
          <w:bCs/>
          <w:color w:val="auto"/>
          <w:kern w:val="2"/>
          <w:sz w:val="24"/>
          <w:szCs w:val="24"/>
          <w:highlight w:val="none"/>
          <w:lang w:val="en-US" w:eastAsia="zh-CN" w:bidi="ar-SA"/>
        </w:rPr>
        <w:t>4.13.</w:t>
      </w:r>
      <w:r>
        <w:rPr>
          <w:rFonts w:hint="eastAsia" w:ascii="宋体" w:hAnsi="宋体" w:eastAsia="宋体" w:cs="宋体"/>
          <w:b/>
          <w:bCs/>
          <w:color w:val="auto"/>
          <w:sz w:val="24"/>
          <w:szCs w:val="24"/>
          <w:highlight w:val="none"/>
        </w:rPr>
        <w:t>功能规格：</w:t>
      </w:r>
    </w:p>
    <w:p w14:paraId="4000866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授权在线并发用户数：300人。</w:t>
      </w:r>
    </w:p>
    <w:p w14:paraId="4ADB6309">
      <w:pPr>
        <w:pStyle w:val="3"/>
        <w:keepNext/>
        <w:keepLines/>
        <w:pageBreakBefore w:val="0"/>
        <w:widowControl/>
        <w:numPr>
          <w:ilvl w:val="0"/>
          <w:numId w:val="0"/>
        </w:numPr>
        <w:tabs>
          <w:tab w:val="clear" w:pos="432"/>
        </w:tabs>
        <w:kinsoku/>
        <w:wordWrap/>
        <w:overflowPunct/>
        <w:topLinePunct w:val="0"/>
        <w:autoSpaceDE/>
        <w:autoSpaceDN/>
        <w:bidi w:val="0"/>
        <w:adjustRightInd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default" w:ascii="宋体" w:hAnsi="宋体" w:eastAsia="宋体" w:cs="宋体"/>
          <w:b/>
          <w:bCs/>
          <w:color w:val="auto"/>
          <w:kern w:val="2"/>
          <w:sz w:val="24"/>
          <w:szCs w:val="24"/>
          <w:highlight w:val="none"/>
          <w:lang w:val="en-US" w:eastAsia="zh-CN" w:bidi="ar"/>
        </w:rPr>
        <w:t>5.</w:t>
      </w:r>
      <w:r>
        <w:rPr>
          <w:rFonts w:hint="eastAsia" w:ascii="宋体" w:hAnsi="宋体" w:eastAsia="宋体" w:cs="宋体"/>
          <w:color w:val="auto"/>
          <w:kern w:val="2"/>
          <w:sz w:val="24"/>
          <w:szCs w:val="24"/>
          <w:highlight w:val="none"/>
          <w:lang w:val="en-US" w:eastAsia="zh-CN" w:bidi="ar"/>
        </w:rPr>
        <w:t>项目团队要求</w:t>
      </w:r>
    </w:p>
    <w:p w14:paraId="35084641">
      <w:pPr>
        <w:pStyle w:val="5"/>
        <w:numPr>
          <w:ilvl w:val="2"/>
          <w:numId w:val="0"/>
        </w:numPr>
        <w:spacing w:before="0" w:after="0"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投标人必须成立合理的组织机构，建立健全保障项目顺利实施的各项管理制度和质量保证体系，按照招标要求安排好项目管理团队参加本项目的建设。</w:t>
      </w:r>
    </w:p>
    <w:p w14:paraId="02E72289">
      <w:pPr>
        <w:spacing w:line="360" w:lineRule="auto"/>
        <w:ind w:left="0" w:leftChars="0" w:firstLine="420" w:firstLineChars="175"/>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项目团队至少应包含项目经理1人、技术负责人1人及项目实施需要的其他专业技术人员，其他专业技术人员包括但不仅限于软件测试、系统集成、项目管理、用户培训等成员。</w:t>
      </w:r>
    </w:p>
    <w:p w14:paraId="78554CD5">
      <w:pPr>
        <w:spacing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项目经理应具有</w:t>
      </w:r>
      <w:r>
        <w:rPr>
          <w:rFonts w:hint="eastAsia" w:ascii="宋体" w:hAnsi="宋体" w:cs="宋体"/>
          <w:b w:val="0"/>
          <w:color w:val="auto"/>
          <w:sz w:val="24"/>
          <w:szCs w:val="24"/>
          <w:highlight w:val="none"/>
          <w:lang w:val="en-US" w:eastAsia="zh-CN"/>
        </w:rPr>
        <w:t>计算机等</w:t>
      </w:r>
      <w:r>
        <w:rPr>
          <w:rFonts w:hint="eastAsia" w:ascii="宋体" w:hAnsi="宋体" w:eastAsia="宋体" w:cs="宋体"/>
          <w:b w:val="0"/>
          <w:color w:val="auto"/>
          <w:sz w:val="24"/>
          <w:szCs w:val="24"/>
          <w:highlight w:val="none"/>
        </w:rPr>
        <w:t>履约相关专业本科以上学历，具有全国软考的信息系统项目管理师，具备近三年（自</w:t>
      </w:r>
      <w:r>
        <w:rPr>
          <w:rFonts w:hint="eastAsia" w:ascii="宋体" w:hAnsi="宋体" w:eastAsia="宋体" w:cs="宋体"/>
          <w:b w:val="0"/>
          <w:color w:val="auto"/>
          <w:sz w:val="24"/>
          <w:szCs w:val="24"/>
          <w:highlight w:val="none"/>
          <w:lang w:eastAsia="zh-CN"/>
        </w:rPr>
        <w:t>2022年1月1日</w:t>
      </w:r>
      <w:r>
        <w:rPr>
          <w:rFonts w:hint="eastAsia" w:ascii="宋体" w:hAnsi="宋体" w:eastAsia="宋体" w:cs="宋体"/>
          <w:b w:val="0"/>
          <w:color w:val="auto"/>
          <w:sz w:val="24"/>
          <w:szCs w:val="24"/>
          <w:highlight w:val="none"/>
        </w:rPr>
        <w:t>以来）同类</w:t>
      </w:r>
      <w:r>
        <w:rPr>
          <w:rFonts w:hint="eastAsia" w:ascii="宋体" w:hAnsi="宋体" w:eastAsia="宋体" w:cs="宋体"/>
          <w:b w:val="0"/>
          <w:color w:val="auto"/>
          <w:sz w:val="24"/>
          <w:szCs w:val="24"/>
          <w:highlight w:val="none"/>
          <w:lang w:eastAsia="zh-CN"/>
        </w:rPr>
        <w:t>电子政务项目</w:t>
      </w:r>
      <w:r>
        <w:rPr>
          <w:rFonts w:hint="eastAsia" w:ascii="宋体" w:hAnsi="宋体" w:eastAsia="宋体" w:cs="宋体"/>
          <w:b w:val="0"/>
          <w:color w:val="auto"/>
          <w:sz w:val="24"/>
          <w:szCs w:val="24"/>
          <w:highlight w:val="none"/>
        </w:rPr>
        <w:t>实施经验。</w:t>
      </w:r>
    </w:p>
    <w:p w14:paraId="12A03272">
      <w:pPr>
        <w:spacing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项目技术负责人应具有</w:t>
      </w:r>
      <w:r>
        <w:rPr>
          <w:rFonts w:hint="eastAsia" w:ascii="宋体" w:hAnsi="宋体" w:cs="宋体"/>
          <w:b w:val="0"/>
          <w:color w:val="auto"/>
          <w:sz w:val="24"/>
          <w:szCs w:val="24"/>
          <w:highlight w:val="none"/>
          <w:lang w:val="en-US" w:eastAsia="zh-CN"/>
        </w:rPr>
        <w:t>计算机等</w:t>
      </w:r>
      <w:r>
        <w:rPr>
          <w:rFonts w:hint="eastAsia" w:ascii="宋体" w:hAnsi="宋体" w:eastAsia="宋体" w:cs="宋体"/>
          <w:b w:val="0"/>
          <w:color w:val="auto"/>
          <w:sz w:val="24"/>
          <w:szCs w:val="24"/>
          <w:highlight w:val="none"/>
        </w:rPr>
        <w:t>履约相关专业本科以上学历、具备同类行业5年及以上从业经验（从业年限）及近三年同类</w:t>
      </w:r>
      <w:r>
        <w:rPr>
          <w:rFonts w:hint="eastAsia" w:ascii="宋体" w:hAnsi="宋体" w:eastAsia="宋体" w:cs="宋体"/>
          <w:b w:val="0"/>
          <w:color w:val="auto"/>
          <w:sz w:val="24"/>
          <w:szCs w:val="24"/>
          <w:highlight w:val="none"/>
          <w:lang w:eastAsia="zh-CN"/>
        </w:rPr>
        <w:t>电子政务项目</w:t>
      </w:r>
      <w:r>
        <w:rPr>
          <w:rFonts w:hint="eastAsia" w:ascii="宋体" w:hAnsi="宋体" w:eastAsia="宋体" w:cs="宋体"/>
          <w:b w:val="0"/>
          <w:color w:val="auto"/>
          <w:sz w:val="24"/>
          <w:szCs w:val="24"/>
          <w:highlight w:val="none"/>
        </w:rPr>
        <w:t>实施经验。</w:t>
      </w:r>
    </w:p>
    <w:p w14:paraId="68678AA9">
      <w:pPr>
        <w:spacing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项目其他成员（除项目经理和技术负责人外）应具有履约相关专业本科以上学历，具备近三年同类</w:t>
      </w:r>
      <w:r>
        <w:rPr>
          <w:rFonts w:hint="eastAsia" w:ascii="宋体" w:hAnsi="宋体" w:eastAsia="宋体" w:cs="宋体"/>
          <w:b w:val="0"/>
          <w:color w:val="auto"/>
          <w:sz w:val="24"/>
          <w:szCs w:val="24"/>
          <w:highlight w:val="none"/>
          <w:lang w:eastAsia="zh-CN"/>
        </w:rPr>
        <w:t>电子政务项目</w:t>
      </w:r>
      <w:r>
        <w:rPr>
          <w:rFonts w:hint="eastAsia" w:ascii="宋体" w:hAnsi="宋体" w:eastAsia="宋体" w:cs="宋体"/>
          <w:b w:val="0"/>
          <w:color w:val="auto"/>
          <w:sz w:val="24"/>
          <w:szCs w:val="24"/>
          <w:highlight w:val="none"/>
        </w:rPr>
        <w:t>实施经验。</w:t>
      </w:r>
    </w:p>
    <w:p w14:paraId="3B16582B">
      <w:pPr>
        <w:pStyle w:val="3"/>
        <w:keepNext/>
        <w:keepLines/>
        <w:pageBreakBefore w:val="0"/>
        <w:widowControl/>
        <w:numPr>
          <w:ilvl w:val="0"/>
          <w:numId w:val="0"/>
        </w:numPr>
        <w:tabs>
          <w:tab w:val="clear" w:pos="432"/>
        </w:tabs>
        <w:kinsoku/>
        <w:wordWrap/>
        <w:overflowPunct/>
        <w:topLinePunct w:val="0"/>
        <w:autoSpaceDE/>
        <w:autoSpaceDN/>
        <w:bidi w:val="0"/>
        <w:adjustRightInd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default" w:ascii="宋体" w:hAnsi="宋体" w:eastAsia="宋体" w:cs="宋体"/>
          <w:b/>
          <w:bCs/>
          <w:color w:val="auto"/>
          <w:kern w:val="2"/>
          <w:sz w:val="24"/>
          <w:szCs w:val="24"/>
          <w:highlight w:val="none"/>
          <w:lang w:val="en-US" w:eastAsia="zh-CN" w:bidi="ar"/>
        </w:rPr>
        <w:t>6.</w:t>
      </w:r>
      <w:r>
        <w:rPr>
          <w:rFonts w:hint="eastAsia" w:ascii="宋体" w:hAnsi="宋体" w:eastAsia="宋体" w:cs="宋体"/>
          <w:color w:val="auto"/>
          <w:kern w:val="2"/>
          <w:sz w:val="24"/>
          <w:szCs w:val="24"/>
          <w:highlight w:val="none"/>
          <w:lang w:val="en-US" w:eastAsia="zh-CN" w:bidi="ar"/>
        </w:rPr>
        <w:t>验收要求</w:t>
      </w:r>
    </w:p>
    <w:p w14:paraId="2193C0F1">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6.1.</w:t>
      </w:r>
      <w:r>
        <w:rPr>
          <w:rFonts w:hint="eastAsia" w:ascii="宋体" w:hAnsi="宋体" w:eastAsia="宋体" w:cs="宋体"/>
          <w:color w:val="auto"/>
          <w:sz w:val="24"/>
          <w:szCs w:val="24"/>
          <w:highlight w:val="none"/>
        </w:rPr>
        <w:t>软件验收测试</w:t>
      </w:r>
    </w:p>
    <w:p w14:paraId="4ED9573C">
      <w:pPr>
        <w:shd w:val="clear"/>
        <w:spacing w:line="360" w:lineRule="auto"/>
        <w:ind w:firstLine="420" w:firstLineChars="175"/>
        <w:rPr>
          <w:rFonts w:hint="eastAsia" w:ascii="宋体" w:hAnsi="宋体" w:cs="宋体"/>
          <w:color w:val="auto"/>
          <w:sz w:val="24"/>
          <w:szCs w:val="24"/>
          <w:highlight w:val="none"/>
        </w:rPr>
      </w:pPr>
      <w:r>
        <w:rPr>
          <w:rFonts w:hint="eastAsia" w:ascii="宋体" w:hAnsi="宋体" w:cs="宋体"/>
          <w:color w:val="auto"/>
          <w:sz w:val="24"/>
          <w:szCs w:val="24"/>
          <w:highlight w:val="none"/>
        </w:rPr>
        <w:t>合同履行期间，供应商需完成软件验收测试工作，并承担系统整改和测试费用，包含在本次报价中。其中功能测试和性能测试须由中国合格评定国家认可委员会（CNAS）实验室资质许可机构或中国计量认证（CMA）资质许可机构进行，应包括采购范围内的功能、性能、信创环境兼容性（服务器、中间件、设备终端）以及其他指标满足情况。安全测试须由中国网络安全审查技术与认证中心颁发的信息安全风险评估服务资质认证机构（一级服务资质）和ISO27001信息安全管理体系认证机构进行，应包括安全基线检查、主机和应用漏洞扫描、渗透测试、后门检查以及部分核心代码段的安全审计。项目验收前提供完整、合格的测试成果。</w:t>
      </w:r>
    </w:p>
    <w:p w14:paraId="736108FE">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6.2.</w:t>
      </w:r>
      <w:r>
        <w:rPr>
          <w:rFonts w:hint="eastAsia" w:ascii="宋体" w:hAnsi="宋体" w:eastAsia="宋体" w:cs="宋体"/>
          <w:color w:val="auto"/>
          <w:sz w:val="24"/>
          <w:szCs w:val="24"/>
          <w:highlight w:val="none"/>
        </w:rPr>
        <w:t>等级保护第三级测评</w:t>
      </w:r>
    </w:p>
    <w:p w14:paraId="768EA987">
      <w:pPr>
        <w:shd w:val="clear"/>
        <w:spacing w:line="360" w:lineRule="auto"/>
        <w:ind w:firstLine="420" w:firstLineChars="175"/>
        <w:rPr>
          <w:rFonts w:hint="eastAsia" w:ascii="宋体" w:hAnsi="宋体" w:cs="宋体"/>
          <w:color w:val="auto"/>
          <w:sz w:val="24"/>
          <w:szCs w:val="24"/>
          <w:highlight w:val="none"/>
        </w:rPr>
      </w:pPr>
      <w:r>
        <w:rPr>
          <w:rFonts w:hint="eastAsia" w:ascii="宋体" w:hAnsi="宋体" w:cs="宋体"/>
          <w:color w:val="auto"/>
          <w:sz w:val="24"/>
          <w:szCs w:val="24"/>
          <w:highlight w:val="none"/>
        </w:rPr>
        <w:t>合同履行期间，供应商需无条件配合开展信息系统安全等级保护第三级测评工作，并承担系统整改费用。该工作由第三方机构组织开展，供应商应严格按照《信息安全技术  网络安全等级保护基本要求》（GB/T 22239-2019）、《信息安全技术  网络安全等级保护定级指南》（GB/T 22240-2020）、《信息安全技术  网络安全等级保护实施指南》（GB/T 25058-2019）等文件要求建设实施，系统总体测评分数达到80分及以上。如本项目验收前该项工作不具备完成条件且不影响合同履约的，供应商需出具书面承诺，保证达到预期测评效果。</w:t>
      </w:r>
    </w:p>
    <w:p w14:paraId="7B2F65C3">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6.3.</w:t>
      </w:r>
      <w:r>
        <w:rPr>
          <w:rFonts w:hint="eastAsia" w:ascii="宋体" w:hAnsi="宋体" w:eastAsia="宋体" w:cs="宋体"/>
          <w:color w:val="auto"/>
          <w:sz w:val="24"/>
          <w:szCs w:val="24"/>
          <w:highlight w:val="none"/>
        </w:rPr>
        <w:t>商用密码应用安全性评估</w:t>
      </w:r>
    </w:p>
    <w:p w14:paraId="1D687A6E">
      <w:pPr>
        <w:shd w:val="clear"/>
        <w:spacing w:line="360" w:lineRule="auto"/>
        <w:ind w:firstLine="420" w:firstLineChars="175"/>
        <w:rPr>
          <w:rFonts w:hint="eastAsia" w:ascii="Times New Roman" w:hAnsi="Times New Roman" w:cs="Times New Roman"/>
          <w:color w:val="auto"/>
          <w:sz w:val="24"/>
          <w:szCs w:val="24"/>
          <w:highlight w:val="none"/>
          <w:lang w:val="en-US" w:eastAsia="zh-CN"/>
        </w:rPr>
      </w:pPr>
      <w:bookmarkStart w:id="30" w:name="_Hlk163047476"/>
      <w:r>
        <w:rPr>
          <w:rFonts w:hint="eastAsia" w:ascii="宋体" w:hAnsi="宋体" w:cs="宋体"/>
          <w:color w:val="auto"/>
          <w:sz w:val="24"/>
          <w:szCs w:val="24"/>
          <w:highlight w:val="none"/>
        </w:rPr>
        <w:t>合同履行期间，供应商需无条件配合开展商用密码应用安全性评估工作，并承担系统整改费用。</w:t>
      </w:r>
      <w:bookmarkEnd w:id="30"/>
      <w:r>
        <w:rPr>
          <w:rFonts w:hint="eastAsia" w:ascii="宋体" w:hAnsi="宋体" w:cs="宋体"/>
          <w:color w:val="auto"/>
          <w:sz w:val="24"/>
          <w:szCs w:val="24"/>
          <w:highlight w:val="none"/>
        </w:rPr>
        <w:t>该工作由第三方机构组织开展，供应商需配合完成《商用密码应用安全性方案》评审，应严格按照《信息安全技术  信息系统密码应用基本要求》（GB/T 39786-2021）、《政务信息系统密码应用与安全性评估工作指南》、《信息系统密码应用测试要求》等文件要求建设实施，系统总体密评分数达到60分及以上，系统本身不存在高风险项。如本项目验收前该项工作不具备完成条件且不影响合同履约的，供应商需出具书面承诺，保证达到预期密评效</w:t>
      </w:r>
      <w:r>
        <w:rPr>
          <w:rFonts w:hint="eastAsia" w:ascii="Times New Roman" w:hAnsi="Times New Roman" w:cs="Times New Roman"/>
          <w:color w:val="auto"/>
          <w:sz w:val="24"/>
          <w:szCs w:val="24"/>
          <w:highlight w:val="none"/>
        </w:rPr>
        <w:t>果。</w:t>
      </w:r>
    </w:p>
    <w:p w14:paraId="5CB3A4C8">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6.4.</w:t>
      </w:r>
      <w:r>
        <w:rPr>
          <w:rFonts w:hint="eastAsia" w:ascii="宋体" w:hAnsi="宋体" w:eastAsia="宋体" w:cs="宋体"/>
          <w:color w:val="auto"/>
          <w:sz w:val="24"/>
          <w:szCs w:val="24"/>
          <w:highlight w:val="none"/>
        </w:rPr>
        <w:t>初验及试运行</w:t>
      </w:r>
    </w:p>
    <w:p w14:paraId="10284F27">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项目基本建设完成后，</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rPr>
        <w:t>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一年。试运行期间，供应商除需要对初验和试运行中发现的问题进行整改和升级外，还需开展以下工作：</w:t>
      </w:r>
    </w:p>
    <w:p w14:paraId="1FC915C6">
      <w:pPr>
        <w:keepNext w:val="0"/>
        <w:keepLines w:val="0"/>
        <w:pageBreakBefore w:val="0"/>
        <w:widowControl w:val="0"/>
        <w:numPr>
          <w:ilvl w:val="2"/>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6.4.1.</w:t>
      </w:r>
      <w:r>
        <w:rPr>
          <w:rFonts w:hint="eastAsia" w:ascii="宋体" w:hAnsi="宋体" w:eastAsia="宋体" w:cs="宋体"/>
          <w:color w:val="auto"/>
          <w:sz w:val="24"/>
          <w:szCs w:val="24"/>
          <w:highlight w:val="none"/>
        </w:rPr>
        <w:t>完成软件验收测试工作；</w:t>
      </w:r>
    </w:p>
    <w:p w14:paraId="1EA65005">
      <w:pPr>
        <w:keepNext w:val="0"/>
        <w:keepLines w:val="0"/>
        <w:pageBreakBefore w:val="0"/>
        <w:widowControl w:val="0"/>
        <w:numPr>
          <w:ilvl w:val="2"/>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6.4.2.</w:t>
      </w:r>
      <w:r>
        <w:rPr>
          <w:rFonts w:hint="eastAsia" w:ascii="宋体" w:hAnsi="宋体" w:eastAsia="宋体" w:cs="宋体"/>
          <w:color w:val="auto"/>
          <w:sz w:val="24"/>
          <w:szCs w:val="24"/>
          <w:highlight w:val="none"/>
        </w:rPr>
        <w:t>配合开展信息系统安全等级保护第三级测评工作；</w:t>
      </w:r>
    </w:p>
    <w:p w14:paraId="7ACC7756">
      <w:pPr>
        <w:keepNext w:val="0"/>
        <w:keepLines w:val="0"/>
        <w:pageBreakBefore w:val="0"/>
        <w:widowControl w:val="0"/>
        <w:numPr>
          <w:ilvl w:val="2"/>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6.4.3.</w:t>
      </w:r>
      <w:r>
        <w:rPr>
          <w:rFonts w:hint="eastAsia" w:ascii="宋体" w:hAnsi="宋体" w:eastAsia="宋体" w:cs="宋体"/>
          <w:color w:val="auto"/>
          <w:sz w:val="24"/>
          <w:szCs w:val="24"/>
          <w:highlight w:val="none"/>
        </w:rPr>
        <w:t>配合开展商用密码应用安全性评估工作；</w:t>
      </w:r>
    </w:p>
    <w:p w14:paraId="16D71759">
      <w:pPr>
        <w:keepNext w:val="0"/>
        <w:keepLines w:val="0"/>
        <w:pageBreakBefore w:val="0"/>
        <w:widowControl w:val="0"/>
        <w:numPr>
          <w:ilvl w:val="2"/>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6.4.4.</w:t>
      </w:r>
      <w:r>
        <w:rPr>
          <w:rFonts w:hint="eastAsia" w:ascii="宋体" w:hAnsi="宋体" w:eastAsia="宋体" w:cs="宋体"/>
          <w:color w:val="auto"/>
          <w:sz w:val="24"/>
          <w:szCs w:val="24"/>
          <w:highlight w:val="none"/>
        </w:rPr>
        <w:t>需完成财务报告、审计报告。</w:t>
      </w:r>
    </w:p>
    <w:p w14:paraId="45BEAB2E">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6.5.</w:t>
      </w:r>
      <w:r>
        <w:rPr>
          <w:rFonts w:hint="eastAsia" w:ascii="宋体" w:hAnsi="宋体" w:eastAsia="宋体" w:cs="宋体"/>
          <w:color w:val="auto"/>
          <w:sz w:val="24"/>
          <w:szCs w:val="24"/>
          <w:highlight w:val="none"/>
        </w:rPr>
        <w:t>项目终验</w:t>
      </w:r>
    </w:p>
    <w:p w14:paraId="1AB4B9E4">
      <w:pPr>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155F9C13">
      <w:pPr>
        <w:pStyle w:val="3"/>
        <w:numPr>
          <w:ilvl w:val="0"/>
          <w:numId w:val="0"/>
        </w:numPr>
        <w:tabs>
          <w:tab w:val="left" w:pos="0"/>
          <w:tab w:val="clear" w:pos="432"/>
        </w:tabs>
        <w:spacing w:line="360" w:lineRule="auto"/>
        <w:ind w:left="0" w:leftChars="0" w:firstLine="422" w:firstLineChars="175"/>
        <w:jc w:val="left"/>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二、标项二：</w:t>
      </w:r>
      <w:r>
        <w:rPr>
          <w:rFonts w:hint="eastAsia" w:ascii="宋体" w:hAnsi="宋体" w:eastAsia="宋体" w:cs="宋体"/>
          <w:b/>
          <w:color w:val="auto"/>
          <w:sz w:val="24"/>
          <w:szCs w:val="24"/>
          <w:highlight w:val="none"/>
          <w:lang w:val="en-US" w:eastAsia="zh-CN"/>
        </w:rPr>
        <w:t>浙江省司法行政综合业务管理系统迭代升级项目——机关内控管理功能升级采购需求</w:t>
      </w:r>
    </w:p>
    <w:p w14:paraId="401B34D9">
      <w:pPr>
        <w:keepNext w:val="0"/>
        <w:keepLines w:val="0"/>
        <w:pageBreakBefore w:val="0"/>
        <w:widowControl w:val="0"/>
        <w:numPr>
          <w:ilvl w:val="0"/>
          <w:numId w:val="2"/>
        </w:numPr>
        <w:kinsoku/>
        <w:wordWrap/>
        <w:overflowPunct/>
        <w:topLinePunct w:val="0"/>
        <w:autoSpaceDE/>
        <w:autoSpaceDN/>
        <w:bidi w:val="0"/>
        <w:spacing w:line="360" w:lineRule="auto"/>
        <w:ind w:left="0" w:leftChars="0" w:firstLine="422" w:firstLineChars="175"/>
        <w:jc w:val="left"/>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项目</w:t>
      </w:r>
      <w:r>
        <w:rPr>
          <w:rFonts w:hint="eastAsia" w:ascii="宋体" w:hAnsi="宋体" w:eastAsia="宋体" w:cs="宋体"/>
          <w:b/>
          <w:bCs/>
          <w:color w:val="auto"/>
          <w:sz w:val="24"/>
          <w:szCs w:val="24"/>
          <w:highlight w:val="none"/>
        </w:rPr>
        <w:t>概述</w:t>
      </w:r>
    </w:p>
    <w:p w14:paraId="74696564">
      <w:pPr>
        <w:keepNext w:val="0"/>
        <w:keepLines w:val="0"/>
        <w:pageBreakBefore w:val="0"/>
        <w:widowControl w:val="0"/>
        <w:kinsoku/>
        <w:wordWrap/>
        <w:overflowPunct/>
        <w:topLinePunct w:val="0"/>
        <w:autoSpaceDE/>
        <w:autoSpaceDN/>
        <w:bidi w:val="0"/>
        <w:spacing w:line="360" w:lineRule="auto"/>
        <w:ind w:left="0" w:leftChars="0" w:firstLine="420"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司法厅内控管理系统目前已分两期</w:t>
      </w:r>
      <w:r>
        <w:rPr>
          <w:rFonts w:hint="eastAsia" w:ascii="宋体" w:hAnsi="宋体" w:eastAsia="宋体" w:cs="宋体"/>
          <w:color w:val="auto"/>
          <w:sz w:val="24"/>
          <w:szCs w:val="24"/>
          <w:highlight w:val="none"/>
          <w:lang w:eastAsia="zh-CN"/>
        </w:rPr>
        <w:t>完成</w:t>
      </w:r>
      <w:r>
        <w:rPr>
          <w:rFonts w:hint="eastAsia" w:ascii="宋体" w:hAnsi="宋体" w:eastAsia="宋体" w:cs="宋体"/>
          <w:color w:val="auto"/>
          <w:sz w:val="24"/>
          <w:szCs w:val="24"/>
          <w:highlight w:val="none"/>
        </w:rPr>
        <w:t>开发实施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第一期于2019年上线运营,第二期于2022年上线。第一期实现了预算、采购、支出等基础管理功能,优化了多项业务流程，第二期在第一期基础上,新增了加班值班、往来款、行政费用</w:t>
      </w:r>
      <w:r>
        <w:rPr>
          <w:rFonts w:hint="eastAsia" w:ascii="宋体" w:hAnsi="宋体" w:eastAsia="宋体" w:cs="宋体"/>
          <w:color w:val="auto"/>
          <w:sz w:val="24"/>
          <w:szCs w:val="24"/>
          <w:highlight w:val="none"/>
          <w:lang w:eastAsia="zh-CN"/>
        </w:rPr>
        <w:t>报销</w:t>
      </w:r>
      <w:r>
        <w:rPr>
          <w:rFonts w:hint="eastAsia" w:ascii="宋体" w:hAnsi="宋体" w:eastAsia="宋体" w:cs="宋体"/>
          <w:color w:val="auto"/>
          <w:sz w:val="24"/>
          <w:szCs w:val="24"/>
          <w:highlight w:val="none"/>
        </w:rPr>
        <w:t>等功能。该系统从数据和业务两个层面实现了司法厅内部信息的有效集成，提升了工作人员的工作效率和满意度，对司法厅实现规范化、精细化、智能化内控管理起到了重要支撑作用</w:t>
      </w:r>
      <w:r>
        <w:rPr>
          <w:rFonts w:hint="eastAsia" w:ascii="宋体" w:hAnsi="宋体" w:eastAsia="宋体" w:cs="宋体"/>
          <w:color w:val="auto"/>
          <w:sz w:val="24"/>
          <w:szCs w:val="24"/>
          <w:highlight w:val="none"/>
          <w:lang w:eastAsia="zh-CN"/>
        </w:rPr>
        <w:t>。在此基础上，</w:t>
      </w:r>
      <w:r>
        <w:rPr>
          <w:rFonts w:hint="eastAsia" w:ascii="宋体" w:hAnsi="宋体" w:eastAsia="宋体" w:cs="宋体"/>
          <w:color w:val="auto"/>
          <w:sz w:val="24"/>
          <w:szCs w:val="24"/>
          <w:highlight w:val="none"/>
        </w:rPr>
        <w:t>下一步将继续根据司法厅业务需求进行功能扩展和优化升级。</w:t>
      </w:r>
    </w:p>
    <w:p w14:paraId="137EA4C8">
      <w:pPr>
        <w:keepNext w:val="0"/>
        <w:keepLines w:val="0"/>
        <w:pageBreakBefore w:val="0"/>
        <w:widowControl w:val="0"/>
        <w:numPr>
          <w:ilvl w:val="0"/>
          <w:numId w:val="2"/>
        </w:numPr>
        <w:kinsoku/>
        <w:wordWrap/>
        <w:overflowPunct/>
        <w:topLinePunct w:val="0"/>
        <w:autoSpaceDE/>
        <w:autoSpaceDN/>
        <w:bidi w:val="0"/>
        <w:spacing w:line="360" w:lineRule="auto"/>
        <w:ind w:left="0" w:leftChars="0" w:firstLine="422" w:firstLineChars="175"/>
        <w:jc w:val="left"/>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建设依据</w:t>
      </w:r>
    </w:p>
    <w:p w14:paraId="469B2A9B">
      <w:pPr>
        <w:keepNext w:val="0"/>
        <w:keepLines w:val="0"/>
        <w:pageBreakBefore w:val="0"/>
        <w:widowControl w:val="0"/>
        <w:numPr>
          <w:ilvl w:val="1"/>
          <w:numId w:val="2"/>
        </w:numPr>
        <w:kinsoku/>
        <w:wordWrap/>
        <w:overflowPunct/>
        <w:topLinePunct w:val="0"/>
        <w:autoSpaceDE/>
        <w:autoSpaceDN/>
        <w:bidi w:val="0"/>
        <w:spacing w:line="360" w:lineRule="auto"/>
        <w:ind w:left="0" w:leftChars="0" w:firstLine="420"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《浙江省行政事业单位内部控制工作基本指引》（浙财会〔2016〕6号）要求加强经济财务管理内控。</w:t>
      </w:r>
    </w:p>
    <w:p w14:paraId="697F445D">
      <w:pPr>
        <w:keepNext w:val="0"/>
        <w:keepLines w:val="0"/>
        <w:pageBreakBefore w:val="0"/>
        <w:widowControl w:val="0"/>
        <w:numPr>
          <w:ilvl w:val="1"/>
          <w:numId w:val="2"/>
        </w:numPr>
        <w:kinsoku/>
        <w:wordWrap/>
        <w:overflowPunct/>
        <w:topLinePunct w:val="0"/>
        <w:autoSpaceDE/>
        <w:autoSpaceDN/>
        <w:bidi w:val="0"/>
        <w:spacing w:line="360" w:lineRule="auto"/>
        <w:ind w:left="0" w:leftChars="0" w:firstLine="420"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司法厅“十四五”发展规划提出建立智慧司法内控体系。</w:t>
      </w:r>
    </w:p>
    <w:p w14:paraId="153F83E6">
      <w:pPr>
        <w:keepNext w:val="0"/>
        <w:keepLines w:val="0"/>
        <w:pageBreakBefore w:val="0"/>
        <w:widowControl w:val="0"/>
        <w:numPr>
          <w:ilvl w:val="1"/>
          <w:numId w:val="2"/>
        </w:numPr>
        <w:kinsoku/>
        <w:wordWrap/>
        <w:overflowPunct/>
        <w:topLinePunct w:val="0"/>
        <w:autoSpaceDE/>
        <w:autoSpaceDN/>
        <w:bidi w:val="0"/>
        <w:spacing w:line="360" w:lineRule="auto"/>
        <w:ind w:left="0" w:leftChars="0" w:firstLine="420"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司法厅业务改革需求,如会计电子化对接银企等。</w:t>
      </w:r>
    </w:p>
    <w:p w14:paraId="1FFB3848">
      <w:pPr>
        <w:keepNext w:val="0"/>
        <w:keepLines w:val="0"/>
        <w:pageBreakBefore w:val="0"/>
        <w:widowControl w:val="0"/>
        <w:numPr>
          <w:ilvl w:val="1"/>
          <w:numId w:val="2"/>
        </w:numPr>
        <w:kinsoku/>
        <w:wordWrap/>
        <w:overflowPunct/>
        <w:topLinePunct w:val="0"/>
        <w:autoSpaceDE/>
        <w:autoSpaceDN/>
        <w:bidi w:val="0"/>
        <w:spacing w:line="360" w:lineRule="auto"/>
        <w:ind w:left="0" w:leftChars="0" w:firstLine="420" w:firstLineChars="175"/>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根据内控管理系统使用</w:t>
      </w:r>
      <w:r>
        <w:rPr>
          <w:rFonts w:hint="eastAsia" w:ascii="宋体" w:hAnsi="宋体" w:eastAsia="宋体" w:cs="宋体"/>
          <w:color w:val="auto"/>
          <w:sz w:val="24"/>
          <w:szCs w:val="24"/>
          <w:highlight w:val="none"/>
          <w:lang w:eastAsia="zh-CN"/>
        </w:rPr>
        <w:t>处</w:t>
      </w:r>
      <w:r>
        <w:rPr>
          <w:rFonts w:hint="eastAsia" w:ascii="宋体" w:hAnsi="宋体" w:eastAsia="宋体" w:cs="宋体"/>
          <w:color w:val="auto"/>
          <w:sz w:val="24"/>
          <w:szCs w:val="24"/>
          <w:highlight w:val="none"/>
        </w:rPr>
        <w:t>室反馈与优化需求。</w:t>
      </w:r>
    </w:p>
    <w:p w14:paraId="7B9CA612">
      <w:pPr>
        <w:keepNext w:val="0"/>
        <w:keepLines w:val="0"/>
        <w:pageBreakBefore w:val="0"/>
        <w:widowControl w:val="0"/>
        <w:numPr>
          <w:ilvl w:val="0"/>
          <w:numId w:val="2"/>
        </w:numPr>
        <w:kinsoku/>
        <w:wordWrap/>
        <w:overflowPunct/>
        <w:topLinePunct w:val="0"/>
        <w:autoSpaceDE/>
        <w:autoSpaceDN/>
        <w:bidi w:val="0"/>
        <w:spacing w:line="360" w:lineRule="auto"/>
        <w:ind w:left="0" w:leftChars="0" w:firstLine="422" w:firstLineChars="175"/>
        <w:jc w:val="left"/>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主要建设内容</w:t>
      </w:r>
    </w:p>
    <w:p w14:paraId="5E46A147">
      <w:pPr>
        <w:keepNext w:val="0"/>
        <w:keepLines w:val="0"/>
        <w:pageBreakBefore w:val="0"/>
        <w:widowControl w:val="0"/>
        <w:kinsoku/>
        <w:wordWrap/>
        <w:overflowPunct/>
        <w:topLinePunct w:val="0"/>
        <w:autoSpaceDE/>
        <w:autoSpaceDN/>
        <w:bidi w:val="0"/>
        <w:spacing w:line="360" w:lineRule="auto"/>
        <w:ind w:left="0" w:leftChars="0" w:firstLine="420" w:firstLineChars="175"/>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在现有</w:t>
      </w:r>
      <w:r>
        <w:rPr>
          <w:rFonts w:hint="eastAsia" w:ascii="宋体" w:hAnsi="宋体" w:eastAsia="宋体" w:cs="宋体"/>
          <w:color w:val="auto"/>
          <w:sz w:val="24"/>
          <w:szCs w:val="24"/>
          <w:highlight w:val="none"/>
          <w:lang w:eastAsia="zh-CN"/>
        </w:rPr>
        <w:t>内控管理系统功能模块的</w:t>
      </w:r>
      <w:r>
        <w:rPr>
          <w:rFonts w:hint="eastAsia" w:ascii="宋体" w:hAnsi="宋体" w:eastAsia="宋体" w:cs="宋体"/>
          <w:color w:val="auto"/>
          <w:sz w:val="24"/>
          <w:szCs w:val="24"/>
          <w:highlight w:val="none"/>
        </w:rPr>
        <w:t>基础上,进一步加强数据对接与应用,优化和创新业务流程,提升移动化应用,完善专家服务,加强内外部信息集成共享,建立智能化内控新体系。</w:t>
      </w:r>
      <w:r>
        <w:rPr>
          <w:rFonts w:hint="eastAsia" w:ascii="宋体" w:hAnsi="宋体" w:eastAsia="宋体" w:cs="宋体"/>
          <w:color w:val="auto"/>
          <w:sz w:val="24"/>
          <w:szCs w:val="24"/>
          <w:highlight w:val="none"/>
          <w:lang w:eastAsia="zh-CN"/>
        </w:rPr>
        <w:t>具体开发内容如下：</w:t>
      </w:r>
    </w:p>
    <w:p w14:paraId="3C0F9010">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票据</w:t>
      </w:r>
      <w:r>
        <w:rPr>
          <w:rFonts w:hint="eastAsia" w:ascii="宋体" w:hAnsi="宋体" w:eastAsia="宋体" w:cs="宋体"/>
          <w:b/>
          <w:bCs/>
          <w:color w:val="auto"/>
          <w:sz w:val="24"/>
          <w:szCs w:val="24"/>
          <w:highlight w:val="none"/>
          <w:lang w:eastAsia="zh-CN"/>
        </w:rPr>
        <w:t>系统</w:t>
      </w:r>
      <w:r>
        <w:rPr>
          <w:rFonts w:hint="eastAsia" w:ascii="宋体" w:hAnsi="宋体" w:eastAsia="宋体" w:cs="宋体"/>
          <w:b/>
          <w:bCs/>
          <w:color w:val="auto"/>
          <w:sz w:val="24"/>
          <w:szCs w:val="24"/>
          <w:highlight w:val="none"/>
        </w:rPr>
        <w:t>对接</w:t>
      </w:r>
    </w:p>
    <w:p w14:paraId="4CB70410">
      <w:pPr>
        <w:keepNext w:val="0"/>
        <w:keepLines w:val="0"/>
        <w:pageBreakBefore w:val="0"/>
        <w:widowControl w:val="0"/>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通过与税务系统或者浙里办系统对接，获取</w:t>
      </w:r>
      <w:r>
        <w:rPr>
          <w:rFonts w:hint="eastAsia" w:ascii="宋体" w:hAnsi="宋体" w:eastAsia="宋体" w:cs="宋体"/>
          <w:color w:val="auto"/>
          <w:sz w:val="24"/>
          <w:szCs w:val="24"/>
          <w:highlight w:val="none"/>
          <w:lang w:eastAsia="zh-CN"/>
        </w:rPr>
        <w:t>票据</w:t>
      </w:r>
      <w:r>
        <w:rPr>
          <w:rFonts w:hint="eastAsia" w:ascii="宋体" w:hAnsi="宋体" w:eastAsia="宋体" w:cs="宋体"/>
          <w:color w:val="auto"/>
          <w:sz w:val="24"/>
          <w:szCs w:val="24"/>
          <w:highlight w:val="none"/>
        </w:rPr>
        <w:t>信息，在内控系统生成票夹，个人</w:t>
      </w:r>
      <w:r>
        <w:rPr>
          <w:rFonts w:hint="eastAsia" w:ascii="宋体" w:hAnsi="宋体" w:eastAsia="宋体" w:cs="宋体"/>
          <w:color w:val="auto"/>
          <w:sz w:val="24"/>
          <w:szCs w:val="24"/>
          <w:highlight w:val="none"/>
          <w:lang w:eastAsia="zh-CN"/>
        </w:rPr>
        <w:t>能</w:t>
      </w:r>
      <w:r>
        <w:rPr>
          <w:rFonts w:hint="eastAsia" w:ascii="宋体" w:hAnsi="宋体" w:eastAsia="宋体" w:cs="宋体"/>
          <w:color w:val="auto"/>
          <w:sz w:val="24"/>
          <w:szCs w:val="24"/>
          <w:highlight w:val="none"/>
        </w:rPr>
        <w:t>生成单独的个人票夹，方便以后报销时一键带出发票数据。</w:t>
      </w:r>
    </w:p>
    <w:p w14:paraId="66F3102E">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银企</w:t>
      </w:r>
      <w:r>
        <w:rPr>
          <w:rFonts w:hint="eastAsia" w:ascii="宋体" w:hAnsi="宋体" w:eastAsia="宋体" w:cs="宋体"/>
          <w:b/>
          <w:bCs/>
          <w:color w:val="auto"/>
          <w:sz w:val="24"/>
          <w:szCs w:val="24"/>
          <w:highlight w:val="none"/>
          <w:lang w:eastAsia="zh-CN"/>
        </w:rPr>
        <w:t>数据</w:t>
      </w:r>
      <w:r>
        <w:rPr>
          <w:rFonts w:hint="eastAsia" w:ascii="宋体" w:hAnsi="宋体" w:eastAsia="宋体" w:cs="宋体"/>
          <w:b/>
          <w:bCs/>
          <w:color w:val="auto"/>
          <w:sz w:val="24"/>
          <w:szCs w:val="24"/>
          <w:highlight w:val="none"/>
        </w:rPr>
        <w:t>对接</w:t>
      </w:r>
    </w:p>
    <w:p w14:paraId="23C03176">
      <w:pPr>
        <w:keepNext w:val="0"/>
        <w:keepLines w:val="0"/>
        <w:pageBreakBefore w:val="0"/>
        <w:widowControl w:val="0"/>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通过银行系统对接，获取</w:t>
      </w:r>
      <w:r>
        <w:rPr>
          <w:rFonts w:hint="eastAsia" w:ascii="宋体" w:hAnsi="宋体" w:eastAsia="宋体" w:cs="宋体"/>
          <w:color w:val="auto"/>
          <w:sz w:val="24"/>
          <w:szCs w:val="24"/>
          <w:highlight w:val="none"/>
          <w:lang w:eastAsia="zh-CN"/>
        </w:rPr>
        <w:t>银行</w:t>
      </w:r>
      <w:r>
        <w:rPr>
          <w:rFonts w:hint="eastAsia" w:ascii="宋体" w:hAnsi="宋体" w:eastAsia="宋体" w:cs="宋体"/>
          <w:color w:val="auto"/>
          <w:sz w:val="24"/>
          <w:szCs w:val="24"/>
          <w:highlight w:val="none"/>
        </w:rPr>
        <w:t>电子回单，</w:t>
      </w:r>
      <w:r>
        <w:rPr>
          <w:rFonts w:hint="eastAsia" w:ascii="宋体" w:hAnsi="宋体" w:eastAsia="宋体" w:cs="宋体"/>
          <w:color w:val="auto"/>
          <w:sz w:val="24"/>
          <w:szCs w:val="24"/>
          <w:highlight w:val="none"/>
          <w:lang w:eastAsia="zh-CN"/>
        </w:rPr>
        <w:t>支付数据从</w:t>
      </w:r>
      <w:r>
        <w:rPr>
          <w:rFonts w:hint="eastAsia" w:ascii="宋体" w:hAnsi="宋体" w:eastAsia="宋体" w:cs="宋体"/>
          <w:color w:val="auto"/>
          <w:sz w:val="24"/>
          <w:szCs w:val="24"/>
          <w:highlight w:val="none"/>
        </w:rPr>
        <w:t>内控系统推送网银系统，网银支付成功后回传内控，为会计凭证电子化做基础。</w:t>
      </w:r>
    </w:p>
    <w:p w14:paraId="538E87FE">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浙里报系统对接</w:t>
      </w:r>
    </w:p>
    <w:p w14:paraId="53E304A9">
      <w:pPr>
        <w:keepNext w:val="0"/>
        <w:keepLines w:val="0"/>
        <w:pageBreakBefore w:val="0"/>
        <w:widowControl w:val="0"/>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与省财政厅浙里报系统数据对接，如后续原内控系统部分功能转用浙里报系统，相关的流程、数据能够实现相互推送与共享。</w:t>
      </w:r>
    </w:p>
    <w:p w14:paraId="544F41C0">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工资</w:t>
      </w:r>
      <w:r>
        <w:rPr>
          <w:rFonts w:hint="eastAsia" w:ascii="宋体" w:hAnsi="宋体" w:eastAsia="宋体" w:cs="宋体"/>
          <w:b/>
          <w:bCs/>
          <w:color w:val="auto"/>
          <w:sz w:val="24"/>
          <w:szCs w:val="24"/>
          <w:highlight w:val="none"/>
          <w:lang w:val="en-US" w:eastAsia="zh-CN"/>
        </w:rPr>
        <w:t>模块开发</w:t>
      </w:r>
    </w:p>
    <w:p w14:paraId="64E41147">
      <w:pPr>
        <w:keepNext w:val="0"/>
        <w:keepLines w:val="0"/>
        <w:pageBreakBefore w:val="0"/>
        <w:widowControl w:val="0"/>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新增工资模块，替代原有工资查询系统，财务能通过数据模板</w:t>
      </w:r>
      <w:r>
        <w:rPr>
          <w:rFonts w:hint="eastAsia" w:ascii="宋体" w:hAnsi="宋体" w:eastAsia="宋体" w:cs="宋体"/>
          <w:color w:val="auto"/>
          <w:sz w:val="24"/>
          <w:szCs w:val="24"/>
          <w:highlight w:val="none"/>
        </w:rPr>
        <w:t>导入工资信息，</w:t>
      </w:r>
      <w:r>
        <w:rPr>
          <w:rFonts w:hint="eastAsia" w:ascii="宋体" w:hAnsi="宋体" w:eastAsia="宋体" w:cs="宋体"/>
          <w:color w:val="auto"/>
          <w:sz w:val="24"/>
          <w:szCs w:val="24"/>
          <w:highlight w:val="none"/>
          <w:lang w:val="en-US" w:eastAsia="zh-CN"/>
        </w:rPr>
        <w:t>部分数据可根据公式自动计算，工资查询能</w:t>
      </w:r>
      <w:r>
        <w:rPr>
          <w:rFonts w:hint="eastAsia" w:ascii="宋体" w:hAnsi="宋体" w:eastAsia="宋体" w:cs="宋体"/>
          <w:color w:val="auto"/>
          <w:sz w:val="24"/>
          <w:szCs w:val="24"/>
          <w:highlight w:val="none"/>
        </w:rPr>
        <w:t>进行权限控制，方便个人查看历史工资信息。</w:t>
      </w:r>
      <w:r>
        <w:rPr>
          <w:rFonts w:hint="eastAsia" w:ascii="宋体" w:hAnsi="宋体" w:eastAsia="宋体" w:cs="宋体"/>
          <w:color w:val="auto"/>
          <w:sz w:val="24"/>
          <w:szCs w:val="24"/>
          <w:highlight w:val="none"/>
          <w:lang w:eastAsia="zh-CN"/>
        </w:rPr>
        <w:t>移动端需要增加模块嵌入浙政钉司法厅板块内</w:t>
      </w:r>
      <w:r>
        <w:rPr>
          <w:rFonts w:hint="eastAsia" w:ascii="宋体" w:hAnsi="宋体" w:eastAsia="宋体" w:cs="宋体"/>
          <w:b/>
          <w:bCs/>
          <w:color w:val="auto"/>
          <w:sz w:val="24"/>
          <w:szCs w:val="24"/>
          <w:highlight w:val="none"/>
          <w:lang w:eastAsia="zh-CN"/>
        </w:rPr>
        <w:t>。</w:t>
      </w:r>
    </w:p>
    <w:p w14:paraId="03B1CA8E">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专家库</w:t>
      </w:r>
      <w:r>
        <w:rPr>
          <w:rFonts w:hint="eastAsia" w:ascii="宋体" w:hAnsi="宋体" w:eastAsia="宋体" w:cs="宋体"/>
          <w:b/>
          <w:bCs/>
          <w:color w:val="auto"/>
          <w:sz w:val="24"/>
          <w:szCs w:val="24"/>
          <w:highlight w:val="none"/>
          <w:lang w:eastAsia="zh-CN"/>
        </w:rPr>
        <w:t>模块开发</w:t>
      </w:r>
    </w:p>
    <w:p w14:paraId="1FF21C8A">
      <w:pPr>
        <w:keepNext w:val="0"/>
        <w:keepLines w:val="0"/>
        <w:pageBreakBefore w:val="0"/>
        <w:widowControl w:val="0"/>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新增</w:t>
      </w:r>
      <w:r>
        <w:rPr>
          <w:rFonts w:hint="eastAsia" w:ascii="宋体" w:hAnsi="宋体" w:eastAsia="宋体" w:cs="宋体"/>
          <w:color w:val="auto"/>
          <w:sz w:val="24"/>
          <w:szCs w:val="24"/>
          <w:highlight w:val="none"/>
        </w:rPr>
        <w:t>专家库模块，</w:t>
      </w:r>
      <w:r>
        <w:rPr>
          <w:rFonts w:hint="eastAsia" w:ascii="宋体" w:hAnsi="宋体" w:eastAsia="宋体" w:cs="宋体"/>
          <w:color w:val="auto"/>
          <w:sz w:val="24"/>
          <w:szCs w:val="24"/>
          <w:highlight w:val="none"/>
          <w:lang w:eastAsia="zh-CN"/>
        </w:rPr>
        <w:t>初步分为公开招标、基建项目、造价核价等，能</w:t>
      </w:r>
      <w:r>
        <w:rPr>
          <w:rFonts w:hint="eastAsia" w:ascii="宋体" w:hAnsi="宋体" w:eastAsia="宋体" w:cs="宋体"/>
          <w:color w:val="auto"/>
          <w:sz w:val="24"/>
          <w:szCs w:val="24"/>
          <w:highlight w:val="none"/>
          <w:lang w:val="en-US" w:eastAsia="zh-CN"/>
        </w:rPr>
        <w:t>抓取</w:t>
      </w:r>
      <w:r>
        <w:rPr>
          <w:rFonts w:hint="eastAsia" w:ascii="宋体" w:hAnsi="宋体" w:eastAsia="宋体" w:cs="宋体"/>
          <w:color w:val="auto"/>
          <w:sz w:val="24"/>
          <w:szCs w:val="24"/>
          <w:highlight w:val="none"/>
        </w:rPr>
        <w:t>历史流程中的专家信息</w:t>
      </w:r>
      <w:r>
        <w:rPr>
          <w:rFonts w:hint="eastAsia" w:ascii="宋体" w:hAnsi="宋体" w:eastAsia="宋体" w:cs="宋体"/>
          <w:color w:val="auto"/>
          <w:sz w:val="24"/>
          <w:szCs w:val="24"/>
          <w:highlight w:val="none"/>
          <w:lang w:val="en-US" w:eastAsia="zh-CN"/>
        </w:rPr>
        <w:t>导入库中</w:t>
      </w:r>
      <w:r>
        <w:rPr>
          <w:rFonts w:hint="eastAsia" w:ascii="宋体" w:hAnsi="宋体" w:eastAsia="宋体" w:cs="宋体"/>
          <w:color w:val="auto"/>
          <w:sz w:val="24"/>
          <w:szCs w:val="24"/>
          <w:highlight w:val="none"/>
        </w:rPr>
        <w:t>，后续</w:t>
      </w:r>
      <w:r>
        <w:rPr>
          <w:rFonts w:hint="eastAsia" w:ascii="宋体" w:hAnsi="宋体" w:eastAsia="宋体" w:cs="宋体"/>
          <w:color w:val="auto"/>
          <w:sz w:val="24"/>
          <w:szCs w:val="24"/>
          <w:highlight w:val="none"/>
          <w:lang w:eastAsia="zh-CN"/>
        </w:rPr>
        <w:t>也</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rPr>
        <w:t>通过</w:t>
      </w:r>
      <w:r>
        <w:rPr>
          <w:rFonts w:hint="eastAsia" w:ascii="宋体" w:hAnsi="宋体" w:eastAsia="宋体" w:cs="宋体"/>
          <w:color w:val="auto"/>
          <w:sz w:val="24"/>
          <w:szCs w:val="24"/>
          <w:highlight w:val="none"/>
          <w:lang w:val="en-US" w:eastAsia="zh-CN"/>
        </w:rPr>
        <w:t>录入入口，手动录入</w:t>
      </w:r>
      <w:r>
        <w:rPr>
          <w:rFonts w:hint="eastAsia" w:ascii="宋体" w:hAnsi="宋体" w:eastAsia="宋体" w:cs="宋体"/>
          <w:color w:val="auto"/>
          <w:sz w:val="24"/>
          <w:szCs w:val="24"/>
          <w:highlight w:val="none"/>
        </w:rPr>
        <w:t>专家信息</w:t>
      </w:r>
      <w:r>
        <w:rPr>
          <w:rFonts w:hint="eastAsia" w:ascii="宋体" w:hAnsi="宋体" w:eastAsia="宋体" w:cs="宋体"/>
          <w:color w:val="auto"/>
          <w:sz w:val="24"/>
          <w:szCs w:val="24"/>
          <w:highlight w:val="none"/>
          <w:lang w:val="en-US" w:eastAsia="zh-CN"/>
        </w:rPr>
        <w:t>到专家库</w:t>
      </w:r>
      <w:r>
        <w:rPr>
          <w:rFonts w:hint="eastAsia" w:ascii="宋体" w:hAnsi="宋体" w:eastAsia="宋体" w:cs="宋体"/>
          <w:color w:val="auto"/>
          <w:sz w:val="24"/>
          <w:szCs w:val="24"/>
          <w:highlight w:val="none"/>
        </w:rPr>
        <w:t>，方便</w:t>
      </w:r>
      <w:r>
        <w:rPr>
          <w:rFonts w:hint="eastAsia" w:ascii="宋体" w:hAnsi="宋体" w:eastAsia="宋体" w:cs="宋体"/>
          <w:color w:val="auto"/>
          <w:sz w:val="24"/>
          <w:szCs w:val="24"/>
          <w:highlight w:val="none"/>
          <w:lang w:val="en-US" w:eastAsia="zh-CN"/>
        </w:rPr>
        <w:t>其他</w:t>
      </w:r>
      <w:r>
        <w:rPr>
          <w:rFonts w:hint="eastAsia" w:ascii="宋体" w:hAnsi="宋体" w:eastAsia="宋体" w:cs="宋体"/>
          <w:color w:val="auto"/>
          <w:sz w:val="24"/>
          <w:szCs w:val="24"/>
          <w:highlight w:val="none"/>
        </w:rPr>
        <w:t>流程引用。</w:t>
      </w:r>
    </w:p>
    <w:p w14:paraId="170AA1AD">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劳务费发放流程优化</w:t>
      </w:r>
    </w:p>
    <w:p w14:paraId="1586A1A4">
      <w:pPr>
        <w:pStyle w:val="62"/>
        <w:keepNext w:val="0"/>
        <w:keepLines w:val="0"/>
        <w:pageBreakBefore w:val="0"/>
        <w:widowControl w:val="0"/>
        <w:kinsoku/>
        <w:wordWrap/>
        <w:overflowPunct/>
        <w:topLinePunct w:val="0"/>
        <w:autoSpaceDE/>
        <w:autoSpaceDN/>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在流程中内嵌劳务费个税计算公式，输入实发金额可自动计算个税及合计金额；专家信息可从专家库中引用选取，并带出关联信息。</w:t>
      </w:r>
    </w:p>
    <w:p w14:paraId="1008246F">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表单打印功能优化</w:t>
      </w:r>
    </w:p>
    <w:p w14:paraId="6E90E32D">
      <w:pPr>
        <w:keepNext w:val="0"/>
        <w:keepLines w:val="0"/>
        <w:pageBreakBefore w:val="0"/>
        <w:widowControl w:val="0"/>
        <w:numPr>
          <w:ilvl w:val="0"/>
          <w:numId w:val="0"/>
        </w:numPr>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在实现会计档案电子化前，会计资料仍需要打印纸质件，目前系统流程表单的打印模板比较单一，打印后纸张浪费较多，优化后可实现打印页面大小调整，节约纸张。</w:t>
      </w:r>
    </w:p>
    <w:p w14:paraId="35CD5972">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信创化改造建设</w:t>
      </w:r>
    </w:p>
    <w:p w14:paraId="1C0D154E">
      <w:pPr>
        <w:keepNext w:val="0"/>
        <w:keepLines w:val="0"/>
        <w:pageBreakBefore w:val="0"/>
        <w:widowControl w:val="0"/>
        <w:numPr>
          <w:ilvl w:val="0"/>
          <w:numId w:val="0"/>
        </w:numPr>
        <w:kinsoku/>
        <w:wordWrap/>
        <w:overflowPunct/>
        <w:topLinePunct w:val="0"/>
        <w:autoSpaceDE/>
        <w:autoSpaceDN/>
        <w:bidi w:val="0"/>
        <w:snapToGrid w:val="0"/>
        <w:spacing w:line="360" w:lineRule="auto"/>
        <w:ind w:left="0" w:leftChars="0" w:firstLine="420" w:firstLineChars="175"/>
        <w:jc w:val="left"/>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依据信创技术架构开展建设，要求内控系统整体完成信创化改造，在信创云上遵循信创技术完成系统整体部署，充分应用国产操作系统、数据库、中间件完成改造及开发建设，确保能够在国产终端环境下流畅运行。</w:t>
      </w:r>
    </w:p>
    <w:p w14:paraId="375C7F3F">
      <w:pPr>
        <w:keepNext w:val="0"/>
        <w:keepLines w:val="0"/>
        <w:pageBreakBefore w:val="0"/>
        <w:widowControl w:val="0"/>
        <w:numPr>
          <w:ilvl w:val="1"/>
          <w:numId w:val="2"/>
        </w:numPr>
        <w:kinsoku/>
        <w:wordWrap/>
        <w:overflowPunct/>
        <w:topLinePunct w:val="0"/>
        <w:autoSpaceDE/>
        <w:autoSpaceDN/>
        <w:bidi w:val="0"/>
        <w:snapToGrid w:val="0"/>
        <w:spacing w:line="360" w:lineRule="auto"/>
        <w:ind w:left="0" w:leftChars="0" w:firstLine="422" w:firstLineChars="175"/>
        <w:jc w:val="left"/>
        <w:textAlignment w:val="baseline"/>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系统数据贯通及前期模块流程</w:t>
      </w:r>
      <w:r>
        <w:rPr>
          <w:rFonts w:hint="eastAsia" w:ascii="宋体" w:hAnsi="宋体" w:eastAsia="宋体" w:cs="宋体"/>
          <w:b/>
          <w:bCs/>
          <w:color w:val="auto"/>
          <w:sz w:val="24"/>
          <w:szCs w:val="24"/>
          <w:highlight w:val="none"/>
        </w:rPr>
        <w:t>优化</w:t>
      </w:r>
    </w:p>
    <w:p w14:paraId="63D0873C">
      <w:pPr>
        <w:pStyle w:val="2"/>
        <w:keepNext w:val="0"/>
        <w:keepLines w:val="0"/>
        <w:pageBreakBefore w:val="0"/>
        <w:widowControl w:val="0"/>
        <w:kinsoku/>
        <w:wordWrap/>
        <w:overflowPunct/>
        <w:topLinePunct w:val="0"/>
        <w:autoSpaceDE/>
        <w:autoSpaceDN/>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能够根据需求方要求，在内控管理系统中的关联板块之间实现必要的数据贯通及共享；对项目前两期的模块流程作相应的系统优化，如：通用报销流程</w:t>
      </w:r>
      <w:r>
        <w:rPr>
          <w:rFonts w:hint="eastAsia" w:ascii="宋体" w:hAnsi="宋体" w:eastAsia="宋体" w:cs="宋体"/>
          <w:color w:val="auto"/>
          <w:sz w:val="24"/>
          <w:szCs w:val="24"/>
          <w:highlight w:val="none"/>
        </w:rPr>
        <w:t>增加是否验收字段</w:t>
      </w:r>
      <w:r>
        <w:rPr>
          <w:rFonts w:hint="eastAsia" w:ascii="宋体" w:hAnsi="宋体" w:eastAsia="宋体" w:cs="宋体"/>
          <w:color w:val="auto"/>
          <w:sz w:val="24"/>
          <w:szCs w:val="24"/>
          <w:highlight w:val="none"/>
          <w:lang w:eastAsia="zh-CN"/>
        </w:rPr>
        <w:t>、完善福利费收支流程、优化资产管理流程等</w:t>
      </w:r>
      <w:r>
        <w:rPr>
          <w:rFonts w:hint="eastAsia" w:ascii="宋体" w:hAnsi="宋体" w:eastAsia="宋体" w:cs="宋体"/>
          <w:color w:val="auto"/>
          <w:sz w:val="24"/>
          <w:szCs w:val="24"/>
          <w:highlight w:val="none"/>
        </w:rPr>
        <w:t>。</w:t>
      </w:r>
    </w:p>
    <w:p w14:paraId="6DC23138">
      <w:pPr>
        <w:pStyle w:val="3"/>
        <w:keepNext/>
        <w:keepLines/>
        <w:pageBreakBefore w:val="0"/>
        <w:widowControl/>
        <w:numPr>
          <w:ilvl w:val="0"/>
          <w:numId w:val="2"/>
        </w:numPr>
        <w:tabs>
          <w:tab w:val="clear" w:pos="432"/>
        </w:tabs>
        <w:kinsoku/>
        <w:wordWrap/>
        <w:overflowPunct/>
        <w:topLinePunct w:val="0"/>
        <w:autoSpaceDE/>
        <w:autoSpaceDN/>
        <w:bidi w:val="0"/>
        <w:adjustRightInd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项目团队要求</w:t>
      </w:r>
    </w:p>
    <w:p w14:paraId="5D0A0F02">
      <w:pPr>
        <w:pStyle w:val="5"/>
        <w:numPr>
          <w:ilvl w:val="2"/>
          <w:numId w:val="0"/>
        </w:numPr>
        <w:spacing w:before="0" w:after="0"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投标人必须成立合理的组织机构，建立健全保障项目顺利实施的各项管理制度和质量保证体系，按照招标要求安排好项目管理团队参加本项目的建设。</w:t>
      </w:r>
    </w:p>
    <w:p w14:paraId="1701E907">
      <w:pPr>
        <w:spacing w:line="360" w:lineRule="auto"/>
        <w:ind w:left="0" w:leftChars="0" w:firstLine="420" w:firstLineChars="175"/>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项目团队至少应包含项目经理1人、技术负责人1人及项目实施需要的其他专业技术人员，其他专业技术人员包括但不仅限于软件测试、系统集成、项目管理、用户培训等成员。</w:t>
      </w:r>
    </w:p>
    <w:p w14:paraId="67926DF6">
      <w:pPr>
        <w:spacing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项目经理应具有履约相关专业本科以上学历，具有全国软考的信息系统项目管理师，具备近三年（自</w:t>
      </w:r>
      <w:r>
        <w:rPr>
          <w:rFonts w:hint="eastAsia" w:ascii="宋体" w:hAnsi="宋体" w:eastAsia="宋体" w:cs="宋体"/>
          <w:b w:val="0"/>
          <w:color w:val="auto"/>
          <w:sz w:val="24"/>
          <w:szCs w:val="24"/>
          <w:highlight w:val="none"/>
          <w:lang w:eastAsia="zh-CN"/>
        </w:rPr>
        <w:t>2022年1月1日</w:t>
      </w:r>
      <w:r>
        <w:rPr>
          <w:rFonts w:hint="eastAsia" w:ascii="宋体" w:hAnsi="宋体" w:eastAsia="宋体" w:cs="宋体"/>
          <w:b w:val="0"/>
          <w:color w:val="auto"/>
          <w:sz w:val="24"/>
          <w:szCs w:val="24"/>
          <w:highlight w:val="none"/>
        </w:rPr>
        <w:t>以来）同类</w:t>
      </w:r>
      <w:r>
        <w:rPr>
          <w:rFonts w:hint="eastAsia" w:ascii="宋体" w:hAnsi="宋体" w:eastAsia="宋体" w:cs="宋体"/>
          <w:b w:val="0"/>
          <w:color w:val="auto"/>
          <w:sz w:val="24"/>
          <w:szCs w:val="24"/>
          <w:highlight w:val="none"/>
          <w:lang w:eastAsia="zh-CN"/>
        </w:rPr>
        <w:t>电子政务项目</w:t>
      </w:r>
      <w:r>
        <w:rPr>
          <w:rFonts w:hint="eastAsia" w:ascii="宋体" w:hAnsi="宋体" w:eastAsia="宋体" w:cs="宋体"/>
          <w:b w:val="0"/>
          <w:color w:val="auto"/>
          <w:sz w:val="24"/>
          <w:szCs w:val="24"/>
          <w:highlight w:val="none"/>
        </w:rPr>
        <w:t>实施经验。</w:t>
      </w:r>
    </w:p>
    <w:p w14:paraId="6954D97B">
      <w:pPr>
        <w:spacing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项目技术负责人应具有履约相关专业本科以上学历、具备同类行业5年及以上从业经验（从业年限）及近三年同类</w:t>
      </w:r>
      <w:r>
        <w:rPr>
          <w:rFonts w:hint="eastAsia" w:ascii="宋体" w:hAnsi="宋体" w:eastAsia="宋体" w:cs="宋体"/>
          <w:b w:val="0"/>
          <w:color w:val="auto"/>
          <w:sz w:val="24"/>
          <w:szCs w:val="24"/>
          <w:highlight w:val="none"/>
          <w:lang w:eastAsia="zh-CN"/>
        </w:rPr>
        <w:t>电子政务项目</w:t>
      </w:r>
      <w:r>
        <w:rPr>
          <w:rFonts w:hint="eastAsia" w:ascii="宋体" w:hAnsi="宋体" w:eastAsia="宋体" w:cs="宋体"/>
          <w:b w:val="0"/>
          <w:color w:val="auto"/>
          <w:sz w:val="24"/>
          <w:szCs w:val="24"/>
          <w:highlight w:val="none"/>
        </w:rPr>
        <w:t>实施经验。</w:t>
      </w:r>
    </w:p>
    <w:p w14:paraId="3DA13015">
      <w:pPr>
        <w:spacing w:line="360" w:lineRule="auto"/>
        <w:ind w:left="0" w:leftChars="0" w:firstLine="420" w:firstLineChars="175"/>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项目其他成员（除项目经理和技术负责人外）应具有履约相关专业本科以上学历，具备近三年同类</w:t>
      </w:r>
      <w:r>
        <w:rPr>
          <w:rFonts w:hint="eastAsia" w:ascii="宋体" w:hAnsi="宋体" w:eastAsia="宋体" w:cs="宋体"/>
          <w:b w:val="0"/>
          <w:color w:val="auto"/>
          <w:sz w:val="24"/>
          <w:szCs w:val="24"/>
          <w:highlight w:val="none"/>
          <w:lang w:eastAsia="zh-CN"/>
        </w:rPr>
        <w:t>电子政务项目</w:t>
      </w:r>
      <w:r>
        <w:rPr>
          <w:rFonts w:hint="eastAsia" w:ascii="宋体" w:hAnsi="宋体" w:eastAsia="宋体" w:cs="宋体"/>
          <w:b w:val="0"/>
          <w:color w:val="auto"/>
          <w:sz w:val="24"/>
          <w:szCs w:val="24"/>
          <w:highlight w:val="none"/>
        </w:rPr>
        <w:t>实施经验。</w:t>
      </w:r>
    </w:p>
    <w:p w14:paraId="73856C27">
      <w:pPr>
        <w:pStyle w:val="3"/>
        <w:keepNext/>
        <w:keepLines/>
        <w:pageBreakBefore w:val="0"/>
        <w:widowControl/>
        <w:numPr>
          <w:ilvl w:val="0"/>
          <w:numId w:val="2"/>
        </w:numPr>
        <w:tabs>
          <w:tab w:val="clear" w:pos="432"/>
        </w:tabs>
        <w:kinsoku/>
        <w:wordWrap/>
        <w:overflowPunct/>
        <w:topLinePunct w:val="0"/>
        <w:autoSpaceDE/>
        <w:autoSpaceDN/>
        <w:bidi w:val="0"/>
        <w:adjustRightInd w:val="0"/>
        <w:snapToGrid/>
        <w:spacing w:before="0" w:after="0" w:line="360" w:lineRule="auto"/>
        <w:ind w:left="0" w:leftChars="0" w:firstLine="422" w:firstLineChars="175"/>
        <w:textAlignment w:val="auto"/>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验收要求</w:t>
      </w:r>
    </w:p>
    <w:p w14:paraId="6CE64C89">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软件验收测试</w:t>
      </w:r>
    </w:p>
    <w:p w14:paraId="16ACF5AD">
      <w:pPr>
        <w:shd w:val="clear"/>
        <w:spacing w:line="360" w:lineRule="auto"/>
        <w:ind w:firstLine="420" w:firstLineChars="175"/>
        <w:rPr>
          <w:rFonts w:hint="eastAsia" w:ascii="宋体" w:hAnsi="宋体" w:cs="宋体"/>
          <w:color w:val="auto"/>
          <w:sz w:val="24"/>
          <w:szCs w:val="24"/>
          <w:highlight w:val="none"/>
        </w:rPr>
      </w:pPr>
      <w:r>
        <w:rPr>
          <w:rFonts w:hint="eastAsia" w:ascii="宋体" w:hAnsi="宋体" w:cs="宋体"/>
          <w:color w:val="auto"/>
          <w:sz w:val="24"/>
          <w:szCs w:val="24"/>
          <w:highlight w:val="none"/>
        </w:rPr>
        <w:t>合同履行期间，供应商需完成软件验收测试工作，并承担系统整改和测试费用，包含在本次报价中。其中功能测试和性能测试须由中国合格评定国家认可委员会（CNAS）实验室资质许可机构或中国计量认证（CMA）资质许可机构进行，应包括采购范围内的功能、性能、信创环境兼容性（服务器、中间件、设备终端）以及其他指标满足情况。安全测试须由中国网络安全审查技术与认证中心颁发的信息安全风险评估服务资质认证机构（一级服务资质）和ISO27001信息安全管理体系认证机构进行，应包括安全基线检查、主机和应用漏洞扫描、渗透测试、后门检查以及部分核心代码段的安全审计。项目验收前提供完整、合格的测试成果。</w:t>
      </w:r>
    </w:p>
    <w:p w14:paraId="7221912F">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等级保护第三级测评</w:t>
      </w:r>
    </w:p>
    <w:p w14:paraId="7DEF670E">
      <w:pPr>
        <w:shd w:val="clear"/>
        <w:spacing w:line="360" w:lineRule="auto"/>
        <w:ind w:firstLine="420" w:firstLineChars="175"/>
        <w:rPr>
          <w:rFonts w:hint="eastAsia" w:ascii="宋体" w:hAnsi="宋体" w:cs="宋体"/>
          <w:color w:val="auto"/>
          <w:sz w:val="24"/>
          <w:szCs w:val="24"/>
          <w:highlight w:val="none"/>
        </w:rPr>
      </w:pPr>
      <w:r>
        <w:rPr>
          <w:rFonts w:hint="eastAsia" w:ascii="宋体" w:hAnsi="宋体" w:cs="宋体"/>
          <w:color w:val="auto"/>
          <w:sz w:val="24"/>
          <w:szCs w:val="24"/>
          <w:highlight w:val="none"/>
        </w:rPr>
        <w:t>合同履行期间，供应商需无条件配合开展信息系统安全等级保护第三级测评工作，并承担系统整改费用。该工作由第三方机构组织开展，供应商应严格按照《信息安全技术  网络安全等级保护基本要求》（GB/T 22239-2019）、《信息安全技术  网络安全等级保护定级指南》（GB/T 22240-2020）、《信息安全技术  网络安全等级保护实施指南》（GB/T 25058-2019）等文件要求建设实施，系统总体测评分数达到80分及以上。如本项目验收前该项工作不具备完成条件且不影响合同履约的，供应商需出具书面承诺，保证达到预期测评效果。</w:t>
      </w:r>
    </w:p>
    <w:p w14:paraId="0CD7DE4C">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商用密码应用安全性评估</w:t>
      </w:r>
    </w:p>
    <w:p w14:paraId="31569C0D">
      <w:pPr>
        <w:shd w:val="clear"/>
        <w:spacing w:line="360" w:lineRule="auto"/>
        <w:ind w:firstLine="420" w:firstLineChars="175"/>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合同履行期间，供应商需无条件配合开展商用密码应用安全性评估工作，并承担系统整改费用。该工作由第三方机构组织开展，供应商需配合完成《商用密码应用安全性方案》评审，应严格按照《信息安全技术  信息系统密码应用基本要求》（GB/T 39786-2021）、《政务信息系统密码应用与安全性评估工作指南》、《信息系统密码应用测试要求》等文件要求建设实施，系统总体密评分数达到60分及以上，系统本身不存在高风险项。如本项目验收前该项工作不具备完成条件且不影响合同履约的，供应商需出具书面承诺，保证达到预期密评效果。</w:t>
      </w:r>
    </w:p>
    <w:p w14:paraId="54134782">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初验及试运行</w:t>
      </w:r>
    </w:p>
    <w:p w14:paraId="5A5E018A">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基本建设完成后，供应商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一年。试运行期间，供应商除需要对初验和试运行中发现的问题进行整改和升级外，还需开展以下工作：</w:t>
      </w:r>
    </w:p>
    <w:p w14:paraId="7D887815">
      <w:pPr>
        <w:keepNext w:val="0"/>
        <w:keepLines w:val="0"/>
        <w:pageBreakBefore w:val="0"/>
        <w:widowControl w:val="0"/>
        <w:numPr>
          <w:ilvl w:val="2"/>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完成软件验收测试工作；</w:t>
      </w:r>
    </w:p>
    <w:p w14:paraId="1DAF54EE">
      <w:pPr>
        <w:keepNext w:val="0"/>
        <w:keepLines w:val="0"/>
        <w:pageBreakBefore w:val="0"/>
        <w:widowControl w:val="0"/>
        <w:numPr>
          <w:ilvl w:val="2"/>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配合开展信息系统安全等级保护第三级测评工作；</w:t>
      </w:r>
    </w:p>
    <w:p w14:paraId="3BF75514">
      <w:pPr>
        <w:keepNext w:val="0"/>
        <w:keepLines w:val="0"/>
        <w:pageBreakBefore w:val="0"/>
        <w:widowControl w:val="0"/>
        <w:numPr>
          <w:ilvl w:val="2"/>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配合开展商用密码应用安全性评估工作；</w:t>
      </w:r>
    </w:p>
    <w:p w14:paraId="643C03FA">
      <w:pPr>
        <w:keepNext w:val="0"/>
        <w:keepLines w:val="0"/>
        <w:pageBreakBefore w:val="0"/>
        <w:widowControl w:val="0"/>
        <w:numPr>
          <w:ilvl w:val="2"/>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需完成财务报告、审计报告。</w:t>
      </w:r>
    </w:p>
    <w:p w14:paraId="1428BB12">
      <w:pPr>
        <w:keepNext w:val="0"/>
        <w:keepLines w:val="0"/>
        <w:pageBreakBefore w:val="0"/>
        <w:widowControl w:val="0"/>
        <w:numPr>
          <w:ilvl w:val="1"/>
          <w:numId w:val="2"/>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项目终验</w:t>
      </w:r>
    </w:p>
    <w:p w14:paraId="0C6B158C">
      <w:pPr>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4A118852">
      <w:pPr>
        <w:pStyle w:val="3"/>
        <w:numPr>
          <w:ilvl w:val="0"/>
          <w:numId w:val="0"/>
        </w:numPr>
        <w:tabs>
          <w:tab w:val="left" w:pos="0"/>
          <w:tab w:val="clear" w:pos="432"/>
        </w:tabs>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三、商务要求</w:t>
      </w:r>
    </w:p>
    <w:p w14:paraId="1CD0598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bidi="ar"/>
        </w:rPr>
      </w:pPr>
      <w:r>
        <w:rPr>
          <w:rFonts w:hint="default" w:ascii="宋体" w:hAnsi="宋体" w:eastAsia="宋体" w:cs="宋体"/>
          <w:color w:val="auto"/>
          <w:kern w:val="2"/>
          <w:sz w:val="24"/>
          <w:szCs w:val="24"/>
          <w:highlight w:val="none"/>
          <w:lang w:val="en-US" w:eastAsia="zh-CN" w:bidi="ar"/>
        </w:rPr>
        <w:t>1．</w:t>
      </w:r>
      <w:r>
        <w:rPr>
          <w:rFonts w:hint="eastAsia" w:ascii="宋体" w:hAnsi="宋体" w:eastAsia="宋体" w:cs="宋体"/>
          <w:color w:val="auto"/>
          <w:sz w:val="24"/>
          <w:szCs w:val="24"/>
          <w:highlight w:val="none"/>
          <w:lang w:val="en-US" w:eastAsia="zh-CN"/>
        </w:rPr>
        <w:t>建设期</w:t>
      </w:r>
      <w:r>
        <w:rPr>
          <w:rFonts w:hint="eastAsia" w:ascii="宋体" w:hAnsi="宋体" w:eastAsia="宋体" w:cs="宋体"/>
          <w:color w:val="auto"/>
          <w:sz w:val="24"/>
          <w:szCs w:val="24"/>
          <w:highlight w:val="none"/>
        </w:rPr>
        <w:t>等要求</w:t>
      </w:r>
    </w:p>
    <w:p w14:paraId="617C0C1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1.1</w:t>
      </w:r>
      <w:r>
        <w:rPr>
          <w:rFonts w:hint="eastAsia" w:ascii="宋体" w:hAnsi="宋体" w:eastAsia="宋体" w:cs="宋体"/>
          <w:color w:val="auto"/>
          <w:sz w:val="24"/>
          <w:szCs w:val="24"/>
          <w:highlight w:val="none"/>
          <w:lang w:val="en-US" w:eastAsia="zh-CN" w:bidi="ar"/>
        </w:rPr>
        <w:t>建设期</w:t>
      </w:r>
      <w:r>
        <w:rPr>
          <w:rFonts w:hint="eastAsia" w:ascii="宋体" w:hAnsi="宋体" w:eastAsia="宋体" w:cs="宋体"/>
          <w:color w:val="auto"/>
          <w:sz w:val="24"/>
          <w:szCs w:val="24"/>
          <w:highlight w:val="none"/>
          <w:lang w:bidi="ar"/>
        </w:rPr>
        <w:t>要求：标项1、2，</w:t>
      </w:r>
      <w:r>
        <w:rPr>
          <w:rFonts w:hint="eastAsia" w:ascii="宋体" w:hAnsi="宋体" w:cs="宋体"/>
          <w:color w:val="auto"/>
          <w:sz w:val="24"/>
          <w:szCs w:val="24"/>
          <w:highlight w:val="none"/>
          <w:lang w:eastAsia="zh-CN" w:bidi="ar"/>
        </w:rPr>
        <w:t>合同签订后</w:t>
      </w:r>
      <w:r>
        <w:rPr>
          <w:rFonts w:hint="eastAsia" w:ascii="宋体" w:hAnsi="宋体" w:cs="宋体"/>
          <w:color w:val="auto"/>
          <w:sz w:val="24"/>
          <w:szCs w:val="24"/>
          <w:highlight w:val="none"/>
          <w:lang w:val="en-US" w:eastAsia="zh-CN" w:bidi="ar"/>
        </w:rPr>
        <w:t>6个月完成建设</w:t>
      </w:r>
      <w:r>
        <w:rPr>
          <w:rFonts w:hint="eastAsia" w:ascii="宋体" w:hAnsi="宋体" w:eastAsia="宋体" w:cs="宋体"/>
          <w:color w:val="auto"/>
          <w:sz w:val="24"/>
          <w:szCs w:val="24"/>
          <w:highlight w:val="none"/>
          <w:lang w:bidi="ar"/>
        </w:rPr>
        <w:t>。</w:t>
      </w:r>
    </w:p>
    <w:p w14:paraId="4986449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lang w:bidi="ar"/>
        </w:rPr>
      </w:pPr>
      <w:r>
        <w:rPr>
          <w:rFonts w:hint="eastAsia" w:ascii="宋体" w:hAnsi="宋体" w:eastAsia="宋体" w:cs="宋体"/>
          <w:color w:val="auto"/>
          <w:sz w:val="24"/>
          <w:szCs w:val="24"/>
          <w:highlight w:val="none"/>
          <w:lang w:bidi="ar"/>
        </w:rPr>
        <w:t>1.2交付（实施）的地点：采购人指定地点。</w:t>
      </w:r>
    </w:p>
    <w:p w14:paraId="26E9F935">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eastAsia="宋体" w:cs="宋体"/>
          <w:color w:val="auto"/>
          <w:sz w:val="24"/>
          <w:szCs w:val="24"/>
          <w:highlight w:val="none"/>
        </w:rPr>
      </w:pPr>
      <w:r>
        <w:rPr>
          <w:rFonts w:hint="default"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rPr>
        <w:t>履约保证金及合同款支付</w:t>
      </w:r>
    </w:p>
    <w:p w14:paraId="0403030E">
      <w:pPr>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2.1履约保证金</w:t>
      </w:r>
    </w:p>
    <w:p w14:paraId="533205A7">
      <w:pPr>
        <w:spacing w:line="360" w:lineRule="auto"/>
        <w:ind w:left="0" w:leftChars="0" w:firstLine="420" w:firstLineChars="175"/>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标项1、2：</w:t>
      </w:r>
      <w:r>
        <w:rPr>
          <w:rFonts w:hint="eastAsia" w:ascii="宋体" w:hAnsi="宋体" w:eastAsia="宋体" w:cs="宋体"/>
          <w:color w:val="auto"/>
          <w:sz w:val="24"/>
          <w:szCs w:val="24"/>
          <w:highlight w:val="none"/>
        </w:rPr>
        <w:t>履约保证金</w:t>
      </w:r>
      <w:r>
        <w:rPr>
          <w:rFonts w:hint="eastAsia" w:ascii="宋体" w:hAnsi="宋体" w:eastAsia="宋体" w:cs="宋体"/>
          <w:color w:val="auto"/>
          <w:sz w:val="24"/>
          <w:szCs w:val="24"/>
          <w:highlight w:val="none"/>
          <w:lang w:val="en-US" w:eastAsia="zh-CN"/>
        </w:rPr>
        <w:t>为合同金额的</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履约保证金在合同签订之日起5个工作日内交至采购人指定银行账户，在合同约定交货验收合格满</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个月之日起5个工作日内无息退还</w:t>
      </w:r>
      <w:r>
        <w:rPr>
          <w:rFonts w:hint="eastAsia" w:ascii="宋体" w:hAnsi="宋体" w:eastAsia="宋体" w:cs="宋体"/>
          <w:color w:val="auto"/>
          <w:sz w:val="24"/>
          <w:szCs w:val="24"/>
          <w:highlight w:val="none"/>
          <w:lang w:eastAsia="zh-CN"/>
        </w:rPr>
        <w:t>。</w:t>
      </w:r>
    </w:p>
    <w:p w14:paraId="6A8F9371">
      <w:pPr>
        <w:autoSpaceDE w:val="0"/>
        <w:autoSpaceDN w:val="0"/>
        <w:adjustRightInd w:val="0"/>
        <w:snapToGrid w:val="0"/>
        <w:spacing w:line="360" w:lineRule="auto"/>
        <w:ind w:left="0" w:leftChars="0" w:firstLine="420" w:firstLineChars="175"/>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2.2付款方式</w:t>
      </w:r>
    </w:p>
    <w:p w14:paraId="0046B4B5">
      <w:pPr>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标项1、2：</w:t>
      </w:r>
      <w:r>
        <w:rPr>
          <w:rFonts w:hint="eastAsia" w:ascii="宋体" w:hAnsi="宋体" w:eastAsia="宋体" w:cs="宋体"/>
          <w:color w:val="auto"/>
          <w:sz w:val="24"/>
          <w:szCs w:val="24"/>
          <w:highlight w:val="none"/>
        </w:rPr>
        <w:t>第一期付款：合同签订后且具备项目实施条件（应用场景概要设计方案经</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审查通过）后7个工作日内，支付合同金额40%的预付款项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第二期付款：系统初验通过后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w:t>
      </w:r>
      <w:r>
        <w:rPr>
          <w:rFonts w:hint="eastAsia" w:ascii="宋体" w:hAnsi="宋体" w:eastAsia="宋体" w:cs="宋体"/>
          <w:color w:val="auto"/>
          <w:sz w:val="24"/>
          <w:szCs w:val="24"/>
          <w:highlight w:val="none"/>
          <w:lang w:val="en-US"/>
        </w:rPr>
        <w:t>40</w:t>
      </w:r>
      <w:r>
        <w:rPr>
          <w:rFonts w:hint="eastAsia" w:ascii="宋体" w:hAnsi="宋体" w:eastAsia="宋体" w:cs="宋体"/>
          <w:color w:val="auto"/>
          <w:sz w:val="24"/>
          <w:szCs w:val="24"/>
          <w:highlight w:val="none"/>
        </w:rPr>
        <w:t>%的款项。第三期付款：系统</w:t>
      </w:r>
      <w:r>
        <w:rPr>
          <w:rFonts w:hint="eastAsia" w:ascii="宋体" w:hAnsi="宋体" w:cs="宋体"/>
          <w:color w:val="auto"/>
          <w:sz w:val="24"/>
          <w:szCs w:val="24"/>
          <w:highlight w:val="none"/>
          <w:lang w:val="en-US" w:eastAsia="zh-CN"/>
        </w:rPr>
        <w:t>初验通过满一年可申请终验，</w:t>
      </w:r>
      <w:r>
        <w:rPr>
          <w:rFonts w:hint="eastAsia" w:ascii="宋体" w:hAnsi="宋体" w:eastAsia="宋体" w:cs="宋体"/>
          <w:color w:val="auto"/>
          <w:sz w:val="24"/>
          <w:szCs w:val="24"/>
          <w:highlight w:val="none"/>
        </w:rPr>
        <w:t>终验通过后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，支付合同金额的</w:t>
      </w:r>
      <w:r>
        <w:rPr>
          <w:rFonts w:hint="eastAsia" w:ascii="宋体" w:hAnsi="宋体" w:eastAsia="宋体" w:cs="宋体"/>
          <w:color w:val="auto"/>
          <w:sz w:val="24"/>
          <w:szCs w:val="24"/>
          <w:highlight w:val="none"/>
          <w:lang w:val="en-US"/>
        </w:rPr>
        <w:t>20%款项。</w:t>
      </w:r>
      <w:r>
        <w:rPr>
          <w:rFonts w:hint="eastAsia" w:ascii="宋体" w:hAnsi="宋体" w:eastAsia="宋体" w:cs="宋体"/>
          <w:color w:val="auto"/>
          <w:sz w:val="24"/>
          <w:szCs w:val="24"/>
          <w:highlight w:val="none"/>
        </w:rPr>
        <w:t>并退还履约保证金。</w:t>
      </w:r>
    </w:p>
    <w:p w14:paraId="1056BF65">
      <w:pPr>
        <w:pStyle w:val="3"/>
        <w:numPr>
          <w:ilvl w:val="0"/>
          <w:numId w:val="0"/>
        </w:numPr>
        <w:tabs>
          <w:tab w:val="left" w:pos="0"/>
          <w:tab w:val="clear" w:pos="432"/>
        </w:tabs>
        <w:spacing w:before="0" w:after="0" w:line="360" w:lineRule="auto"/>
        <w:ind w:left="0" w:leftChars="0" w:firstLine="422" w:firstLineChars="175"/>
        <w:jc w:val="left"/>
        <w:rPr>
          <w:rFonts w:hint="eastAsia" w:ascii="宋体" w:hAnsi="宋体" w:eastAsia="宋体" w:cs="宋体"/>
          <w:color w:val="auto"/>
          <w:sz w:val="24"/>
          <w:szCs w:val="24"/>
          <w:highlight w:val="none"/>
        </w:rPr>
      </w:pPr>
      <w:r>
        <w:rPr>
          <w:rFonts w:hint="default" w:ascii="宋体" w:hAnsi="宋体" w:eastAsia="宋体" w:cs="宋体"/>
          <w:b/>
          <w:bCs/>
          <w:color w:val="auto"/>
          <w:kern w:val="44"/>
          <w:sz w:val="24"/>
          <w:szCs w:val="24"/>
          <w:highlight w:val="none"/>
          <w:lang w:val="en-US" w:eastAsia="zh-CN" w:bidi="ar-SA"/>
        </w:rPr>
        <w:t>3．</w:t>
      </w:r>
      <w:r>
        <w:rPr>
          <w:rFonts w:hint="eastAsia" w:ascii="宋体" w:hAnsi="宋体" w:eastAsia="宋体" w:cs="宋体"/>
          <w:color w:val="auto"/>
          <w:sz w:val="24"/>
          <w:szCs w:val="24"/>
          <w:highlight w:val="none"/>
        </w:rPr>
        <w:t>知识产权归属、处理方式</w:t>
      </w:r>
    </w:p>
    <w:p w14:paraId="3450FD7E">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.1软件开发归属</w:t>
      </w:r>
    </w:p>
    <w:p w14:paraId="7F4CD634">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中标人须向采购人提供本项目定制开发的程序源代码，并按采购人要求提供所有相关文档，软件版权归采购人所有。</w:t>
      </w:r>
    </w:p>
    <w:p w14:paraId="7FBAF0EF">
      <w:pPr>
        <w:spacing w:line="360" w:lineRule="auto"/>
        <w:ind w:left="0" w:leftChars="0" w:firstLine="420" w:firstLineChars="175"/>
        <w:rPr>
          <w:rFonts w:hint="eastAsia" w:ascii="宋体" w:hAnsi="宋体" w:eastAsia="宋体" w:cs="宋体"/>
          <w:color w:val="auto"/>
          <w:highlight w:val="none"/>
        </w:rPr>
      </w:pPr>
      <w:r>
        <w:rPr>
          <w:rFonts w:hint="eastAsia" w:ascii="宋体" w:hAnsi="宋体" w:eastAsia="宋体" w:cs="宋体"/>
          <w:bCs/>
          <w:color w:val="auto"/>
          <w:sz w:val="24"/>
          <w:szCs w:val="24"/>
          <w:highlight w:val="none"/>
        </w:rPr>
        <w:t>开发期间中标人提供的公司自有产权的平台和控件，须向采购人提供永久</w:t>
      </w:r>
      <w:r>
        <w:rPr>
          <w:rFonts w:hint="eastAsia" w:ascii="宋体" w:hAnsi="宋体" w:eastAsia="宋体" w:cs="宋体"/>
          <w:bCs/>
          <w:color w:val="auto"/>
          <w:sz w:val="24"/>
          <w:szCs w:val="24"/>
          <w:highlight w:val="none"/>
          <w:lang w:val="en-US" w:eastAsia="zh-CN"/>
        </w:rPr>
        <w:t>无偿</w:t>
      </w:r>
      <w:r>
        <w:rPr>
          <w:rFonts w:hint="eastAsia" w:ascii="宋体" w:hAnsi="宋体" w:eastAsia="宋体" w:cs="宋体"/>
          <w:bCs/>
          <w:color w:val="auto"/>
          <w:sz w:val="24"/>
          <w:szCs w:val="24"/>
          <w:highlight w:val="none"/>
        </w:rPr>
        <w:t>使用权。</w:t>
      </w:r>
    </w:p>
    <w:p w14:paraId="7E6F7DFD">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.2知识产权归属</w:t>
      </w:r>
    </w:p>
    <w:p w14:paraId="474F116B">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本合同项目技术成果的专利申请权、计算机软件的著作、技术秘密以及技术资料等知识产权归采购人所有，同时中标人放弃计算机软件著作权的署名权。</w:t>
      </w:r>
    </w:p>
    <w:p w14:paraId="2FAA3E10">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中标人原有的嵌入本项目的功能模块的知识产权归中标人所有。</w:t>
      </w:r>
    </w:p>
    <w:p w14:paraId="5C8B302D">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中标人不得再将研究开发成果及非专利技术等成果泄露</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转让给第三方</w:t>
      </w:r>
      <w:r>
        <w:rPr>
          <w:rFonts w:hint="eastAsia" w:ascii="宋体" w:hAnsi="宋体" w:eastAsia="宋体" w:cs="宋体"/>
          <w:color w:val="auto"/>
          <w:sz w:val="22"/>
          <w:szCs w:val="28"/>
          <w:highlight w:val="none"/>
          <w:lang w:eastAsia="zh-CN"/>
        </w:rPr>
        <w:t>或自用</w:t>
      </w:r>
      <w:r>
        <w:rPr>
          <w:rFonts w:hint="eastAsia" w:ascii="宋体" w:hAnsi="宋体" w:eastAsia="宋体" w:cs="宋体"/>
          <w:color w:val="auto"/>
          <w:sz w:val="24"/>
          <w:szCs w:val="24"/>
          <w:highlight w:val="none"/>
        </w:rPr>
        <w:t>。</w:t>
      </w:r>
    </w:p>
    <w:p w14:paraId="6DDFF6B5">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履行本合同期间及以后，中标人不得就本合同的研究开发项目与任何第三方签订或接受委托开发合同。中标人如重复签订研究开发项目合同，应对以后签订合同的无效及其对侵犯采购人的知识产权承担所有经济和法律的责任。</w:t>
      </w:r>
    </w:p>
    <w:p w14:paraId="21F39A96">
      <w:pPr>
        <w:pageBreakBefore w:val="0"/>
        <w:numPr>
          <w:ilvl w:val="-1"/>
          <w:numId w:val="0"/>
        </w:numPr>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所产生成果（包括计算机软件、技术诀窍、秘密信息、技术资料和文件等）的知识产权归采购人所有。在本合同有效期内，采购人利用供应商提交的技术服务工作成果所完成的新的技术成果，归采购人所有。在本合同有效期内，供应商利用采购人提供的技术资料所完成的新的专用于采购人的技术成果，归采购人所有。</w:t>
      </w:r>
    </w:p>
    <w:p w14:paraId="7CD7C3C6">
      <w:pPr>
        <w:pageBreakBefore w:val="0"/>
        <w:numPr>
          <w:ilvl w:val="-1"/>
          <w:numId w:val="0"/>
        </w:numPr>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供应商保证采购人不受到第三方关于侵犯知识产权（包括版权和专利权、商标权等）的指控，任何第三方如果提出指控，供应商与第三方交涉，承担可能发生的一切法律责任、费用和后果。</w:t>
      </w:r>
    </w:p>
    <w:p w14:paraId="0F98E1A2">
      <w:pPr>
        <w:pageBreakBefore w:val="0"/>
        <w:numPr>
          <w:ilvl w:val="-1"/>
          <w:numId w:val="0"/>
        </w:numPr>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采购人授权外，供应商及其关联公司在本协议项目交付一年内，不得将所共享的项目定制化服务过程中所形成的专用于采购人的技术资产和成果用于采购人以外用户，基于本协议项目成果基础之上形成的后续研发成果，在同等采购条件下须优先应用于采购人的项目。</w:t>
      </w:r>
    </w:p>
    <w:p w14:paraId="4D53C283">
      <w:pPr>
        <w:pStyle w:val="3"/>
        <w:numPr>
          <w:ilvl w:val="0"/>
          <w:numId w:val="0"/>
        </w:numPr>
        <w:tabs>
          <w:tab w:val="left" w:pos="0"/>
          <w:tab w:val="clear" w:pos="432"/>
        </w:tabs>
        <w:spacing w:before="0" w:after="0" w:line="360" w:lineRule="auto"/>
        <w:ind w:left="0" w:leftChars="0" w:firstLine="422" w:firstLineChars="175"/>
        <w:jc w:val="left"/>
        <w:rPr>
          <w:rFonts w:hint="eastAsia" w:ascii="宋体" w:hAnsi="宋体" w:eastAsia="宋体" w:cs="宋体"/>
          <w:bCs/>
          <w:color w:val="auto"/>
          <w:sz w:val="24"/>
          <w:szCs w:val="24"/>
          <w:highlight w:val="none"/>
        </w:rPr>
      </w:pPr>
      <w:r>
        <w:rPr>
          <w:rFonts w:hint="default" w:ascii="宋体" w:hAnsi="宋体" w:eastAsia="宋体" w:cs="宋体"/>
          <w:b/>
          <w:bCs/>
          <w:color w:val="auto"/>
          <w:kern w:val="44"/>
          <w:sz w:val="24"/>
          <w:szCs w:val="24"/>
          <w:highlight w:val="none"/>
          <w:lang w:val="en-US" w:eastAsia="zh-CN" w:bidi="ar-SA"/>
        </w:rPr>
        <w:t>4．</w:t>
      </w:r>
      <w:r>
        <w:rPr>
          <w:rFonts w:hint="eastAsia" w:ascii="宋体" w:hAnsi="宋体" w:eastAsia="宋体" w:cs="宋体"/>
          <w:color w:val="auto"/>
          <w:sz w:val="24"/>
          <w:szCs w:val="24"/>
          <w:highlight w:val="none"/>
        </w:rPr>
        <w:t>培训</w:t>
      </w:r>
      <w:r>
        <w:rPr>
          <w:rFonts w:hint="eastAsia" w:ascii="宋体" w:hAnsi="宋体" w:eastAsia="宋体" w:cs="宋体"/>
          <w:bCs/>
          <w:color w:val="auto"/>
          <w:sz w:val="24"/>
          <w:szCs w:val="24"/>
          <w:highlight w:val="none"/>
        </w:rPr>
        <w:t>服务</w:t>
      </w:r>
    </w:p>
    <w:p w14:paraId="74F487F3">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培训内容：介绍项目的背景、目标及预期成果，使参与者对整个项目有一个宏观的认识。并通过实际案例分享和模拟练习，提高工作人员解决实际问题的能力。</w:t>
      </w:r>
    </w:p>
    <w:p w14:paraId="5E5D5242">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培训方式：按采购方要求提供不限次数的线上或线下培训服务，要求提供电子版材料供工作人员学习。</w:t>
      </w:r>
    </w:p>
    <w:p w14:paraId="38D56174">
      <w:pPr>
        <w:spacing w:line="360" w:lineRule="auto"/>
        <w:ind w:left="0" w:leftChars="0" w:firstLine="420" w:firstLineChars="1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4.3</w:t>
      </w:r>
      <w:r>
        <w:rPr>
          <w:rFonts w:hint="eastAsia" w:ascii="宋体" w:hAnsi="宋体" w:eastAsia="宋体" w:cs="宋体"/>
          <w:color w:val="auto"/>
          <w:sz w:val="24"/>
          <w:szCs w:val="24"/>
          <w:highlight w:val="none"/>
        </w:rPr>
        <w:t>质量保证：培训讲师需参与履约相关平台开发或维护类工作三年以上，具备信息技术相关专业本科以上学历。</w:t>
      </w:r>
    </w:p>
    <w:p w14:paraId="4149F56C">
      <w:pPr>
        <w:pStyle w:val="3"/>
        <w:pageBreakBefore w:val="0"/>
        <w:numPr>
          <w:ilvl w:val="0"/>
          <w:numId w:val="0"/>
        </w:numPr>
        <w:shd w:val="clear"/>
        <w:tabs>
          <w:tab w:val="left" w:pos="0"/>
          <w:tab w:val="clear" w:pos="432"/>
        </w:tabs>
        <w:kinsoku/>
        <w:wordWrap/>
        <w:overflowPunct/>
        <w:topLinePunct w:val="0"/>
        <w:bidi w:val="0"/>
        <w:spacing w:before="0" w:after="0" w:line="360" w:lineRule="auto"/>
        <w:ind w:left="0" w:leftChars="0" w:firstLine="422" w:firstLineChars="175"/>
        <w:jc w:val="left"/>
        <w:rPr>
          <w:rFonts w:hint="default" w:ascii="宋体" w:hAnsi="宋体" w:eastAsia="宋体" w:cs="宋体"/>
          <w:color w:val="auto"/>
          <w:sz w:val="24"/>
          <w:szCs w:val="24"/>
          <w:highlight w:val="none"/>
          <w:lang w:val="en-US" w:eastAsia="zh-CN"/>
        </w:rPr>
      </w:pPr>
      <w:r>
        <w:rPr>
          <w:rFonts w:hint="default" w:ascii="宋体" w:hAnsi="宋体" w:eastAsia="宋体" w:cs="宋体"/>
          <w:b/>
          <w:bCs/>
          <w:color w:val="auto"/>
          <w:kern w:val="44"/>
          <w:sz w:val="24"/>
          <w:szCs w:val="24"/>
          <w:highlight w:val="none"/>
          <w:lang w:val="en-US" w:eastAsia="zh-CN" w:bidi="ar-SA"/>
        </w:rPr>
        <w:t>5．</w:t>
      </w:r>
      <w:r>
        <w:rPr>
          <w:rFonts w:hint="default" w:ascii="宋体" w:hAnsi="宋体" w:eastAsia="宋体" w:cs="宋体"/>
          <w:color w:val="auto"/>
          <w:sz w:val="24"/>
          <w:szCs w:val="24"/>
          <w:highlight w:val="none"/>
          <w:lang w:val="en-US" w:eastAsia="zh-CN"/>
        </w:rPr>
        <w:t>技术指标要求</w:t>
      </w:r>
    </w:p>
    <w:p w14:paraId="242E5090">
      <w:pPr>
        <w:pageBreakBefore w:val="0"/>
        <w:shd w:val="clear"/>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5.1</w:t>
      </w:r>
      <w:r>
        <w:rPr>
          <w:rFonts w:hint="default" w:ascii="宋体" w:hAnsi="宋体" w:eastAsia="宋体" w:cs="宋体"/>
          <w:color w:val="auto"/>
          <w:sz w:val="24"/>
          <w:szCs w:val="24"/>
          <w:highlight w:val="none"/>
          <w:lang w:val="en-US" w:eastAsia="zh-CN"/>
        </w:rPr>
        <w:t>本系统要满足常规性业务的日常查询、统计需求，查询和统计功能要支持多条件、可自定义的查询和统计（只有非常规性、偶发性的数据查询、统计等经采购人同意后才允许从系统后台数据库操作）。</w:t>
      </w:r>
    </w:p>
    <w:p w14:paraId="3BDE8B13">
      <w:pPr>
        <w:pageBreakBefore w:val="0"/>
        <w:shd w:val="clear"/>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5.2</w:t>
      </w:r>
      <w:r>
        <w:rPr>
          <w:rFonts w:hint="default" w:ascii="宋体" w:hAnsi="宋体" w:eastAsia="宋体" w:cs="宋体"/>
          <w:color w:val="auto"/>
          <w:sz w:val="24"/>
          <w:szCs w:val="24"/>
          <w:highlight w:val="none"/>
          <w:lang w:val="en-US" w:eastAsia="zh-CN"/>
        </w:rPr>
        <w:t>本系统日常使用频率较高的数据的操作如导入、导出和数据修改等工作，应在满足网络安全保障要求的基础上，以最小化原则（非必要不公开）在系统功能模块中实现相关功能，并做好相应的用户权限控制和日志记录，数据导入、导出、查询涉及到敏感信息数据要进行脱敏（只有非常规性、偶发性的数据导入、导出、修改等经采购人同意后才允许从系统后台数据库操作）。</w:t>
      </w:r>
    </w:p>
    <w:p w14:paraId="73A89B9F">
      <w:pPr>
        <w:pageBreakBefore w:val="0"/>
        <w:shd w:val="clear"/>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5.3</w:t>
      </w:r>
      <w:r>
        <w:rPr>
          <w:rFonts w:hint="default" w:ascii="宋体" w:hAnsi="宋体" w:eastAsia="宋体" w:cs="宋体"/>
          <w:color w:val="auto"/>
          <w:sz w:val="24"/>
          <w:szCs w:val="24"/>
          <w:highlight w:val="none"/>
          <w:lang w:val="en-US" w:eastAsia="zh-CN"/>
        </w:rPr>
        <w:t>本系统的数据接口，要有异常报警和接口日志，定期监测和统计接口使用情况，长期不用的接口要及时配合清理和关闭。</w:t>
      </w:r>
    </w:p>
    <w:p w14:paraId="62FA9366">
      <w:pPr>
        <w:pageBreakBefore w:val="0"/>
        <w:shd w:val="clear"/>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5.4</w:t>
      </w:r>
      <w:r>
        <w:rPr>
          <w:rFonts w:hint="default" w:ascii="宋体" w:hAnsi="宋体" w:eastAsia="宋体" w:cs="宋体"/>
          <w:color w:val="auto"/>
          <w:sz w:val="24"/>
          <w:szCs w:val="24"/>
          <w:highlight w:val="none"/>
          <w:lang w:val="en-US" w:eastAsia="zh-CN"/>
        </w:rPr>
        <w:t>本系统涉及的上传文件，应在满足业务使用标准或需求的前提下，遵循最小化要求进行文件格式和大小限制。</w:t>
      </w:r>
    </w:p>
    <w:p w14:paraId="1106E338">
      <w:pPr>
        <w:pageBreakBefore w:val="0"/>
        <w:shd w:val="clear"/>
        <w:kinsoku/>
        <w:wordWrap/>
        <w:overflowPunct/>
        <w:topLinePunct w:val="0"/>
        <w:bidi w:val="0"/>
        <w:spacing w:line="360" w:lineRule="auto"/>
        <w:ind w:left="0" w:leftChars="0" w:firstLine="420" w:firstLineChars="175"/>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5.5</w:t>
      </w:r>
      <w:r>
        <w:rPr>
          <w:rFonts w:hint="default" w:ascii="宋体" w:hAnsi="宋体" w:eastAsia="宋体" w:cs="宋体"/>
          <w:color w:val="auto"/>
          <w:sz w:val="24"/>
          <w:szCs w:val="24"/>
          <w:highlight w:val="none"/>
          <w:lang w:val="en-US" w:eastAsia="zh-CN"/>
        </w:rPr>
        <w:t>本系统产生的日志数据，应按照规范做好日志数据的采集和归集，并将应用的用户日志纳入一体化数字资源系统（IRS）统一管理。</w:t>
      </w:r>
    </w:p>
    <w:p w14:paraId="544E9329">
      <w:pPr>
        <w:keepNext w:val="0"/>
        <w:keepLines w:val="0"/>
        <w:pageBreakBefore w:val="0"/>
        <w:widowControl/>
        <w:numPr>
          <w:ilvl w:val="-1"/>
          <w:numId w:val="0"/>
        </w:numPr>
        <w:shd w:val="clear"/>
        <w:kinsoku/>
        <w:wordWrap/>
        <w:overflowPunct/>
        <w:topLinePunct w:val="0"/>
        <w:autoSpaceDE/>
        <w:autoSpaceDN/>
        <w:bidi w:val="0"/>
        <w:adjustRightInd/>
        <w:snapToGrid/>
        <w:spacing w:line="360" w:lineRule="auto"/>
        <w:ind w:leftChars="0" w:firstLine="420" w:firstLineChars="175"/>
        <w:textAlignment w:val="auto"/>
        <w:rPr>
          <w:rFonts w:hint="eastAsia" w:ascii="宋体" w:hAnsi="宋体" w:eastAsia="宋体" w:cs="宋体"/>
          <w:color w:val="auto"/>
          <w:sz w:val="24"/>
          <w:szCs w:val="24"/>
          <w:highlight w:val="none"/>
        </w:rPr>
      </w:pPr>
      <w:r>
        <w:rPr>
          <w:rFonts w:hint="eastAsia" w:ascii="宋体" w:hAnsi="宋体" w:eastAsia="宋体" w:cs="宋体"/>
          <w:b w:val="0"/>
          <w:color w:val="auto"/>
          <w:kern w:val="2"/>
          <w:sz w:val="24"/>
          <w:szCs w:val="24"/>
          <w:highlight w:val="none"/>
          <w:lang w:val="en-US" w:eastAsia="zh-CN" w:bidi="ar-SA"/>
        </w:rPr>
        <w:t xml:space="preserve">5.6 </w:t>
      </w:r>
      <w:r>
        <w:rPr>
          <w:rFonts w:hint="eastAsia" w:ascii="宋体" w:hAnsi="宋体" w:eastAsia="宋体" w:cs="宋体"/>
          <w:color w:val="auto"/>
          <w:sz w:val="24"/>
          <w:szCs w:val="24"/>
          <w:highlight w:val="none"/>
        </w:rPr>
        <w:t>本项目应按照集约化要求开展建设，统一集成到浙江省</w:t>
      </w:r>
      <w:r>
        <w:rPr>
          <w:rFonts w:hint="eastAsia" w:ascii="宋体" w:hAnsi="宋体" w:eastAsia="宋体" w:cs="宋体"/>
          <w:color w:val="auto"/>
          <w:sz w:val="24"/>
          <w:szCs w:val="24"/>
          <w:highlight w:val="none"/>
          <w:lang w:eastAsia="zh-CN"/>
        </w:rPr>
        <w:t>全域数字法治监督应用</w:t>
      </w:r>
      <w:r>
        <w:rPr>
          <w:rFonts w:hint="eastAsia" w:ascii="宋体" w:hAnsi="宋体" w:eastAsia="宋体" w:cs="宋体"/>
          <w:color w:val="auto"/>
          <w:sz w:val="24"/>
          <w:szCs w:val="24"/>
          <w:highlight w:val="none"/>
        </w:rPr>
        <w:t>，实现统一用户登录、统一消息待办和流程跟踪，统一在浙政钉上作为一个应用发布。</w:t>
      </w:r>
    </w:p>
    <w:p w14:paraId="66DD3F15">
      <w:pPr>
        <w:pageBreakBefore w:val="0"/>
        <w:widowControl/>
        <w:numPr>
          <w:ilvl w:val="-1"/>
          <w:numId w:val="0"/>
        </w:numPr>
        <w:shd w:val="clear"/>
        <w:kinsoku/>
        <w:wordWrap/>
        <w:overflowPunct/>
        <w:topLinePunct w:val="0"/>
        <w:bidi w:val="0"/>
        <w:adjustRightInd/>
        <w:spacing w:line="360" w:lineRule="auto"/>
        <w:ind w:left="0" w:leftChars="0" w:firstLine="420" w:firstLineChars="175"/>
        <w:jc w:val="left"/>
        <w:rPr>
          <w:rFonts w:hint="eastAsia" w:ascii="宋体" w:hAnsi="宋体" w:eastAsia="宋体" w:cs="宋体"/>
          <w:color w:val="auto"/>
          <w:sz w:val="24"/>
          <w:szCs w:val="24"/>
          <w:highlight w:val="none"/>
          <w:lang w:val="en-US" w:eastAsia="zh-CN"/>
        </w:rPr>
      </w:pPr>
      <w:r>
        <w:rPr>
          <w:rFonts w:hint="eastAsia" w:ascii="宋体" w:hAnsi="宋体" w:eastAsia="宋体" w:cs="宋体"/>
          <w:b w:val="0"/>
          <w:color w:val="auto"/>
          <w:kern w:val="2"/>
          <w:sz w:val="24"/>
          <w:szCs w:val="24"/>
          <w:highlight w:val="none"/>
          <w:lang w:val="en-US" w:eastAsia="zh-CN" w:bidi="ar-SA"/>
        </w:rPr>
        <w:t>5.7</w:t>
      </w:r>
      <w:r>
        <w:rPr>
          <w:rFonts w:hint="eastAsia" w:ascii="宋体" w:hAnsi="宋体" w:eastAsia="宋体" w:cs="宋体"/>
          <w:color w:val="auto"/>
          <w:sz w:val="24"/>
          <w:szCs w:val="24"/>
          <w:highlight w:val="none"/>
        </w:rPr>
        <w:t>本项目相关功能需在统一套技术框架下建设，严格按照浙江省司法厅应用系统建设标准开发，软件代码需在试运行前部署到省司法厅统一代码库，并形成第三方无障碍阅读文档（并作为最终验收条件），代码库中的版本需与实际运行版本保持一致；应用系统生产库与前端系统独立部署，应用服务需支持以容器化形式统一发布至省司法厅容器集群管理系统中，生产数据库部署于省司法厅统一OceanBase分布式数据库中，以租户形式进行统一动态管理和运维；各功能需在主要功能下进行日常监测埋点（具体标准由省司法厅确定）。</w:t>
      </w:r>
    </w:p>
    <w:p w14:paraId="20E0E419">
      <w:pPr>
        <w:pStyle w:val="3"/>
        <w:pageBreakBefore w:val="0"/>
        <w:numPr>
          <w:ilvl w:val="0"/>
          <w:numId w:val="0"/>
        </w:numPr>
        <w:tabs>
          <w:tab w:val="left" w:pos="0"/>
          <w:tab w:val="clear" w:pos="432"/>
        </w:tabs>
        <w:kinsoku/>
        <w:wordWrap/>
        <w:overflowPunct/>
        <w:topLinePunct w:val="0"/>
        <w:bidi w:val="0"/>
        <w:spacing w:before="0" w:after="0" w:line="360" w:lineRule="auto"/>
        <w:ind w:left="0" w:leftChars="0" w:firstLine="422" w:firstLineChars="175"/>
        <w:jc w:val="left"/>
        <w:rPr>
          <w:rFonts w:hint="eastAsia" w:ascii="宋体" w:hAnsi="宋体" w:eastAsia="宋体" w:cs="宋体"/>
          <w:color w:val="auto"/>
          <w:sz w:val="24"/>
          <w:szCs w:val="24"/>
          <w:highlight w:val="none"/>
          <w:lang w:val="en-US" w:eastAsia="zh-CN"/>
        </w:rPr>
      </w:pPr>
      <w:bookmarkStart w:id="31" w:name="_Toc181731154"/>
      <w:r>
        <w:rPr>
          <w:rFonts w:hint="default" w:ascii="宋体" w:hAnsi="宋体" w:eastAsia="宋体" w:cs="宋体"/>
          <w:b/>
          <w:bCs/>
          <w:color w:val="auto"/>
          <w:kern w:val="44"/>
          <w:sz w:val="24"/>
          <w:szCs w:val="24"/>
          <w:highlight w:val="none"/>
          <w:lang w:val="en-US" w:eastAsia="zh-CN" w:bidi="ar-SA"/>
        </w:rPr>
        <w:t>6．</w:t>
      </w:r>
      <w:r>
        <w:rPr>
          <w:rFonts w:hint="eastAsia" w:ascii="宋体" w:hAnsi="宋体" w:eastAsia="宋体" w:cs="宋体"/>
          <w:color w:val="auto"/>
          <w:sz w:val="24"/>
          <w:szCs w:val="24"/>
          <w:highlight w:val="none"/>
        </w:rPr>
        <w:t>运维服务</w:t>
      </w:r>
      <w:bookmarkEnd w:id="31"/>
    </w:p>
    <w:p w14:paraId="75AAD4BA">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.1本项目免费维保期为一年，自验收合格之日起算，提供系统维护期不少于（含）一年，按照采购人要求配合开展统一运维工作。</w:t>
      </w:r>
    </w:p>
    <w:p w14:paraId="2AA09FA9">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 xml:space="preserve">.2提供7×24小时电话响应服务。接到用户技术支持请求后，必须立即做出实质性响应。在用户要求的时限内到达现场处理并尽快恢复系统正常运行。 </w:t>
      </w:r>
    </w:p>
    <w:p w14:paraId="20410B3D">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.3供应商应提供远程技术支持和现场技术支持两种方式，技术服务包括系统的功能完善、故障排除、性能调优、技术咨询等，并负责系统的开发、集成，处理、协调与各系统软件、硬件等供应商的关系。</w:t>
      </w:r>
    </w:p>
    <w:p w14:paraId="4D260C4A">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 xml:space="preserve">.4采购人需求在开发期和试运行期内，仍有可能不断完善，供应商须承诺在采购需求或政策法规范围内，随着采购人需求的变动随时作出响应，修改应用软件。正式验收通过后，若有需求变动，在免费维护期内，仍应免费按采购人需求对整个系统做出相应修改，以满足采购人的需求。 </w:t>
      </w:r>
    </w:p>
    <w:p w14:paraId="7B24EEBC">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.5供应商应本着认真负责态度，组织技术队伍，做好参加投标的整体方案，并书面提出长期保修、维护、服务以及今后技术支持的措施计划和承诺，供应商需要具备一定的服务管理能力及技术支持能力。</w:t>
      </w:r>
    </w:p>
    <w:p w14:paraId="371CB30E">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6项目实施完成后，中标供应商提出试运行申请后进入试运行期，试运行期为1年，期间无故障的，安排验收。出现故障的，试运行期中断，并自故障解决之日起重新计算试运行期。试运行期三次中断的，如系服务缺陷的，采购人有权提出由第三方进行完成后续工作，如系设备缺陷的，中标供应商需更换符合要求的设备，由此产生的损失及费用由供应商承担。</w:t>
      </w:r>
    </w:p>
    <w:p w14:paraId="27B49E56">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.7供应商应承诺将按照采购人根据系统稳定、安全、可靠、有效运行所提出的要求和指标，及时制定、修改和完善系统运行维护方案，并确保系统运行维护方案有效执行。</w:t>
      </w:r>
    </w:p>
    <w:p w14:paraId="6E54634A">
      <w:pPr>
        <w:pageBreakBefore w:val="0"/>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8其它未尽售后服务内容包括服务响应时间、免费升级时限、服务优惠条件。如采购文件中遗漏了有关服务，请供应商在投标文件中指出，并提出解决方案供采购人、采购机构参考；中标供应商有义务保证采购人系统的完整性，如项目实施过程中因缺少有关服务导致项目无法正常推进，供应商须提供详细解决方案，同时供应商须承诺在项目建设过程中，接受采购人的全程监控和审核，包括阶段性文档和过程性工作等。</w:t>
      </w:r>
    </w:p>
    <w:p w14:paraId="1AC5F3E5">
      <w:pPr>
        <w:pageBreakBefore w:val="0"/>
        <w:numPr>
          <w:ilvl w:val="0"/>
          <w:numId w:val="0"/>
        </w:numPr>
        <w:kinsoku/>
        <w:wordWrap/>
        <w:overflowPunct/>
        <w:topLinePunct w:val="0"/>
        <w:bidi w:val="0"/>
        <w:adjustRightInd/>
        <w:spacing w:line="360" w:lineRule="auto"/>
        <w:ind w:left="0" w:leftChars="0" w:firstLine="480" w:firstLineChars="200"/>
        <w:rPr>
          <w:rFonts w:hint="eastAsia"/>
          <w:color w:val="auto"/>
          <w:highlight w:val="none"/>
          <w:lang w:val="en-US" w:eastAsia="zh-CN"/>
        </w:rPr>
      </w:pPr>
      <w:r>
        <w:rPr>
          <w:rFonts w:hint="eastAsia" w:ascii="宋体" w:hAnsi="宋体" w:cs="宋体"/>
          <w:color w:val="auto"/>
          <w:sz w:val="24"/>
          <w:szCs w:val="24"/>
          <w:highlight w:val="none"/>
          <w:lang w:val="en-US" w:eastAsia="zh-CN"/>
        </w:rPr>
        <w:t>6.9</w:t>
      </w:r>
      <w:r>
        <w:rPr>
          <w:rFonts w:hint="eastAsia" w:ascii="宋体" w:hAnsi="宋体" w:eastAsia="宋体" w:cs="宋体"/>
          <w:color w:val="auto"/>
          <w:sz w:val="24"/>
          <w:szCs w:val="24"/>
          <w:highlight w:val="none"/>
        </w:rPr>
        <w:t>运维期间系统代码调整和应及时在代码库中更新，涉及数据库调整的应用通过”司法大脑“ISV平台发起，第三方排查处的安全风险和隐患因在规定时限内完成整改。</w:t>
      </w:r>
    </w:p>
    <w:p w14:paraId="772F3542">
      <w:pPr>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7．</w:t>
      </w:r>
      <w:r>
        <w:rPr>
          <w:rFonts w:hint="eastAsia" w:ascii="宋体" w:hAnsi="宋体" w:eastAsia="宋体" w:cs="宋体"/>
          <w:b/>
          <w:bCs/>
          <w:color w:val="auto"/>
          <w:sz w:val="24"/>
          <w:szCs w:val="24"/>
          <w:highlight w:val="none"/>
          <w:lang w:val="en-US" w:eastAsia="zh-CN"/>
        </w:rPr>
        <w:t>其他管理要求</w:t>
      </w:r>
    </w:p>
    <w:p w14:paraId="0D763F3E">
      <w:pPr>
        <w:pageBreakBefore w:val="0"/>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1需求规格说明书编制（软件及软件集成类项目）。需求规格说明书应按照项目可行性研究报告、采购文件和投标（响应）文件编制，结合实际调研，明确项目业务目标、建设规模、网络云资源需求、功能需求、性能需求、数据需求、安全需求等内容。</w:t>
      </w:r>
    </w:p>
    <w:p w14:paraId="012DCED3">
      <w:pPr>
        <w:pageBreakBefore w:val="0"/>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7.2</w:t>
      </w:r>
      <w:r>
        <w:rPr>
          <w:rFonts w:hint="eastAsia" w:ascii="宋体" w:hAnsi="宋体" w:eastAsia="宋体" w:cs="宋体"/>
          <w:color w:val="auto"/>
          <w:sz w:val="24"/>
          <w:szCs w:val="24"/>
          <w:highlight w:val="none"/>
          <w:lang w:val="en-US" w:eastAsia="zh-CN"/>
        </w:rPr>
        <w:t>项目进度管理。项目实施过程中，供应商要实行严格的计划管理，明确各阶段详细计划表及人员岗位实施清单，提供项目半月报，并配合采购人与监理方的定期检查。项目因故需延期的，供应商应及时提出延期申请。</w:t>
      </w:r>
    </w:p>
    <w:p w14:paraId="56DE889D">
      <w:pPr>
        <w:pageBreakBefore w:val="0"/>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7.3</w:t>
      </w:r>
      <w:r>
        <w:rPr>
          <w:rFonts w:hint="eastAsia" w:ascii="宋体" w:hAnsi="宋体" w:eastAsia="宋体" w:cs="宋体"/>
          <w:color w:val="auto"/>
          <w:sz w:val="24"/>
          <w:szCs w:val="24"/>
          <w:highlight w:val="none"/>
          <w:lang w:val="en-US" w:eastAsia="zh-CN"/>
        </w:rPr>
        <w:t>项目质量管理。供应商要配合采购人和监理方实施质量预控、过程监控和事后验控的全流程管理，确保实现项目质量目标。</w:t>
      </w:r>
    </w:p>
    <w:p w14:paraId="6F65E588">
      <w:pPr>
        <w:pageBreakBefore w:val="0"/>
        <w:shd w:val="clear"/>
        <w:kinsoku/>
        <w:wordWrap/>
        <w:overflowPunct/>
        <w:topLinePunct w:val="0"/>
        <w:bidi w:val="0"/>
        <w:spacing w:line="360" w:lineRule="auto"/>
        <w:ind w:left="0" w:leftChars="0" w:firstLine="420" w:firstLineChars="175"/>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7.4</w:t>
      </w:r>
      <w:r>
        <w:rPr>
          <w:rFonts w:hint="eastAsia" w:ascii="宋体" w:hAnsi="宋体" w:eastAsia="宋体" w:cs="宋体"/>
          <w:color w:val="auto"/>
          <w:sz w:val="24"/>
          <w:szCs w:val="24"/>
          <w:highlight w:val="none"/>
          <w:lang w:val="en-US" w:eastAsia="zh-CN"/>
        </w:rPr>
        <w:t>项目人员管理。供应商应根据建设实际，提供项目管理、技术研发、集成测试、网络安全等必要岗位。核心岗位的人员严格按照招投标要求设置，若核心岗位人员变动，供应商应及时提出人员变更申请。项目实施前，供应商和项目人员均需签订《网络安全承诺书》。</w:t>
      </w:r>
    </w:p>
    <w:p w14:paraId="74D05F8C">
      <w:pPr>
        <w:pageBreakBefore w:val="0"/>
        <w:shd w:val="clear"/>
        <w:kinsoku/>
        <w:wordWrap/>
        <w:overflowPunct/>
        <w:topLinePunct w:val="0"/>
        <w:bidi w:val="0"/>
        <w:spacing w:line="360" w:lineRule="auto"/>
        <w:ind w:left="0" w:leftChars="0" w:firstLine="420" w:firstLineChars="175"/>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7.5</w:t>
      </w:r>
      <w:r>
        <w:rPr>
          <w:rFonts w:hint="eastAsia" w:ascii="宋体" w:hAnsi="宋体" w:eastAsia="宋体" w:cs="宋体"/>
          <w:color w:val="auto"/>
          <w:sz w:val="24"/>
          <w:szCs w:val="24"/>
          <w:highlight w:val="none"/>
          <w:lang w:val="en-US" w:eastAsia="zh-CN"/>
        </w:rPr>
        <w:t>应用安全处罚。供应商如未按照规范开发设计，存在网络攻击、信息泄露、有害程序植入等较大风险隐患的，根据主管部门通报情况，对供应商按单次5000元扣罚，在履约保证金退还时予以扣除。履约保证金无需缴纳或余额不足的，在合同费用中扣除。</w:t>
      </w:r>
    </w:p>
    <w:p w14:paraId="482EB92D">
      <w:pPr>
        <w:spacing w:line="360" w:lineRule="auto"/>
        <w:ind w:firstLine="420" w:firstLineChars="175"/>
        <w:jc w:val="left"/>
        <w:outlineLvl w:val="9"/>
        <w:rPr>
          <w:rFonts w:hint="eastAsia" w:ascii="宋体" w:hAnsi="宋体" w:cs="宋体"/>
          <w:color w:val="auto"/>
          <w:sz w:val="24"/>
          <w:szCs w:val="24"/>
          <w:highlight w:val="none"/>
          <w:shd w:val="clear"/>
          <w:lang w:val="en-US" w:eastAsia="zh-CN"/>
        </w:rPr>
      </w:pPr>
      <w:r>
        <w:rPr>
          <w:rFonts w:hint="eastAsia" w:ascii="宋体" w:hAnsi="宋体" w:cs="宋体"/>
          <w:color w:val="auto"/>
          <w:sz w:val="24"/>
          <w:szCs w:val="24"/>
          <w:highlight w:val="none"/>
          <w:shd w:val="clear"/>
          <w:lang w:val="en-US" w:eastAsia="zh-CN"/>
        </w:rPr>
        <w:t>7.6信创实施要求。供应商应采用安全可靠的技术路线，部署在安全可靠的信创云环境，并承担相应的适配改造、数据迁移等费用。系统建成后对国产桌面终端必须具有完全的兼容性和适应性，且能在主流国产浏览器（红莲花、360、统信UOS、Firefox等）环境下正常访问和操作，以及对接外接设备（如果有，如扫描仪、打印机、高拍仪等）能正常使用。</w:t>
      </w:r>
    </w:p>
    <w:p w14:paraId="6B6110FC">
      <w:pPr>
        <w:pStyle w:val="3"/>
        <w:keepNext/>
        <w:keepLines/>
        <w:pageBreakBefore w:val="0"/>
        <w:widowControl/>
        <w:numPr>
          <w:ilvl w:val="0"/>
          <w:numId w:val="0"/>
        </w:numPr>
        <w:tabs>
          <w:tab w:val="clear" w:pos="432"/>
        </w:tabs>
        <w:kinsoku/>
        <w:wordWrap/>
        <w:overflowPunct/>
        <w:topLinePunct w:val="0"/>
        <w:autoSpaceDE/>
        <w:autoSpaceDN/>
        <w:bidi w:val="0"/>
        <w:adjustRightInd w:val="0"/>
        <w:snapToGrid/>
        <w:spacing w:before="0" w:after="0" w:line="360" w:lineRule="auto"/>
        <w:ind w:leftChars="175"/>
        <w:textAlignment w:val="auto"/>
        <w:rPr>
          <w:rFonts w:hint="eastAsia" w:ascii="华文宋体" w:hAnsi="华文宋体" w:eastAsia="华文宋体" w:cs="华文宋体"/>
          <w:b/>
          <w:bCs/>
          <w:color w:val="auto"/>
          <w:sz w:val="24"/>
          <w:szCs w:val="24"/>
          <w:highlight w:val="none"/>
          <w:lang w:val="en-US" w:eastAsia="zh-CN"/>
        </w:rPr>
      </w:pPr>
      <w:r>
        <w:rPr>
          <w:rFonts w:hint="eastAsia" w:ascii="华文宋体" w:hAnsi="华文宋体" w:eastAsia="华文宋体" w:cs="华文宋体"/>
          <w:b/>
          <w:bCs/>
          <w:color w:val="auto"/>
          <w:sz w:val="24"/>
          <w:szCs w:val="24"/>
          <w:highlight w:val="none"/>
          <w:lang w:val="en-US" w:eastAsia="zh-CN"/>
        </w:rPr>
        <w:t>8.为验证投标方技术方案可行性、系统功能匹配度及团队实施能力，确保中标供应商能满足项目核心需求，本项目要求投标人对标项1的以下内容进行系统演示：</w:t>
      </w:r>
    </w:p>
    <w:p w14:paraId="4D23E719">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2" w:firstLineChars="175"/>
        <w:textAlignment w:val="auto"/>
        <w:rPr>
          <w:rFonts w:hint="default" w:ascii="华文宋体" w:hAnsi="华文宋体" w:eastAsia="华文宋体" w:cs="华文宋体"/>
          <w:b/>
          <w:bCs/>
          <w:color w:val="auto"/>
          <w:sz w:val="24"/>
          <w:szCs w:val="24"/>
          <w:highlight w:val="none"/>
          <w:lang w:val="en-US" w:eastAsia="zh-CN"/>
        </w:rPr>
      </w:pPr>
      <w:r>
        <w:rPr>
          <w:rFonts w:hint="eastAsia" w:ascii="华文宋体" w:hAnsi="华文宋体" w:eastAsia="华文宋体" w:cs="华文宋体"/>
          <w:b/>
          <w:bCs/>
          <w:color w:val="auto"/>
          <w:kern w:val="2"/>
          <w:sz w:val="24"/>
          <w:szCs w:val="24"/>
          <w:highlight w:val="none"/>
          <w:lang w:val="en-US" w:eastAsia="zh-CN" w:bidi="ar-SA"/>
        </w:rPr>
        <w:t>8.1</w:t>
      </w:r>
      <w:r>
        <w:rPr>
          <w:rFonts w:hint="eastAsia" w:ascii="华文宋体" w:hAnsi="华文宋体" w:eastAsia="华文宋体" w:cs="华文宋体"/>
          <w:b/>
          <w:bCs/>
          <w:color w:val="auto"/>
          <w:sz w:val="24"/>
          <w:szCs w:val="24"/>
          <w:highlight w:val="none"/>
          <w:lang w:val="en-US" w:eastAsia="zh-CN"/>
        </w:rPr>
        <w:t>对全省统一工作门户模块功能的演示内容</w:t>
      </w:r>
    </w:p>
    <w:p w14:paraId="62721415">
      <w:pPr>
        <w:pStyle w:val="24"/>
        <w:keepNext w:val="0"/>
        <w:keepLines w:val="0"/>
        <w:pageBreakBefore w:val="0"/>
        <w:widowControl/>
        <w:kinsoku/>
        <w:wordWrap/>
        <w:overflowPunct/>
        <w:topLinePunct w:val="0"/>
        <w:autoSpaceDE/>
        <w:autoSpaceDN/>
        <w:bidi w:val="0"/>
        <w:adjustRightInd/>
        <w:snapToGrid/>
        <w:spacing w:before="0" w:after="0" w:line="360" w:lineRule="auto"/>
        <w:ind w:firstLine="480" w:firstLineChars="200"/>
        <w:jc w:val="both"/>
        <w:textAlignment w:val="auto"/>
        <w:rPr>
          <w:rFonts w:hint="eastAsia" w:ascii="Times New Roman" w:hAnsi="Times New Roman" w:eastAsia="宋体"/>
          <w:color w:val="auto"/>
          <w:sz w:val="24"/>
          <w:szCs w:val="24"/>
          <w:highlight w:val="none"/>
          <w:lang w:val="en-US" w:eastAsia="zh-CN"/>
        </w:rPr>
      </w:pPr>
      <w:r>
        <w:rPr>
          <w:rFonts w:hint="eastAsia" w:ascii="Times New Roman" w:hAnsi="Times New Roman" w:eastAsia="宋体"/>
          <w:color w:val="auto"/>
          <w:sz w:val="24"/>
          <w:szCs w:val="24"/>
          <w:highlight w:val="none"/>
          <w:lang w:val="en-US" w:eastAsia="zh-CN"/>
        </w:rPr>
        <w:t>演示全省统一工作门户模块，包括统一用户管理、统一组织管理、统一权限管理、统一认证管理等内容。</w:t>
      </w:r>
    </w:p>
    <w:p w14:paraId="2ED085C0">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2" w:firstLineChars="175"/>
        <w:textAlignment w:val="auto"/>
        <w:rPr>
          <w:rFonts w:hint="default" w:ascii="华文宋体" w:hAnsi="华文宋体" w:eastAsia="华文宋体" w:cs="华文宋体"/>
          <w:b/>
          <w:bCs/>
          <w:color w:val="auto"/>
          <w:sz w:val="24"/>
          <w:szCs w:val="24"/>
          <w:highlight w:val="none"/>
          <w:lang w:val="en-US" w:eastAsia="zh-CN"/>
        </w:rPr>
      </w:pPr>
      <w:r>
        <w:rPr>
          <w:rFonts w:hint="eastAsia" w:ascii="华文宋体" w:hAnsi="华文宋体" w:eastAsia="华文宋体" w:cs="华文宋体"/>
          <w:b/>
          <w:bCs/>
          <w:color w:val="auto"/>
          <w:kern w:val="2"/>
          <w:sz w:val="24"/>
          <w:szCs w:val="24"/>
          <w:highlight w:val="none"/>
          <w:lang w:val="en-US" w:eastAsia="zh-CN" w:bidi="ar-SA"/>
        </w:rPr>
        <w:t>8.2</w:t>
      </w:r>
      <w:r>
        <w:rPr>
          <w:rFonts w:hint="default" w:ascii="华文宋体" w:hAnsi="华文宋体" w:eastAsia="华文宋体" w:cs="华文宋体"/>
          <w:b/>
          <w:bCs/>
          <w:color w:val="auto"/>
          <w:kern w:val="2"/>
          <w:sz w:val="24"/>
          <w:szCs w:val="24"/>
          <w:highlight w:val="none"/>
          <w:lang w:val="en-US" w:eastAsia="zh-CN" w:bidi="ar-SA"/>
        </w:rPr>
        <w:t>.</w:t>
      </w:r>
      <w:r>
        <w:rPr>
          <w:rFonts w:hint="eastAsia" w:ascii="华文宋体" w:hAnsi="华文宋体" w:eastAsia="华文宋体" w:cs="华文宋体"/>
          <w:b/>
          <w:bCs/>
          <w:color w:val="auto"/>
          <w:sz w:val="24"/>
          <w:szCs w:val="24"/>
          <w:highlight w:val="none"/>
          <w:lang w:val="en-US" w:eastAsia="zh-CN"/>
        </w:rPr>
        <w:t>对全量日志监控模块的演示内容</w:t>
      </w:r>
    </w:p>
    <w:p w14:paraId="28DAAF4A">
      <w:pPr>
        <w:pStyle w:val="24"/>
        <w:keepNext w:val="0"/>
        <w:keepLines w:val="0"/>
        <w:pageBreakBefore w:val="0"/>
        <w:widowControl/>
        <w:kinsoku/>
        <w:wordWrap/>
        <w:overflowPunct/>
        <w:topLinePunct w:val="0"/>
        <w:autoSpaceDE/>
        <w:autoSpaceDN/>
        <w:bidi w:val="0"/>
        <w:adjustRightInd/>
        <w:snapToGrid/>
        <w:spacing w:before="0" w:after="0" w:line="360" w:lineRule="auto"/>
        <w:ind w:firstLine="480" w:firstLineChars="200"/>
        <w:jc w:val="both"/>
        <w:textAlignment w:val="auto"/>
        <w:rPr>
          <w:rFonts w:hint="default" w:ascii="Times New Roman" w:hAnsi="Times New Roman" w:eastAsia="宋体"/>
          <w:color w:val="auto"/>
          <w:sz w:val="24"/>
          <w:szCs w:val="24"/>
          <w:highlight w:val="none"/>
          <w:lang w:val="en-US" w:eastAsia="zh-CN"/>
        </w:rPr>
      </w:pPr>
      <w:r>
        <w:rPr>
          <w:rFonts w:hint="eastAsia" w:ascii="Times New Roman" w:hAnsi="Times New Roman" w:eastAsia="宋体"/>
          <w:color w:val="auto"/>
          <w:sz w:val="24"/>
          <w:szCs w:val="24"/>
          <w:highlight w:val="none"/>
          <w:lang w:val="en-US" w:eastAsia="zh-CN"/>
        </w:rPr>
        <w:t>演示全量日志监控模块，包括事件类型管理、埋点指标管理、全量日志采集、系统日志实时分析、日志查询服务、日志看板与报表等内容。</w:t>
      </w:r>
    </w:p>
    <w:p w14:paraId="4952A8EE">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2" w:firstLineChars="175"/>
        <w:textAlignment w:val="auto"/>
        <w:rPr>
          <w:rFonts w:hint="default" w:ascii="华文宋体" w:hAnsi="华文宋体" w:eastAsia="华文宋体" w:cs="华文宋体"/>
          <w:b/>
          <w:bCs/>
          <w:color w:val="auto"/>
          <w:sz w:val="24"/>
          <w:szCs w:val="24"/>
          <w:highlight w:val="none"/>
          <w:lang w:val="en-US" w:eastAsia="zh-CN"/>
        </w:rPr>
      </w:pPr>
      <w:r>
        <w:rPr>
          <w:rFonts w:hint="eastAsia" w:ascii="华文宋体" w:hAnsi="华文宋体" w:eastAsia="华文宋体" w:cs="华文宋体"/>
          <w:b/>
          <w:bCs/>
          <w:color w:val="auto"/>
          <w:kern w:val="2"/>
          <w:sz w:val="24"/>
          <w:szCs w:val="24"/>
          <w:highlight w:val="none"/>
          <w:lang w:val="en-US" w:eastAsia="zh-CN" w:bidi="ar-SA"/>
        </w:rPr>
        <w:t>8.3</w:t>
      </w:r>
      <w:r>
        <w:rPr>
          <w:rFonts w:hint="eastAsia" w:ascii="华文宋体" w:hAnsi="华文宋体" w:eastAsia="华文宋体" w:cs="华文宋体"/>
          <w:b/>
          <w:bCs/>
          <w:color w:val="auto"/>
          <w:sz w:val="24"/>
          <w:szCs w:val="24"/>
          <w:highlight w:val="none"/>
          <w:lang w:val="en-US" w:eastAsia="zh-CN"/>
        </w:rPr>
        <w:t>对全量待办中心模块的演示内容</w:t>
      </w:r>
    </w:p>
    <w:p w14:paraId="3BA666E0">
      <w:pPr>
        <w:keepNext w:val="0"/>
        <w:keepLines w:val="0"/>
        <w:pageBreakBefore w:val="0"/>
        <w:widowControl/>
        <w:numPr>
          <w:ilvl w:val="0"/>
          <w:numId w:val="0"/>
        </w:numPr>
        <w:kinsoku/>
        <w:wordWrap/>
        <w:overflowPunct/>
        <w:topLinePunct w:val="0"/>
        <w:autoSpaceDE/>
        <w:autoSpaceDN/>
        <w:bidi w:val="0"/>
        <w:adjustRightInd/>
        <w:snapToGrid/>
        <w:spacing w:after="0" w:line="360" w:lineRule="auto"/>
        <w:ind w:leftChars="0" w:firstLine="480" w:firstLineChars="200"/>
        <w:jc w:val="both"/>
        <w:textAlignment w:val="auto"/>
        <w:rPr>
          <w:rFonts w:hint="default" w:ascii="Times New Roman" w:hAnsi="Times New Roman" w:eastAsia="宋体" w:cstheme="minorBidi"/>
          <w:color w:val="auto"/>
          <w:sz w:val="24"/>
          <w:szCs w:val="24"/>
          <w:highlight w:val="none"/>
          <w:lang w:val="en-US" w:eastAsia="zh-CN" w:bidi="ar-SA"/>
        </w:rPr>
      </w:pPr>
      <w:r>
        <w:rPr>
          <w:rFonts w:hint="eastAsia" w:ascii="Times New Roman" w:hAnsi="Times New Roman" w:eastAsia="宋体" w:cstheme="minorBidi"/>
          <w:color w:val="auto"/>
          <w:sz w:val="24"/>
          <w:szCs w:val="24"/>
          <w:highlight w:val="none"/>
          <w:lang w:val="en-US" w:eastAsia="zh-CN" w:bidi="ar-SA"/>
        </w:rPr>
        <w:t>演示待办中心模块，包括待办集成、待办服务、待办管理、待办分类、待办推送以及待办通知内容</w:t>
      </w:r>
      <w:r>
        <w:rPr>
          <w:rFonts w:hint="eastAsia" w:cstheme="minorBidi"/>
          <w:color w:val="auto"/>
          <w:sz w:val="24"/>
          <w:szCs w:val="24"/>
          <w:highlight w:val="none"/>
          <w:lang w:val="en-US" w:eastAsia="zh-CN" w:bidi="ar-SA"/>
        </w:rPr>
        <w:t>。</w:t>
      </w:r>
    </w:p>
    <w:p w14:paraId="3B6CEB73">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2" w:firstLineChars="175"/>
        <w:textAlignment w:val="auto"/>
        <w:rPr>
          <w:rFonts w:hint="default" w:ascii="华文宋体" w:hAnsi="华文宋体" w:eastAsia="华文宋体" w:cs="华文宋体"/>
          <w:b/>
          <w:bCs/>
          <w:color w:val="auto"/>
          <w:sz w:val="24"/>
          <w:szCs w:val="24"/>
          <w:highlight w:val="none"/>
          <w:lang w:val="en-US" w:eastAsia="zh-CN"/>
        </w:rPr>
      </w:pPr>
      <w:r>
        <w:rPr>
          <w:rFonts w:hint="eastAsia" w:ascii="华文宋体" w:hAnsi="华文宋体" w:eastAsia="华文宋体" w:cs="华文宋体"/>
          <w:b/>
          <w:bCs/>
          <w:color w:val="auto"/>
          <w:kern w:val="2"/>
          <w:sz w:val="24"/>
          <w:szCs w:val="24"/>
          <w:highlight w:val="none"/>
          <w:lang w:val="en-US" w:eastAsia="zh-CN" w:bidi="ar-SA"/>
        </w:rPr>
        <w:t>8.4</w:t>
      </w:r>
      <w:r>
        <w:rPr>
          <w:rFonts w:hint="eastAsia" w:ascii="华文宋体" w:hAnsi="华文宋体" w:eastAsia="华文宋体" w:cs="华文宋体"/>
          <w:b/>
          <w:bCs/>
          <w:color w:val="auto"/>
          <w:sz w:val="24"/>
          <w:szCs w:val="24"/>
          <w:highlight w:val="none"/>
          <w:lang w:val="en-US" w:eastAsia="zh-CN"/>
        </w:rPr>
        <w:t>对</w:t>
      </w:r>
      <w:r>
        <w:rPr>
          <w:rFonts w:hint="default" w:ascii="华文宋体" w:hAnsi="华文宋体" w:eastAsia="华文宋体" w:cs="华文宋体"/>
          <w:b/>
          <w:bCs/>
          <w:color w:val="auto"/>
          <w:sz w:val="24"/>
          <w:szCs w:val="24"/>
          <w:highlight w:val="none"/>
          <w:lang w:eastAsia="zh-CN"/>
        </w:rPr>
        <w:t>业务工作</w:t>
      </w:r>
      <w:r>
        <w:rPr>
          <w:rFonts w:hint="eastAsia" w:ascii="华文宋体" w:hAnsi="华文宋体" w:eastAsia="华文宋体" w:cs="华文宋体"/>
          <w:b/>
          <w:bCs/>
          <w:color w:val="auto"/>
          <w:sz w:val="24"/>
          <w:szCs w:val="24"/>
          <w:highlight w:val="none"/>
          <w:lang w:val="en-US" w:eastAsia="zh-CN"/>
        </w:rPr>
        <w:t>学习和学习视图模块的演示内容</w:t>
      </w:r>
    </w:p>
    <w:p w14:paraId="5ADB0056">
      <w:pPr>
        <w:pStyle w:val="24"/>
        <w:keepNext w:val="0"/>
        <w:keepLines w:val="0"/>
        <w:pageBreakBefore w:val="0"/>
        <w:widowControl/>
        <w:kinsoku/>
        <w:wordWrap/>
        <w:overflowPunct/>
        <w:topLinePunct w:val="0"/>
        <w:autoSpaceDE/>
        <w:autoSpaceDN/>
        <w:bidi w:val="0"/>
        <w:adjustRightInd/>
        <w:snapToGrid/>
        <w:spacing w:before="0" w:line="360" w:lineRule="auto"/>
        <w:ind w:firstLine="480" w:firstLineChars="200"/>
        <w:jc w:val="both"/>
        <w:textAlignment w:val="auto"/>
        <w:rPr>
          <w:rFonts w:hint="default" w:ascii="Times New Roman" w:hAnsi="Times New Roman" w:eastAsia="宋体"/>
          <w:color w:val="auto"/>
          <w:sz w:val="24"/>
          <w:szCs w:val="24"/>
          <w:highlight w:val="none"/>
          <w:lang w:val="en-US" w:eastAsia="zh-CN"/>
        </w:rPr>
      </w:pPr>
      <w:r>
        <w:rPr>
          <w:rFonts w:hint="eastAsia" w:ascii="Times New Roman" w:hAnsi="Times New Roman" w:eastAsia="宋体"/>
          <w:color w:val="auto"/>
          <w:sz w:val="24"/>
          <w:szCs w:val="24"/>
          <w:highlight w:val="none"/>
          <w:lang w:val="en-US" w:eastAsia="zh-CN"/>
        </w:rPr>
        <w:t>演示</w:t>
      </w:r>
      <w:r>
        <w:rPr>
          <w:rFonts w:hint="default" w:ascii="Times New Roman" w:hAnsi="Times New Roman"/>
          <w:color w:val="auto"/>
          <w:sz w:val="24"/>
          <w:szCs w:val="24"/>
          <w:highlight w:val="none"/>
          <w:lang w:eastAsia="zh-CN"/>
        </w:rPr>
        <w:t>业务工作</w:t>
      </w:r>
      <w:r>
        <w:rPr>
          <w:rFonts w:hint="eastAsia" w:ascii="Times New Roman" w:hAnsi="Times New Roman" w:eastAsia="宋体"/>
          <w:color w:val="auto"/>
          <w:sz w:val="24"/>
          <w:szCs w:val="24"/>
          <w:highlight w:val="none"/>
          <w:lang w:val="en-US" w:eastAsia="zh-CN"/>
        </w:rPr>
        <w:t>学习和学习视图模块，</w:t>
      </w:r>
      <w:r>
        <w:rPr>
          <w:rFonts w:hint="default" w:ascii="Times New Roman" w:hAnsi="Times New Roman" w:eastAsia="宋体"/>
          <w:color w:val="auto"/>
          <w:sz w:val="24"/>
          <w:szCs w:val="24"/>
          <w:highlight w:val="none"/>
          <w:lang w:val="en-US" w:eastAsia="zh-CN"/>
        </w:rPr>
        <w:t>包括学习基础管理、学习文件管理、学习视频管理、学习资料排行、最新学习轨迹、我的常用学习、学习推荐等内容</w:t>
      </w:r>
      <w:r>
        <w:rPr>
          <w:rFonts w:hint="eastAsia" w:ascii="Times New Roman" w:hAnsi="Times New Roman"/>
          <w:color w:val="auto"/>
          <w:sz w:val="24"/>
          <w:szCs w:val="24"/>
          <w:highlight w:val="none"/>
          <w:lang w:val="en-US" w:eastAsia="zh-CN"/>
        </w:rPr>
        <w:t>。</w:t>
      </w:r>
    </w:p>
    <w:p w14:paraId="604BC3AF">
      <w:pPr>
        <w:keepNext w:val="0"/>
        <w:keepLines w:val="0"/>
        <w:pageBreakBefore w:val="0"/>
        <w:widowControl w:val="0"/>
        <w:numPr>
          <w:ilvl w:val="1"/>
          <w:numId w:val="0"/>
        </w:numPr>
        <w:kinsoku/>
        <w:wordWrap/>
        <w:overflowPunct/>
        <w:topLinePunct w:val="0"/>
        <w:autoSpaceDE/>
        <w:autoSpaceDN/>
        <w:bidi w:val="0"/>
        <w:adjustRightInd w:val="0"/>
        <w:snapToGrid/>
        <w:spacing w:line="360" w:lineRule="auto"/>
        <w:ind w:left="0" w:leftChars="0" w:firstLine="422" w:firstLineChars="175"/>
        <w:textAlignment w:val="auto"/>
        <w:rPr>
          <w:rFonts w:hint="default" w:ascii="华文宋体" w:hAnsi="华文宋体" w:eastAsia="华文宋体" w:cs="华文宋体"/>
          <w:b/>
          <w:bCs/>
          <w:color w:val="auto"/>
          <w:sz w:val="24"/>
          <w:szCs w:val="24"/>
          <w:highlight w:val="none"/>
          <w:lang w:val="en-US" w:eastAsia="zh-CN"/>
        </w:rPr>
      </w:pPr>
      <w:r>
        <w:rPr>
          <w:rFonts w:hint="eastAsia" w:ascii="华文宋体" w:hAnsi="华文宋体" w:eastAsia="华文宋体" w:cs="华文宋体"/>
          <w:b/>
          <w:bCs/>
          <w:color w:val="auto"/>
          <w:kern w:val="2"/>
          <w:sz w:val="24"/>
          <w:szCs w:val="24"/>
          <w:highlight w:val="none"/>
          <w:lang w:val="en-US" w:eastAsia="zh-CN" w:bidi="ar-SA"/>
        </w:rPr>
        <w:t>8.5</w:t>
      </w:r>
      <w:r>
        <w:rPr>
          <w:rFonts w:hint="eastAsia" w:ascii="华文宋体" w:hAnsi="华文宋体" w:eastAsia="华文宋体" w:cs="华文宋体"/>
          <w:b/>
          <w:bCs/>
          <w:color w:val="auto"/>
          <w:sz w:val="24"/>
          <w:szCs w:val="24"/>
          <w:highlight w:val="none"/>
          <w:lang w:val="en-US" w:eastAsia="zh-CN"/>
        </w:rPr>
        <w:t>对</w:t>
      </w:r>
      <w:r>
        <w:rPr>
          <w:rFonts w:hint="default" w:ascii="华文宋体" w:hAnsi="华文宋体" w:eastAsia="华文宋体" w:cs="华文宋体"/>
          <w:b/>
          <w:bCs/>
          <w:color w:val="auto"/>
          <w:sz w:val="24"/>
          <w:szCs w:val="24"/>
          <w:highlight w:val="none"/>
          <w:lang w:eastAsia="zh-CN"/>
        </w:rPr>
        <w:t>业务工作</w:t>
      </w:r>
      <w:r>
        <w:rPr>
          <w:rFonts w:hint="eastAsia" w:ascii="华文宋体" w:hAnsi="华文宋体" w:eastAsia="华文宋体" w:cs="华文宋体"/>
          <w:b/>
          <w:bCs/>
          <w:color w:val="auto"/>
          <w:sz w:val="24"/>
          <w:szCs w:val="24"/>
          <w:highlight w:val="none"/>
          <w:lang w:val="en-US" w:eastAsia="zh-CN"/>
        </w:rPr>
        <w:t>案例中心功能的演示内容</w:t>
      </w:r>
    </w:p>
    <w:p w14:paraId="3C8BFF5F">
      <w:pPr>
        <w:pStyle w:val="24"/>
        <w:keepNext w:val="0"/>
        <w:keepLines w:val="0"/>
        <w:pageBreakBefore w:val="0"/>
        <w:widowControl/>
        <w:kinsoku/>
        <w:wordWrap/>
        <w:overflowPunct/>
        <w:topLinePunct w:val="0"/>
        <w:autoSpaceDE/>
        <w:autoSpaceDN/>
        <w:bidi w:val="0"/>
        <w:adjustRightInd/>
        <w:snapToGrid/>
        <w:spacing w:before="0" w:line="360" w:lineRule="auto"/>
        <w:ind w:firstLine="480" w:firstLineChars="200"/>
        <w:jc w:val="both"/>
        <w:textAlignment w:val="auto"/>
        <w:rPr>
          <w:rFonts w:hint="default" w:ascii="Times New Roman" w:hAnsi="Times New Roman" w:eastAsia="宋体"/>
          <w:color w:val="auto"/>
          <w:sz w:val="24"/>
          <w:szCs w:val="24"/>
          <w:highlight w:val="none"/>
          <w:lang w:val="en-US" w:eastAsia="zh-CN"/>
        </w:rPr>
      </w:pPr>
      <w:r>
        <w:rPr>
          <w:rFonts w:hint="eastAsia" w:ascii="Times New Roman" w:hAnsi="Times New Roman" w:eastAsia="宋体"/>
          <w:color w:val="auto"/>
          <w:sz w:val="24"/>
          <w:szCs w:val="24"/>
          <w:highlight w:val="none"/>
          <w:lang w:val="en-US" w:eastAsia="zh-CN"/>
        </w:rPr>
        <w:t>演示</w:t>
      </w:r>
      <w:r>
        <w:rPr>
          <w:rFonts w:hint="default" w:ascii="Times New Roman" w:hAnsi="Times New Roman"/>
          <w:color w:val="auto"/>
          <w:sz w:val="24"/>
          <w:szCs w:val="24"/>
          <w:highlight w:val="none"/>
          <w:lang w:eastAsia="zh-CN"/>
        </w:rPr>
        <w:t>业务工作</w:t>
      </w:r>
      <w:r>
        <w:rPr>
          <w:rFonts w:hint="eastAsia" w:ascii="Times New Roman" w:hAnsi="Times New Roman" w:eastAsia="宋体"/>
          <w:color w:val="auto"/>
          <w:sz w:val="24"/>
          <w:szCs w:val="24"/>
          <w:highlight w:val="none"/>
          <w:lang w:val="en-US" w:eastAsia="zh-CN"/>
        </w:rPr>
        <w:t>案例中心模块，包括案例基础管理、案例审查管理、重点案例推荐等内容。</w:t>
      </w:r>
    </w:p>
    <w:p w14:paraId="597FB9E3">
      <w:pPr>
        <w:pStyle w:val="3"/>
        <w:numPr>
          <w:ilvl w:val="0"/>
          <w:numId w:val="0"/>
        </w:numPr>
        <w:tabs>
          <w:tab w:val="left" w:pos="0"/>
          <w:tab w:val="clear" w:pos="432"/>
        </w:tabs>
        <w:spacing w:before="0" w:after="0" w:line="360" w:lineRule="auto"/>
        <w:ind w:left="0" w:leftChars="0" w:firstLine="422" w:firstLineChars="175"/>
        <w:jc w:val="left"/>
        <w:rPr>
          <w:rFonts w:hint="default"/>
          <w:b/>
          <w:bCs/>
          <w:color w:val="auto"/>
          <w:sz w:val="24"/>
          <w:szCs w:val="24"/>
          <w:highlight w:val="none"/>
          <w:lang w:val="en-US" w:eastAsia="zh-CN"/>
        </w:rPr>
      </w:pPr>
      <w:r>
        <w:rPr>
          <w:rFonts w:hint="eastAsia" w:cs="Times New Roman"/>
          <w:b/>
          <w:bCs/>
          <w:color w:val="auto"/>
          <w:kern w:val="44"/>
          <w:sz w:val="24"/>
          <w:szCs w:val="24"/>
          <w:highlight w:val="none"/>
          <w:lang w:val="en-US" w:eastAsia="zh-CN" w:bidi="ar-SA"/>
        </w:rPr>
        <w:t>9</w:t>
      </w:r>
      <w:r>
        <w:rPr>
          <w:rFonts w:hint="default" w:ascii="Times New Roman" w:hAnsi="Times New Roman" w:eastAsia="宋体" w:cs="Times New Roman"/>
          <w:b/>
          <w:bCs/>
          <w:color w:val="auto"/>
          <w:kern w:val="44"/>
          <w:sz w:val="24"/>
          <w:szCs w:val="24"/>
          <w:highlight w:val="none"/>
          <w:lang w:val="en-US" w:eastAsia="zh-CN" w:bidi="ar-SA"/>
        </w:rPr>
        <w:t>．</w:t>
      </w:r>
      <w:r>
        <w:rPr>
          <w:rFonts w:hint="eastAsia"/>
          <w:b/>
          <w:bCs/>
          <w:color w:val="auto"/>
          <w:sz w:val="24"/>
          <w:szCs w:val="24"/>
          <w:highlight w:val="none"/>
          <w:lang w:val="en-US" w:eastAsia="zh-CN"/>
        </w:rPr>
        <w:t>本项目涉及采购人自有的原系统对接接口费用由采购人承担。</w:t>
      </w:r>
    </w:p>
    <w:p w14:paraId="362DA385">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2" w:name="_Toc184310309"/>
      <w:bookmarkEnd w:id="32"/>
      <w:bookmarkStart w:id="33" w:name="_Toc184314434"/>
      <w:bookmarkEnd w:id="33"/>
      <w:bookmarkStart w:id="34" w:name="_Toc184308063"/>
      <w:bookmarkEnd w:id="34"/>
      <w:bookmarkStart w:id="35" w:name="_Toc184308106"/>
      <w:bookmarkEnd w:id="35"/>
      <w:bookmarkStart w:id="36" w:name="_Toc184308072"/>
      <w:bookmarkEnd w:id="36"/>
      <w:bookmarkStart w:id="37" w:name="_Toc184310317"/>
      <w:bookmarkEnd w:id="37"/>
      <w:bookmarkStart w:id="38" w:name="_Toc184313266"/>
      <w:bookmarkEnd w:id="38"/>
      <w:bookmarkStart w:id="39" w:name="_Toc184312102"/>
      <w:bookmarkEnd w:id="39"/>
      <w:bookmarkStart w:id="40" w:name="_Toc184308090"/>
      <w:bookmarkEnd w:id="40"/>
      <w:bookmarkStart w:id="41" w:name="_Toc184312134"/>
      <w:bookmarkEnd w:id="41"/>
      <w:bookmarkStart w:id="42" w:name="_Toc184312076"/>
      <w:bookmarkEnd w:id="42"/>
      <w:bookmarkStart w:id="43" w:name="_Toc184314431"/>
      <w:bookmarkEnd w:id="43"/>
      <w:bookmarkStart w:id="44" w:name="_Toc184310323"/>
      <w:bookmarkEnd w:id="44"/>
      <w:bookmarkStart w:id="45" w:name="_Toc184310288"/>
      <w:bookmarkEnd w:id="45"/>
      <w:bookmarkStart w:id="46" w:name="_Toc184310324"/>
      <w:bookmarkEnd w:id="46"/>
      <w:bookmarkStart w:id="47" w:name="_Toc184312095"/>
      <w:bookmarkEnd w:id="47"/>
      <w:bookmarkStart w:id="48" w:name="_Toc184310277"/>
      <w:bookmarkEnd w:id="48"/>
      <w:bookmarkStart w:id="49" w:name="_Toc184308050"/>
      <w:bookmarkEnd w:id="49"/>
      <w:bookmarkStart w:id="50" w:name="_Toc184312070"/>
      <w:bookmarkEnd w:id="50"/>
      <w:bookmarkStart w:id="51" w:name="_Toc184314456"/>
      <w:bookmarkEnd w:id="51"/>
      <w:bookmarkStart w:id="52" w:name="_Toc184314413"/>
      <w:bookmarkEnd w:id="52"/>
      <w:bookmarkStart w:id="53" w:name="_Toc184313251"/>
      <w:bookmarkEnd w:id="53"/>
      <w:bookmarkStart w:id="54" w:name="_Toc184313271"/>
      <w:bookmarkEnd w:id="54"/>
      <w:bookmarkStart w:id="55" w:name="_Toc184312127"/>
      <w:bookmarkEnd w:id="55"/>
      <w:bookmarkStart w:id="56" w:name="_Toc184312131"/>
      <w:bookmarkEnd w:id="56"/>
      <w:bookmarkStart w:id="57" w:name="_Toc184313306"/>
      <w:bookmarkEnd w:id="57"/>
      <w:bookmarkStart w:id="58" w:name="_Toc184308052"/>
      <w:bookmarkEnd w:id="58"/>
      <w:bookmarkStart w:id="59" w:name="_Toc184314429"/>
      <w:bookmarkEnd w:id="59"/>
      <w:bookmarkStart w:id="60" w:name="_Toc184312123"/>
      <w:bookmarkEnd w:id="60"/>
      <w:bookmarkStart w:id="61" w:name="_Toc184313286"/>
      <w:bookmarkEnd w:id="61"/>
      <w:bookmarkStart w:id="62" w:name="_Toc184310326"/>
      <w:bookmarkEnd w:id="62"/>
      <w:bookmarkStart w:id="63" w:name="_Toc184314411"/>
      <w:bookmarkEnd w:id="63"/>
      <w:bookmarkStart w:id="64" w:name="_Toc184313279"/>
      <w:bookmarkEnd w:id="64"/>
      <w:bookmarkStart w:id="65" w:name="_Toc184314428"/>
      <w:bookmarkEnd w:id="65"/>
      <w:bookmarkStart w:id="66" w:name="_Toc184314472"/>
      <w:bookmarkEnd w:id="66"/>
      <w:bookmarkStart w:id="67" w:name="_Toc184314464"/>
      <w:bookmarkEnd w:id="67"/>
      <w:bookmarkStart w:id="68" w:name="_Toc184308070"/>
      <w:bookmarkEnd w:id="68"/>
      <w:bookmarkStart w:id="69" w:name="_Toc184310291"/>
      <w:bookmarkEnd w:id="69"/>
      <w:bookmarkStart w:id="70" w:name="_Toc184312084"/>
      <w:bookmarkEnd w:id="70"/>
      <w:bookmarkStart w:id="71" w:name="_Toc184308108"/>
      <w:bookmarkEnd w:id="71"/>
      <w:bookmarkStart w:id="72" w:name="_Toc184310298"/>
      <w:bookmarkEnd w:id="72"/>
      <w:bookmarkStart w:id="73" w:name="_Toc184314473"/>
      <w:bookmarkEnd w:id="73"/>
      <w:bookmarkStart w:id="74" w:name="_Toc184313282"/>
      <w:bookmarkEnd w:id="74"/>
      <w:bookmarkStart w:id="75" w:name="_Toc184312075"/>
      <w:bookmarkEnd w:id="75"/>
      <w:bookmarkStart w:id="76" w:name="_Toc184310275"/>
      <w:bookmarkEnd w:id="76"/>
      <w:bookmarkStart w:id="77" w:name="_Toc184312121"/>
      <w:bookmarkEnd w:id="77"/>
      <w:bookmarkStart w:id="78" w:name="_Toc184313309"/>
      <w:bookmarkEnd w:id="78"/>
      <w:bookmarkStart w:id="79" w:name="_Toc184313294"/>
      <w:bookmarkEnd w:id="79"/>
      <w:bookmarkStart w:id="80" w:name="_Toc184313284"/>
      <w:bookmarkEnd w:id="80"/>
      <w:bookmarkStart w:id="81" w:name="_Toc184308066"/>
      <w:bookmarkEnd w:id="81"/>
      <w:bookmarkStart w:id="82" w:name="_Toc184313277"/>
      <w:bookmarkEnd w:id="82"/>
      <w:bookmarkStart w:id="83" w:name="_Toc184308104"/>
      <w:bookmarkEnd w:id="83"/>
      <w:bookmarkStart w:id="84" w:name="_Toc184314455"/>
      <w:bookmarkEnd w:id="84"/>
      <w:bookmarkStart w:id="85" w:name="_Toc184313275"/>
      <w:bookmarkEnd w:id="85"/>
      <w:bookmarkStart w:id="86" w:name="_Toc184310293"/>
      <w:bookmarkEnd w:id="86"/>
      <w:bookmarkStart w:id="87" w:name="_Toc184314425"/>
      <w:bookmarkEnd w:id="87"/>
      <w:bookmarkStart w:id="88" w:name="_Toc184314442"/>
      <w:bookmarkEnd w:id="88"/>
      <w:bookmarkStart w:id="89" w:name="_Toc184313292"/>
      <w:bookmarkEnd w:id="89"/>
      <w:bookmarkStart w:id="90" w:name="_Toc184313285"/>
      <w:bookmarkEnd w:id="90"/>
      <w:bookmarkStart w:id="91" w:name="_Toc184314410"/>
      <w:bookmarkEnd w:id="91"/>
      <w:bookmarkStart w:id="92" w:name="_Toc184310286"/>
      <w:bookmarkEnd w:id="92"/>
      <w:bookmarkStart w:id="93" w:name="_Toc184314469"/>
      <w:bookmarkEnd w:id="93"/>
      <w:bookmarkStart w:id="94" w:name="_Toc184310319"/>
      <w:bookmarkEnd w:id="94"/>
      <w:bookmarkStart w:id="95" w:name="_Toc184312097"/>
      <w:bookmarkEnd w:id="95"/>
      <w:bookmarkStart w:id="96" w:name="_Toc184313268"/>
      <w:bookmarkEnd w:id="96"/>
      <w:bookmarkStart w:id="97" w:name="_Toc184312103"/>
      <w:bookmarkEnd w:id="97"/>
      <w:bookmarkStart w:id="98" w:name="_Toc184314423"/>
      <w:bookmarkEnd w:id="98"/>
      <w:bookmarkStart w:id="99" w:name="_Toc184313308"/>
      <w:bookmarkEnd w:id="99"/>
      <w:bookmarkStart w:id="100" w:name="_Toc184308092"/>
      <w:bookmarkEnd w:id="100"/>
      <w:bookmarkStart w:id="101" w:name="_Toc184308079"/>
      <w:bookmarkEnd w:id="101"/>
      <w:bookmarkStart w:id="102" w:name="_Toc184313263"/>
      <w:bookmarkEnd w:id="102"/>
      <w:bookmarkStart w:id="103" w:name="_Toc184313276"/>
      <w:bookmarkEnd w:id="103"/>
      <w:bookmarkStart w:id="104" w:name="_Toc184312089"/>
      <w:bookmarkEnd w:id="104"/>
      <w:bookmarkStart w:id="105" w:name="_Toc184313305"/>
      <w:bookmarkEnd w:id="105"/>
      <w:bookmarkStart w:id="106" w:name="_Toc184313291"/>
      <w:bookmarkEnd w:id="106"/>
      <w:bookmarkStart w:id="107" w:name="_Toc184314435"/>
      <w:bookmarkEnd w:id="107"/>
      <w:bookmarkStart w:id="108" w:name="_Toc184313304"/>
      <w:bookmarkEnd w:id="108"/>
      <w:bookmarkStart w:id="109" w:name="_Toc184308047"/>
      <w:bookmarkEnd w:id="109"/>
      <w:bookmarkStart w:id="110" w:name="_Toc184312135"/>
      <w:bookmarkEnd w:id="110"/>
      <w:bookmarkStart w:id="111" w:name="_Toc184308080"/>
      <w:bookmarkEnd w:id="111"/>
      <w:bookmarkStart w:id="112" w:name="_Toc184310280"/>
      <w:bookmarkEnd w:id="112"/>
      <w:bookmarkStart w:id="113" w:name="_Toc184314438"/>
      <w:bookmarkEnd w:id="113"/>
      <w:bookmarkStart w:id="114" w:name="_Toc184308038"/>
      <w:bookmarkEnd w:id="114"/>
      <w:bookmarkStart w:id="115" w:name="_Toc184313289"/>
      <w:bookmarkEnd w:id="115"/>
      <w:bookmarkStart w:id="116" w:name="_Toc184312087"/>
      <w:bookmarkEnd w:id="116"/>
      <w:bookmarkStart w:id="117" w:name="_Toc184308042"/>
      <w:bookmarkEnd w:id="117"/>
      <w:bookmarkStart w:id="118" w:name="_Toc184308076"/>
      <w:bookmarkEnd w:id="118"/>
      <w:bookmarkStart w:id="119" w:name="_Toc184308095"/>
      <w:bookmarkEnd w:id="119"/>
      <w:bookmarkStart w:id="120" w:name="_Toc184312073"/>
      <w:bookmarkEnd w:id="120"/>
      <w:bookmarkStart w:id="121" w:name="_Toc184310315"/>
      <w:bookmarkEnd w:id="121"/>
      <w:bookmarkStart w:id="122" w:name="_Toc184313269"/>
      <w:bookmarkEnd w:id="122"/>
      <w:bookmarkStart w:id="123" w:name="_Toc184314415"/>
      <w:bookmarkEnd w:id="123"/>
      <w:bookmarkStart w:id="124" w:name="_Toc184312108"/>
      <w:bookmarkEnd w:id="124"/>
      <w:bookmarkStart w:id="125" w:name="_Toc184312109"/>
      <w:bookmarkEnd w:id="125"/>
      <w:bookmarkStart w:id="126" w:name="_Toc184313255"/>
      <w:bookmarkEnd w:id="126"/>
      <w:bookmarkStart w:id="127" w:name="_Toc184310344"/>
      <w:bookmarkEnd w:id="127"/>
      <w:bookmarkStart w:id="128" w:name="_Toc184313250"/>
      <w:bookmarkEnd w:id="128"/>
      <w:bookmarkStart w:id="129" w:name="_Toc184314412"/>
      <w:bookmarkEnd w:id="129"/>
      <w:bookmarkStart w:id="130" w:name="_Toc184310331"/>
      <w:bookmarkEnd w:id="130"/>
      <w:bookmarkStart w:id="131" w:name="_Toc184314414"/>
      <w:bookmarkEnd w:id="131"/>
      <w:bookmarkStart w:id="132" w:name="_Toc184312136"/>
      <w:bookmarkEnd w:id="132"/>
      <w:bookmarkStart w:id="133" w:name="_Toc184312080"/>
      <w:bookmarkEnd w:id="133"/>
      <w:bookmarkStart w:id="134" w:name="_Toc184308056"/>
      <w:bookmarkEnd w:id="134"/>
      <w:bookmarkStart w:id="135" w:name="_Toc184313257"/>
      <w:bookmarkEnd w:id="135"/>
      <w:bookmarkStart w:id="136" w:name="_Toc184313301"/>
      <w:bookmarkEnd w:id="136"/>
      <w:bookmarkStart w:id="137" w:name="_Toc184308071"/>
      <w:bookmarkEnd w:id="137"/>
      <w:bookmarkStart w:id="138" w:name="_Toc184312122"/>
      <w:bookmarkEnd w:id="138"/>
      <w:bookmarkStart w:id="139" w:name="_Toc184314459"/>
      <w:bookmarkEnd w:id="139"/>
      <w:bookmarkStart w:id="140" w:name="_Toc184310274"/>
      <w:bookmarkEnd w:id="140"/>
      <w:bookmarkStart w:id="141" w:name="_Toc184313245"/>
      <w:bookmarkEnd w:id="141"/>
      <w:bookmarkStart w:id="142" w:name="_Toc184312113"/>
      <w:bookmarkEnd w:id="142"/>
      <w:bookmarkStart w:id="143" w:name="_Toc184312130"/>
      <w:bookmarkEnd w:id="143"/>
      <w:bookmarkStart w:id="144" w:name="_Toc184310325"/>
      <w:bookmarkEnd w:id="144"/>
      <w:bookmarkStart w:id="145" w:name="_Toc184313261"/>
      <w:bookmarkEnd w:id="145"/>
      <w:bookmarkStart w:id="146" w:name="_Toc184314451"/>
      <w:bookmarkEnd w:id="146"/>
      <w:bookmarkStart w:id="147" w:name="_Toc184312125"/>
      <w:bookmarkEnd w:id="147"/>
      <w:bookmarkStart w:id="148" w:name="_Toc184314420"/>
      <w:bookmarkEnd w:id="148"/>
      <w:bookmarkStart w:id="149" w:name="_Toc184313247"/>
      <w:bookmarkEnd w:id="149"/>
      <w:bookmarkStart w:id="150" w:name="_Toc184308083"/>
      <w:bookmarkEnd w:id="150"/>
      <w:bookmarkStart w:id="151" w:name="_Toc184308096"/>
      <w:bookmarkEnd w:id="151"/>
      <w:bookmarkStart w:id="152" w:name="_Toc184310321"/>
      <w:bookmarkEnd w:id="152"/>
      <w:bookmarkStart w:id="153" w:name="_Toc184312124"/>
      <w:bookmarkEnd w:id="153"/>
      <w:bookmarkStart w:id="154" w:name="_Toc184314478"/>
      <w:bookmarkEnd w:id="154"/>
      <w:bookmarkStart w:id="155" w:name="_Toc184310342"/>
      <w:bookmarkEnd w:id="155"/>
      <w:bookmarkStart w:id="156" w:name="_Toc184312088"/>
      <w:bookmarkEnd w:id="156"/>
      <w:bookmarkStart w:id="157" w:name="_Toc184313265"/>
      <w:bookmarkEnd w:id="157"/>
      <w:bookmarkStart w:id="158" w:name="_Toc184314422"/>
      <w:bookmarkEnd w:id="158"/>
      <w:bookmarkStart w:id="159" w:name="_Toc184312138"/>
      <w:bookmarkEnd w:id="159"/>
      <w:bookmarkStart w:id="160" w:name="_Toc184312104"/>
      <w:bookmarkEnd w:id="160"/>
      <w:bookmarkStart w:id="161" w:name="_Toc184313297"/>
      <w:bookmarkEnd w:id="161"/>
      <w:bookmarkStart w:id="162" w:name="_Toc184314460"/>
      <w:bookmarkEnd w:id="162"/>
      <w:bookmarkStart w:id="163" w:name="_Toc184312128"/>
      <w:bookmarkEnd w:id="163"/>
      <w:bookmarkStart w:id="164" w:name="_Toc184314426"/>
      <w:bookmarkEnd w:id="164"/>
      <w:bookmarkStart w:id="165" w:name="_Toc184310318"/>
      <w:bookmarkEnd w:id="165"/>
      <w:bookmarkStart w:id="166" w:name="_Toc184312100"/>
      <w:bookmarkEnd w:id="166"/>
      <w:bookmarkStart w:id="167" w:name="_Toc184313253"/>
      <w:bookmarkEnd w:id="167"/>
      <w:bookmarkStart w:id="168" w:name="_Toc184314419"/>
      <w:bookmarkEnd w:id="168"/>
      <w:bookmarkStart w:id="169" w:name="_Toc184310304"/>
      <w:bookmarkEnd w:id="169"/>
      <w:bookmarkStart w:id="170" w:name="_Toc184314471"/>
      <w:bookmarkEnd w:id="170"/>
      <w:bookmarkStart w:id="171" w:name="_Toc184313267"/>
      <w:bookmarkEnd w:id="171"/>
      <w:bookmarkStart w:id="172" w:name="_Toc184310328"/>
      <w:bookmarkEnd w:id="172"/>
      <w:bookmarkStart w:id="173" w:name="_Toc184308040"/>
      <w:bookmarkEnd w:id="173"/>
      <w:bookmarkStart w:id="174" w:name="_Toc184310338"/>
      <w:bookmarkEnd w:id="174"/>
      <w:bookmarkStart w:id="175" w:name="_Toc184314441"/>
      <w:bookmarkEnd w:id="175"/>
      <w:bookmarkStart w:id="176" w:name="_Toc184313244"/>
      <w:bookmarkEnd w:id="176"/>
      <w:bookmarkStart w:id="177" w:name="_Toc184313298"/>
      <w:bookmarkEnd w:id="177"/>
      <w:bookmarkStart w:id="178" w:name="_Toc184312133"/>
      <w:bookmarkEnd w:id="178"/>
      <w:bookmarkStart w:id="179" w:name="_Toc184308105"/>
      <w:bookmarkEnd w:id="179"/>
      <w:bookmarkStart w:id="180" w:name="_Toc184312072"/>
      <w:bookmarkEnd w:id="180"/>
      <w:bookmarkStart w:id="181" w:name="_Toc184308087"/>
      <w:bookmarkEnd w:id="181"/>
      <w:bookmarkStart w:id="182" w:name="_Toc184314482"/>
      <w:bookmarkEnd w:id="182"/>
      <w:bookmarkStart w:id="183" w:name="_Toc184310294"/>
      <w:bookmarkEnd w:id="183"/>
      <w:bookmarkStart w:id="184" w:name="_Toc184310335"/>
      <w:bookmarkEnd w:id="184"/>
      <w:bookmarkStart w:id="185" w:name="_Toc184314479"/>
      <w:bookmarkEnd w:id="185"/>
      <w:bookmarkStart w:id="186" w:name="_Toc184313299"/>
      <w:bookmarkEnd w:id="186"/>
      <w:bookmarkStart w:id="187" w:name="_Toc184310273"/>
      <w:bookmarkEnd w:id="187"/>
      <w:bookmarkStart w:id="188" w:name="_Toc184308048"/>
      <w:bookmarkEnd w:id="188"/>
      <w:bookmarkStart w:id="189" w:name="_Toc184314430"/>
      <w:bookmarkEnd w:id="189"/>
      <w:bookmarkStart w:id="190" w:name="_Toc184312068"/>
      <w:bookmarkEnd w:id="190"/>
      <w:bookmarkStart w:id="191" w:name="_Toc184308084"/>
      <w:bookmarkEnd w:id="191"/>
      <w:bookmarkStart w:id="192" w:name="_Toc184312071"/>
      <w:bookmarkEnd w:id="192"/>
      <w:bookmarkStart w:id="193" w:name="_Toc184313293"/>
      <w:bookmarkEnd w:id="193"/>
      <w:bookmarkStart w:id="194" w:name="_Toc184310292"/>
      <w:bookmarkEnd w:id="194"/>
      <w:bookmarkStart w:id="195" w:name="_Toc184310316"/>
      <w:bookmarkEnd w:id="195"/>
      <w:bookmarkStart w:id="196" w:name="_Toc184314421"/>
      <w:bookmarkEnd w:id="196"/>
      <w:bookmarkStart w:id="197" w:name="_Toc184308073"/>
      <w:bookmarkEnd w:id="197"/>
      <w:bookmarkStart w:id="198" w:name="_Toc184313280"/>
      <w:bookmarkEnd w:id="198"/>
      <w:bookmarkStart w:id="199" w:name="_Toc184314427"/>
      <w:bookmarkEnd w:id="199"/>
      <w:bookmarkStart w:id="200" w:name="_Toc184310296"/>
      <w:bookmarkEnd w:id="200"/>
      <w:bookmarkStart w:id="201" w:name="_Toc184314436"/>
      <w:bookmarkEnd w:id="201"/>
      <w:bookmarkStart w:id="202" w:name="_Toc184310276"/>
      <w:bookmarkEnd w:id="202"/>
      <w:bookmarkStart w:id="203" w:name="_Toc184314452"/>
      <w:bookmarkEnd w:id="203"/>
      <w:bookmarkStart w:id="204" w:name="_Toc184308107"/>
      <w:bookmarkEnd w:id="204"/>
      <w:bookmarkStart w:id="205" w:name="_Toc184312098"/>
      <w:bookmarkEnd w:id="205"/>
      <w:bookmarkStart w:id="206" w:name="_Toc184313303"/>
      <w:bookmarkEnd w:id="206"/>
      <w:bookmarkStart w:id="207" w:name="_Toc184312082"/>
      <w:bookmarkEnd w:id="207"/>
      <w:bookmarkStart w:id="208" w:name="_Toc184310312"/>
      <w:bookmarkEnd w:id="208"/>
      <w:bookmarkStart w:id="209" w:name="_Toc184312099"/>
      <w:bookmarkEnd w:id="209"/>
      <w:bookmarkStart w:id="210" w:name="_Toc184308078"/>
      <w:bookmarkEnd w:id="210"/>
      <w:bookmarkStart w:id="211" w:name="_Toc184314445"/>
      <w:bookmarkEnd w:id="211"/>
      <w:bookmarkStart w:id="212" w:name="_Toc184312086"/>
      <w:bookmarkEnd w:id="212"/>
      <w:bookmarkStart w:id="213" w:name="_Toc184308054"/>
      <w:bookmarkEnd w:id="213"/>
      <w:bookmarkStart w:id="214" w:name="_Toc184313239"/>
      <w:bookmarkEnd w:id="214"/>
      <w:bookmarkStart w:id="215" w:name="_Toc184310278"/>
      <w:bookmarkEnd w:id="215"/>
      <w:bookmarkStart w:id="216" w:name="_Toc184314461"/>
      <w:bookmarkEnd w:id="216"/>
      <w:bookmarkStart w:id="217" w:name="_Toc184314468"/>
      <w:bookmarkEnd w:id="217"/>
      <w:bookmarkStart w:id="218" w:name="_Toc184314437"/>
      <w:bookmarkEnd w:id="218"/>
      <w:bookmarkStart w:id="219" w:name="_Toc184314466"/>
      <w:bookmarkEnd w:id="219"/>
      <w:bookmarkStart w:id="220" w:name="_Toc184310308"/>
      <w:bookmarkEnd w:id="220"/>
      <w:bookmarkStart w:id="221" w:name="_Toc184308089"/>
      <w:bookmarkEnd w:id="221"/>
      <w:bookmarkStart w:id="222" w:name="_Toc184313249"/>
      <w:bookmarkEnd w:id="222"/>
      <w:bookmarkStart w:id="223" w:name="_Toc184308068"/>
      <w:bookmarkEnd w:id="223"/>
      <w:bookmarkStart w:id="224" w:name="_Toc184310295"/>
      <w:bookmarkEnd w:id="224"/>
      <w:bookmarkStart w:id="225" w:name="_Toc184310343"/>
      <w:bookmarkEnd w:id="225"/>
      <w:bookmarkStart w:id="226" w:name="_Toc184313283"/>
      <w:bookmarkEnd w:id="226"/>
      <w:bookmarkStart w:id="227" w:name="_Toc184308102"/>
      <w:bookmarkEnd w:id="227"/>
      <w:bookmarkStart w:id="228" w:name="_Toc184308074"/>
      <w:bookmarkEnd w:id="228"/>
      <w:bookmarkStart w:id="229" w:name="_Toc184313290"/>
      <w:bookmarkEnd w:id="229"/>
      <w:bookmarkStart w:id="230" w:name="_Toc184310279"/>
      <w:bookmarkEnd w:id="230"/>
      <w:bookmarkStart w:id="231" w:name="_Toc184312111"/>
      <w:bookmarkEnd w:id="231"/>
      <w:bookmarkStart w:id="232" w:name="_Toc184308061"/>
      <w:bookmarkEnd w:id="232"/>
      <w:bookmarkStart w:id="233" w:name="_Toc184313243"/>
      <w:bookmarkEnd w:id="233"/>
      <w:bookmarkStart w:id="234" w:name="_Toc184312091"/>
      <w:bookmarkEnd w:id="234"/>
      <w:bookmarkStart w:id="235" w:name="_Toc184308045"/>
      <w:bookmarkEnd w:id="235"/>
      <w:bookmarkStart w:id="236" w:name="_Toc184308049"/>
      <w:bookmarkEnd w:id="236"/>
      <w:bookmarkStart w:id="237" w:name="_Toc184314474"/>
      <w:bookmarkEnd w:id="237"/>
      <w:bookmarkStart w:id="238" w:name="_Toc184312105"/>
      <w:bookmarkEnd w:id="238"/>
      <w:bookmarkStart w:id="239" w:name="_Toc184312096"/>
      <w:bookmarkEnd w:id="239"/>
      <w:bookmarkStart w:id="240" w:name="_Toc184314439"/>
      <w:bookmarkEnd w:id="240"/>
      <w:bookmarkStart w:id="241" w:name="_Toc184310287"/>
      <w:bookmarkEnd w:id="241"/>
      <w:bookmarkStart w:id="242" w:name="_Toc184313238"/>
      <w:bookmarkEnd w:id="242"/>
      <w:bookmarkStart w:id="243" w:name="_Toc184312094"/>
      <w:bookmarkEnd w:id="243"/>
      <w:bookmarkStart w:id="244" w:name="_Toc184314449"/>
      <w:bookmarkEnd w:id="244"/>
      <w:bookmarkStart w:id="245" w:name="_Toc184310333"/>
      <w:bookmarkEnd w:id="245"/>
      <w:bookmarkStart w:id="246" w:name="_Toc184314467"/>
      <w:bookmarkEnd w:id="246"/>
      <w:bookmarkStart w:id="247" w:name="_Toc184312069"/>
      <w:bookmarkEnd w:id="247"/>
      <w:bookmarkStart w:id="248" w:name="_Toc184314424"/>
      <w:bookmarkEnd w:id="248"/>
      <w:bookmarkStart w:id="249" w:name="_Toc184310307"/>
      <w:bookmarkEnd w:id="249"/>
      <w:bookmarkStart w:id="250" w:name="_Toc184308037"/>
      <w:bookmarkEnd w:id="250"/>
      <w:bookmarkStart w:id="251" w:name="_Toc184308081"/>
      <w:bookmarkEnd w:id="251"/>
      <w:bookmarkStart w:id="252" w:name="_Toc184308036"/>
      <w:bookmarkEnd w:id="252"/>
      <w:bookmarkStart w:id="253" w:name="_Toc184308069"/>
      <w:bookmarkEnd w:id="253"/>
      <w:bookmarkStart w:id="254" w:name="_Toc184310283"/>
      <w:bookmarkEnd w:id="254"/>
      <w:bookmarkStart w:id="255" w:name="_Toc184314454"/>
      <w:bookmarkEnd w:id="255"/>
      <w:bookmarkStart w:id="256" w:name="_Toc184310341"/>
      <w:bookmarkEnd w:id="256"/>
      <w:bookmarkStart w:id="257" w:name="_Toc184314476"/>
      <w:bookmarkEnd w:id="257"/>
      <w:bookmarkStart w:id="258" w:name="_Toc184312112"/>
      <w:bookmarkEnd w:id="258"/>
      <w:bookmarkStart w:id="259" w:name="_Toc184314418"/>
      <w:bookmarkEnd w:id="259"/>
      <w:bookmarkStart w:id="260" w:name="_Toc184310310"/>
      <w:bookmarkEnd w:id="260"/>
      <w:bookmarkStart w:id="261" w:name="_Toc184313246"/>
      <w:bookmarkEnd w:id="261"/>
      <w:bookmarkStart w:id="262" w:name="_Toc184313287"/>
      <w:bookmarkEnd w:id="262"/>
      <w:bookmarkStart w:id="263" w:name="_Toc184308094"/>
      <w:bookmarkEnd w:id="263"/>
      <w:bookmarkStart w:id="264" w:name="_Toc184308057"/>
      <w:bookmarkEnd w:id="264"/>
      <w:bookmarkStart w:id="265" w:name="_Toc184308086"/>
      <w:bookmarkEnd w:id="265"/>
      <w:bookmarkStart w:id="266" w:name="_Toc184310281"/>
      <w:bookmarkEnd w:id="266"/>
      <w:bookmarkStart w:id="267" w:name="_Toc184313264"/>
      <w:bookmarkEnd w:id="267"/>
      <w:bookmarkStart w:id="268" w:name="_Toc184314448"/>
      <w:bookmarkEnd w:id="268"/>
      <w:bookmarkStart w:id="269" w:name="_Toc184312129"/>
      <w:bookmarkEnd w:id="269"/>
      <w:bookmarkStart w:id="270" w:name="_Toc184313262"/>
      <w:bookmarkEnd w:id="270"/>
      <w:bookmarkStart w:id="271" w:name="_Toc184314453"/>
      <w:bookmarkEnd w:id="271"/>
      <w:bookmarkStart w:id="272" w:name="_Toc184308093"/>
      <w:bookmarkEnd w:id="272"/>
      <w:bookmarkStart w:id="273" w:name="_Toc184314416"/>
      <w:bookmarkEnd w:id="273"/>
      <w:bookmarkStart w:id="274" w:name="_Toc184310284"/>
      <w:bookmarkEnd w:id="274"/>
      <w:bookmarkStart w:id="275" w:name="_Toc184308041"/>
      <w:bookmarkEnd w:id="275"/>
      <w:bookmarkStart w:id="276" w:name="_Toc184310320"/>
      <w:bookmarkEnd w:id="276"/>
      <w:bookmarkStart w:id="277" w:name="_Toc184314470"/>
      <w:bookmarkEnd w:id="277"/>
      <w:bookmarkStart w:id="278" w:name="_Toc184314462"/>
      <w:bookmarkEnd w:id="278"/>
      <w:bookmarkStart w:id="279" w:name="_Toc184314433"/>
      <w:bookmarkEnd w:id="279"/>
      <w:bookmarkStart w:id="280" w:name="_Toc184313252"/>
      <w:bookmarkEnd w:id="280"/>
      <w:bookmarkStart w:id="281" w:name="_Toc184313273"/>
      <w:bookmarkEnd w:id="281"/>
      <w:bookmarkStart w:id="282" w:name="_Toc184312120"/>
      <w:bookmarkEnd w:id="282"/>
      <w:bookmarkStart w:id="283" w:name="_Toc184310282"/>
      <w:bookmarkEnd w:id="283"/>
      <w:bookmarkStart w:id="284" w:name="_Toc184314440"/>
      <w:bookmarkEnd w:id="284"/>
      <w:bookmarkStart w:id="285" w:name="_Toc184314432"/>
      <w:bookmarkEnd w:id="285"/>
      <w:bookmarkStart w:id="286" w:name="_Toc184310329"/>
      <w:bookmarkEnd w:id="286"/>
      <w:bookmarkStart w:id="287" w:name="_Toc184308064"/>
      <w:bookmarkEnd w:id="287"/>
      <w:bookmarkStart w:id="288" w:name="_Toc184313272"/>
      <w:bookmarkEnd w:id="288"/>
      <w:bookmarkStart w:id="289" w:name="_Toc184310299"/>
      <w:bookmarkEnd w:id="289"/>
      <w:bookmarkStart w:id="290" w:name="_Toc184313258"/>
      <w:bookmarkEnd w:id="290"/>
      <w:bookmarkStart w:id="291" w:name="_Toc184313296"/>
      <w:bookmarkEnd w:id="291"/>
      <w:bookmarkStart w:id="292" w:name="_Toc184313256"/>
      <w:bookmarkEnd w:id="292"/>
      <w:bookmarkStart w:id="293" w:name="_Toc184312101"/>
      <w:bookmarkEnd w:id="293"/>
      <w:bookmarkStart w:id="294" w:name="_Toc184312092"/>
      <w:bookmarkEnd w:id="294"/>
      <w:bookmarkStart w:id="295" w:name="_Toc184310311"/>
      <w:bookmarkEnd w:id="295"/>
      <w:bookmarkStart w:id="296" w:name="_Toc184310322"/>
      <w:bookmarkEnd w:id="296"/>
      <w:bookmarkStart w:id="297" w:name="_Toc184308101"/>
      <w:bookmarkEnd w:id="297"/>
      <w:bookmarkStart w:id="298" w:name="_Toc184312126"/>
      <w:bookmarkEnd w:id="298"/>
      <w:bookmarkStart w:id="299" w:name="_Toc184312081"/>
      <w:bookmarkEnd w:id="299"/>
      <w:bookmarkStart w:id="300" w:name="_Toc184308046"/>
      <w:bookmarkEnd w:id="300"/>
      <w:bookmarkStart w:id="301" w:name="_Toc184308065"/>
      <w:bookmarkEnd w:id="301"/>
      <w:bookmarkStart w:id="302" w:name="_Toc184310330"/>
      <w:bookmarkEnd w:id="302"/>
      <w:bookmarkStart w:id="303" w:name="_Toc184310289"/>
      <w:bookmarkEnd w:id="303"/>
      <w:bookmarkStart w:id="304" w:name="_Toc184310337"/>
      <w:bookmarkEnd w:id="304"/>
      <w:bookmarkStart w:id="305" w:name="_Toc184313278"/>
      <w:bookmarkEnd w:id="305"/>
      <w:bookmarkStart w:id="306" w:name="_Toc184312079"/>
      <w:bookmarkEnd w:id="306"/>
      <w:bookmarkStart w:id="307" w:name="_Toc184310340"/>
      <w:bookmarkEnd w:id="307"/>
      <w:bookmarkStart w:id="308" w:name="_Toc184312114"/>
      <w:bookmarkEnd w:id="308"/>
      <w:bookmarkStart w:id="309" w:name="_Toc184310336"/>
      <w:bookmarkEnd w:id="309"/>
      <w:bookmarkStart w:id="310" w:name="_Toc184313260"/>
      <w:bookmarkEnd w:id="310"/>
      <w:bookmarkStart w:id="311" w:name="_Toc184308059"/>
      <w:bookmarkEnd w:id="311"/>
      <w:bookmarkStart w:id="312" w:name="_Toc184312090"/>
      <w:bookmarkEnd w:id="312"/>
      <w:bookmarkStart w:id="313" w:name="_Toc184308099"/>
      <w:bookmarkEnd w:id="313"/>
      <w:bookmarkStart w:id="314" w:name="_Toc184312132"/>
      <w:bookmarkEnd w:id="314"/>
      <w:bookmarkStart w:id="315" w:name="_Toc184314475"/>
      <w:bookmarkEnd w:id="315"/>
      <w:bookmarkStart w:id="316" w:name="_Toc184313307"/>
      <w:bookmarkEnd w:id="316"/>
      <w:bookmarkStart w:id="317" w:name="_Toc184310272"/>
      <w:bookmarkEnd w:id="317"/>
      <w:bookmarkStart w:id="318" w:name="_Toc184308075"/>
      <w:bookmarkEnd w:id="318"/>
      <w:bookmarkStart w:id="319" w:name="_Toc184308039"/>
      <w:bookmarkEnd w:id="319"/>
      <w:bookmarkStart w:id="320" w:name="_Toc184313302"/>
      <w:bookmarkEnd w:id="320"/>
      <w:bookmarkStart w:id="321" w:name="_Toc184308067"/>
      <w:bookmarkEnd w:id="321"/>
      <w:bookmarkStart w:id="322" w:name="_Toc184308055"/>
      <w:bookmarkEnd w:id="322"/>
      <w:bookmarkStart w:id="323" w:name="_Toc184308077"/>
      <w:bookmarkEnd w:id="323"/>
      <w:bookmarkStart w:id="324" w:name="_Toc184308091"/>
      <w:bookmarkEnd w:id="324"/>
      <w:bookmarkStart w:id="325" w:name="_Toc184308100"/>
      <w:bookmarkEnd w:id="325"/>
      <w:bookmarkStart w:id="326" w:name="_Toc184314444"/>
      <w:bookmarkEnd w:id="326"/>
      <w:bookmarkStart w:id="327" w:name="_Toc184314458"/>
      <w:bookmarkEnd w:id="327"/>
      <w:bookmarkStart w:id="328" w:name="_Toc184308058"/>
      <w:bookmarkEnd w:id="328"/>
      <w:bookmarkStart w:id="329" w:name="_Toc184313288"/>
      <w:bookmarkEnd w:id="329"/>
      <w:bookmarkStart w:id="330" w:name="_Toc184312093"/>
      <w:bookmarkEnd w:id="330"/>
      <w:bookmarkStart w:id="331" w:name="_Toc184310314"/>
      <w:bookmarkEnd w:id="331"/>
      <w:bookmarkStart w:id="332" w:name="_Toc184308098"/>
      <w:bookmarkEnd w:id="332"/>
      <w:bookmarkStart w:id="333" w:name="_Toc184313295"/>
      <w:bookmarkEnd w:id="333"/>
      <w:bookmarkStart w:id="334" w:name="_Toc184310285"/>
      <w:bookmarkEnd w:id="334"/>
      <w:bookmarkStart w:id="335" w:name="_Toc184313254"/>
      <w:bookmarkEnd w:id="335"/>
      <w:bookmarkStart w:id="336" w:name="_Toc184313274"/>
      <w:bookmarkEnd w:id="336"/>
      <w:bookmarkStart w:id="337" w:name="_Toc184313259"/>
      <w:bookmarkEnd w:id="337"/>
      <w:bookmarkStart w:id="338" w:name="_Toc184312139"/>
      <w:bookmarkEnd w:id="338"/>
      <w:bookmarkStart w:id="339" w:name="_Toc184312083"/>
      <w:bookmarkEnd w:id="339"/>
      <w:bookmarkStart w:id="340" w:name="_Toc184308043"/>
      <w:bookmarkEnd w:id="340"/>
      <w:bookmarkStart w:id="341" w:name="_Toc184310334"/>
      <w:bookmarkEnd w:id="341"/>
      <w:bookmarkStart w:id="342" w:name="_Toc184313300"/>
      <w:bookmarkEnd w:id="342"/>
      <w:bookmarkStart w:id="343" w:name="_Toc184313241"/>
      <w:bookmarkEnd w:id="343"/>
      <w:bookmarkStart w:id="344" w:name="_Toc184310301"/>
      <w:bookmarkEnd w:id="344"/>
      <w:bookmarkStart w:id="345" w:name="_Toc184308085"/>
      <w:bookmarkEnd w:id="345"/>
      <w:bookmarkStart w:id="346" w:name="_Toc184314446"/>
      <w:bookmarkEnd w:id="346"/>
      <w:bookmarkStart w:id="347" w:name="_Toc184310339"/>
      <w:bookmarkEnd w:id="347"/>
      <w:bookmarkStart w:id="348" w:name="_Toc184314480"/>
      <w:bookmarkEnd w:id="348"/>
      <w:bookmarkStart w:id="349" w:name="_Toc184313242"/>
      <w:bookmarkEnd w:id="349"/>
      <w:bookmarkStart w:id="350" w:name="_Toc184312119"/>
      <w:bookmarkEnd w:id="350"/>
      <w:bookmarkStart w:id="351" w:name="_Toc184313281"/>
      <w:bookmarkEnd w:id="351"/>
      <w:bookmarkStart w:id="352" w:name="_Toc184308062"/>
      <w:bookmarkEnd w:id="352"/>
      <w:bookmarkStart w:id="353" w:name="_Toc184312074"/>
      <w:bookmarkEnd w:id="353"/>
      <w:bookmarkStart w:id="354" w:name="_Toc184308044"/>
      <w:bookmarkEnd w:id="354"/>
      <w:bookmarkStart w:id="355" w:name="_Toc184310303"/>
      <w:bookmarkEnd w:id="355"/>
      <w:bookmarkStart w:id="356" w:name="_Toc184313270"/>
      <w:bookmarkEnd w:id="356"/>
      <w:bookmarkStart w:id="357" w:name="_Toc184312116"/>
      <w:bookmarkEnd w:id="357"/>
      <w:bookmarkStart w:id="358" w:name="_Toc184310290"/>
      <w:bookmarkEnd w:id="358"/>
      <w:bookmarkStart w:id="359" w:name="_Toc184308088"/>
      <w:bookmarkEnd w:id="359"/>
      <w:bookmarkStart w:id="360" w:name="_Toc184308082"/>
      <w:bookmarkEnd w:id="360"/>
      <w:bookmarkStart w:id="361" w:name="_Toc184312067"/>
      <w:bookmarkEnd w:id="361"/>
      <w:bookmarkStart w:id="362" w:name="_Toc184308097"/>
      <w:bookmarkEnd w:id="362"/>
      <w:bookmarkStart w:id="363" w:name="_Toc184310305"/>
      <w:bookmarkEnd w:id="363"/>
      <w:bookmarkStart w:id="364" w:name="_Toc184312110"/>
      <w:bookmarkEnd w:id="364"/>
      <w:bookmarkStart w:id="365" w:name="_Toc184308060"/>
      <w:bookmarkEnd w:id="365"/>
      <w:bookmarkStart w:id="366" w:name="_Toc184312117"/>
      <w:bookmarkEnd w:id="366"/>
      <w:bookmarkStart w:id="367" w:name="_Toc184313310"/>
      <w:bookmarkEnd w:id="367"/>
      <w:bookmarkStart w:id="368" w:name="_Toc184313248"/>
      <w:bookmarkEnd w:id="368"/>
      <w:bookmarkStart w:id="369" w:name="_Toc184313240"/>
      <w:bookmarkEnd w:id="369"/>
      <w:bookmarkStart w:id="370" w:name="_Toc184314450"/>
      <w:bookmarkEnd w:id="370"/>
      <w:bookmarkStart w:id="371" w:name="_Toc184314457"/>
      <w:bookmarkEnd w:id="371"/>
      <w:bookmarkStart w:id="372" w:name="_Toc184312106"/>
      <w:bookmarkEnd w:id="372"/>
      <w:bookmarkStart w:id="373" w:name="_Toc184312118"/>
      <w:bookmarkEnd w:id="373"/>
      <w:bookmarkStart w:id="374" w:name="_Toc184310302"/>
      <w:bookmarkEnd w:id="374"/>
      <w:bookmarkStart w:id="375" w:name="_Toc184308053"/>
      <w:bookmarkEnd w:id="375"/>
      <w:bookmarkStart w:id="376" w:name="_Toc184314465"/>
      <w:bookmarkEnd w:id="376"/>
      <w:bookmarkStart w:id="377" w:name="_Toc184310297"/>
      <w:bookmarkEnd w:id="377"/>
      <w:bookmarkStart w:id="378" w:name="_Toc184314481"/>
      <w:bookmarkEnd w:id="378"/>
      <w:bookmarkStart w:id="379" w:name="_Toc184310313"/>
      <w:bookmarkEnd w:id="379"/>
      <w:bookmarkStart w:id="380" w:name="_Toc184314477"/>
      <w:bookmarkEnd w:id="380"/>
      <w:bookmarkStart w:id="381" w:name="_Toc184310327"/>
      <w:bookmarkEnd w:id="381"/>
      <w:bookmarkStart w:id="382" w:name="_Toc184310300"/>
      <w:bookmarkEnd w:id="382"/>
      <w:bookmarkStart w:id="383" w:name="_Toc184312078"/>
      <w:bookmarkEnd w:id="383"/>
      <w:bookmarkStart w:id="384" w:name="_Toc184312077"/>
      <w:bookmarkEnd w:id="384"/>
      <w:bookmarkStart w:id="385" w:name="_Toc184312137"/>
      <w:bookmarkEnd w:id="385"/>
      <w:bookmarkStart w:id="386" w:name="_Toc184314443"/>
      <w:bookmarkEnd w:id="386"/>
      <w:bookmarkStart w:id="387" w:name="_Toc184310332"/>
      <w:bookmarkEnd w:id="387"/>
      <w:bookmarkStart w:id="388" w:name="_Toc184308051"/>
      <w:bookmarkEnd w:id="388"/>
      <w:bookmarkStart w:id="389" w:name="_Toc184308103"/>
      <w:bookmarkEnd w:id="389"/>
      <w:bookmarkStart w:id="390" w:name="_Toc184312085"/>
      <w:bookmarkEnd w:id="390"/>
      <w:bookmarkStart w:id="391" w:name="_Toc184310306"/>
      <w:bookmarkEnd w:id="391"/>
      <w:bookmarkStart w:id="392" w:name="_Toc184312107"/>
      <w:bookmarkEnd w:id="392"/>
      <w:bookmarkStart w:id="393" w:name="_Toc184314463"/>
      <w:bookmarkEnd w:id="393"/>
      <w:bookmarkStart w:id="394" w:name="_Toc184312115"/>
      <w:bookmarkEnd w:id="394"/>
      <w:bookmarkStart w:id="395" w:name="_Toc184314417"/>
      <w:bookmarkEnd w:id="395"/>
      <w:bookmarkStart w:id="396" w:name="_Toc184314447"/>
      <w:bookmarkEnd w:id="396"/>
      <w:r>
        <w:rPr>
          <w:rFonts w:hint="eastAsia" w:ascii="宋体" w:hAnsi="宋体" w:cs="宋体"/>
          <w:b/>
          <w:color w:val="auto"/>
          <w:sz w:val="36"/>
          <w:szCs w:val="36"/>
          <w:highlight w:val="none"/>
        </w:rPr>
        <w:t>评标办法</w:t>
      </w:r>
    </w:p>
    <w:p w14:paraId="3AC99769">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p w14:paraId="7F0B5F37">
      <w:pPr>
        <w:snapToGrid w:val="0"/>
        <w:spacing w:line="360" w:lineRule="auto"/>
        <w:jc w:val="center"/>
        <w:rPr>
          <w:rFonts w:hint="default" w:ascii="宋体" w:hAnsi="宋体" w:cs="宋体"/>
          <w:b/>
          <w:color w:val="auto"/>
          <w:sz w:val="32"/>
          <w:szCs w:val="20"/>
          <w:highlight w:val="none"/>
          <w:lang w:val="en-US" w:eastAsia="zh-CN"/>
        </w:rPr>
      </w:pPr>
      <w:r>
        <w:rPr>
          <w:rFonts w:hint="eastAsia" w:ascii="宋体" w:hAnsi="宋体" w:cs="宋体"/>
          <w:b/>
          <w:color w:val="auto"/>
          <w:sz w:val="32"/>
          <w:szCs w:val="20"/>
          <w:highlight w:val="none"/>
          <w:lang w:val="en-US" w:eastAsia="zh-CN"/>
        </w:rPr>
        <w:t>标项一评标办法</w:t>
      </w:r>
    </w:p>
    <w:tbl>
      <w:tblPr>
        <w:tblStyle w:val="64"/>
        <w:tblW w:w="92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738"/>
        <w:gridCol w:w="6696"/>
        <w:gridCol w:w="456"/>
        <w:gridCol w:w="720"/>
      </w:tblGrid>
      <w:tr w14:paraId="261BE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342B1D3B">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7434" w:type="dxa"/>
            <w:gridSpan w:val="2"/>
            <w:vAlign w:val="center"/>
          </w:tcPr>
          <w:p w14:paraId="62ACAD44">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456" w:type="dxa"/>
            <w:vAlign w:val="center"/>
          </w:tcPr>
          <w:p w14:paraId="37CD37E2">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iCs/>
                <w:color w:val="auto"/>
                <w:sz w:val="24"/>
                <w:szCs w:val="24"/>
                <w:highlight w:val="none"/>
              </w:rPr>
              <w:t>分值</w:t>
            </w:r>
          </w:p>
        </w:tc>
        <w:tc>
          <w:tcPr>
            <w:tcW w:w="720" w:type="dxa"/>
            <w:vAlign w:val="center"/>
          </w:tcPr>
          <w:p w14:paraId="53EEB2F6">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评分属性</w:t>
            </w:r>
          </w:p>
        </w:tc>
      </w:tr>
      <w:tr w14:paraId="142A6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618E9BE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738" w:type="dxa"/>
            <w:vAlign w:val="center"/>
          </w:tcPr>
          <w:p w14:paraId="30F27665">
            <w:pPr>
              <w:keepNext w:val="0"/>
              <w:keepLines w:val="0"/>
              <w:pageBreakBefore w:val="0"/>
              <w:kinsoku/>
              <w:wordWrap/>
              <w:overflowPunct/>
              <w:topLinePunct w:val="0"/>
              <w:autoSpaceDE/>
              <w:autoSpaceDN/>
              <w:bidi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w:t>
            </w:r>
          </w:p>
        </w:tc>
        <w:tc>
          <w:tcPr>
            <w:tcW w:w="6696" w:type="dxa"/>
            <w:vAlign w:val="center"/>
          </w:tcPr>
          <w:p w14:paraId="55AD3BD4">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bidi="ar"/>
              </w:rPr>
              <w:t>投标人</w:t>
            </w:r>
            <w:r>
              <w:rPr>
                <w:rFonts w:hint="eastAsia" w:ascii="宋体" w:hAnsi="宋体" w:eastAsia="宋体" w:cs="宋体"/>
                <w:bCs/>
                <w:color w:val="auto"/>
                <w:sz w:val="24"/>
                <w:szCs w:val="24"/>
                <w:highlight w:val="none"/>
                <w:lang w:bidi="ar"/>
              </w:rPr>
              <w:t>具备质量管理体</w:t>
            </w:r>
            <w:r>
              <w:rPr>
                <w:rFonts w:hint="eastAsia" w:ascii="宋体" w:hAnsi="宋体" w:eastAsia="宋体" w:cs="宋体"/>
                <w:b w:val="0"/>
                <w:bCs/>
                <w:color w:val="auto"/>
                <w:sz w:val="24"/>
                <w:szCs w:val="24"/>
                <w:highlight w:val="none"/>
                <w:lang w:bidi="ar"/>
              </w:rPr>
              <w:t>系ISO 9001认证、信息安全管理体系ISO/IEC 27001认证、ISO/IEC 20000（信</w:t>
            </w:r>
            <w:r>
              <w:rPr>
                <w:rFonts w:hint="eastAsia" w:ascii="宋体" w:hAnsi="宋体" w:eastAsia="宋体" w:cs="宋体"/>
                <w:bCs/>
                <w:color w:val="auto"/>
                <w:sz w:val="24"/>
                <w:szCs w:val="24"/>
                <w:highlight w:val="none"/>
                <w:lang w:bidi="ar"/>
              </w:rPr>
              <w:t>息技术服务管理体系）认证</w:t>
            </w:r>
            <w:r>
              <w:rPr>
                <w:rFonts w:hint="eastAsia" w:ascii="宋体" w:hAnsi="宋体" w:eastAsia="宋体" w:cs="宋体"/>
                <w:bCs/>
                <w:color w:val="auto"/>
                <w:sz w:val="24"/>
                <w:szCs w:val="24"/>
                <w:highlight w:val="none"/>
                <w:lang w:val="en-US" w:eastAsia="zh-CN" w:bidi="ar"/>
              </w:rPr>
              <w:t>且认证范围</w:t>
            </w:r>
            <w:r>
              <w:rPr>
                <w:rFonts w:hint="eastAsia" w:ascii="宋体" w:hAnsi="宋体" w:eastAsia="宋体" w:cs="宋体"/>
                <w:bCs/>
                <w:color w:val="auto"/>
                <w:sz w:val="24"/>
                <w:szCs w:val="24"/>
                <w:highlight w:val="none"/>
                <w:lang w:val="en-US" w:eastAsia="zh-CN" w:bidi="ar"/>
              </w:rPr>
              <w:t>包含信息技术等与本项目合同履约相关的</w:t>
            </w:r>
            <w:r>
              <w:rPr>
                <w:rFonts w:hint="eastAsia" w:ascii="宋体" w:hAnsi="宋体" w:eastAsia="宋体" w:cs="宋体"/>
                <w:bCs/>
                <w:color w:val="auto"/>
                <w:sz w:val="24"/>
                <w:szCs w:val="24"/>
                <w:highlight w:val="none"/>
                <w:lang w:bidi="ar"/>
              </w:rPr>
              <w:t>，</w:t>
            </w:r>
            <w:r>
              <w:rPr>
                <w:rFonts w:hint="eastAsia" w:ascii="宋体" w:hAnsi="宋体" w:eastAsia="宋体" w:cs="宋体"/>
                <w:bCs/>
                <w:color w:val="auto"/>
                <w:sz w:val="24"/>
                <w:szCs w:val="24"/>
                <w:highlight w:val="none"/>
                <w:lang w:val="en-US" w:eastAsia="zh-CN" w:bidi="ar"/>
              </w:rPr>
              <w:t>每个证书得1分，最高得3分</w:t>
            </w:r>
            <w:r>
              <w:rPr>
                <w:rFonts w:hint="eastAsia" w:ascii="宋体" w:hAnsi="宋体" w:eastAsia="宋体" w:cs="宋体"/>
                <w:bCs/>
                <w:color w:val="auto"/>
                <w:sz w:val="24"/>
                <w:szCs w:val="24"/>
                <w:highlight w:val="none"/>
                <w:lang w:bidi="ar"/>
              </w:rPr>
              <w:t>（需提供全国认证认可信息公共服务平台（http://cx.cnca.cn/CertECloud/result/skipResultList）查询结果截图作为证明材料，未提供或证明材料不完善的不得分）。</w:t>
            </w:r>
          </w:p>
        </w:tc>
        <w:tc>
          <w:tcPr>
            <w:tcW w:w="456" w:type="dxa"/>
            <w:vAlign w:val="center"/>
          </w:tcPr>
          <w:p w14:paraId="0CB2A40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iCs/>
                <w:color w:val="auto"/>
                <w:sz w:val="24"/>
                <w:szCs w:val="24"/>
                <w:highlight w:val="none"/>
                <w:lang w:val="en-US" w:eastAsia="zh-CN"/>
              </w:rPr>
            </w:pPr>
            <w:r>
              <w:rPr>
                <w:rFonts w:hint="eastAsia" w:ascii="宋体" w:hAnsi="宋体" w:eastAsia="宋体" w:cs="宋体"/>
                <w:iCs/>
                <w:color w:val="auto"/>
                <w:sz w:val="24"/>
                <w:szCs w:val="24"/>
                <w:highlight w:val="none"/>
                <w:lang w:val="en-US" w:eastAsia="zh-CN"/>
              </w:rPr>
              <w:t>3</w:t>
            </w:r>
          </w:p>
        </w:tc>
        <w:tc>
          <w:tcPr>
            <w:tcW w:w="720" w:type="dxa"/>
            <w:vAlign w:val="center"/>
          </w:tcPr>
          <w:p w14:paraId="10E3826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客观分</w:t>
            </w:r>
          </w:p>
        </w:tc>
      </w:tr>
      <w:tr w14:paraId="77E4B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853522E">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p>
        </w:tc>
        <w:tc>
          <w:tcPr>
            <w:tcW w:w="738" w:type="dxa"/>
            <w:vAlign w:val="center"/>
          </w:tcPr>
          <w:p w14:paraId="6BAF0A42">
            <w:pPr>
              <w:keepNext w:val="0"/>
              <w:keepLines w:val="0"/>
              <w:pageBreakBefore w:val="0"/>
              <w:kinsoku/>
              <w:wordWrap/>
              <w:overflowPunct/>
              <w:topLinePunct w:val="0"/>
              <w:autoSpaceDE/>
              <w:autoSpaceDN/>
              <w:bidi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w:t>
            </w:r>
          </w:p>
        </w:tc>
        <w:tc>
          <w:tcPr>
            <w:tcW w:w="6696" w:type="dxa"/>
          </w:tcPr>
          <w:p w14:paraId="340B7232">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自</w:t>
            </w:r>
            <w:r>
              <w:rPr>
                <w:rFonts w:hint="eastAsia" w:ascii="宋体" w:hAnsi="宋体" w:eastAsia="宋体" w:cs="宋体"/>
                <w:color w:val="auto"/>
                <w:kern w:val="0"/>
                <w:sz w:val="24"/>
                <w:szCs w:val="24"/>
                <w:highlight w:val="none"/>
                <w:lang w:eastAsia="zh-CN" w:bidi="ar"/>
              </w:rPr>
              <w:t>2022年1月1日</w:t>
            </w:r>
            <w:r>
              <w:rPr>
                <w:rFonts w:hint="eastAsia" w:ascii="宋体" w:hAnsi="宋体" w:eastAsia="宋体" w:cs="宋体"/>
                <w:color w:val="auto"/>
                <w:kern w:val="0"/>
                <w:sz w:val="24"/>
                <w:szCs w:val="24"/>
                <w:highlight w:val="none"/>
                <w:lang w:bidi="ar"/>
              </w:rPr>
              <w:t>以来（以合同签订</w:t>
            </w:r>
            <w:r>
              <w:rPr>
                <w:rFonts w:hint="eastAsia" w:ascii="宋体" w:hAnsi="宋体" w:eastAsia="宋体" w:cs="宋体"/>
                <w:bCs/>
                <w:color w:val="auto"/>
                <w:sz w:val="24"/>
                <w:szCs w:val="24"/>
                <w:highlight w:val="none"/>
                <w:lang w:bidi="ar"/>
              </w:rPr>
              <w:t>的最晚落款时间为准</w:t>
            </w:r>
            <w:r>
              <w:rPr>
                <w:rFonts w:hint="eastAsia" w:ascii="宋体" w:hAnsi="宋体" w:eastAsia="宋体" w:cs="宋体"/>
                <w:color w:val="auto"/>
                <w:kern w:val="0"/>
                <w:sz w:val="24"/>
                <w:szCs w:val="24"/>
                <w:highlight w:val="none"/>
                <w:lang w:bidi="ar"/>
              </w:rPr>
              <w:t>），投标人</w:t>
            </w:r>
            <w:r>
              <w:rPr>
                <w:rFonts w:hint="eastAsia" w:ascii="宋体" w:hAnsi="宋体" w:eastAsia="宋体" w:cs="宋体"/>
                <w:color w:val="auto"/>
                <w:kern w:val="0"/>
                <w:sz w:val="24"/>
                <w:szCs w:val="24"/>
                <w:highlight w:val="none"/>
                <w:lang w:val="en-US" w:eastAsia="zh-CN" w:bidi="ar"/>
              </w:rPr>
              <w:t>具有</w:t>
            </w:r>
            <w:r>
              <w:rPr>
                <w:rFonts w:hint="eastAsia" w:ascii="宋体" w:hAnsi="宋体" w:eastAsia="宋体" w:cs="宋体"/>
                <w:color w:val="auto"/>
                <w:kern w:val="0"/>
                <w:sz w:val="24"/>
                <w:szCs w:val="24"/>
                <w:highlight w:val="none"/>
                <w:lang w:bidi="ar"/>
              </w:rPr>
              <w:t>类似电子政务业绩</w:t>
            </w:r>
            <w:r>
              <w:rPr>
                <w:rFonts w:hint="eastAsia" w:ascii="宋体" w:hAnsi="宋体" w:eastAsia="宋体" w:cs="宋体"/>
                <w:color w:val="auto"/>
                <w:kern w:val="0"/>
                <w:sz w:val="24"/>
                <w:szCs w:val="24"/>
                <w:highlight w:val="none"/>
                <w:lang w:bidi="ar"/>
              </w:rPr>
              <w:t>的，每提供一个业绩得0.5分，最</w:t>
            </w:r>
            <w:r>
              <w:rPr>
                <w:rFonts w:hint="eastAsia" w:ascii="宋体" w:hAnsi="宋体" w:eastAsia="宋体" w:cs="宋体"/>
                <w:color w:val="auto"/>
                <w:kern w:val="0"/>
                <w:sz w:val="24"/>
                <w:szCs w:val="24"/>
                <w:highlight w:val="none"/>
                <w:lang w:val="en-US" w:eastAsia="zh-CN" w:bidi="ar"/>
              </w:rPr>
              <w:t>高</w:t>
            </w:r>
            <w:r>
              <w:rPr>
                <w:rFonts w:hint="eastAsia" w:ascii="宋体" w:hAnsi="宋体" w:eastAsia="宋体" w:cs="宋体"/>
                <w:color w:val="auto"/>
                <w:kern w:val="0"/>
                <w:sz w:val="24"/>
                <w:szCs w:val="24"/>
                <w:highlight w:val="none"/>
                <w:lang w:bidi="ar"/>
              </w:rPr>
              <w:t>得1分</w:t>
            </w:r>
            <w:r>
              <w:rPr>
                <w:rFonts w:hint="eastAsia" w:ascii="宋体" w:hAnsi="宋体" w:eastAsia="宋体" w:cs="宋体"/>
                <w:bCs/>
                <w:color w:val="auto"/>
                <w:sz w:val="24"/>
                <w:szCs w:val="24"/>
                <w:highlight w:val="none"/>
                <w:lang w:bidi="ar"/>
              </w:rPr>
              <w:t>；须提供合同复印件等证明材料，</w:t>
            </w:r>
            <w:r>
              <w:rPr>
                <w:rFonts w:hint="eastAsia" w:ascii="宋体" w:hAnsi="宋体" w:eastAsia="宋体" w:cs="宋体"/>
                <w:color w:val="auto"/>
                <w:kern w:val="0"/>
                <w:sz w:val="24"/>
                <w:szCs w:val="24"/>
                <w:highlight w:val="none"/>
              </w:rPr>
              <w:t>提供的证明材料须能体现相关评审因素，不提供或无法提供有效证明材料的不得分</w:t>
            </w:r>
            <w:r>
              <w:rPr>
                <w:rFonts w:hint="eastAsia" w:ascii="宋体" w:hAnsi="宋体" w:eastAsia="宋体" w:cs="宋体"/>
                <w:bCs/>
                <w:color w:val="auto"/>
                <w:sz w:val="24"/>
                <w:szCs w:val="24"/>
                <w:highlight w:val="none"/>
                <w:lang w:bidi="ar"/>
              </w:rPr>
              <w:t>。</w:t>
            </w:r>
          </w:p>
        </w:tc>
        <w:tc>
          <w:tcPr>
            <w:tcW w:w="456" w:type="dxa"/>
            <w:shd w:val="clear" w:color="auto" w:fill="auto"/>
            <w:vAlign w:val="center"/>
          </w:tcPr>
          <w:p w14:paraId="6CD26B45">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1</w:t>
            </w:r>
          </w:p>
        </w:tc>
        <w:tc>
          <w:tcPr>
            <w:tcW w:w="720" w:type="dxa"/>
            <w:vAlign w:val="center"/>
          </w:tcPr>
          <w:p w14:paraId="7E8CBE54">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59DD0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66D6A8E">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738" w:type="dxa"/>
            <w:vAlign w:val="center"/>
          </w:tcPr>
          <w:p w14:paraId="42099F5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77FF0A39">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根据投标人提供的项目整体建设方案（包括系统功能架构、技术方案）与</w:t>
            </w:r>
            <w:r>
              <w:rPr>
                <w:rFonts w:hint="eastAsia" w:ascii="宋体" w:hAnsi="宋体" w:cs="宋体"/>
                <w:color w:val="auto"/>
                <w:kern w:val="0"/>
                <w:sz w:val="24"/>
                <w:szCs w:val="24"/>
                <w:highlight w:val="none"/>
                <w:lang w:eastAsia="zh-CN" w:bidi="ar"/>
              </w:rPr>
              <w:t>项目实施要求</w:t>
            </w:r>
            <w:r>
              <w:rPr>
                <w:rFonts w:hint="eastAsia" w:ascii="宋体" w:hAnsi="宋体" w:eastAsia="宋体" w:cs="宋体"/>
                <w:color w:val="auto"/>
                <w:kern w:val="0"/>
                <w:sz w:val="24"/>
                <w:szCs w:val="24"/>
                <w:highlight w:val="none"/>
                <w:lang w:bidi="ar"/>
              </w:rPr>
              <w:t>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eastAsia="宋体" w:cs="宋体"/>
                <w:color w:val="auto"/>
                <w:sz w:val="24"/>
                <w:szCs w:val="24"/>
                <w:highlight w:val="none"/>
                <w:lang w:val="en-US" w:eastAsia="zh-CN" w:bidi="ar"/>
              </w:rPr>
              <w:t>5，</w:t>
            </w:r>
            <w:r>
              <w:rPr>
                <w:rStyle w:val="375"/>
                <w:rFonts w:hint="eastAsia" w:ascii="宋体" w:hAnsi="宋体" w:eastAsia="宋体" w:cs="宋体"/>
                <w:color w:val="auto"/>
                <w:sz w:val="24"/>
                <w:szCs w:val="24"/>
                <w:highlight w:val="none"/>
                <w:lang w:bidi="ar"/>
              </w:rPr>
              <w:t>4，3，2，1，0）</w:t>
            </w:r>
          </w:p>
        </w:tc>
        <w:tc>
          <w:tcPr>
            <w:tcW w:w="456" w:type="dxa"/>
            <w:shd w:val="clear" w:color="auto" w:fill="auto"/>
            <w:vAlign w:val="center"/>
          </w:tcPr>
          <w:p w14:paraId="71251EAA">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5</w:t>
            </w:r>
          </w:p>
        </w:tc>
        <w:tc>
          <w:tcPr>
            <w:tcW w:w="720" w:type="dxa"/>
            <w:vAlign w:val="center"/>
          </w:tcPr>
          <w:p w14:paraId="40C4E96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092AB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24F30837">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p>
        </w:tc>
        <w:tc>
          <w:tcPr>
            <w:tcW w:w="738" w:type="dxa"/>
            <w:vAlign w:val="center"/>
          </w:tcPr>
          <w:p w14:paraId="23F5DFF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05BB40F2">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功能设计及实施方案</w:t>
            </w:r>
          </w:p>
        </w:tc>
        <w:tc>
          <w:tcPr>
            <w:tcW w:w="456" w:type="dxa"/>
            <w:shd w:val="clear" w:color="auto" w:fill="auto"/>
            <w:vAlign w:val="center"/>
          </w:tcPr>
          <w:p w14:paraId="2F96FA38">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w:t>
            </w:r>
          </w:p>
        </w:tc>
        <w:tc>
          <w:tcPr>
            <w:tcW w:w="720" w:type="dxa"/>
            <w:vAlign w:val="center"/>
          </w:tcPr>
          <w:p w14:paraId="6183B5E2">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w:t>
            </w:r>
          </w:p>
        </w:tc>
      </w:tr>
      <w:tr w14:paraId="0D4F2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BB02EBA">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.1</w:t>
            </w:r>
          </w:p>
        </w:tc>
        <w:tc>
          <w:tcPr>
            <w:tcW w:w="738" w:type="dxa"/>
            <w:vAlign w:val="center"/>
          </w:tcPr>
          <w:p w14:paraId="47272BB2">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1EFFE322">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投标人根据采购需求，需提供针对本项目的“省市县三级平台贯通”</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模块的功能设计及实施方案，评标委员会根据响应方案的业务要素、数据要素、功能界面、功能说明等内容进行评分。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（分值：3，2，1，0）</w:t>
            </w:r>
          </w:p>
        </w:tc>
        <w:tc>
          <w:tcPr>
            <w:tcW w:w="456" w:type="dxa"/>
            <w:shd w:val="clear" w:color="auto" w:fill="auto"/>
            <w:vAlign w:val="center"/>
          </w:tcPr>
          <w:p w14:paraId="3DB3639A">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720" w:type="dxa"/>
            <w:vAlign w:val="center"/>
          </w:tcPr>
          <w:p w14:paraId="74F337AE">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4D3A0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5C410EBF">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lang w:val="en-US" w:eastAsia="zh-CN" w:bidi="ar"/>
              </w:rPr>
              <w:t>2</w:t>
            </w:r>
          </w:p>
        </w:tc>
        <w:tc>
          <w:tcPr>
            <w:tcW w:w="738" w:type="dxa"/>
            <w:vAlign w:val="center"/>
          </w:tcPr>
          <w:p w14:paraId="30BC3152">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676E1EF8">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投标人根据采购需求，需提供针对本项目的“全省应用管理及监控”</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模块的功能设计及实施方案，评标委员会根据响应方案的业务要素、数据要素、功能界面、功能说明等内容进行评分。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（分值：2，1，0）</w:t>
            </w:r>
          </w:p>
        </w:tc>
        <w:tc>
          <w:tcPr>
            <w:tcW w:w="456" w:type="dxa"/>
            <w:shd w:val="clear" w:color="auto" w:fill="auto"/>
            <w:vAlign w:val="center"/>
          </w:tcPr>
          <w:p w14:paraId="2B863A53">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2</w:t>
            </w:r>
          </w:p>
        </w:tc>
        <w:tc>
          <w:tcPr>
            <w:tcW w:w="720" w:type="dxa"/>
            <w:vAlign w:val="center"/>
          </w:tcPr>
          <w:p w14:paraId="22991D6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46260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7971C24B">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.3</w:t>
            </w:r>
          </w:p>
        </w:tc>
        <w:tc>
          <w:tcPr>
            <w:tcW w:w="738" w:type="dxa"/>
            <w:vAlign w:val="center"/>
          </w:tcPr>
          <w:p w14:paraId="5077333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4D146C05">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投标人根据采购需求，需提供针对本项目的“全省用户中心”</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模块的功能设计及实施方案，评标委员会根据响应方案的业务要素、数据要素、功能界面、功能说明等内容进行评分。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3，</w:t>
            </w:r>
            <w:r>
              <w:rPr>
                <w:rStyle w:val="375"/>
                <w:rFonts w:hint="eastAsia" w:ascii="宋体" w:hAnsi="宋体" w:eastAsia="宋体" w:cs="宋体"/>
                <w:color w:val="auto"/>
                <w:sz w:val="24"/>
                <w:szCs w:val="24"/>
                <w:highlight w:val="none"/>
                <w:lang w:bidi="ar"/>
              </w:rPr>
              <w:t>2，1，0）</w:t>
            </w:r>
          </w:p>
        </w:tc>
        <w:tc>
          <w:tcPr>
            <w:tcW w:w="456" w:type="dxa"/>
            <w:shd w:val="clear" w:color="auto" w:fill="auto"/>
            <w:vAlign w:val="center"/>
          </w:tcPr>
          <w:p w14:paraId="06D0F1DD">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cs="宋体"/>
                <w:color w:val="auto"/>
                <w:kern w:val="0"/>
                <w:sz w:val="24"/>
                <w:szCs w:val="24"/>
                <w:highlight w:val="none"/>
                <w:lang w:val="en-US" w:eastAsia="zh-CN" w:bidi="ar"/>
              </w:rPr>
              <w:t>3</w:t>
            </w:r>
          </w:p>
        </w:tc>
        <w:tc>
          <w:tcPr>
            <w:tcW w:w="720" w:type="dxa"/>
            <w:vAlign w:val="center"/>
          </w:tcPr>
          <w:p w14:paraId="2C5BB3A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3C12A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502EAA7E">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4</w:t>
            </w:r>
          </w:p>
        </w:tc>
        <w:tc>
          <w:tcPr>
            <w:tcW w:w="738" w:type="dxa"/>
            <w:vAlign w:val="center"/>
          </w:tcPr>
          <w:p w14:paraId="51928278">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4D445D2E">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投标人根据采购需求，需提供针对本项目的“统一工作台页面重构”</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模块的功能设计及实施方案，评标委员会根据响应方案的业务要素、数据要素、功能界面、功能说明等内容进行评分。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456" w:type="dxa"/>
            <w:shd w:val="clear" w:color="auto" w:fill="auto"/>
            <w:vAlign w:val="center"/>
          </w:tcPr>
          <w:p w14:paraId="789DCFF4">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4</w:t>
            </w:r>
          </w:p>
        </w:tc>
        <w:tc>
          <w:tcPr>
            <w:tcW w:w="720" w:type="dxa"/>
            <w:vAlign w:val="center"/>
          </w:tcPr>
          <w:p w14:paraId="39360AB8">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50F18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739EB0E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5</w:t>
            </w:r>
          </w:p>
        </w:tc>
        <w:tc>
          <w:tcPr>
            <w:tcW w:w="738" w:type="dxa"/>
            <w:vAlign w:val="center"/>
          </w:tcPr>
          <w:p w14:paraId="07FC47A7">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52D9878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both"/>
              <w:textAlignment w:val="auto"/>
              <w:outlineLvl w:val="2"/>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投标人根据采购需求，需提供针对本项目的“内跑迁移</w:t>
            </w:r>
            <w:r>
              <w:rPr>
                <w:rFonts w:hint="eastAsia" w:ascii="宋体" w:hAnsi="宋体" w:eastAsia="宋体" w:cs="宋体"/>
                <w:b w:val="0"/>
                <w:bCs w:val="0"/>
                <w:color w:val="auto"/>
                <w:kern w:val="0"/>
                <w:sz w:val="24"/>
                <w:szCs w:val="24"/>
                <w:highlight w:val="none"/>
                <w:lang w:bidi="ar"/>
              </w:rPr>
              <w:t>”</w:t>
            </w:r>
            <w:r>
              <w:rPr>
                <w:rFonts w:hint="eastAsia" w:ascii="宋体" w:hAnsi="宋体" w:eastAsia="宋体" w:cs="宋体"/>
                <w:b w:val="0"/>
                <w:bCs w:val="0"/>
                <w:color w:val="auto"/>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rPr>
              <w:t>资源集成”、“对接整合”</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模块的功能设计及实施方案，评标委员会根据响应方案的业务要素、数据要素、功能界面、功能说明等内容进行评分。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456" w:type="dxa"/>
            <w:shd w:val="clear" w:color="auto" w:fill="auto"/>
            <w:vAlign w:val="center"/>
          </w:tcPr>
          <w:p w14:paraId="2C7E8671">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4</w:t>
            </w:r>
          </w:p>
        </w:tc>
        <w:tc>
          <w:tcPr>
            <w:tcW w:w="720" w:type="dxa"/>
            <w:vAlign w:val="center"/>
          </w:tcPr>
          <w:p w14:paraId="172B433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22A4A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4046E7E7">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6</w:t>
            </w:r>
          </w:p>
        </w:tc>
        <w:tc>
          <w:tcPr>
            <w:tcW w:w="738" w:type="dxa"/>
            <w:vAlign w:val="center"/>
          </w:tcPr>
          <w:p w14:paraId="237C3BE8">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tcPr>
          <w:p w14:paraId="3A2BAD98">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w:t>
            </w:r>
            <w:r>
              <w:rPr>
                <w:rFonts w:hint="eastAsia" w:ascii="宋体" w:hAnsi="宋体" w:eastAsia="宋体" w:cs="宋体"/>
                <w:color w:val="auto"/>
                <w:kern w:val="0"/>
                <w:sz w:val="24"/>
                <w:szCs w:val="24"/>
                <w:highlight w:val="none"/>
                <w:lang w:val="en-US" w:eastAsia="zh-CN" w:bidi="ar"/>
              </w:rPr>
              <w:t>在线编辑</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sz w:val="24"/>
                <w:szCs w:val="24"/>
                <w:highlight w:val="none"/>
              </w:rPr>
              <w:t>（已作为演示项的内容除外）</w:t>
            </w:r>
            <w:r>
              <w:rPr>
                <w:rFonts w:hint="eastAsia" w:ascii="宋体" w:hAnsi="宋体" w:eastAsia="宋体" w:cs="宋体"/>
                <w:color w:val="auto"/>
                <w:kern w:val="0"/>
                <w:sz w:val="24"/>
                <w:szCs w:val="24"/>
                <w:highlight w:val="none"/>
                <w:lang w:bidi="ar"/>
              </w:rPr>
              <w:t>模块的功能设计及实施方案，评标委员会根据响应方案的业务要素、数据要素、功能界面、功能说明等内容进行评分。</w:t>
            </w:r>
            <w:r>
              <w:rPr>
                <w:rStyle w:val="375"/>
                <w:rFonts w:hint="eastAsia" w:ascii="宋体" w:hAnsi="宋体" w:eastAsia="宋体" w:cs="宋体"/>
                <w:color w:val="auto"/>
                <w:sz w:val="24"/>
                <w:szCs w:val="24"/>
                <w:highlight w:val="none"/>
                <w:lang w:bidi="ar"/>
              </w:rPr>
              <w:t>（分值：4，3，2，1，0）</w:t>
            </w:r>
          </w:p>
        </w:tc>
        <w:tc>
          <w:tcPr>
            <w:tcW w:w="456" w:type="dxa"/>
            <w:shd w:val="clear" w:color="auto" w:fill="auto"/>
            <w:vAlign w:val="center"/>
          </w:tcPr>
          <w:p w14:paraId="1C7217F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4</w:t>
            </w:r>
          </w:p>
        </w:tc>
        <w:tc>
          <w:tcPr>
            <w:tcW w:w="720" w:type="dxa"/>
            <w:vAlign w:val="center"/>
          </w:tcPr>
          <w:p w14:paraId="0B359D0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34853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34EEAFEC">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w:t>
            </w:r>
          </w:p>
        </w:tc>
        <w:tc>
          <w:tcPr>
            <w:tcW w:w="738" w:type="dxa"/>
            <w:vAlign w:val="center"/>
          </w:tcPr>
          <w:p w14:paraId="3E66AE1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696" w:type="dxa"/>
          </w:tcPr>
          <w:p w14:paraId="3F63FB10">
            <w:pPr>
              <w:keepNext w:val="0"/>
              <w:keepLines w:val="0"/>
              <w:pageBreakBefore w:val="0"/>
              <w:widowControl/>
              <w:kinsoku/>
              <w:wordWrap/>
              <w:overflowPunct/>
              <w:topLinePunct w:val="0"/>
              <w:autoSpaceDE/>
              <w:autoSpaceDN/>
              <w:bidi w:val="0"/>
              <w:spacing w:line="360" w:lineRule="auto"/>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技术要求响应情况</w:t>
            </w:r>
          </w:p>
        </w:tc>
        <w:tc>
          <w:tcPr>
            <w:tcW w:w="456" w:type="dxa"/>
            <w:shd w:val="clear" w:color="auto" w:fill="auto"/>
            <w:vAlign w:val="center"/>
          </w:tcPr>
          <w:p w14:paraId="6020EA3C">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w:t>
            </w:r>
          </w:p>
        </w:tc>
        <w:tc>
          <w:tcPr>
            <w:tcW w:w="720" w:type="dxa"/>
            <w:vAlign w:val="center"/>
          </w:tcPr>
          <w:p w14:paraId="60C603F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w:t>
            </w:r>
          </w:p>
        </w:tc>
      </w:tr>
      <w:tr w14:paraId="6C05C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7A2A02E">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5.1</w:t>
            </w:r>
          </w:p>
        </w:tc>
        <w:tc>
          <w:tcPr>
            <w:tcW w:w="738" w:type="dxa"/>
            <w:vAlign w:val="center"/>
          </w:tcPr>
          <w:p w14:paraId="526D897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696" w:type="dxa"/>
          </w:tcPr>
          <w:p w14:paraId="748CDE55">
            <w:pPr>
              <w:keepNext w:val="0"/>
              <w:keepLines w:val="0"/>
              <w:pageBreakBefore w:val="0"/>
              <w:widowControl/>
              <w:kinsoku/>
              <w:wordWrap/>
              <w:overflowPunct/>
              <w:topLinePunct w:val="0"/>
              <w:autoSpaceDE/>
              <w:autoSpaceDN/>
              <w:bidi w:val="0"/>
              <w:spacing w:line="360" w:lineRule="auto"/>
              <w:textAlignment w:val="top"/>
              <w:rPr>
                <w:rFonts w:hint="eastAsia" w:ascii="宋体" w:hAnsi="宋体" w:cs="宋体"/>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对投标人针对采购文件第三部分“支持‘在线预览’、‘格式转换’格式”的响应情况进行评审：完全符合的得</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分，每有1项类型不符合扣</w:t>
            </w:r>
            <w:r>
              <w:rPr>
                <w:rFonts w:hint="eastAsia" w:ascii="宋体" w:hAnsi="宋体" w:cs="宋体"/>
                <w:i w:val="0"/>
                <w:iCs w:val="0"/>
                <w:color w:val="auto"/>
                <w:kern w:val="0"/>
                <w:sz w:val="24"/>
                <w:szCs w:val="24"/>
                <w:highlight w:val="none"/>
                <w:u w:val="none"/>
                <w:lang w:val="en-US" w:eastAsia="zh-CN" w:bidi="ar"/>
              </w:rPr>
              <w:t>0.5</w:t>
            </w:r>
            <w:r>
              <w:rPr>
                <w:rFonts w:hint="eastAsia" w:ascii="宋体" w:hAnsi="宋体" w:eastAsia="宋体" w:cs="宋体"/>
                <w:i w:val="0"/>
                <w:iCs w:val="0"/>
                <w:color w:val="auto"/>
                <w:kern w:val="0"/>
                <w:sz w:val="24"/>
                <w:szCs w:val="24"/>
                <w:highlight w:val="none"/>
                <w:u w:val="none"/>
                <w:lang w:val="en-US" w:eastAsia="zh-CN" w:bidi="ar"/>
              </w:rPr>
              <w:t>分（每有1项文件格式不符合视为此项类型不符合），扣完为止；</w:t>
            </w:r>
          </w:p>
        </w:tc>
        <w:tc>
          <w:tcPr>
            <w:tcW w:w="456" w:type="dxa"/>
            <w:shd w:val="clear" w:color="auto" w:fill="auto"/>
            <w:vAlign w:val="center"/>
          </w:tcPr>
          <w:p w14:paraId="3504A342">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5</w:t>
            </w:r>
          </w:p>
        </w:tc>
        <w:tc>
          <w:tcPr>
            <w:tcW w:w="720" w:type="dxa"/>
            <w:vAlign w:val="center"/>
          </w:tcPr>
          <w:p w14:paraId="3CB73070">
            <w:pPr>
              <w:keepNext w:val="0"/>
              <w:keepLines w:val="0"/>
              <w:pageBreakBefore w:val="0"/>
              <w:kinsoku/>
              <w:wordWrap/>
              <w:overflowPunct/>
              <w:topLinePunct w:val="0"/>
              <w:autoSpaceDE/>
              <w:autoSpaceDN/>
              <w:bidi w:val="0"/>
              <w:snapToGrid w:val="0"/>
              <w:spacing w:line="360" w:lineRule="auto"/>
              <w:jc w:val="center"/>
              <w:rPr>
                <w:rFonts w:hint="eastAsia" w:ascii="宋体" w:hAnsi="宋体" w:cs="宋体"/>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客观分</w:t>
            </w:r>
          </w:p>
        </w:tc>
      </w:tr>
      <w:tr w14:paraId="2A632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303E6832">
            <w:pPr>
              <w:keepNext w:val="0"/>
              <w:keepLines w:val="0"/>
              <w:pageBreakBefore w:val="0"/>
              <w:kinsoku/>
              <w:wordWrap/>
              <w:overflowPunct/>
              <w:topLinePunct w:val="0"/>
              <w:autoSpaceDE/>
              <w:autoSpaceDN/>
              <w:bidi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5.2</w:t>
            </w:r>
          </w:p>
        </w:tc>
        <w:tc>
          <w:tcPr>
            <w:tcW w:w="738" w:type="dxa"/>
            <w:vAlign w:val="center"/>
          </w:tcPr>
          <w:p w14:paraId="3B6AC4DA">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top"/>
          </w:tcPr>
          <w:p w14:paraId="7D84DECB">
            <w:pPr>
              <w:keepNext w:val="0"/>
              <w:keepLines w:val="0"/>
              <w:pageBreakBefore w:val="0"/>
              <w:widowControl/>
              <w:suppressLineNumbers w:val="0"/>
              <w:kinsoku/>
              <w:wordWrap/>
              <w:overflowPunct/>
              <w:topLinePunct w:val="0"/>
              <w:autoSpaceDE/>
              <w:autoSpaceDN/>
              <w:bidi w:val="0"/>
              <w:spacing w:line="360" w:lineRule="auto"/>
              <w:jc w:val="both"/>
              <w:textAlignment w:val="top"/>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对投标人针对采购文件第三部分“格式处理”、“</w:t>
            </w:r>
            <w:r>
              <w:rPr>
                <w:rFonts w:hint="eastAsia" w:ascii="宋体" w:hAnsi="宋体" w:eastAsia="宋体" w:cs="宋体"/>
                <w:b w:val="0"/>
                <w:bCs w:val="0"/>
                <w:color w:val="auto"/>
                <w:sz w:val="24"/>
                <w:szCs w:val="24"/>
                <w:highlight w:val="none"/>
              </w:rPr>
              <w:t>功能规格</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的</w:t>
            </w:r>
            <w:r>
              <w:rPr>
                <w:rFonts w:hint="eastAsia" w:ascii="宋体" w:hAnsi="宋体" w:eastAsia="宋体" w:cs="宋体"/>
                <w:i w:val="0"/>
                <w:iCs w:val="0"/>
                <w:color w:val="auto"/>
                <w:kern w:val="0"/>
                <w:sz w:val="24"/>
                <w:szCs w:val="24"/>
                <w:highlight w:val="none"/>
                <w:u w:val="none"/>
                <w:lang w:val="en-US" w:eastAsia="zh-CN" w:bidi="ar"/>
              </w:rPr>
              <w:t>响应情况进行评审：完全符合的得</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分，每有1项不符合扣</w:t>
            </w:r>
            <w:r>
              <w:rPr>
                <w:rFonts w:hint="eastAsia" w:ascii="宋体" w:hAnsi="宋体" w:cs="宋体"/>
                <w:i w:val="0"/>
                <w:iCs w:val="0"/>
                <w:color w:val="auto"/>
                <w:kern w:val="0"/>
                <w:sz w:val="24"/>
                <w:szCs w:val="24"/>
                <w:highlight w:val="none"/>
                <w:u w:val="none"/>
                <w:lang w:val="en-US" w:eastAsia="zh-CN" w:bidi="ar"/>
              </w:rPr>
              <w:t>0.5</w:t>
            </w:r>
            <w:r>
              <w:rPr>
                <w:rFonts w:hint="eastAsia" w:ascii="宋体" w:hAnsi="宋体" w:eastAsia="宋体" w:cs="宋体"/>
                <w:i w:val="0"/>
                <w:iCs w:val="0"/>
                <w:color w:val="auto"/>
                <w:kern w:val="0"/>
                <w:sz w:val="24"/>
                <w:szCs w:val="24"/>
                <w:highlight w:val="none"/>
                <w:u w:val="none"/>
                <w:lang w:val="en-US" w:eastAsia="zh-CN" w:bidi="ar"/>
              </w:rPr>
              <w:t>分。</w:t>
            </w:r>
          </w:p>
        </w:tc>
        <w:tc>
          <w:tcPr>
            <w:tcW w:w="456" w:type="dxa"/>
            <w:shd w:val="clear" w:color="auto" w:fill="auto"/>
            <w:vAlign w:val="center"/>
          </w:tcPr>
          <w:p w14:paraId="720D9A8E">
            <w:pPr>
              <w:keepNext w:val="0"/>
              <w:keepLines w:val="0"/>
              <w:pageBreakBefore w:val="0"/>
              <w:widowControl/>
              <w:suppressLineNumbers w:val="0"/>
              <w:kinsoku/>
              <w:wordWrap/>
              <w:overflowPunct/>
              <w:topLinePunct w:val="0"/>
              <w:autoSpaceDE/>
              <w:autoSpaceDN/>
              <w:bidi w:val="0"/>
              <w:spacing w:line="360" w:lineRule="auto"/>
              <w:jc w:val="center"/>
              <w:textAlignment w:val="top"/>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1</w:t>
            </w:r>
          </w:p>
        </w:tc>
        <w:tc>
          <w:tcPr>
            <w:tcW w:w="720" w:type="dxa"/>
            <w:vAlign w:val="center"/>
          </w:tcPr>
          <w:p w14:paraId="64C523A4">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客观分</w:t>
            </w:r>
          </w:p>
        </w:tc>
      </w:tr>
      <w:tr w14:paraId="52EB6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6AECFDF">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6</w:t>
            </w:r>
          </w:p>
        </w:tc>
        <w:tc>
          <w:tcPr>
            <w:tcW w:w="738" w:type="dxa"/>
            <w:shd w:val="clear" w:color="auto" w:fill="auto"/>
            <w:vAlign w:val="center"/>
          </w:tcPr>
          <w:p w14:paraId="163E7B2D">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技术</w:t>
            </w:r>
          </w:p>
        </w:tc>
        <w:tc>
          <w:tcPr>
            <w:tcW w:w="6696" w:type="dxa"/>
            <w:shd w:val="clear" w:color="auto" w:fill="auto"/>
            <w:vAlign w:val="center"/>
          </w:tcPr>
          <w:p w14:paraId="0D534DBF">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投标人根据采购需求，提供针对本项目的接口对接方案，评标委员会根据响应方案与</w:t>
            </w:r>
            <w:r>
              <w:rPr>
                <w:rFonts w:hint="eastAsia" w:ascii="宋体" w:hAnsi="宋体" w:cs="宋体"/>
                <w:i w:val="0"/>
                <w:iCs w:val="0"/>
                <w:color w:val="auto"/>
                <w:kern w:val="0"/>
                <w:sz w:val="24"/>
                <w:szCs w:val="24"/>
                <w:highlight w:val="none"/>
                <w:u w:val="none"/>
                <w:lang w:val="en-US" w:eastAsia="zh-CN" w:bidi="ar"/>
              </w:rPr>
              <w:t>项目实施要求</w:t>
            </w:r>
            <w:r>
              <w:rPr>
                <w:rFonts w:hint="eastAsia" w:ascii="宋体" w:hAnsi="宋体" w:eastAsia="宋体" w:cs="宋体"/>
                <w:i w:val="0"/>
                <w:iCs w:val="0"/>
                <w:color w:val="auto"/>
                <w:kern w:val="0"/>
                <w:sz w:val="24"/>
                <w:szCs w:val="24"/>
                <w:highlight w:val="none"/>
                <w:u w:val="none"/>
                <w:lang w:val="en-US" w:eastAsia="zh-CN" w:bidi="ar"/>
              </w:rPr>
              <w:t>匹配情况进行评分。（</w:t>
            </w:r>
            <w:r>
              <w:rPr>
                <w:rStyle w:val="375"/>
                <w:rFonts w:hint="eastAsia" w:ascii="宋体" w:hAnsi="宋体" w:eastAsia="宋体" w:cs="宋体"/>
                <w:color w:val="auto"/>
                <w:sz w:val="24"/>
                <w:szCs w:val="24"/>
                <w:highlight w:val="none"/>
                <w:lang w:bidi="ar"/>
              </w:rPr>
              <w:t>分值：</w:t>
            </w:r>
            <w:r>
              <w:rPr>
                <w:rFonts w:hint="eastAsia" w:ascii="宋体" w:hAnsi="宋体" w:eastAsia="宋体" w:cs="宋体"/>
                <w:i w:val="0"/>
                <w:iCs w:val="0"/>
                <w:color w:val="auto"/>
                <w:kern w:val="0"/>
                <w:sz w:val="24"/>
                <w:szCs w:val="24"/>
                <w:highlight w:val="none"/>
                <w:u w:val="none"/>
                <w:lang w:val="en-US" w:eastAsia="zh-CN" w:bidi="ar"/>
              </w:rPr>
              <w:t>5，</w:t>
            </w:r>
            <w:r>
              <w:rPr>
                <w:rStyle w:val="375"/>
                <w:rFonts w:hint="eastAsia" w:ascii="宋体" w:hAnsi="宋体" w:eastAsia="宋体" w:cs="宋体"/>
                <w:color w:val="auto"/>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3</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2</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1</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0</w:t>
            </w:r>
            <w:r>
              <w:rPr>
                <w:rFonts w:hint="eastAsia" w:ascii="宋体" w:hAnsi="宋体" w:eastAsia="宋体" w:cs="宋体"/>
                <w:i w:val="0"/>
                <w:iCs w:val="0"/>
                <w:color w:val="auto"/>
                <w:kern w:val="0"/>
                <w:sz w:val="24"/>
                <w:szCs w:val="24"/>
                <w:highlight w:val="none"/>
                <w:u w:val="none"/>
                <w:lang w:val="en-US" w:eastAsia="zh-CN" w:bidi="ar"/>
              </w:rPr>
              <w:t>）</w:t>
            </w:r>
          </w:p>
        </w:tc>
        <w:tc>
          <w:tcPr>
            <w:tcW w:w="456" w:type="dxa"/>
            <w:shd w:val="clear" w:color="auto" w:fill="auto"/>
            <w:vAlign w:val="center"/>
          </w:tcPr>
          <w:p w14:paraId="60983D8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w:t>
            </w:r>
          </w:p>
        </w:tc>
        <w:tc>
          <w:tcPr>
            <w:tcW w:w="720" w:type="dxa"/>
            <w:vAlign w:val="center"/>
          </w:tcPr>
          <w:p w14:paraId="4F9D420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主观分</w:t>
            </w:r>
          </w:p>
        </w:tc>
      </w:tr>
      <w:tr w14:paraId="166E6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8596A3C">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w:t>
            </w:r>
          </w:p>
        </w:tc>
        <w:tc>
          <w:tcPr>
            <w:tcW w:w="738" w:type="dxa"/>
            <w:vAlign w:val="center"/>
          </w:tcPr>
          <w:p w14:paraId="4EDB226E">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0B595AF7">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投标人根据采购需求，需提供针对本项目的组织实施方案（包括进度管理计划及具体方案、劳动力计划及具体方案、质量管理及措施等），评标委员会根据响应方案与</w:t>
            </w:r>
            <w:r>
              <w:rPr>
                <w:rFonts w:hint="eastAsia" w:ascii="宋体" w:hAnsi="宋体" w:cs="宋体"/>
                <w:color w:val="auto"/>
                <w:kern w:val="0"/>
                <w:sz w:val="24"/>
                <w:szCs w:val="24"/>
                <w:highlight w:val="none"/>
                <w:lang w:eastAsia="zh-CN" w:bidi="ar"/>
              </w:rPr>
              <w:t>项目实施要求</w:t>
            </w:r>
            <w:r>
              <w:rPr>
                <w:rFonts w:hint="eastAsia" w:ascii="宋体" w:hAnsi="宋体" w:eastAsia="宋体" w:cs="宋体"/>
                <w:color w:val="auto"/>
                <w:kern w:val="0"/>
                <w:sz w:val="24"/>
                <w:szCs w:val="24"/>
                <w:highlight w:val="none"/>
                <w:lang w:bidi="ar"/>
              </w:rPr>
              <w:t>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eastAsia="宋体" w:cs="宋体"/>
                <w:color w:val="auto"/>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3</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2</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1</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456" w:type="dxa"/>
            <w:shd w:val="clear" w:color="auto" w:fill="auto"/>
            <w:vAlign w:val="center"/>
          </w:tcPr>
          <w:p w14:paraId="73E099D5">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kern w:val="0"/>
                <w:sz w:val="24"/>
                <w:szCs w:val="24"/>
                <w:highlight w:val="none"/>
                <w:lang w:eastAsia="zh-CN" w:bidi="ar"/>
              </w:rPr>
            </w:pPr>
            <w:r>
              <w:rPr>
                <w:rFonts w:hint="eastAsia" w:ascii="宋体" w:hAnsi="宋体" w:eastAsia="宋体" w:cs="宋体"/>
                <w:color w:val="auto"/>
                <w:kern w:val="0"/>
                <w:sz w:val="24"/>
                <w:szCs w:val="24"/>
                <w:highlight w:val="none"/>
                <w:lang w:val="en-US" w:eastAsia="zh-CN" w:bidi="ar"/>
              </w:rPr>
              <w:t>4</w:t>
            </w:r>
          </w:p>
        </w:tc>
        <w:tc>
          <w:tcPr>
            <w:tcW w:w="720" w:type="dxa"/>
            <w:vAlign w:val="center"/>
          </w:tcPr>
          <w:p w14:paraId="1977F57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主观分</w:t>
            </w:r>
          </w:p>
        </w:tc>
      </w:tr>
      <w:tr w14:paraId="6085C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0F9E6DC">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w:t>
            </w:r>
          </w:p>
        </w:tc>
        <w:tc>
          <w:tcPr>
            <w:tcW w:w="738" w:type="dxa"/>
            <w:vAlign w:val="center"/>
          </w:tcPr>
          <w:p w14:paraId="3374184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3A626C31">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投标人根据采购需求，需提供针对本项目的运维服务方案(包括服务体系、服务内容、故障解决方案、专业技术人员保障等)，评标委员会根据响应方案与</w:t>
            </w:r>
            <w:r>
              <w:rPr>
                <w:rFonts w:hint="eastAsia" w:ascii="宋体" w:hAnsi="宋体" w:cs="宋体"/>
                <w:color w:val="auto"/>
                <w:kern w:val="0"/>
                <w:sz w:val="24"/>
                <w:szCs w:val="24"/>
                <w:highlight w:val="none"/>
                <w:lang w:eastAsia="zh-CN" w:bidi="ar"/>
              </w:rPr>
              <w:t>项目实施要求</w:t>
            </w:r>
            <w:r>
              <w:rPr>
                <w:rFonts w:hint="eastAsia" w:ascii="宋体" w:hAnsi="宋体" w:eastAsia="宋体" w:cs="宋体"/>
                <w:color w:val="auto"/>
                <w:kern w:val="0"/>
                <w:sz w:val="24"/>
                <w:szCs w:val="24"/>
                <w:highlight w:val="none"/>
                <w:lang w:bidi="ar"/>
              </w:rPr>
              <w:t>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eastAsia="宋体" w:cs="宋体"/>
                <w:color w:val="auto"/>
                <w:sz w:val="24"/>
                <w:szCs w:val="24"/>
                <w:highlight w:val="none"/>
                <w:lang w:val="en-US" w:eastAsia="zh-CN" w:bidi="ar"/>
              </w:rPr>
              <w:t>5，4，</w:t>
            </w:r>
            <w:r>
              <w:rPr>
                <w:rFonts w:hint="eastAsia" w:ascii="宋体" w:hAnsi="宋体" w:eastAsia="宋体" w:cs="宋体"/>
                <w:color w:val="auto"/>
                <w:kern w:val="0"/>
                <w:sz w:val="24"/>
                <w:szCs w:val="24"/>
                <w:highlight w:val="none"/>
                <w:lang w:val="en-US" w:eastAsia="zh-CN" w:bidi="ar"/>
              </w:rPr>
              <w:t>3</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2</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1</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456" w:type="dxa"/>
            <w:shd w:val="clear" w:color="auto" w:fill="auto"/>
            <w:vAlign w:val="center"/>
          </w:tcPr>
          <w:p w14:paraId="3E43D040">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5</w:t>
            </w:r>
          </w:p>
        </w:tc>
        <w:tc>
          <w:tcPr>
            <w:tcW w:w="720" w:type="dxa"/>
            <w:vAlign w:val="center"/>
          </w:tcPr>
          <w:p w14:paraId="19341BD8">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5D05D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2AF0B49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738" w:type="dxa"/>
            <w:vAlign w:val="center"/>
          </w:tcPr>
          <w:p w14:paraId="3A6C8E5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161C58C2">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投标人根据采购需求，需提供针对本项目的培训方案（包括培训计划、培训内容、培训时间等），评标委员会根据响应方案与</w:t>
            </w:r>
            <w:r>
              <w:rPr>
                <w:rFonts w:hint="eastAsia" w:ascii="宋体" w:hAnsi="宋体" w:cs="宋体"/>
                <w:color w:val="auto"/>
                <w:kern w:val="0"/>
                <w:sz w:val="24"/>
                <w:szCs w:val="24"/>
                <w:highlight w:val="none"/>
                <w:lang w:eastAsia="zh-CN" w:bidi="ar"/>
              </w:rPr>
              <w:t>项目实施要求</w:t>
            </w:r>
            <w:r>
              <w:rPr>
                <w:rFonts w:hint="eastAsia" w:ascii="宋体" w:hAnsi="宋体" w:eastAsia="宋体" w:cs="宋体"/>
                <w:color w:val="auto"/>
                <w:kern w:val="0"/>
                <w:sz w:val="24"/>
                <w:szCs w:val="24"/>
                <w:highlight w:val="none"/>
                <w:lang w:bidi="ar"/>
              </w:rPr>
              <w:t>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eastAsia="宋体" w:cs="宋体"/>
                <w:color w:val="auto"/>
                <w:sz w:val="24"/>
                <w:szCs w:val="24"/>
                <w:highlight w:val="none"/>
                <w:lang w:val="en-US" w:eastAsia="zh-CN" w:bidi="ar"/>
              </w:rPr>
              <w:t>3，</w:t>
            </w:r>
            <w:r>
              <w:rPr>
                <w:rFonts w:hint="eastAsia" w:ascii="宋体" w:hAnsi="宋体" w:eastAsia="宋体" w:cs="宋体"/>
                <w:color w:val="auto"/>
                <w:kern w:val="0"/>
                <w:sz w:val="24"/>
                <w:szCs w:val="24"/>
                <w:highlight w:val="none"/>
                <w:lang w:val="en-US" w:eastAsia="zh-CN" w:bidi="ar"/>
              </w:rPr>
              <w:t>2</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1</w:t>
            </w:r>
            <w:r>
              <w:rPr>
                <w:rStyle w:val="375"/>
                <w:rFonts w:hint="eastAsia" w:ascii="宋体" w:hAnsi="宋体" w:eastAsia="宋体" w:cs="宋体"/>
                <w:color w:val="auto"/>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456" w:type="dxa"/>
            <w:shd w:val="clear" w:color="auto" w:fill="auto"/>
            <w:vAlign w:val="center"/>
          </w:tcPr>
          <w:p w14:paraId="5E82591E">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3</w:t>
            </w:r>
          </w:p>
        </w:tc>
        <w:tc>
          <w:tcPr>
            <w:tcW w:w="720" w:type="dxa"/>
            <w:vAlign w:val="center"/>
          </w:tcPr>
          <w:p w14:paraId="57EB49B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37E55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34A75D56">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p>
        </w:tc>
        <w:tc>
          <w:tcPr>
            <w:tcW w:w="738" w:type="dxa"/>
            <w:vAlign w:val="center"/>
          </w:tcPr>
          <w:p w14:paraId="047E9038">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3AC4A230">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项目服务</w:t>
            </w:r>
            <w:r>
              <w:rPr>
                <w:rFonts w:hint="eastAsia" w:ascii="宋体" w:hAnsi="宋体" w:eastAsia="宋体" w:cs="宋体"/>
                <w:color w:val="auto"/>
                <w:sz w:val="24"/>
                <w:szCs w:val="24"/>
                <w:highlight w:val="none"/>
              </w:rPr>
              <w:t>团队（须为本单位在职员工，提供近三个月内任意时间</w:t>
            </w:r>
            <w:r>
              <w:rPr>
                <w:rFonts w:hint="eastAsia" w:ascii="宋体" w:hAnsi="宋体" w:cs="宋体"/>
                <w:color w:val="auto"/>
                <w:sz w:val="24"/>
                <w:szCs w:val="24"/>
                <w:highlight w:val="none"/>
                <w:lang w:eastAsia="zh-CN"/>
              </w:rPr>
              <w:t>本单位社保缴纳证明或其他本单位在职有效证明，</w:t>
            </w:r>
            <w:r>
              <w:rPr>
                <w:rFonts w:hint="eastAsia" w:ascii="宋体" w:hAnsi="宋体" w:eastAsia="宋体" w:cs="宋体"/>
                <w:color w:val="auto"/>
                <w:sz w:val="24"/>
                <w:szCs w:val="24"/>
                <w:highlight w:val="none"/>
              </w:rPr>
              <w:t>否则不得分）</w:t>
            </w:r>
          </w:p>
        </w:tc>
        <w:tc>
          <w:tcPr>
            <w:tcW w:w="456" w:type="dxa"/>
            <w:shd w:val="clear" w:color="auto" w:fill="auto"/>
            <w:vAlign w:val="center"/>
          </w:tcPr>
          <w:p w14:paraId="4431D091">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20" w:type="dxa"/>
            <w:vAlign w:val="center"/>
          </w:tcPr>
          <w:p w14:paraId="256EADB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7655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666" w:type="dxa"/>
            <w:vAlign w:val="center"/>
          </w:tcPr>
          <w:p w14:paraId="77B1567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738" w:type="dxa"/>
            <w:vAlign w:val="center"/>
          </w:tcPr>
          <w:p w14:paraId="164DBB24">
            <w:pPr>
              <w:keepNext w:val="0"/>
              <w:keepLines w:val="0"/>
              <w:pageBreakBefore w:val="0"/>
              <w:kinsoku/>
              <w:wordWrap/>
              <w:overflowPunct/>
              <w:topLinePunct w:val="0"/>
              <w:autoSpaceDE/>
              <w:autoSpaceDN/>
              <w:bidi w:val="0"/>
              <w:snapToGrid w:val="0"/>
              <w:spacing w:line="36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5BAE006C">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w:t>
            </w:r>
          </w:p>
        </w:tc>
        <w:tc>
          <w:tcPr>
            <w:tcW w:w="456" w:type="dxa"/>
            <w:shd w:val="clear" w:color="auto" w:fill="auto"/>
            <w:vAlign w:val="center"/>
          </w:tcPr>
          <w:p w14:paraId="7A4F9F21">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20" w:type="dxa"/>
            <w:vAlign w:val="center"/>
          </w:tcPr>
          <w:p w14:paraId="4F31A3B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6E4B1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666" w:type="dxa"/>
            <w:shd w:val="clear" w:color="auto" w:fill="auto"/>
            <w:vAlign w:val="center"/>
          </w:tcPr>
          <w:p w14:paraId="103C08F4">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.1.1</w:t>
            </w:r>
          </w:p>
        </w:tc>
        <w:tc>
          <w:tcPr>
            <w:tcW w:w="738" w:type="dxa"/>
            <w:vAlign w:val="center"/>
          </w:tcPr>
          <w:p w14:paraId="2AF9A4D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2EFABF21">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项目经理近三年（自</w:t>
            </w:r>
            <w:r>
              <w:rPr>
                <w:rFonts w:hint="eastAsia" w:ascii="宋体" w:hAnsi="宋体" w:eastAsia="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以来）具有同类电子政务项目实施经验的每有1个得1分，最高得3分；提供合同复印件</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业主证明等材料，否则不得分。</w:t>
            </w:r>
          </w:p>
        </w:tc>
        <w:tc>
          <w:tcPr>
            <w:tcW w:w="456" w:type="dxa"/>
            <w:shd w:val="clear" w:color="auto" w:fill="auto"/>
            <w:vAlign w:val="center"/>
          </w:tcPr>
          <w:p w14:paraId="243441B4">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20" w:type="dxa"/>
            <w:vAlign w:val="center"/>
          </w:tcPr>
          <w:p w14:paraId="65EEF1E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4B1BF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42C9CDD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.1.2</w:t>
            </w:r>
          </w:p>
        </w:tc>
        <w:tc>
          <w:tcPr>
            <w:tcW w:w="738" w:type="dxa"/>
            <w:vAlign w:val="center"/>
          </w:tcPr>
          <w:p w14:paraId="31081BFD">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74DE8D00">
            <w:pPr>
              <w:keepNext w:val="0"/>
              <w:keepLines w:val="0"/>
              <w:pageBreakBefore w:val="0"/>
              <w:widowControl/>
              <w:kinsoku/>
              <w:wordWrap/>
              <w:overflowPunct/>
              <w:topLinePunct w:val="0"/>
              <w:autoSpaceDE/>
              <w:autoSpaceDN/>
              <w:bidi w:val="0"/>
              <w:spacing w:line="360" w:lineRule="auto"/>
              <w:jc w:val="both"/>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项目经理具有计算机等履约相关专业本科或以上学历得2分，其他不得分；须提供证书等证明材料，否则不得分。</w:t>
            </w:r>
          </w:p>
        </w:tc>
        <w:tc>
          <w:tcPr>
            <w:tcW w:w="456" w:type="dxa"/>
            <w:shd w:val="clear" w:color="auto" w:fill="auto"/>
            <w:vAlign w:val="center"/>
          </w:tcPr>
          <w:p w14:paraId="282BDA17">
            <w:pPr>
              <w:keepNext w:val="0"/>
              <w:keepLines w:val="0"/>
              <w:pageBreakBefore w:val="0"/>
              <w:widowControl/>
              <w:kinsoku/>
              <w:wordWrap/>
              <w:overflowPunct/>
              <w:topLinePunct w:val="0"/>
              <w:autoSpaceDE/>
              <w:autoSpaceDN/>
              <w:bidi w:val="0"/>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20" w:type="dxa"/>
            <w:vAlign w:val="center"/>
          </w:tcPr>
          <w:p w14:paraId="7969E5F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6259C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5B977B5E">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.1.3</w:t>
            </w:r>
          </w:p>
        </w:tc>
        <w:tc>
          <w:tcPr>
            <w:tcW w:w="738" w:type="dxa"/>
            <w:vAlign w:val="center"/>
          </w:tcPr>
          <w:p w14:paraId="395D7E8A">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501633FA">
            <w:pPr>
              <w:keepNext w:val="0"/>
              <w:keepLines w:val="0"/>
              <w:pageBreakBefore w:val="0"/>
              <w:widowControl/>
              <w:kinsoku/>
              <w:wordWrap/>
              <w:overflowPunct/>
              <w:topLinePunct w:val="0"/>
              <w:autoSpaceDE/>
              <w:autoSpaceDN/>
              <w:bidi w:val="0"/>
              <w:spacing w:line="360" w:lineRule="auto"/>
              <w:jc w:val="both"/>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项目经理具全国软考的信息系统项目管理师得2分，其他不得分；须提供证书等证明材料，否则不得分。</w:t>
            </w:r>
          </w:p>
        </w:tc>
        <w:tc>
          <w:tcPr>
            <w:tcW w:w="456" w:type="dxa"/>
            <w:shd w:val="clear" w:color="auto" w:fill="auto"/>
            <w:vAlign w:val="center"/>
          </w:tcPr>
          <w:p w14:paraId="155813CF">
            <w:pPr>
              <w:keepNext w:val="0"/>
              <w:keepLines w:val="0"/>
              <w:pageBreakBefore w:val="0"/>
              <w:widowControl/>
              <w:kinsoku/>
              <w:wordWrap/>
              <w:overflowPunct/>
              <w:topLinePunct w:val="0"/>
              <w:autoSpaceDE/>
              <w:autoSpaceDN/>
              <w:bidi w:val="0"/>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20" w:type="dxa"/>
            <w:vAlign w:val="center"/>
          </w:tcPr>
          <w:p w14:paraId="7C6F3F13">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43300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17EAB5F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.2</w:t>
            </w:r>
          </w:p>
        </w:tc>
        <w:tc>
          <w:tcPr>
            <w:tcW w:w="738" w:type="dxa"/>
            <w:vAlign w:val="center"/>
          </w:tcPr>
          <w:p w14:paraId="3A8B9BD6">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7D6CEC75">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项目技术负责人</w:t>
            </w:r>
          </w:p>
        </w:tc>
        <w:tc>
          <w:tcPr>
            <w:tcW w:w="456" w:type="dxa"/>
            <w:shd w:val="clear" w:color="auto" w:fill="auto"/>
            <w:vAlign w:val="center"/>
          </w:tcPr>
          <w:p w14:paraId="45238B77">
            <w:pPr>
              <w:keepNext w:val="0"/>
              <w:keepLines w:val="0"/>
              <w:pageBreakBefore w:val="0"/>
              <w:widowControl/>
              <w:kinsoku/>
              <w:wordWrap/>
              <w:overflowPunct/>
              <w:topLinePunct w:val="0"/>
              <w:autoSpaceDE/>
              <w:autoSpaceDN/>
              <w:bidi w:val="0"/>
              <w:spacing w:line="360" w:lineRule="auto"/>
              <w:jc w:val="both"/>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720" w:type="dxa"/>
            <w:vAlign w:val="center"/>
          </w:tcPr>
          <w:p w14:paraId="27FF0FEF">
            <w:pPr>
              <w:keepNext w:val="0"/>
              <w:keepLines w:val="0"/>
              <w:pageBreakBefore w:val="0"/>
              <w:kinsoku/>
              <w:wordWrap/>
              <w:overflowPunct/>
              <w:topLinePunct w:val="0"/>
              <w:autoSpaceDE/>
              <w:autoSpaceDN/>
              <w:bidi w:val="0"/>
              <w:snapToGrid w:val="0"/>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35DD8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063FAC7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.2.1</w:t>
            </w:r>
          </w:p>
        </w:tc>
        <w:tc>
          <w:tcPr>
            <w:tcW w:w="738" w:type="dxa"/>
            <w:vAlign w:val="center"/>
          </w:tcPr>
          <w:p w14:paraId="10F174D3">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3477F7A5">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技术负责人近三年（自</w:t>
            </w:r>
            <w:r>
              <w:rPr>
                <w:rFonts w:hint="eastAsia" w:ascii="宋体" w:hAnsi="宋体" w:eastAsia="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以来）具有同类电子政务项目实施经验的每有1个得1分，最高得3分；提供合同复印件</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业主证明等材料，否则不得分。</w:t>
            </w:r>
          </w:p>
        </w:tc>
        <w:tc>
          <w:tcPr>
            <w:tcW w:w="456" w:type="dxa"/>
            <w:shd w:val="clear" w:color="auto" w:fill="auto"/>
            <w:vAlign w:val="center"/>
          </w:tcPr>
          <w:p w14:paraId="60BA60A7">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20" w:type="dxa"/>
            <w:vAlign w:val="center"/>
          </w:tcPr>
          <w:p w14:paraId="43A44A0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47864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5D52AEF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.2.2</w:t>
            </w:r>
          </w:p>
        </w:tc>
        <w:tc>
          <w:tcPr>
            <w:tcW w:w="738" w:type="dxa"/>
            <w:vAlign w:val="center"/>
          </w:tcPr>
          <w:p w14:paraId="1D7E6763">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0FB5B084">
            <w:pPr>
              <w:keepNext w:val="0"/>
              <w:keepLines w:val="0"/>
              <w:pageBreakBefore w:val="0"/>
              <w:widowControl/>
              <w:kinsoku/>
              <w:wordWrap/>
              <w:overflowPunct/>
              <w:topLinePunct w:val="0"/>
              <w:autoSpaceDE/>
              <w:autoSpaceDN/>
              <w:bidi w:val="0"/>
              <w:spacing w:line="360" w:lineRule="auto"/>
              <w:jc w:val="both"/>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技术负责人具有计算机等履约相关专业本科或以上学历得2分，其他不得分；须提供证书等证明材料，否则不得分。</w:t>
            </w:r>
          </w:p>
        </w:tc>
        <w:tc>
          <w:tcPr>
            <w:tcW w:w="456" w:type="dxa"/>
            <w:shd w:val="clear" w:color="auto" w:fill="auto"/>
            <w:vAlign w:val="center"/>
          </w:tcPr>
          <w:p w14:paraId="4F12BD16">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20" w:type="dxa"/>
            <w:vAlign w:val="center"/>
          </w:tcPr>
          <w:p w14:paraId="227E2C18">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00680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67BDAA86">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.2.3</w:t>
            </w:r>
          </w:p>
        </w:tc>
        <w:tc>
          <w:tcPr>
            <w:tcW w:w="738" w:type="dxa"/>
            <w:vAlign w:val="center"/>
          </w:tcPr>
          <w:p w14:paraId="17F0C742">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0C6BF9AD">
            <w:pPr>
              <w:keepNext w:val="0"/>
              <w:keepLines w:val="0"/>
              <w:pageBreakBefore w:val="0"/>
              <w:widowControl/>
              <w:kinsoku/>
              <w:wordWrap/>
              <w:overflowPunct/>
              <w:topLinePunct w:val="0"/>
              <w:autoSpaceDE/>
              <w:autoSpaceDN/>
              <w:bidi w:val="0"/>
              <w:spacing w:line="360" w:lineRule="auto"/>
              <w:jc w:val="both"/>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技术负责人具有软件开发行业5年及以上从业经验得2分，其他不得分；须提供从业履历等证明材料，否则不得分。</w:t>
            </w:r>
          </w:p>
        </w:tc>
        <w:tc>
          <w:tcPr>
            <w:tcW w:w="456" w:type="dxa"/>
            <w:shd w:val="clear" w:color="auto" w:fill="auto"/>
            <w:vAlign w:val="center"/>
          </w:tcPr>
          <w:p w14:paraId="5354C51A">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20" w:type="dxa"/>
            <w:vAlign w:val="center"/>
          </w:tcPr>
          <w:p w14:paraId="32B6EE22">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7B1D4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6" w:type="dxa"/>
            <w:vAlign w:val="center"/>
          </w:tcPr>
          <w:p w14:paraId="32D9605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.3</w:t>
            </w:r>
          </w:p>
        </w:tc>
        <w:tc>
          <w:tcPr>
            <w:tcW w:w="738" w:type="dxa"/>
            <w:vAlign w:val="center"/>
          </w:tcPr>
          <w:p w14:paraId="4C1B3626">
            <w:pPr>
              <w:keepNext w:val="0"/>
              <w:keepLines w:val="0"/>
              <w:pageBreakBefore w:val="0"/>
              <w:kinsoku/>
              <w:wordWrap/>
              <w:overflowPunct/>
              <w:topLinePunct w:val="0"/>
              <w:autoSpaceDE/>
              <w:autoSpaceDN/>
              <w:bidi w:val="0"/>
              <w:snapToGrid w:val="0"/>
              <w:spacing w:line="36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vAlign w:val="center"/>
          </w:tcPr>
          <w:p w14:paraId="2A192F93">
            <w:pPr>
              <w:keepNext w:val="0"/>
              <w:keepLines w:val="0"/>
              <w:pageBreakBefore w:val="0"/>
              <w:widowControl/>
              <w:kinsoku/>
              <w:wordWrap/>
              <w:overflowPunct/>
              <w:topLinePunct w:val="0"/>
              <w:autoSpaceDE/>
              <w:autoSpaceDN/>
              <w:bidi w:val="0"/>
              <w:spacing w:line="360" w:lineRule="auto"/>
              <w:jc w:val="both"/>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项目其他成员（除项目经理和技术负责人外）：</w:t>
            </w:r>
          </w:p>
        </w:tc>
        <w:tc>
          <w:tcPr>
            <w:tcW w:w="456" w:type="dxa"/>
            <w:shd w:val="clear" w:color="auto" w:fill="auto"/>
            <w:vAlign w:val="center"/>
          </w:tcPr>
          <w:p w14:paraId="1C8DD2D0">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w:t>
            </w:r>
          </w:p>
        </w:tc>
        <w:tc>
          <w:tcPr>
            <w:tcW w:w="720" w:type="dxa"/>
            <w:vAlign w:val="center"/>
          </w:tcPr>
          <w:p w14:paraId="38257A9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w:t>
            </w:r>
          </w:p>
        </w:tc>
      </w:tr>
      <w:tr w14:paraId="56A8E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2F623C89">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.3.1</w:t>
            </w:r>
          </w:p>
        </w:tc>
        <w:tc>
          <w:tcPr>
            <w:tcW w:w="738" w:type="dxa"/>
            <w:vAlign w:val="center"/>
          </w:tcPr>
          <w:p w14:paraId="350D8B1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6A2F84FB">
            <w:pPr>
              <w:keepNext w:val="0"/>
              <w:keepLines w:val="0"/>
              <w:pageBreakBefore w:val="0"/>
              <w:widowControl/>
              <w:numPr>
                <w:ilvl w:val="0"/>
                <w:numId w:val="0"/>
              </w:numPr>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项目其他成员（除项目经理和技术负责人外）中每有1人具有信息技术</w:t>
            </w:r>
            <w:r>
              <w:rPr>
                <w:rFonts w:hint="eastAsia" w:ascii="宋体" w:hAnsi="宋体" w:cs="宋体"/>
                <w:color w:val="auto"/>
                <w:sz w:val="24"/>
                <w:szCs w:val="24"/>
                <w:highlight w:val="none"/>
                <w:lang w:eastAsia="zh-CN"/>
              </w:rPr>
              <w:t>或计算机</w:t>
            </w:r>
            <w:r>
              <w:rPr>
                <w:rFonts w:hint="eastAsia" w:ascii="宋体" w:hAnsi="宋体" w:eastAsia="宋体" w:cs="宋体"/>
                <w:color w:val="auto"/>
                <w:sz w:val="24"/>
                <w:szCs w:val="24"/>
                <w:highlight w:val="none"/>
              </w:rPr>
              <w:t>等履约相关专业本科以上学历（提供证书复印件或相关证明材料）的得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分，最高得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分；须提供证书复印件，否则不得分。</w:t>
            </w:r>
          </w:p>
        </w:tc>
        <w:tc>
          <w:tcPr>
            <w:tcW w:w="456" w:type="dxa"/>
            <w:shd w:val="clear" w:color="auto" w:fill="auto"/>
            <w:vAlign w:val="center"/>
          </w:tcPr>
          <w:p w14:paraId="095DF844">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720" w:type="dxa"/>
            <w:vAlign w:val="center"/>
          </w:tcPr>
          <w:p w14:paraId="322D20B1">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3010E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14:paraId="3D7B1FCC">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.3.2</w:t>
            </w:r>
          </w:p>
        </w:tc>
        <w:tc>
          <w:tcPr>
            <w:tcW w:w="738" w:type="dxa"/>
            <w:vAlign w:val="center"/>
          </w:tcPr>
          <w:p w14:paraId="6D219B9B">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tcPr>
          <w:p w14:paraId="17B1A039">
            <w:pPr>
              <w:keepNext w:val="0"/>
              <w:keepLines w:val="0"/>
              <w:pageBreakBefore w:val="0"/>
              <w:widowControl/>
              <w:numPr>
                <w:ilvl w:val="0"/>
                <w:numId w:val="0"/>
              </w:numPr>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项目其他成员（除项目经理和技术负责人外）中每有1人具有近三年（自</w:t>
            </w:r>
            <w:r>
              <w:rPr>
                <w:rFonts w:hint="eastAsia" w:ascii="宋体" w:hAnsi="宋体" w:eastAsia="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以来）同类电子</w:t>
            </w:r>
            <w:r>
              <w:rPr>
                <w:rFonts w:hint="eastAsia" w:ascii="宋体" w:hAnsi="宋体" w:eastAsia="宋体" w:cs="宋体"/>
                <w:color w:val="auto"/>
                <w:sz w:val="24"/>
                <w:szCs w:val="24"/>
                <w:highlight w:val="none"/>
                <w:lang w:val="en-US" w:eastAsia="zh-CN"/>
              </w:rPr>
              <w:t>政务</w:t>
            </w:r>
            <w:r>
              <w:rPr>
                <w:rFonts w:hint="eastAsia" w:ascii="宋体" w:hAnsi="宋体" w:eastAsia="宋体" w:cs="宋体"/>
                <w:color w:val="auto"/>
                <w:sz w:val="24"/>
                <w:szCs w:val="24"/>
                <w:highlight w:val="none"/>
              </w:rPr>
              <w:t>实施经验（业绩）的得0.5分，最高得2分；须提供合同复印件或业主证明等材料，否则不得分。</w:t>
            </w:r>
          </w:p>
        </w:tc>
        <w:tc>
          <w:tcPr>
            <w:tcW w:w="456" w:type="dxa"/>
            <w:shd w:val="clear" w:color="auto" w:fill="auto"/>
            <w:vAlign w:val="center"/>
          </w:tcPr>
          <w:p w14:paraId="49641C7A">
            <w:pPr>
              <w:keepNext w:val="0"/>
              <w:keepLines w:val="0"/>
              <w:pageBreakBefore w:val="0"/>
              <w:widowControl/>
              <w:kinsoku/>
              <w:wordWrap/>
              <w:overflowPunct/>
              <w:topLinePunct w:val="0"/>
              <w:autoSpaceDE/>
              <w:autoSpaceDN/>
              <w:bidi w:val="0"/>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720" w:type="dxa"/>
            <w:vAlign w:val="center"/>
          </w:tcPr>
          <w:p w14:paraId="1225315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17431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69B454CD">
            <w:pPr>
              <w:keepNext w:val="0"/>
              <w:keepLines w:val="0"/>
              <w:pageBreakBefore w:val="0"/>
              <w:kinsoku/>
              <w:wordWrap/>
              <w:overflowPunct/>
              <w:topLinePunct w:val="0"/>
              <w:autoSpaceDE/>
              <w:autoSpaceDN/>
              <w:bidi w:val="0"/>
              <w:snapToGrid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738" w:type="dxa"/>
            <w:shd w:val="clear" w:color="auto" w:fill="auto"/>
            <w:vAlign w:val="center"/>
          </w:tcPr>
          <w:p w14:paraId="7405E6B8">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技术</w:t>
            </w:r>
          </w:p>
        </w:tc>
        <w:tc>
          <w:tcPr>
            <w:tcW w:w="6696" w:type="dxa"/>
            <w:shd w:val="clear" w:color="auto" w:fill="auto"/>
          </w:tcPr>
          <w:p w14:paraId="2354688B">
            <w:pPr>
              <w:keepNext w:val="0"/>
              <w:keepLines w:val="0"/>
              <w:pageBreakBefore w:val="0"/>
              <w:widowControl/>
              <w:kinsoku/>
              <w:wordWrap/>
              <w:overflowPunct/>
              <w:topLinePunct w:val="0"/>
              <w:autoSpaceDE/>
              <w:autoSpaceDN/>
              <w:bidi w:val="0"/>
              <w:spacing w:line="360" w:lineRule="auto"/>
              <w:textAlignment w:val="top"/>
              <w:rPr>
                <w:rFonts w:hint="eastAsia" w:ascii="宋体" w:hAnsi="宋体" w:eastAsia="宋体" w:cs="宋体"/>
                <w:color w:val="auto"/>
                <w:sz w:val="24"/>
                <w:szCs w:val="24"/>
                <w:highlight w:val="none"/>
                <w:lang w:bidi="ar"/>
              </w:rPr>
            </w:pPr>
            <w:r>
              <w:rPr>
                <w:rFonts w:hint="eastAsia" w:ascii="宋体" w:hAnsi="宋体" w:eastAsia="宋体" w:cs="宋体"/>
                <w:color w:val="auto"/>
                <w:kern w:val="0"/>
                <w:sz w:val="24"/>
                <w:szCs w:val="24"/>
                <w:highlight w:val="none"/>
                <w:lang w:bidi="ar"/>
              </w:rPr>
              <w:t>投标人根据采购需求，需提供针对本项目的保密方案(包括保密制度、针对流程的保密措施、针对人员的保密措施、针对工作内容的保密措施等)，评标委员会根据响应方案与项目实际要求匹配情况进行评分。（</w:t>
            </w:r>
            <w:r>
              <w:rPr>
                <w:rStyle w:val="375"/>
                <w:rFonts w:hint="eastAsia" w:ascii="宋体" w:hAnsi="宋体" w:eastAsia="宋体" w:cs="宋体"/>
                <w:color w:val="auto"/>
                <w:sz w:val="24"/>
                <w:szCs w:val="24"/>
                <w:highlight w:val="none"/>
                <w:lang w:bidi="ar"/>
              </w:rPr>
              <w:t>分值：</w:t>
            </w: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2</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1</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0）</w:t>
            </w:r>
          </w:p>
        </w:tc>
        <w:tc>
          <w:tcPr>
            <w:tcW w:w="456" w:type="dxa"/>
            <w:shd w:val="clear" w:color="auto" w:fill="auto"/>
            <w:vAlign w:val="center"/>
          </w:tcPr>
          <w:p w14:paraId="1A0ACE16">
            <w:pPr>
              <w:keepNext w:val="0"/>
              <w:keepLines w:val="0"/>
              <w:pageBreakBefore w:val="0"/>
              <w:widowControl/>
              <w:kinsoku/>
              <w:wordWrap/>
              <w:overflowPunct/>
              <w:topLinePunct w:val="0"/>
              <w:autoSpaceDE/>
              <w:autoSpaceDN/>
              <w:bidi w:val="0"/>
              <w:spacing w:line="360" w:lineRule="auto"/>
              <w:jc w:val="center"/>
              <w:textAlignment w:val="top"/>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bidi="ar"/>
              </w:rPr>
              <w:t>3</w:t>
            </w:r>
          </w:p>
        </w:tc>
        <w:tc>
          <w:tcPr>
            <w:tcW w:w="720" w:type="dxa"/>
            <w:shd w:val="clear" w:color="auto" w:fill="auto"/>
            <w:vAlign w:val="center"/>
          </w:tcPr>
          <w:p w14:paraId="65D554C4">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主观分</w:t>
            </w:r>
          </w:p>
        </w:tc>
      </w:tr>
      <w:tr w14:paraId="5ED6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0C652E92">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738" w:type="dxa"/>
            <w:shd w:val="clear" w:color="auto" w:fill="auto"/>
            <w:vAlign w:val="center"/>
          </w:tcPr>
          <w:p w14:paraId="4050DC77">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696" w:type="dxa"/>
            <w:shd w:val="clear" w:color="auto" w:fill="auto"/>
          </w:tcPr>
          <w:p w14:paraId="420173FC">
            <w:pPr>
              <w:keepNext w:val="0"/>
              <w:keepLines w:val="0"/>
              <w:pageBreakBefore w:val="0"/>
              <w:widowControl/>
              <w:kinsoku/>
              <w:wordWrap/>
              <w:overflowPunct/>
              <w:topLinePunct w:val="0"/>
              <w:autoSpaceDE/>
              <w:autoSpaceDN/>
              <w:bidi w:val="0"/>
              <w:spacing w:line="360" w:lineRule="auto"/>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系统演示</w:t>
            </w:r>
          </w:p>
        </w:tc>
        <w:tc>
          <w:tcPr>
            <w:tcW w:w="456" w:type="dxa"/>
            <w:shd w:val="clear" w:color="auto" w:fill="auto"/>
            <w:vAlign w:val="center"/>
          </w:tcPr>
          <w:p w14:paraId="6631573E">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w:t>
            </w:r>
          </w:p>
        </w:tc>
        <w:tc>
          <w:tcPr>
            <w:tcW w:w="720" w:type="dxa"/>
            <w:shd w:val="clear" w:color="auto" w:fill="auto"/>
            <w:vAlign w:val="center"/>
          </w:tcPr>
          <w:p w14:paraId="5AF2245F">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w:t>
            </w:r>
          </w:p>
        </w:tc>
      </w:tr>
      <w:tr w14:paraId="1C4C0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3C3D32C5">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12.1</w:t>
            </w:r>
          </w:p>
        </w:tc>
        <w:tc>
          <w:tcPr>
            <w:tcW w:w="738" w:type="dxa"/>
            <w:shd w:val="clear" w:color="auto" w:fill="auto"/>
            <w:vAlign w:val="center"/>
          </w:tcPr>
          <w:p w14:paraId="178D9F4B">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696" w:type="dxa"/>
            <w:shd w:val="clear" w:color="auto" w:fill="auto"/>
          </w:tcPr>
          <w:p w14:paraId="0B3B00D0">
            <w:pPr>
              <w:keepNext w:val="0"/>
              <w:keepLines w:val="0"/>
              <w:pageBreakBefore w:val="0"/>
              <w:kinsoku/>
              <w:wordWrap/>
              <w:overflowPunct/>
              <w:topLinePunct w:val="0"/>
              <w:autoSpaceDE/>
              <w:autoSpaceDN/>
              <w:bidi w:val="0"/>
              <w:snapToGrid w:val="0"/>
              <w:spacing w:line="360" w:lineRule="auto"/>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演示内容和要求：</w:t>
            </w:r>
          </w:p>
          <w:p w14:paraId="7EDB10D3">
            <w:pPr>
              <w:keepNext w:val="0"/>
              <w:keepLines w:val="0"/>
              <w:pageBreakBefore w:val="0"/>
              <w:widowControl/>
              <w:kinsoku/>
              <w:wordWrap/>
              <w:overflowPunct/>
              <w:topLinePunct w:val="0"/>
              <w:autoSpaceDE/>
              <w:autoSpaceDN/>
              <w:bidi w:val="0"/>
              <w:spacing w:line="360" w:lineRule="auto"/>
              <w:textAlignment w:val="top"/>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（一）演示内容</w:t>
            </w:r>
          </w:p>
          <w:p w14:paraId="21C62348">
            <w:pPr>
              <w:keepNext w:val="0"/>
              <w:keepLines w:val="0"/>
              <w:pageBreakBefore w:val="0"/>
              <w:widowControl/>
              <w:kinsoku/>
              <w:wordWrap/>
              <w:overflowPunct/>
              <w:topLinePunct w:val="0"/>
              <w:autoSpaceDE/>
              <w:autoSpaceDN/>
              <w:bidi w:val="0"/>
              <w:spacing w:line="360" w:lineRule="auto"/>
              <w:textAlignment w:val="top"/>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演示全省统一工作门户模块，包括统一用户管理、统一组织管理、统一权限管理、统一认证管理等内容。</w:t>
            </w:r>
          </w:p>
          <w:p w14:paraId="603D0FF1">
            <w:pPr>
              <w:keepNext w:val="0"/>
              <w:keepLines w:val="0"/>
              <w:pageBreakBefore w:val="0"/>
              <w:widowControl/>
              <w:kinsoku/>
              <w:wordWrap/>
              <w:overflowPunct/>
              <w:topLinePunct w:val="0"/>
              <w:autoSpaceDE/>
              <w:autoSpaceDN/>
              <w:bidi w:val="0"/>
              <w:spacing w:line="360" w:lineRule="auto"/>
              <w:textAlignment w:val="top"/>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（二）评分要求</w:t>
            </w:r>
          </w:p>
          <w:p w14:paraId="71D11A33">
            <w:pPr>
              <w:keepNext w:val="0"/>
              <w:keepLines w:val="0"/>
              <w:pageBreakBefore w:val="0"/>
              <w:widowControl/>
              <w:kinsoku/>
              <w:wordWrap/>
              <w:overflowPunct/>
              <w:topLinePunct w:val="0"/>
              <w:autoSpaceDE/>
              <w:autoSpaceDN/>
              <w:bidi w:val="0"/>
              <w:spacing w:line="360" w:lineRule="auto"/>
              <w:textAlignment w:val="top"/>
              <w:rPr>
                <w:rFonts w:hint="eastAsia" w:ascii="宋体" w:hAnsi="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bidi="ar"/>
              </w:rPr>
              <w:t>演示内容完全满足采购需求的得3分；功能、演示内容与采购需求有偏差的得1分；无演示或演示全部不满足采购需求的不得分。</w:t>
            </w:r>
          </w:p>
        </w:tc>
        <w:tc>
          <w:tcPr>
            <w:tcW w:w="456" w:type="dxa"/>
            <w:shd w:val="clear" w:color="auto" w:fill="auto"/>
            <w:vAlign w:val="center"/>
          </w:tcPr>
          <w:p w14:paraId="5AF2BB86">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720" w:type="dxa"/>
            <w:shd w:val="clear" w:color="auto" w:fill="auto"/>
            <w:vAlign w:val="center"/>
          </w:tcPr>
          <w:p w14:paraId="7F200406">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客观分</w:t>
            </w:r>
          </w:p>
        </w:tc>
      </w:tr>
      <w:tr w14:paraId="16CD1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2FEBA929">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12.2</w:t>
            </w:r>
          </w:p>
        </w:tc>
        <w:tc>
          <w:tcPr>
            <w:tcW w:w="738" w:type="dxa"/>
            <w:shd w:val="clear" w:color="auto" w:fill="auto"/>
            <w:vAlign w:val="center"/>
          </w:tcPr>
          <w:p w14:paraId="793DF0AC">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696" w:type="dxa"/>
            <w:shd w:val="clear" w:color="auto" w:fill="auto"/>
          </w:tcPr>
          <w:p w14:paraId="623DD0E1">
            <w:pPr>
              <w:keepNext w:val="0"/>
              <w:keepLines w:val="0"/>
              <w:pageBreakBefore w:val="0"/>
              <w:kinsoku/>
              <w:wordWrap/>
              <w:overflowPunct/>
              <w:topLinePunct w:val="0"/>
              <w:autoSpaceDE/>
              <w:autoSpaceDN/>
              <w:bidi w:val="0"/>
              <w:snapToGrid w:val="0"/>
              <w:spacing w:line="360" w:lineRule="auto"/>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演示内容和要求：</w:t>
            </w:r>
          </w:p>
          <w:p w14:paraId="3D8B37B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（一）演示内容</w:t>
            </w:r>
          </w:p>
          <w:p w14:paraId="1805368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演示全量日志监控模块，包括事件类型管理、埋点指标管理、全量日志采集、日志实时分析、日志查询服务、日志看板与报表等内容。</w:t>
            </w:r>
          </w:p>
          <w:p w14:paraId="5C95C61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（二）评分要求</w:t>
            </w:r>
          </w:p>
          <w:p w14:paraId="1DA480E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演示内容完全满足采购需求的得3分；功能、演示内容与采购需求有偏差的得1分；无演示或演示全部不满足采购需求的不得分。</w:t>
            </w:r>
          </w:p>
        </w:tc>
        <w:tc>
          <w:tcPr>
            <w:tcW w:w="456" w:type="dxa"/>
            <w:shd w:val="clear" w:color="auto" w:fill="auto"/>
            <w:vAlign w:val="center"/>
          </w:tcPr>
          <w:p w14:paraId="22243B19">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720" w:type="dxa"/>
            <w:shd w:val="clear" w:color="auto" w:fill="auto"/>
            <w:vAlign w:val="center"/>
          </w:tcPr>
          <w:p w14:paraId="352DBAC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客观分</w:t>
            </w:r>
          </w:p>
        </w:tc>
      </w:tr>
      <w:tr w14:paraId="57A6F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50D08138">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12.3</w:t>
            </w:r>
          </w:p>
        </w:tc>
        <w:tc>
          <w:tcPr>
            <w:tcW w:w="738" w:type="dxa"/>
            <w:shd w:val="clear" w:color="auto" w:fill="auto"/>
            <w:vAlign w:val="center"/>
          </w:tcPr>
          <w:p w14:paraId="4E7605A0">
            <w:pPr>
              <w:keepNext w:val="0"/>
              <w:keepLines w:val="0"/>
              <w:pageBreakBefore w:val="0"/>
              <w:kinsoku/>
              <w:wordWrap/>
              <w:overflowPunct/>
              <w:topLinePunct w:val="0"/>
              <w:autoSpaceDE/>
              <w:autoSpaceDN/>
              <w:bidi w:val="0"/>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696" w:type="dxa"/>
            <w:shd w:val="clear" w:color="auto" w:fill="auto"/>
          </w:tcPr>
          <w:p w14:paraId="08561FBC">
            <w:pPr>
              <w:keepNext w:val="0"/>
              <w:keepLines w:val="0"/>
              <w:pageBreakBefore w:val="0"/>
              <w:kinsoku/>
              <w:wordWrap/>
              <w:overflowPunct/>
              <w:topLinePunct w:val="0"/>
              <w:autoSpaceDE/>
              <w:autoSpaceDN/>
              <w:bidi w:val="0"/>
              <w:snapToGrid w:val="0"/>
              <w:spacing w:line="360" w:lineRule="auto"/>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演示内容和要求：</w:t>
            </w:r>
          </w:p>
          <w:p w14:paraId="7686EDD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（一）演示内容</w:t>
            </w:r>
          </w:p>
          <w:p w14:paraId="7542B0B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演示待办中心模块，包括待办集成、待办服务、待办管理、待办分类、待办推送以及待办通知内容</w:t>
            </w:r>
            <w:r>
              <w:rPr>
                <w:rFonts w:hint="eastAsia" w:ascii="宋体" w:hAnsi="宋体" w:cs="宋体"/>
                <w:color w:val="auto"/>
                <w:sz w:val="24"/>
                <w:szCs w:val="24"/>
                <w:highlight w:val="none"/>
                <w:lang w:val="en-US" w:eastAsia="zh-CN"/>
              </w:rPr>
              <w:t>。</w:t>
            </w:r>
          </w:p>
          <w:p w14:paraId="2647AEC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（二）评分要求</w:t>
            </w:r>
          </w:p>
          <w:p w14:paraId="212B0F2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w:t>
            </w:r>
            <w:bookmarkStart w:id="407" w:name="_GoBack"/>
            <w:bookmarkEnd w:id="407"/>
            <w:r>
              <w:rPr>
                <w:rFonts w:hint="eastAsia" w:ascii="宋体" w:hAnsi="宋体" w:eastAsia="宋体" w:cs="宋体"/>
                <w:color w:val="auto"/>
                <w:sz w:val="24"/>
                <w:szCs w:val="24"/>
                <w:highlight w:val="none"/>
                <w:lang w:bidi="ar"/>
              </w:rPr>
              <w:t>全满足采购需求的得3分；功能、演示内容与采购需求有偏差的得1分；无演示或演示全部不满足采购需求的不得分。</w:t>
            </w:r>
          </w:p>
        </w:tc>
        <w:tc>
          <w:tcPr>
            <w:tcW w:w="456" w:type="dxa"/>
            <w:shd w:val="clear" w:color="auto" w:fill="auto"/>
            <w:vAlign w:val="center"/>
          </w:tcPr>
          <w:p w14:paraId="46AD7528">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720" w:type="dxa"/>
            <w:shd w:val="clear" w:color="auto" w:fill="auto"/>
            <w:vAlign w:val="center"/>
          </w:tcPr>
          <w:p w14:paraId="0D739BCC">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客观分</w:t>
            </w:r>
          </w:p>
        </w:tc>
      </w:tr>
      <w:tr w14:paraId="5594F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0E4097D9">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12.4</w:t>
            </w:r>
          </w:p>
        </w:tc>
        <w:tc>
          <w:tcPr>
            <w:tcW w:w="738" w:type="dxa"/>
            <w:shd w:val="clear" w:color="auto" w:fill="auto"/>
            <w:vAlign w:val="center"/>
          </w:tcPr>
          <w:p w14:paraId="27EBDF89">
            <w:pPr>
              <w:keepNext w:val="0"/>
              <w:keepLines w:val="0"/>
              <w:pageBreakBefore w:val="0"/>
              <w:kinsoku/>
              <w:wordWrap/>
              <w:overflowPunct/>
              <w:topLinePunct w:val="0"/>
              <w:autoSpaceDE/>
              <w:autoSpaceDN/>
              <w:bidi w:val="0"/>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696" w:type="dxa"/>
            <w:shd w:val="clear" w:color="auto" w:fill="auto"/>
          </w:tcPr>
          <w:p w14:paraId="369EA65D">
            <w:pPr>
              <w:keepNext w:val="0"/>
              <w:keepLines w:val="0"/>
              <w:pageBreakBefore w:val="0"/>
              <w:kinsoku/>
              <w:wordWrap/>
              <w:overflowPunct/>
              <w:topLinePunct w:val="0"/>
              <w:autoSpaceDE/>
              <w:autoSpaceDN/>
              <w:bidi w:val="0"/>
              <w:snapToGrid w:val="0"/>
              <w:spacing w:line="360" w:lineRule="auto"/>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演示内容和要求：</w:t>
            </w:r>
          </w:p>
          <w:p w14:paraId="16693C9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（一）演示内容</w:t>
            </w:r>
          </w:p>
          <w:p w14:paraId="5926DF6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演示</w:t>
            </w:r>
            <w:r>
              <w:rPr>
                <w:rFonts w:hint="default" w:ascii="宋体" w:hAnsi="宋体" w:cs="宋体"/>
                <w:color w:val="auto"/>
                <w:sz w:val="24"/>
                <w:szCs w:val="24"/>
                <w:highlight w:val="none"/>
                <w:lang w:eastAsia="zh-CN"/>
              </w:rPr>
              <w:t>业务工作</w:t>
            </w:r>
            <w:r>
              <w:rPr>
                <w:rFonts w:hint="eastAsia" w:ascii="宋体" w:hAnsi="宋体" w:eastAsia="宋体" w:cs="宋体"/>
                <w:color w:val="auto"/>
                <w:sz w:val="24"/>
                <w:szCs w:val="24"/>
                <w:highlight w:val="none"/>
                <w:lang w:val="en-US" w:eastAsia="zh-CN"/>
              </w:rPr>
              <w:t>学习和学习视图模块，包括学习基础管理、学习文件管理、学习视频管理、学习资料排行、最新学习轨迹、我的常用学习、学习推荐等内容</w:t>
            </w:r>
            <w:r>
              <w:rPr>
                <w:rFonts w:hint="eastAsia" w:ascii="宋体" w:hAnsi="宋体" w:cs="宋体"/>
                <w:color w:val="auto"/>
                <w:sz w:val="24"/>
                <w:szCs w:val="24"/>
                <w:highlight w:val="none"/>
                <w:lang w:val="en-US" w:eastAsia="zh-CN"/>
              </w:rPr>
              <w:t>。</w:t>
            </w:r>
          </w:p>
          <w:p w14:paraId="29C55CE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（二）评分要求</w:t>
            </w:r>
          </w:p>
          <w:p w14:paraId="4BD5A23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演示内容完全满足采购需求的得3分；功能、演示内容与采购需求有偏差的得1分；无演示或演示全部不满足采购需求的不得分。</w:t>
            </w:r>
          </w:p>
        </w:tc>
        <w:tc>
          <w:tcPr>
            <w:tcW w:w="456" w:type="dxa"/>
            <w:shd w:val="clear" w:color="auto" w:fill="auto"/>
            <w:vAlign w:val="center"/>
          </w:tcPr>
          <w:p w14:paraId="3DA7EE30">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720" w:type="dxa"/>
            <w:shd w:val="clear" w:color="auto" w:fill="auto"/>
            <w:vAlign w:val="center"/>
          </w:tcPr>
          <w:p w14:paraId="6389CD68">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客观分</w:t>
            </w:r>
          </w:p>
        </w:tc>
      </w:tr>
      <w:tr w14:paraId="5F795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shd w:val="clear" w:color="auto" w:fill="auto"/>
            <w:vAlign w:val="center"/>
          </w:tcPr>
          <w:p w14:paraId="2F45DCA4">
            <w:pPr>
              <w:keepNext w:val="0"/>
              <w:keepLines w:val="0"/>
              <w:pageBreakBefore w:val="0"/>
              <w:kinsoku/>
              <w:wordWrap/>
              <w:overflowPunct/>
              <w:topLinePunct w:val="0"/>
              <w:autoSpaceDE/>
              <w:autoSpaceDN/>
              <w:bidi w:val="0"/>
              <w:snapToGrid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12.5</w:t>
            </w:r>
          </w:p>
        </w:tc>
        <w:tc>
          <w:tcPr>
            <w:tcW w:w="738" w:type="dxa"/>
            <w:shd w:val="clear" w:color="auto" w:fill="auto"/>
            <w:vAlign w:val="center"/>
          </w:tcPr>
          <w:p w14:paraId="3C5867E0">
            <w:pPr>
              <w:keepNext w:val="0"/>
              <w:keepLines w:val="0"/>
              <w:pageBreakBefore w:val="0"/>
              <w:kinsoku/>
              <w:wordWrap/>
              <w:overflowPunct/>
              <w:topLinePunct w:val="0"/>
              <w:autoSpaceDE/>
              <w:autoSpaceDN/>
              <w:bidi w:val="0"/>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696" w:type="dxa"/>
            <w:shd w:val="clear" w:color="auto" w:fill="auto"/>
          </w:tcPr>
          <w:p w14:paraId="3DBE3047">
            <w:pPr>
              <w:keepNext w:val="0"/>
              <w:keepLines w:val="0"/>
              <w:pageBreakBefore w:val="0"/>
              <w:kinsoku/>
              <w:wordWrap/>
              <w:overflowPunct/>
              <w:topLinePunct w:val="0"/>
              <w:autoSpaceDE/>
              <w:autoSpaceDN/>
              <w:bidi w:val="0"/>
              <w:snapToGrid w:val="0"/>
              <w:spacing w:line="360" w:lineRule="auto"/>
              <w:rPr>
                <w:rFonts w:hint="eastAsia" w:ascii="宋体" w:hAnsi="宋体" w:eastAsia="宋体" w:cs="宋体"/>
                <w:b/>
                <w:bCs/>
                <w:color w:val="auto"/>
                <w:sz w:val="24"/>
                <w:szCs w:val="24"/>
                <w:highlight w:val="none"/>
                <w:lang w:bidi="ar"/>
              </w:rPr>
            </w:pPr>
            <w:r>
              <w:rPr>
                <w:rFonts w:hint="eastAsia" w:ascii="宋体" w:hAnsi="宋体" w:eastAsia="宋体" w:cs="宋体"/>
                <w:b/>
                <w:bCs/>
                <w:color w:val="auto"/>
                <w:sz w:val="24"/>
                <w:szCs w:val="24"/>
                <w:highlight w:val="none"/>
                <w:lang w:bidi="ar"/>
              </w:rPr>
              <w:t>演示内容和要求：</w:t>
            </w:r>
          </w:p>
          <w:p w14:paraId="3E07F03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（一）演示内容</w:t>
            </w:r>
          </w:p>
          <w:p w14:paraId="6004927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演示</w:t>
            </w:r>
            <w:r>
              <w:rPr>
                <w:rFonts w:hint="default" w:ascii="宋体" w:hAnsi="宋体" w:cs="宋体"/>
                <w:color w:val="auto"/>
                <w:sz w:val="24"/>
                <w:szCs w:val="24"/>
                <w:highlight w:val="none"/>
                <w:lang w:eastAsia="zh-CN"/>
              </w:rPr>
              <w:t>业务工作</w:t>
            </w:r>
            <w:r>
              <w:rPr>
                <w:rFonts w:hint="eastAsia" w:ascii="宋体" w:hAnsi="宋体" w:eastAsia="宋体" w:cs="宋体"/>
                <w:color w:val="auto"/>
                <w:sz w:val="24"/>
                <w:szCs w:val="24"/>
                <w:highlight w:val="none"/>
                <w:lang w:val="en-US" w:eastAsia="zh-CN"/>
              </w:rPr>
              <w:t>案例中心模块，包括案例基础管理、案例审查管理、重点案例推荐等内容。</w:t>
            </w:r>
          </w:p>
          <w:p w14:paraId="26B8C5E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（二）评分要求</w:t>
            </w:r>
          </w:p>
          <w:p w14:paraId="52CFEA2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bidi="ar"/>
              </w:rPr>
              <w:t>演示内容完全满足采购需求的得3分；功能、演示内容与采购需求有偏差的得1分；无演示或演示全部不满足采购需求的不得分。</w:t>
            </w:r>
          </w:p>
        </w:tc>
        <w:tc>
          <w:tcPr>
            <w:tcW w:w="456" w:type="dxa"/>
            <w:shd w:val="clear" w:color="auto" w:fill="auto"/>
            <w:vAlign w:val="center"/>
          </w:tcPr>
          <w:p w14:paraId="286A78FA">
            <w:pPr>
              <w:keepNext w:val="0"/>
              <w:keepLines w:val="0"/>
              <w:pageBreakBefore w:val="0"/>
              <w:widowControl/>
              <w:kinsoku/>
              <w:wordWrap/>
              <w:overflowPunct/>
              <w:topLinePunct w:val="0"/>
              <w:autoSpaceDE/>
              <w:autoSpaceDN/>
              <w:bidi w:val="0"/>
              <w:spacing w:line="360" w:lineRule="auto"/>
              <w:jc w:val="center"/>
              <w:textAlignment w:val="top"/>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720" w:type="dxa"/>
            <w:shd w:val="clear" w:color="auto" w:fill="auto"/>
            <w:vAlign w:val="center"/>
          </w:tcPr>
          <w:p w14:paraId="387BE1C5">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lang w:val="en-US" w:eastAsia="zh-CN"/>
              </w:rPr>
              <w:t>客观分</w:t>
            </w:r>
          </w:p>
        </w:tc>
      </w:tr>
      <w:tr w14:paraId="5E9DE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666" w:type="dxa"/>
            <w:vAlign w:val="center"/>
          </w:tcPr>
          <w:p w14:paraId="611CC6EA">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3</w:t>
            </w:r>
          </w:p>
        </w:tc>
        <w:tc>
          <w:tcPr>
            <w:tcW w:w="738" w:type="dxa"/>
            <w:vAlign w:val="center"/>
          </w:tcPr>
          <w:p w14:paraId="0E431E60">
            <w:pPr>
              <w:keepNext w:val="0"/>
              <w:keepLines w:val="0"/>
              <w:pageBreakBefore w:val="0"/>
              <w:kinsoku/>
              <w:wordWrap/>
              <w:overflowPunct/>
              <w:topLinePunct w:val="0"/>
              <w:autoSpaceDE/>
              <w:autoSpaceDN/>
              <w:bidi w:val="0"/>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报价</w:t>
            </w:r>
          </w:p>
        </w:tc>
        <w:tc>
          <w:tcPr>
            <w:tcW w:w="6696" w:type="dxa"/>
          </w:tcPr>
          <w:p w14:paraId="7960AD12">
            <w:pPr>
              <w:keepNext w:val="0"/>
              <w:keepLines w:val="0"/>
              <w:pageBreakBefore w:val="0"/>
              <w:widowControl/>
              <w:shd w:val="clear" w:color="auto" w:fill="FFFFFF"/>
              <w:kinsoku/>
              <w:wordWrap/>
              <w:overflowPunct/>
              <w:topLinePunct w:val="0"/>
              <w:autoSpaceDE/>
              <w:autoSpaceDN/>
              <w:bidi w:val="0"/>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有效投标报价的最低价作为评标基准价，其最低报价为满分；按［投标报价得分=（评标基准价/投标报价）*10］的计算公式计算。</w:t>
            </w:r>
          </w:p>
          <w:p w14:paraId="0A231C19">
            <w:pPr>
              <w:keepNext w:val="0"/>
              <w:keepLines w:val="0"/>
              <w:pageBreakBefore w:val="0"/>
              <w:widowControl/>
              <w:shd w:val="clear" w:color="auto" w:fill="FFFFFF"/>
              <w:kinsoku/>
              <w:wordWrap/>
              <w:overflowPunct/>
              <w:topLinePunct w:val="0"/>
              <w:autoSpaceDE/>
              <w:autoSpaceDN/>
              <w:bidi w:val="0"/>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57C9C97D">
            <w:pPr>
              <w:keepNext w:val="0"/>
              <w:keepLines w:val="0"/>
              <w:pageBreakBefore w:val="0"/>
              <w:widowControl/>
              <w:shd w:val="clear" w:color="auto" w:fill="FFFFFF"/>
              <w:kinsoku/>
              <w:wordWrap/>
              <w:overflowPunct/>
              <w:topLinePunct w:val="0"/>
              <w:autoSpaceDE/>
              <w:autoSpaceDN/>
              <w:bidi w:val="0"/>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456" w:type="dxa"/>
            <w:vAlign w:val="center"/>
          </w:tcPr>
          <w:p w14:paraId="5D0DACF6">
            <w:pPr>
              <w:keepNext w:val="0"/>
              <w:keepLines w:val="0"/>
              <w:pageBreakBefore w:val="0"/>
              <w:kinsoku/>
              <w:wordWrap/>
              <w:overflowPunct/>
              <w:topLinePunct w:val="0"/>
              <w:autoSpaceDE/>
              <w:autoSpaceDN/>
              <w:bidi w:val="0"/>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720" w:type="dxa"/>
            <w:vAlign w:val="center"/>
          </w:tcPr>
          <w:p w14:paraId="3DB93459">
            <w:pPr>
              <w:keepNext w:val="0"/>
              <w:keepLines w:val="0"/>
              <w:pageBreakBefore w:val="0"/>
              <w:kinsoku/>
              <w:wordWrap/>
              <w:overflowPunct/>
              <w:topLinePunct w:val="0"/>
              <w:autoSpaceDE/>
              <w:autoSpaceDN/>
              <w:bidi w:val="0"/>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统一评分</w:t>
            </w:r>
          </w:p>
        </w:tc>
      </w:tr>
    </w:tbl>
    <w:p w14:paraId="756A3B5F">
      <w:pPr>
        <w:pStyle w:val="24"/>
        <w:rPr>
          <w:rFonts w:hint="default"/>
          <w:color w:val="auto"/>
          <w:highlight w:val="none"/>
          <w:lang w:val="en-US" w:eastAsia="zh-CN"/>
        </w:rPr>
      </w:pPr>
    </w:p>
    <w:p w14:paraId="357BD882">
      <w:pPr>
        <w:snapToGrid w:val="0"/>
        <w:spacing w:line="360" w:lineRule="auto"/>
        <w:jc w:val="center"/>
        <w:rPr>
          <w:rFonts w:hint="default" w:ascii="宋体" w:hAnsi="宋体" w:cs="宋体"/>
          <w:b/>
          <w:color w:val="auto"/>
          <w:sz w:val="32"/>
          <w:szCs w:val="20"/>
          <w:highlight w:val="none"/>
          <w:lang w:val="en-US" w:eastAsia="zh-CN"/>
        </w:rPr>
      </w:pPr>
      <w:r>
        <w:rPr>
          <w:rFonts w:hint="eastAsia" w:ascii="宋体" w:hAnsi="宋体" w:cs="宋体"/>
          <w:b/>
          <w:color w:val="auto"/>
          <w:sz w:val="32"/>
          <w:szCs w:val="20"/>
          <w:highlight w:val="none"/>
          <w:lang w:val="en-US" w:eastAsia="zh-CN"/>
        </w:rPr>
        <w:t>标项二评标办法</w:t>
      </w:r>
    </w:p>
    <w:tbl>
      <w:tblPr>
        <w:tblStyle w:val="63"/>
        <w:tblW w:w="9628" w:type="dxa"/>
        <w:tblInd w:w="-1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700"/>
        <w:gridCol w:w="6980"/>
        <w:gridCol w:w="509"/>
        <w:gridCol w:w="801"/>
      </w:tblGrid>
      <w:tr w14:paraId="45B16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C407DF4">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7680" w:type="dxa"/>
            <w:gridSpan w:val="2"/>
            <w:tcBorders>
              <w:top w:val="single" w:color="auto" w:sz="4" w:space="0"/>
              <w:left w:val="single" w:color="auto" w:sz="4" w:space="0"/>
              <w:bottom w:val="single" w:color="auto" w:sz="4" w:space="0"/>
              <w:right w:val="single" w:color="auto" w:sz="4" w:space="0"/>
            </w:tcBorders>
            <w:noWrap w:val="0"/>
            <w:vAlign w:val="center"/>
          </w:tcPr>
          <w:p w14:paraId="66121EE4">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评标标准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DF1195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68CF3E5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评分属性</w:t>
            </w:r>
          </w:p>
        </w:tc>
      </w:tr>
      <w:tr w14:paraId="33098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26CFB71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3435CB4B">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0F63C4E1">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ascii="宋体" w:hAnsi="宋体" w:eastAsia="宋体" w:cs="宋体"/>
                <w:bCs/>
                <w:color w:val="auto"/>
                <w:sz w:val="24"/>
                <w:szCs w:val="24"/>
                <w:highlight w:val="none"/>
                <w:lang w:val="en-US" w:eastAsia="zh-CN" w:bidi="ar"/>
              </w:rPr>
            </w:pPr>
            <w:r>
              <w:rPr>
                <w:rFonts w:hint="eastAsia" w:ascii="宋体" w:hAnsi="宋体" w:cs="宋体"/>
                <w:bCs/>
                <w:color w:val="auto"/>
                <w:sz w:val="24"/>
                <w:szCs w:val="24"/>
                <w:highlight w:val="none"/>
                <w:lang w:val="en-US" w:eastAsia="zh-CN" w:bidi="ar"/>
              </w:rPr>
              <w:t>投标人</w:t>
            </w:r>
            <w:r>
              <w:rPr>
                <w:rFonts w:hint="eastAsia" w:ascii="宋体" w:hAnsi="宋体" w:eastAsia="宋体" w:cs="宋体"/>
                <w:bCs/>
                <w:color w:val="auto"/>
                <w:sz w:val="24"/>
                <w:szCs w:val="24"/>
                <w:highlight w:val="none"/>
                <w:lang w:bidi="ar"/>
              </w:rPr>
              <w:t>具备质量管理体</w:t>
            </w:r>
            <w:r>
              <w:rPr>
                <w:rFonts w:hint="eastAsia" w:ascii="宋体" w:hAnsi="宋体" w:eastAsia="宋体" w:cs="宋体"/>
                <w:b w:val="0"/>
                <w:bCs/>
                <w:color w:val="auto"/>
                <w:sz w:val="24"/>
                <w:szCs w:val="24"/>
                <w:highlight w:val="none"/>
                <w:lang w:bidi="ar"/>
              </w:rPr>
              <w:t>系ISO 9001认证、信息安全管理体系ISO/IEC 27001认证、ISO/IEC 20000（信</w:t>
            </w:r>
            <w:r>
              <w:rPr>
                <w:rFonts w:hint="eastAsia" w:ascii="宋体" w:hAnsi="宋体" w:eastAsia="宋体" w:cs="宋体"/>
                <w:bCs/>
                <w:color w:val="auto"/>
                <w:sz w:val="24"/>
                <w:szCs w:val="24"/>
                <w:highlight w:val="none"/>
                <w:lang w:bidi="ar"/>
              </w:rPr>
              <w:t>息技术服务管理体系）认证</w:t>
            </w:r>
            <w:r>
              <w:rPr>
                <w:rFonts w:hint="eastAsia" w:ascii="宋体" w:hAnsi="宋体" w:eastAsia="宋体" w:cs="宋体"/>
                <w:bCs/>
                <w:color w:val="auto"/>
                <w:sz w:val="24"/>
                <w:szCs w:val="24"/>
                <w:highlight w:val="none"/>
                <w:lang w:val="en-US" w:eastAsia="zh-CN" w:bidi="ar"/>
              </w:rPr>
              <w:t>包含信息技术等与本项目合同履约相关</w:t>
            </w:r>
            <w:r>
              <w:rPr>
                <w:rFonts w:hint="eastAsia" w:ascii="宋体" w:hAnsi="宋体" w:eastAsia="宋体" w:cs="宋体"/>
                <w:bCs/>
                <w:color w:val="auto"/>
                <w:sz w:val="24"/>
                <w:szCs w:val="24"/>
                <w:highlight w:val="none"/>
                <w:lang w:bidi="ar"/>
              </w:rPr>
              <w:t>的，</w:t>
            </w:r>
            <w:r>
              <w:rPr>
                <w:rFonts w:hint="eastAsia" w:ascii="宋体" w:hAnsi="宋体" w:eastAsia="宋体" w:cs="宋体"/>
                <w:bCs/>
                <w:color w:val="auto"/>
                <w:sz w:val="24"/>
                <w:szCs w:val="24"/>
                <w:highlight w:val="none"/>
                <w:lang w:val="en-US" w:eastAsia="zh-CN" w:bidi="ar"/>
              </w:rPr>
              <w:t>每个证书得1分，最高得3分</w:t>
            </w:r>
            <w:r>
              <w:rPr>
                <w:rFonts w:hint="eastAsia" w:ascii="宋体" w:hAnsi="宋体" w:eastAsia="宋体" w:cs="宋体"/>
                <w:bCs/>
                <w:color w:val="auto"/>
                <w:sz w:val="24"/>
                <w:szCs w:val="24"/>
                <w:highlight w:val="none"/>
                <w:lang w:bidi="ar"/>
              </w:rPr>
              <w:t>（需提供全国认证认可信息公共服务平台（http://cx.cnca.cn/CertECloud/result/skipResultList）查询结果截图作为证明材料，未提供或证明材料不完善的不得分）。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2F14AF9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7C151AFF">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46EED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0244E9B4">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1B61DAB">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商务</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00E22EE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bidi="ar"/>
              </w:rPr>
              <w:t>自</w:t>
            </w:r>
            <w:r>
              <w:rPr>
                <w:rFonts w:hint="eastAsia" w:ascii="宋体" w:hAnsi="宋体" w:eastAsia="宋体" w:cs="宋体"/>
                <w:bCs/>
                <w:color w:val="auto"/>
                <w:sz w:val="24"/>
                <w:szCs w:val="24"/>
                <w:highlight w:val="none"/>
                <w:lang w:bidi="ar"/>
              </w:rPr>
              <w:t>202</w:t>
            </w:r>
            <w:r>
              <w:rPr>
                <w:rFonts w:hint="eastAsia" w:ascii="宋体" w:hAnsi="宋体" w:cs="宋体"/>
                <w:bCs/>
                <w:color w:val="auto"/>
                <w:sz w:val="24"/>
                <w:szCs w:val="24"/>
                <w:highlight w:val="none"/>
                <w:lang w:val="en-US" w:eastAsia="zh-CN" w:bidi="ar"/>
              </w:rPr>
              <w:t>2</w:t>
            </w:r>
            <w:r>
              <w:rPr>
                <w:rFonts w:hint="eastAsia" w:ascii="宋体" w:hAnsi="宋体" w:eastAsia="宋体" w:cs="宋体"/>
                <w:bCs/>
                <w:color w:val="auto"/>
                <w:sz w:val="24"/>
                <w:szCs w:val="24"/>
                <w:highlight w:val="none"/>
                <w:lang w:bidi="ar"/>
              </w:rPr>
              <w:t>年1月1日（以合同签订的最晚落款时间为准）以来，</w:t>
            </w:r>
            <w:r>
              <w:rPr>
                <w:rFonts w:hint="eastAsia" w:ascii="宋体" w:hAnsi="宋体" w:cs="宋体"/>
                <w:bCs/>
                <w:color w:val="auto"/>
                <w:sz w:val="24"/>
                <w:szCs w:val="24"/>
                <w:highlight w:val="none"/>
                <w:lang w:val="en-US" w:eastAsia="zh-CN" w:bidi="ar"/>
              </w:rPr>
              <w:t>投标人</w:t>
            </w:r>
            <w:r>
              <w:rPr>
                <w:rFonts w:hint="eastAsia" w:ascii="宋体" w:hAnsi="宋体" w:eastAsia="宋体" w:cs="宋体"/>
                <w:bCs/>
                <w:color w:val="auto"/>
                <w:sz w:val="24"/>
                <w:szCs w:val="24"/>
                <w:highlight w:val="none"/>
                <w:lang w:bidi="ar"/>
              </w:rPr>
              <w:t>具有类似电子政务业绩的，</w:t>
            </w:r>
            <w:r>
              <w:rPr>
                <w:rFonts w:hint="eastAsia" w:ascii="宋体" w:hAnsi="宋体" w:eastAsia="宋体" w:cs="宋体"/>
                <w:color w:val="auto"/>
                <w:kern w:val="0"/>
                <w:sz w:val="24"/>
                <w:szCs w:val="24"/>
                <w:highlight w:val="none"/>
                <w:lang w:bidi="ar"/>
              </w:rPr>
              <w:t>每提供一个业绩</w:t>
            </w:r>
            <w:r>
              <w:rPr>
                <w:rFonts w:hint="eastAsia" w:ascii="宋体" w:hAnsi="宋体" w:eastAsia="宋体" w:cs="宋体"/>
                <w:bCs/>
                <w:color w:val="auto"/>
                <w:sz w:val="24"/>
                <w:szCs w:val="24"/>
                <w:highlight w:val="none"/>
                <w:lang w:bidi="ar"/>
              </w:rPr>
              <w:t>得 0.</w:t>
            </w:r>
            <w:r>
              <w:rPr>
                <w:rFonts w:hint="eastAsia" w:ascii="宋体" w:hAnsi="宋体" w:eastAsia="宋体" w:cs="宋体"/>
                <w:bCs/>
                <w:color w:val="auto"/>
                <w:sz w:val="24"/>
                <w:szCs w:val="24"/>
                <w:highlight w:val="none"/>
                <w:lang w:val="en-US" w:eastAsia="zh-CN" w:bidi="ar"/>
              </w:rPr>
              <w:t>2</w:t>
            </w:r>
            <w:r>
              <w:rPr>
                <w:rFonts w:hint="eastAsia" w:ascii="宋体" w:hAnsi="宋体" w:eastAsia="宋体" w:cs="宋体"/>
                <w:bCs/>
                <w:color w:val="auto"/>
                <w:sz w:val="24"/>
                <w:szCs w:val="24"/>
                <w:highlight w:val="none"/>
                <w:lang w:bidi="ar"/>
              </w:rPr>
              <w:t>分，最高得 1 分；须提供合同复印件等证明材料，</w:t>
            </w:r>
            <w:r>
              <w:rPr>
                <w:rFonts w:hint="eastAsia" w:ascii="宋体" w:hAnsi="宋体" w:eastAsia="宋体" w:cs="宋体"/>
                <w:color w:val="auto"/>
                <w:kern w:val="0"/>
                <w:sz w:val="24"/>
                <w:szCs w:val="24"/>
                <w:highlight w:val="none"/>
              </w:rPr>
              <w:t>提供的证明材料须能体现相关评审因素，不提供或无法提供有效证明材料的不得分</w:t>
            </w:r>
            <w:r>
              <w:rPr>
                <w:rFonts w:hint="eastAsia" w:ascii="宋体" w:hAnsi="宋体" w:eastAsia="宋体" w:cs="宋体"/>
                <w:bCs/>
                <w:color w:val="auto"/>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1B9FD9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3512266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客观分</w:t>
            </w:r>
          </w:p>
        </w:tc>
      </w:tr>
      <w:tr w14:paraId="2C084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358521F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strike/>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07923B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2CF6DC9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kern w:val="0"/>
                <w:sz w:val="24"/>
                <w:szCs w:val="24"/>
                <w:highlight w:val="none"/>
                <w:lang w:val="en-US" w:eastAsia="zh-CN"/>
              </w:rPr>
              <w:t>对</w:t>
            </w:r>
            <w:r>
              <w:rPr>
                <w:rFonts w:hint="eastAsia" w:ascii="宋体" w:hAnsi="宋体" w:eastAsia="宋体" w:cs="宋体"/>
                <w:color w:val="auto"/>
                <w:kern w:val="0"/>
                <w:sz w:val="24"/>
                <w:szCs w:val="24"/>
                <w:highlight w:val="none"/>
                <w:lang w:val="en-US" w:eastAsia="zh-CN"/>
              </w:rPr>
              <w:t>投标文件中</w:t>
            </w:r>
            <w:r>
              <w:rPr>
                <w:rFonts w:hint="eastAsia" w:ascii="宋体" w:hAnsi="宋体" w:cs="宋体"/>
                <w:color w:val="auto"/>
                <w:kern w:val="0"/>
                <w:sz w:val="24"/>
                <w:szCs w:val="24"/>
                <w:highlight w:val="none"/>
                <w:lang w:val="en-US" w:eastAsia="zh-CN"/>
              </w:rPr>
              <w:t>提供的</w:t>
            </w:r>
            <w:r>
              <w:rPr>
                <w:rFonts w:hint="eastAsia" w:ascii="宋体" w:hAnsi="宋体" w:eastAsia="宋体" w:cs="宋体"/>
                <w:color w:val="auto"/>
                <w:kern w:val="0"/>
                <w:sz w:val="24"/>
                <w:szCs w:val="24"/>
                <w:highlight w:val="none"/>
                <w:lang w:val="en-US" w:eastAsia="zh-CN"/>
              </w:rPr>
              <w:t>针对本项目的</w:t>
            </w:r>
            <w:r>
              <w:rPr>
                <w:rFonts w:hint="eastAsia" w:ascii="宋体" w:hAnsi="宋体" w:eastAsia="宋体" w:cs="宋体"/>
                <w:color w:val="auto"/>
                <w:kern w:val="0"/>
                <w:sz w:val="24"/>
                <w:szCs w:val="24"/>
                <w:highlight w:val="none"/>
              </w:rPr>
              <w:t>总体方案</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包括</w:t>
            </w:r>
            <w:r>
              <w:rPr>
                <w:rFonts w:hint="eastAsia" w:ascii="宋体" w:hAnsi="宋体" w:eastAsia="宋体" w:cs="宋体"/>
                <w:color w:val="auto"/>
                <w:kern w:val="0"/>
                <w:sz w:val="24"/>
                <w:szCs w:val="24"/>
                <w:highlight w:val="none"/>
              </w:rPr>
              <w:t>总体建设目标、</w:t>
            </w:r>
            <w:r>
              <w:rPr>
                <w:rFonts w:hint="eastAsia" w:ascii="宋体" w:hAnsi="宋体" w:eastAsia="宋体" w:cs="宋体"/>
                <w:color w:val="auto"/>
                <w:kern w:val="0"/>
                <w:sz w:val="24"/>
                <w:szCs w:val="24"/>
                <w:highlight w:val="none"/>
                <w:lang w:val="en-US" w:eastAsia="zh-CN"/>
              </w:rPr>
              <w:t>政务目标、业务目标、总体架构</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业务功能分析、业务流程分析、性能需求、安全要求</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cs="宋体"/>
                <w:color w:val="auto"/>
                <w:kern w:val="0"/>
                <w:sz w:val="24"/>
                <w:szCs w:val="24"/>
                <w:highlight w:val="none"/>
                <w:lang w:val="en-US" w:eastAsia="zh-CN"/>
              </w:rPr>
              <w:t>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r>
              <w:rPr>
                <w:rFonts w:hint="eastAsia" w:ascii="宋体" w:hAnsi="宋体" w:eastAsia="宋体" w:cs="宋体"/>
                <w:color w:val="auto"/>
                <w:kern w:val="0"/>
                <w:sz w:val="24"/>
                <w:szCs w:val="24"/>
                <w:highlight w:val="none"/>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DE50156">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5898925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3C7F4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601FBD0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BE7D3C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4BBFD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系统对接方案</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DC1698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p>
        </w:tc>
        <w:tc>
          <w:tcPr>
            <w:tcW w:w="801" w:type="dxa"/>
            <w:tcBorders>
              <w:top w:val="single" w:color="auto" w:sz="4" w:space="0"/>
              <w:left w:val="single" w:color="auto" w:sz="4" w:space="0"/>
              <w:bottom w:val="single" w:color="auto" w:sz="4" w:space="0"/>
              <w:right w:val="single" w:color="auto" w:sz="4" w:space="0"/>
            </w:tcBorders>
            <w:noWrap w:val="0"/>
            <w:vAlign w:val="center"/>
          </w:tcPr>
          <w:p w14:paraId="6307458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p>
        </w:tc>
      </w:tr>
      <w:tr w14:paraId="1F976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1B4CEC4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4F778D1">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F744CD2">
            <w:pPr>
              <w:keepNext w:val="0"/>
              <w:keepLines w:val="0"/>
              <w:pageBreakBefore w:val="0"/>
              <w:widowControl w:val="0"/>
              <w:numPr>
                <w:ilvl w:val="0"/>
                <w:numId w:val="0"/>
              </w:numPr>
              <w:kinsoku/>
              <w:wordWrap/>
              <w:overflowPunct/>
              <w:topLinePunct w:val="0"/>
              <w:autoSpaceDE/>
              <w:autoSpaceDN/>
              <w:bidi w:val="0"/>
              <w:snapToGrid w:val="0"/>
              <w:spacing w:line="360" w:lineRule="auto"/>
              <w:ind w:leftChars="0"/>
              <w:jc w:val="left"/>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投标人根据采购需求，提供针对</w:t>
            </w:r>
            <w:r>
              <w:rPr>
                <w:rFonts w:hint="eastAsia" w:ascii="宋体" w:hAnsi="宋体" w:eastAsia="宋体" w:cs="宋体"/>
                <w:b/>
                <w:bCs/>
                <w:color w:val="auto"/>
                <w:kern w:val="0"/>
                <w:sz w:val="24"/>
                <w:szCs w:val="24"/>
                <w:highlight w:val="none"/>
                <w:lang w:val="en-US" w:eastAsia="zh-CN"/>
              </w:rPr>
              <w:t>票据系统对接</w:t>
            </w:r>
            <w:r>
              <w:rPr>
                <w:rFonts w:hint="eastAsia" w:ascii="宋体" w:hAnsi="宋体" w:eastAsia="宋体" w:cs="宋体"/>
                <w:color w:val="auto"/>
                <w:kern w:val="0"/>
                <w:sz w:val="24"/>
                <w:szCs w:val="24"/>
                <w:highlight w:val="none"/>
                <w:lang w:val="en-US" w:eastAsia="zh-CN"/>
              </w:rPr>
              <w:t>方案，评标委员会根据响应方案与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匹配情况进行评分。（</w:t>
            </w:r>
            <w:r>
              <w:rPr>
                <w:rStyle w:val="375"/>
                <w:rFonts w:hint="eastAsia" w:ascii="宋体" w:hAnsi="宋体" w:eastAsia="宋体" w:cs="宋体"/>
                <w:color w:val="auto"/>
                <w:sz w:val="24"/>
                <w:szCs w:val="24"/>
                <w:highlight w:val="none"/>
                <w:lang w:bidi="ar"/>
              </w:rPr>
              <w:t>分值：</w:t>
            </w:r>
            <w:r>
              <w:rPr>
                <w:rFonts w:hint="eastAsia" w:ascii="宋体" w:hAnsi="宋体" w:eastAsia="宋体" w:cs="宋体"/>
                <w:color w:val="auto"/>
                <w:kern w:val="0"/>
                <w:sz w:val="24"/>
                <w:szCs w:val="24"/>
                <w:highlight w:val="none"/>
                <w:lang w:val="en-US" w:eastAsia="zh-CN"/>
              </w:rPr>
              <w:t>5,4,3,2,1,0）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541EE97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7D75A754">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5A87D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5E6892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D2C2900">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E13CB80">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投标人根据采购需求，提供针对</w:t>
            </w:r>
            <w:r>
              <w:rPr>
                <w:rFonts w:hint="eastAsia" w:ascii="宋体" w:hAnsi="宋体" w:eastAsia="宋体" w:cs="宋体"/>
                <w:b/>
                <w:bCs/>
                <w:color w:val="auto"/>
                <w:sz w:val="24"/>
                <w:szCs w:val="24"/>
                <w:highlight w:val="none"/>
              </w:rPr>
              <w:t>银企</w:t>
            </w:r>
            <w:r>
              <w:rPr>
                <w:rFonts w:hint="eastAsia" w:ascii="宋体" w:hAnsi="宋体" w:eastAsia="宋体" w:cs="宋体"/>
                <w:b/>
                <w:bCs/>
                <w:color w:val="auto"/>
                <w:sz w:val="24"/>
                <w:szCs w:val="24"/>
                <w:highlight w:val="none"/>
                <w:lang w:eastAsia="zh-CN"/>
              </w:rPr>
              <w:t>数据</w:t>
            </w:r>
            <w:r>
              <w:rPr>
                <w:rFonts w:hint="eastAsia" w:ascii="宋体" w:hAnsi="宋体" w:eastAsia="宋体" w:cs="宋体"/>
                <w:b/>
                <w:bCs/>
                <w:color w:val="auto"/>
                <w:kern w:val="0"/>
                <w:sz w:val="24"/>
                <w:szCs w:val="24"/>
                <w:highlight w:val="none"/>
                <w:lang w:val="en-US" w:eastAsia="zh-CN"/>
              </w:rPr>
              <w:t>对接</w:t>
            </w:r>
            <w:r>
              <w:rPr>
                <w:rFonts w:hint="eastAsia" w:ascii="宋体" w:hAnsi="宋体" w:eastAsia="宋体" w:cs="宋体"/>
                <w:color w:val="auto"/>
                <w:kern w:val="0"/>
                <w:sz w:val="24"/>
                <w:szCs w:val="24"/>
                <w:highlight w:val="none"/>
                <w:lang w:val="en-US" w:eastAsia="zh-CN"/>
              </w:rPr>
              <w:t>方案，评标委员会根据响应方案与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匹配情况进行评分。（</w:t>
            </w:r>
            <w:r>
              <w:rPr>
                <w:rStyle w:val="375"/>
                <w:rFonts w:hint="eastAsia" w:ascii="宋体" w:hAnsi="宋体" w:eastAsia="宋体" w:cs="宋体"/>
                <w:color w:val="auto"/>
                <w:sz w:val="24"/>
                <w:szCs w:val="24"/>
                <w:highlight w:val="none"/>
                <w:lang w:bidi="ar"/>
              </w:rPr>
              <w:t>分值：</w:t>
            </w:r>
            <w:r>
              <w:rPr>
                <w:rFonts w:hint="eastAsia" w:ascii="宋体" w:hAnsi="宋体" w:eastAsia="宋体" w:cs="宋体"/>
                <w:color w:val="auto"/>
                <w:kern w:val="0"/>
                <w:sz w:val="24"/>
                <w:szCs w:val="24"/>
                <w:highlight w:val="none"/>
                <w:lang w:val="en-US" w:eastAsia="zh-CN"/>
              </w:rPr>
              <w:t>5,4,3,2,1,0）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0D8F01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2CC07E9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07CD9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5CF2764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4.3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457A67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96E053F">
            <w:pPr>
              <w:keepNext w:val="0"/>
              <w:keepLines w:val="0"/>
              <w:pageBreakBefore w:val="0"/>
              <w:widowControl w:val="0"/>
              <w:numPr>
                <w:ilvl w:val="0"/>
                <w:numId w:val="0"/>
              </w:numPr>
              <w:kinsoku/>
              <w:wordWrap/>
              <w:overflowPunct/>
              <w:topLinePunct w:val="0"/>
              <w:autoSpaceDE/>
              <w:autoSpaceDN/>
              <w:bidi w:val="0"/>
              <w:snapToGrid w:val="0"/>
              <w:spacing w:line="360" w:lineRule="auto"/>
              <w:ind w:leftChars="0"/>
              <w:jc w:val="left"/>
              <w:textAlignment w:val="baseline"/>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投标人根据采购需求，提供针对</w:t>
            </w:r>
            <w:r>
              <w:rPr>
                <w:rFonts w:hint="eastAsia" w:ascii="宋体" w:hAnsi="宋体" w:eastAsia="宋体" w:cs="宋体"/>
                <w:b/>
                <w:bCs/>
                <w:color w:val="auto"/>
                <w:sz w:val="24"/>
                <w:szCs w:val="24"/>
                <w:highlight w:val="none"/>
                <w:lang w:eastAsia="zh-CN"/>
              </w:rPr>
              <w:t>浙里报系统对接</w:t>
            </w:r>
            <w:r>
              <w:rPr>
                <w:rFonts w:hint="eastAsia" w:ascii="宋体" w:hAnsi="宋体" w:eastAsia="宋体" w:cs="宋体"/>
                <w:color w:val="auto"/>
                <w:kern w:val="0"/>
                <w:sz w:val="24"/>
                <w:szCs w:val="24"/>
                <w:highlight w:val="none"/>
                <w:lang w:val="en-US" w:eastAsia="zh-CN"/>
              </w:rPr>
              <w:t>方案，评标委员会根据响应方案与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匹配情况进行评分。（</w:t>
            </w:r>
            <w:r>
              <w:rPr>
                <w:rStyle w:val="375"/>
                <w:rFonts w:hint="eastAsia" w:ascii="宋体" w:hAnsi="宋体" w:eastAsia="宋体" w:cs="宋体"/>
                <w:color w:val="auto"/>
                <w:sz w:val="24"/>
                <w:szCs w:val="24"/>
                <w:highlight w:val="none"/>
                <w:lang w:bidi="ar"/>
              </w:rPr>
              <w:t>分值：</w:t>
            </w:r>
            <w:r>
              <w:rPr>
                <w:rFonts w:hint="eastAsia" w:ascii="宋体" w:hAnsi="宋体" w:eastAsia="宋体" w:cs="宋体"/>
                <w:color w:val="auto"/>
                <w:kern w:val="0"/>
                <w:sz w:val="24"/>
                <w:szCs w:val="24"/>
                <w:highlight w:val="none"/>
                <w:lang w:val="en-US" w:eastAsia="zh-CN"/>
              </w:rPr>
              <w:t>5,4,3,2,1,0）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4A061A4">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42E554D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60F7B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08E2596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3FEAC4FB">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6E135FE7">
            <w:pPr>
              <w:snapToGrid w:val="0"/>
              <w:spacing w:after="0" w:line="360" w:lineRule="auto"/>
              <w:ind w:left="0" w:leftChars="0" w:firstLine="0" w:firstLineChars="0"/>
              <w:rPr>
                <w:rFonts w:hint="default" w:eastAsia="宋体"/>
                <w:color w:val="auto"/>
                <w:highlight w:val="none"/>
                <w:lang w:val="en-US" w:eastAsia="zh-CN"/>
              </w:rPr>
            </w:pPr>
            <w:r>
              <w:rPr>
                <w:rFonts w:hint="eastAsia" w:ascii="宋体" w:hAnsi="宋体" w:eastAsia="宋体" w:cs="宋体"/>
                <w:color w:val="auto"/>
                <w:sz w:val="24"/>
                <w:szCs w:val="24"/>
                <w:highlight w:val="none"/>
                <w:lang w:val="en-US" w:eastAsia="zh-CN"/>
              </w:rPr>
              <w:t>初步建设实施方案</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FAF834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49E403D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29329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CF50D66">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1325641">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75523C72">
            <w:pPr>
              <w:keepNext w:val="0"/>
              <w:keepLines w:val="0"/>
              <w:widowControl/>
              <w:suppressLineNumbers w:val="0"/>
              <w:jc w:val="both"/>
              <w:textAlignment w:val="center"/>
              <w:rPr>
                <w:rFonts w:hint="eastAsia" w:ascii="宋体" w:hAnsi="宋体" w:eastAsia="宋体" w:cs="宋体"/>
                <w:color w:val="auto"/>
                <w:sz w:val="24"/>
                <w:szCs w:val="24"/>
                <w:highlight w:val="none"/>
              </w:rPr>
            </w:pPr>
            <w:r>
              <w:rPr>
                <w:rFonts w:hint="eastAsia" w:ascii="宋体" w:hAnsi="宋体" w:cs="宋体"/>
                <w:b/>
                <w:bCs/>
                <w:i w:val="0"/>
                <w:iCs w:val="0"/>
                <w:color w:val="auto"/>
                <w:kern w:val="0"/>
                <w:sz w:val="24"/>
                <w:szCs w:val="24"/>
                <w:highlight w:val="none"/>
                <w:u w:val="none"/>
                <w:lang w:val="en-US" w:eastAsia="zh-CN" w:bidi="ar"/>
              </w:rPr>
              <w:t>对</w:t>
            </w:r>
            <w:r>
              <w:rPr>
                <w:rFonts w:hint="eastAsia" w:ascii="宋体" w:hAnsi="宋体" w:eastAsia="宋体" w:cs="宋体"/>
                <w:b/>
                <w:bCs/>
                <w:i w:val="0"/>
                <w:iCs w:val="0"/>
                <w:color w:val="auto"/>
                <w:kern w:val="0"/>
                <w:sz w:val="24"/>
                <w:szCs w:val="24"/>
                <w:highlight w:val="none"/>
                <w:u w:val="none"/>
                <w:lang w:val="en-US" w:eastAsia="zh-CN" w:bidi="ar"/>
              </w:rPr>
              <w:t>工资模块开发</w:t>
            </w:r>
            <w:r>
              <w:rPr>
                <w:rFonts w:hint="eastAsia" w:ascii="宋体" w:hAnsi="宋体" w:eastAsia="宋体" w:cs="宋体"/>
                <w:i w:val="0"/>
                <w:iCs w:val="0"/>
                <w:color w:val="auto"/>
                <w:kern w:val="0"/>
                <w:sz w:val="24"/>
                <w:szCs w:val="24"/>
                <w:highlight w:val="none"/>
                <w:u w:val="none"/>
                <w:lang w:val="en-US" w:eastAsia="zh-CN" w:bidi="ar"/>
              </w:rPr>
              <w:t>的初步建设实施方案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以图文（原型图或流程图）结合形式</w:t>
            </w:r>
            <w:r>
              <w:rPr>
                <w:rFonts w:hint="eastAsia" w:ascii="宋体" w:hAnsi="宋体" w:cs="宋体"/>
                <w:i w:val="0"/>
                <w:iCs w:val="0"/>
                <w:color w:val="auto"/>
                <w:kern w:val="0"/>
                <w:sz w:val="24"/>
                <w:szCs w:val="24"/>
                <w:highlight w:val="none"/>
                <w:u w:val="none"/>
                <w:lang w:val="en-US" w:eastAsia="zh-CN" w:bidi="ar"/>
              </w:rPr>
              <w:t>进行阐述]</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eastAsia="宋体" w:cs="宋体"/>
                <w:i w:val="0"/>
                <w:iCs w:val="0"/>
                <w:color w:val="auto"/>
                <w:kern w:val="0"/>
                <w:sz w:val="24"/>
                <w:szCs w:val="24"/>
                <w:highlight w:val="none"/>
                <w:u w:val="none"/>
                <w:lang w:val="en-US" w:eastAsia="zh-CN" w:bidi="ar"/>
              </w:rPr>
              <w:t>进行评分。（分值：5</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4</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3</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2</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1</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AAEC466">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0FE4D96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1F94F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200A45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6AA9EA4">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39773E04">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cs="宋体"/>
                <w:b/>
                <w:bCs/>
                <w:i w:val="0"/>
                <w:iCs w:val="0"/>
                <w:color w:val="auto"/>
                <w:kern w:val="0"/>
                <w:sz w:val="24"/>
                <w:szCs w:val="24"/>
                <w:highlight w:val="none"/>
                <w:u w:val="none"/>
                <w:lang w:val="en-US" w:eastAsia="zh-CN" w:bidi="ar"/>
              </w:rPr>
              <w:t>对</w:t>
            </w:r>
            <w:r>
              <w:rPr>
                <w:rFonts w:hint="eastAsia" w:ascii="宋体" w:hAnsi="宋体" w:eastAsia="宋体" w:cs="宋体"/>
                <w:b/>
                <w:bCs/>
                <w:i w:val="0"/>
                <w:iCs w:val="0"/>
                <w:color w:val="auto"/>
                <w:kern w:val="0"/>
                <w:sz w:val="24"/>
                <w:szCs w:val="24"/>
                <w:highlight w:val="none"/>
                <w:u w:val="none"/>
                <w:lang w:val="en-US" w:eastAsia="zh-CN" w:bidi="ar"/>
              </w:rPr>
              <w:t>专家库模块开发</w:t>
            </w:r>
            <w:r>
              <w:rPr>
                <w:rFonts w:hint="eastAsia" w:ascii="宋体" w:hAnsi="宋体" w:eastAsia="宋体" w:cs="宋体"/>
                <w:i w:val="0"/>
                <w:iCs w:val="0"/>
                <w:color w:val="auto"/>
                <w:kern w:val="0"/>
                <w:sz w:val="24"/>
                <w:szCs w:val="24"/>
                <w:highlight w:val="none"/>
                <w:u w:val="none"/>
                <w:lang w:val="en-US" w:eastAsia="zh-CN" w:bidi="ar"/>
              </w:rPr>
              <w:t>的初步建设实施方案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以图文（原型图或流程图）结合形式</w:t>
            </w:r>
            <w:r>
              <w:rPr>
                <w:rFonts w:hint="eastAsia" w:ascii="宋体" w:hAnsi="宋体" w:cs="宋体"/>
                <w:i w:val="0"/>
                <w:iCs w:val="0"/>
                <w:color w:val="auto"/>
                <w:kern w:val="0"/>
                <w:sz w:val="24"/>
                <w:szCs w:val="24"/>
                <w:highlight w:val="none"/>
                <w:u w:val="none"/>
                <w:lang w:val="en-US" w:eastAsia="zh-CN" w:bidi="ar"/>
              </w:rPr>
              <w:t>进行阐述]</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eastAsia="宋体" w:cs="宋体"/>
                <w:i w:val="0"/>
                <w:iCs w:val="0"/>
                <w:color w:val="auto"/>
                <w:kern w:val="0"/>
                <w:sz w:val="24"/>
                <w:szCs w:val="24"/>
                <w:highlight w:val="none"/>
                <w:u w:val="none"/>
                <w:lang w:val="en-US" w:eastAsia="zh-CN" w:bidi="ar"/>
              </w:rPr>
              <w:t>进行评分。（分值：5</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4</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3</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2</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1</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EA31D8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68DABAC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09E7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0BC6734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4AE2029">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607D325">
            <w:pPr>
              <w:keepNext w:val="0"/>
              <w:keepLines w:val="0"/>
              <w:widowControl/>
              <w:suppressLineNumbers w:val="0"/>
              <w:jc w:val="both"/>
              <w:textAlignment w:val="center"/>
              <w:rPr>
                <w:rFonts w:hint="eastAsia" w:ascii="宋体" w:hAnsi="宋体" w:eastAsia="宋体" w:cs="宋体"/>
                <w:color w:val="auto"/>
                <w:sz w:val="24"/>
                <w:szCs w:val="24"/>
                <w:highlight w:val="none"/>
              </w:rPr>
            </w:pPr>
            <w:r>
              <w:rPr>
                <w:rFonts w:hint="eastAsia" w:ascii="宋体" w:hAnsi="宋体" w:cs="宋体"/>
                <w:b/>
                <w:bCs/>
                <w:i w:val="0"/>
                <w:iCs w:val="0"/>
                <w:color w:val="auto"/>
                <w:kern w:val="0"/>
                <w:sz w:val="24"/>
                <w:szCs w:val="24"/>
                <w:highlight w:val="none"/>
                <w:u w:val="none"/>
                <w:lang w:val="en-US" w:eastAsia="zh-CN" w:bidi="ar"/>
              </w:rPr>
              <w:t>对</w:t>
            </w:r>
            <w:r>
              <w:rPr>
                <w:rFonts w:hint="eastAsia" w:ascii="宋体" w:hAnsi="宋体" w:eastAsia="宋体" w:cs="宋体"/>
                <w:b/>
                <w:bCs/>
                <w:i w:val="0"/>
                <w:iCs w:val="0"/>
                <w:color w:val="auto"/>
                <w:kern w:val="0"/>
                <w:sz w:val="24"/>
                <w:szCs w:val="24"/>
                <w:highlight w:val="none"/>
                <w:u w:val="none"/>
                <w:lang w:val="en-US" w:eastAsia="zh-CN" w:bidi="ar"/>
              </w:rPr>
              <w:t>劳务费发放流程优化</w:t>
            </w:r>
            <w:r>
              <w:rPr>
                <w:rFonts w:hint="eastAsia" w:ascii="宋体" w:hAnsi="宋体" w:eastAsia="宋体" w:cs="宋体"/>
                <w:i w:val="0"/>
                <w:iCs w:val="0"/>
                <w:color w:val="auto"/>
                <w:kern w:val="0"/>
                <w:sz w:val="24"/>
                <w:szCs w:val="24"/>
                <w:highlight w:val="none"/>
                <w:u w:val="none"/>
                <w:lang w:val="en-US" w:eastAsia="zh-CN" w:bidi="ar"/>
              </w:rPr>
              <w:t>的初步建设实施方案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以图文（原型图或流程图）结合形式</w:t>
            </w:r>
            <w:r>
              <w:rPr>
                <w:rFonts w:hint="eastAsia" w:ascii="宋体" w:hAnsi="宋体" w:cs="宋体"/>
                <w:i w:val="0"/>
                <w:iCs w:val="0"/>
                <w:color w:val="auto"/>
                <w:kern w:val="0"/>
                <w:sz w:val="24"/>
                <w:szCs w:val="24"/>
                <w:highlight w:val="none"/>
                <w:u w:val="none"/>
                <w:lang w:val="en-US" w:eastAsia="zh-CN" w:bidi="ar"/>
              </w:rPr>
              <w:t>进行阐述]</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eastAsia="宋体" w:cs="宋体"/>
                <w:i w:val="0"/>
                <w:iCs w:val="0"/>
                <w:color w:val="auto"/>
                <w:kern w:val="0"/>
                <w:sz w:val="24"/>
                <w:szCs w:val="24"/>
                <w:highlight w:val="none"/>
                <w:u w:val="none"/>
                <w:lang w:val="en-US" w:eastAsia="zh-CN" w:bidi="ar"/>
              </w:rPr>
              <w:t>进行评分。（分值：5</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4</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3</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2</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1</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80D104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47E26AE6">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093E6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6934FA7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5.4</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59C93D82">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277864CC">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cs="宋体"/>
                <w:b/>
                <w:bCs/>
                <w:i w:val="0"/>
                <w:iCs w:val="0"/>
                <w:color w:val="auto"/>
                <w:kern w:val="0"/>
                <w:sz w:val="24"/>
                <w:szCs w:val="24"/>
                <w:highlight w:val="none"/>
                <w:u w:val="none"/>
                <w:lang w:val="en-US" w:eastAsia="zh-CN" w:bidi="ar"/>
              </w:rPr>
              <w:t>对</w:t>
            </w:r>
            <w:r>
              <w:rPr>
                <w:rFonts w:hint="eastAsia" w:ascii="宋体" w:hAnsi="宋体" w:eastAsia="宋体" w:cs="宋体"/>
                <w:b/>
                <w:bCs/>
                <w:i w:val="0"/>
                <w:iCs w:val="0"/>
                <w:color w:val="auto"/>
                <w:kern w:val="0"/>
                <w:sz w:val="24"/>
                <w:szCs w:val="24"/>
                <w:highlight w:val="none"/>
                <w:u w:val="none"/>
                <w:lang w:val="en-US" w:eastAsia="zh-CN" w:bidi="ar"/>
              </w:rPr>
              <w:t>表单打印功能优化</w:t>
            </w:r>
            <w:r>
              <w:rPr>
                <w:rFonts w:hint="eastAsia" w:ascii="宋体" w:hAnsi="宋体" w:eastAsia="宋体" w:cs="宋体"/>
                <w:i w:val="0"/>
                <w:iCs w:val="0"/>
                <w:color w:val="auto"/>
                <w:kern w:val="0"/>
                <w:sz w:val="24"/>
                <w:szCs w:val="24"/>
                <w:highlight w:val="none"/>
                <w:u w:val="none"/>
                <w:lang w:val="en-US" w:eastAsia="zh-CN" w:bidi="ar"/>
              </w:rPr>
              <w:t>的初步建设实施方案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以图文（原型图或流程图）结合形式</w:t>
            </w:r>
            <w:r>
              <w:rPr>
                <w:rFonts w:hint="eastAsia" w:ascii="宋体" w:hAnsi="宋体" w:cs="宋体"/>
                <w:i w:val="0"/>
                <w:iCs w:val="0"/>
                <w:color w:val="auto"/>
                <w:kern w:val="0"/>
                <w:sz w:val="24"/>
                <w:szCs w:val="24"/>
                <w:highlight w:val="none"/>
                <w:u w:val="none"/>
                <w:lang w:val="en-US" w:eastAsia="zh-CN" w:bidi="ar"/>
              </w:rPr>
              <w:t>进行阐述]</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eastAsia="宋体" w:cs="宋体"/>
                <w:i w:val="0"/>
                <w:iCs w:val="0"/>
                <w:color w:val="auto"/>
                <w:kern w:val="0"/>
                <w:sz w:val="24"/>
                <w:szCs w:val="24"/>
                <w:highlight w:val="none"/>
                <w:u w:val="none"/>
                <w:lang w:val="en-US" w:eastAsia="zh-CN" w:bidi="ar"/>
              </w:rPr>
              <w:t>进行评分。（分值：5</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4</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3</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2</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1</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D3C85F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7A09C38A">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36DE6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6513EC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5.5</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D6B86E4">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932B153">
            <w:pPr>
              <w:keepNext w:val="0"/>
              <w:keepLines w:val="0"/>
              <w:widowControl/>
              <w:suppressLineNumbers w:val="0"/>
              <w:jc w:val="both"/>
              <w:textAlignment w:val="center"/>
              <w:rPr>
                <w:rFonts w:hint="eastAsia" w:ascii="宋体" w:hAnsi="宋体" w:eastAsia="宋体" w:cs="宋体"/>
                <w:color w:val="auto"/>
                <w:sz w:val="24"/>
                <w:szCs w:val="24"/>
                <w:highlight w:val="none"/>
              </w:rPr>
            </w:pPr>
            <w:r>
              <w:rPr>
                <w:rFonts w:hint="eastAsia" w:ascii="宋体" w:hAnsi="宋体" w:cs="宋体"/>
                <w:b/>
                <w:bCs/>
                <w:i w:val="0"/>
                <w:iCs w:val="0"/>
                <w:color w:val="auto"/>
                <w:kern w:val="0"/>
                <w:sz w:val="24"/>
                <w:szCs w:val="24"/>
                <w:highlight w:val="none"/>
                <w:u w:val="none"/>
                <w:lang w:val="en-US" w:eastAsia="zh-CN" w:bidi="ar"/>
              </w:rPr>
              <w:t>对</w:t>
            </w:r>
            <w:r>
              <w:rPr>
                <w:rFonts w:hint="eastAsia" w:ascii="宋体" w:hAnsi="宋体" w:eastAsia="宋体" w:cs="宋体"/>
                <w:b/>
                <w:bCs/>
                <w:i w:val="0"/>
                <w:iCs w:val="0"/>
                <w:color w:val="auto"/>
                <w:kern w:val="0"/>
                <w:sz w:val="24"/>
                <w:szCs w:val="24"/>
                <w:highlight w:val="none"/>
                <w:u w:val="none"/>
                <w:lang w:val="en-US" w:eastAsia="zh-CN" w:bidi="ar"/>
              </w:rPr>
              <w:t>信创化改造建设</w:t>
            </w:r>
            <w:r>
              <w:rPr>
                <w:rFonts w:hint="eastAsia" w:ascii="宋体" w:hAnsi="宋体" w:eastAsia="宋体" w:cs="宋体"/>
                <w:i w:val="0"/>
                <w:iCs w:val="0"/>
                <w:color w:val="auto"/>
                <w:kern w:val="0"/>
                <w:sz w:val="24"/>
                <w:szCs w:val="24"/>
                <w:highlight w:val="none"/>
                <w:u w:val="none"/>
                <w:lang w:val="en-US" w:eastAsia="zh-CN" w:bidi="ar"/>
              </w:rPr>
              <w:t>的初步建设实施方案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以图文（原型图或流程图）结合形式</w:t>
            </w:r>
            <w:r>
              <w:rPr>
                <w:rFonts w:hint="eastAsia" w:ascii="宋体" w:hAnsi="宋体" w:cs="宋体"/>
                <w:i w:val="0"/>
                <w:iCs w:val="0"/>
                <w:color w:val="auto"/>
                <w:kern w:val="0"/>
                <w:sz w:val="24"/>
                <w:szCs w:val="24"/>
                <w:highlight w:val="none"/>
                <w:u w:val="none"/>
                <w:lang w:val="en-US" w:eastAsia="zh-CN" w:bidi="ar"/>
              </w:rPr>
              <w:t>进行阐述]</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eastAsia="宋体" w:cs="宋体"/>
                <w:i w:val="0"/>
                <w:iCs w:val="0"/>
                <w:color w:val="auto"/>
                <w:kern w:val="0"/>
                <w:sz w:val="24"/>
                <w:szCs w:val="24"/>
                <w:highlight w:val="none"/>
                <w:u w:val="none"/>
                <w:lang w:val="en-US" w:eastAsia="zh-CN" w:bidi="ar"/>
              </w:rPr>
              <w:t>进行评分。（分值：5</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4</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3</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2</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1</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3B85CAA">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0BA3BB5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63DA1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092FBB7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5.6</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345BC5A">
            <w:pPr>
              <w:keepNext w:val="0"/>
              <w:keepLines w:val="0"/>
              <w:pageBreakBefore w:val="0"/>
              <w:widowControl w:val="0"/>
              <w:kinsoku/>
              <w:wordWrap/>
              <w:overflowPunct/>
              <w:topLinePunct w:val="0"/>
              <w:autoSpaceDE/>
              <w:autoSpaceDN/>
              <w:bidi w:val="0"/>
              <w:adjustRightInd/>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FC3E315">
            <w:pPr>
              <w:keepNext w:val="0"/>
              <w:keepLines w:val="0"/>
              <w:widowControl/>
              <w:suppressLineNumbers w:val="0"/>
              <w:jc w:val="both"/>
              <w:textAlignment w:val="center"/>
              <w:rPr>
                <w:rFonts w:hint="eastAsia" w:ascii="宋体" w:hAnsi="宋体" w:eastAsia="宋体" w:cs="宋体"/>
                <w:color w:val="auto"/>
                <w:sz w:val="24"/>
                <w:szCs w:val="24"/>
                <w:highlight w:val="none"/>
              </w:rPr>
            </w:pPr>
            <w:r>
              <w:rPr>
                <w:rFonts w:hint="eastAsia" w:ascii="宋体" w:hAnsi="宋体" w:cs="宋体"/>
                <w:b/>
                <w:bCs/>
                <w:i w:val="0"/>
                <w:iCs w:val="0"/>
                <w:color w:val="auto"/>
                <w:kern w:val="0"/>
                <w:sz w:val="24"/>
                <w:szCs w:val="24"/>
                <w:highlight w:val="none"/>
                <w:u w:val="none"/>
                <w:lang w:val="en-US" w:eastAsia="zh-CN" w:bidi="ar"/>
              </w:rPr>
              <w:t>对</w:t>
            </w:r>
            <w:r>
              <w:rPr>
                <w:rFonts w:hint="eastAsia" w:ascii="宋体" w:hAnsi="宋体" w:eastAsia="宋体" w:cs="宋体"/>
                <w:b/>
                <w:bCs/>
                <w:i w:val="0"/>
                <w:iCs w:val="0"/>
                <w:color w:val="auto"/>
                <w:kern w:val="0"/>
                <w:sz w:val="24"/>
                <w:szCs w:val="24"/>
                <w:highlight w:val="none"/>
                <w:u w:val="none"/>
                <w:lang w:val="en-US" w:eastAsia="zh-CN" w:bidi="ar"/>
              </w:rPr>
              <w:t>系统数据贯通及前期模块流程优化</w:t>
            </w:r>
            <w:r>
              <w:rPr>
                <w:rFonts w:hint="eastAsia" w:ascii="宋体" w:hAnsi="宋体" w:eastAsia="宋体" w:cs="宋体"/>
                <w:i w:val="0"/>
                <w:iCs w:val="0"/>
                <w:color w:val="auto"/>
                <w:kern w:val="0"/>
                <w:sz w:val="24"/>
                <w:szCs w:val="24"/>
                <w:highlight w:val="none"/>
                <w:u w:val="none"/>
                <w:lang w:val="en-US" w:eastAsia="zh-CN" w:bidi="ar"/>
              </w:rPr>
              <w:t>的初步建设实施方案</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以图文（原型图或流程图）结合形式</w:t>
            </w:r>
            <w:r>
              <w:rPr>
                <w:rFonts w:hint="eastAsia" w:ascii="宋体" w:hAnsi="宋体" w:cs="宋体"/>
                <w:i w:val="0"/>
                <w:iCs w:val="0"/>
                <w:color w:val="auto"/>
                <w:kern w:val="0"/>
                <w:sz w:val="24"/>
                <w:szCs w:val="24"/>
                <w:highlight w:val="none"/>
                <w:u w:val="none"/>
                <w:lang w:val="en-US" w:eastAsia="zh-CN" w:bidi="ar"/>
              </w:rPr>
              <w:t>进行阐述]</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eastAsia="宋体" w:cs="宋体"/>
                <w:i w:val="0"/>
                <w:iCs w:val="0"/>
                <w:color w:val="auto"/>
                <w:kern w:val="0"/>
                <w:sz w:val="24"/>
                <w:szCs w:val="24"/>
                <w:highlight w:val="none"/>
                <w:u w:val="none"/>
                <w:lang w:val="en-US" w:eastAsia="zh-CN" w:bidi="ar"/>
              </w:rPr>
              <w:t>进行评分。（分值：5</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4</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3</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2</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1</w:t>
            </w:r>
            <w:r>
              <w:rPr>
                <w:rFonts w:ascii="仿宋" w:hAnsi="仿宋" w:eastAsia="仿宋" w:cs="仿宋"/>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D67317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066C298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36984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4FE06E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D980E72">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665D87B">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项目服务</w:t>
            </w:r>
            <w:r>
              <w:rPr>
                <w:rFonts w:hint="eastAsia" w:ascii="宋体" w:hAnsi="宋体" w:eastAsia="宋体" w:cs="宋体"/>
                <w:color w:val="auto"/>
                <w:sz w:val="24"/>
                <w:szCs w:val="24"/>
                <w:highlight w:val="none"/>
              </w:rPr>
              <w:t>团队（须为本单位在职员工，提供近三个月内任意时间</w:t>
            </w:r>
            <w:r>
              <w:rPr>
                <w:rFonts w:hint="eastAsia" w:ascii="宋体" w:hAnsi="宋体" w:cs="宋体"/>
                <w:color w:val="auto"/>
                <w:sz w:val="24"/>
                <w:szCs w:val="24"/>
                <w:highlight w:val="none"/>
                <w:lang w:eastAsia="zh-CN"/>
              </w:rPr>
              <w:t>本单位社保缴纳证明或其他本单位在职有效证明，</w:t>
            </w:r>
            <w:r>
              <w:rPr>
                <w:rFonts w:hint="eastAsia" w:ascii="宋体" w:hAnsi="宋体" w:eastAsia="宋体" w:cs="宋体"/>
                <w:color w:val="auto"/>
                <w:sz w:val="24"/>
                <w:szCs w:val="24"/>
                <w:highlight w:val="none"/>
              </w:rPr>
              <w:t>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7C79A7A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321B757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74BA0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72897D8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315707F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6BF0E0D1">
            <w:pPr>
              <w:widowControl/>
              <w:spacing w:line="360" w:lineRule="auto"/>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项目经理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95C9C4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12FF756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6A65B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21A87212">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6.1.1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2D7F32B">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3191F225">
            <w:pPr>
              <w:widowControl/>
              <w:spacing w:line="360" w:lineRule="auto"/>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项目经理近三年（自</w:t>
            </w:r>
            <w:r>
              <w:rPr>
                <w:rFonts w:hint="eastAsia" w:ascii="宋体" w:hAnsi="宋体" w:eastAsia="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以来）具有同类电子政务项目实施经验的每有1个得1分，最高得3分；提供合同复印件</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业主证明等材料，否则不得分。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51BC9458">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4063ED36">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p w14:paraId="6D1DDD50">
            <w:pPr>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分</w:t>
            </w:r>
          </w:p>
        </w:tc>
      </w:tr>
      <w:tr w14:paraId="27240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347BC2E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6.1.2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7D63D6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4F10E2A1">
            <w:pPr>
              <w:widowControl/>
              <w:spacing w:line="360" w:lineRule="auto"/>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项目经理具有计算机等履约相关专业本科或以上学历得2分，其他不得分；须提供证书等证明材料，否则不得分。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09A885D">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4CD66D1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p w14:paraId="286BFC9C">
            <w:pPr>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分</w:t>
            </w:r>
          </w:p>
        </w:tc>
      </w:tr>
      <w:tr w14:paraId="55752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694518F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6.1.3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32F0DC1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6C9D058F">
            <w:pPr>
              <w:widowControl/>
              <w:spacing w:line="360" w:lineRule="auto"/>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项目经理具全国软考的信息系统项目管理师得2分，其他不得分；须提供证书等证明材料，否则不得分。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D0C7FAC">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5B88741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p w14:paraId="4BBD0CA9">
            <w:pPr>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分</w:t>
            </w:r>
          </w:p>
        </w:tc>
      </w:tr>
      <w:tr w14:paraId="2D48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279588C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2595A6BD">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0E5FA213">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项目技术负责人</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B2C29A8">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7643EF4C">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25F8D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34CBAC70">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6.2.1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F9A429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531B0E38">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技术负责人近三年（自</w:t>
            </w:r>
            <w:r>
              <w:rPr>
                <w:rFonts w:hint="eastAsia" w:ascii="宋体" w:hAnsi="宋体" w:eastAsia="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以来）具有同类电子政务项目实施经验的每有1个得1分，最高得3分；提供合同复印件</w:t>
            </w:r>
            <w:r>
              <w:rPr>
                <w:rFonts w:hint="eastAsia" w:ascii="宋体" w:hAnsi="宋体" w:cs="宋体"/>
                <w:color w:val="auto"/>
                <w:sz w:val="24"/>
                <w:szCs w:val="24"/>
                <w:highlight w:val="none"/>
                <w:lang w:val="en-US" w:eastAsia="zh-CN"/>
              </w:rPr>
              <w:t>或</w:t>
            </w:r>
            <w:r>
              <w:rPr>
                <w:rFonts w:hint="eastAsia" w:ascii="宋体" w:hAnsi="宋体" w:eastAsia="宋体" w:cs="宋体"/>
                <w:color w:val="auto"/>
                <w:sz w:val="24"/>
                <w:szCs w:val="24"/>
                <w:highlight w:val="none"/>
              </w:rPr>
              <w:t>业主证明等材料，否则不得分。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792F229">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18349B2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08FDB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08C75C3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6.2.2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6FA9A12">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7A152DC6">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技术负责人具有计算机等履约相关专业本科或以上学历得2分，其他不得分；须提供证书等证明材料，否则不得分。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734680B5">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04F9E43B">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42010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661DC27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6.2.3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5141918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655B4A5C">
            <w:pPr>
              <w:widowControl/>
              <w:spacing w:line="360" w:lineRule="auto"/>
              <w:textAlignment w:val="top"/>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技术负责人具有软件开发行业5年及以上从业经验得2分，其他不得分；须提供从业履历等证明材料，否则不得分。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CDCD464">
            <w:pPr>
              <w:widowControl/>
              <w:spacing w:line="360" w:lineRule="auto"/>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5F78110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r>
      <w:tr w14:paraId="190F3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14897B3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6.3</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109F791">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156173A7">
            <w:pPr>
              <w:widowControl/>
              <w:spacing w:line="360" w:lineRule="auto"/>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项目其他成员（除项目经理</w:t>
            </w:r>
            <w:r>
              <w:rPr>
                <w:rFonts w:hint="eastAsia" w:ascii="宋体" w:hAnsi="宋体" w:cs="宋体"/>
                <w:color w:val="auto"/>
                <w:sz w:val="24"/>
                <w:szCs w:val="24"/>
                <w:highlight w:val="none"/>
                <w:lang w:val="en-US" w:eastAsia="zh-CN"/>
              </w:rPr>
              <w:t>和技术负责人</w:t>
            </w:r>
            <w:r>
              <w:rPr>
                <w:rFonts w:hint="eastAsia" w:ascii="宋体" w:hAnsi="宋体" w:eastAsia="宋体" w:cs="宋体"/>
                <w:color w:val="auto"/>
                <w:sz w:val="24"/>
                <w:szCs w:val="24"/>
                <w:highlight w:val="none"/>
              </w:rPr>
              <w:t>外）</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B9B37B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6E89E05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p>
        </w:tc>
      </w:tr>
      <w:tr w14:paraId="1F9B3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2F7C722C">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6.3.1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0B04FAF8">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3D5D9ABE">
            <w:pPr>
              <w:widowControl/>
              <w:numPr>
                <w:ilvl w:val="0"/>
                <w:numId w:val="0"/>
              </w:numPr>
              <w:spacing w:line="360" w:lineRule="auto"/>
              <w:ind w:left="0" w:leftChars="0" w:firstLine="0" w:firstLineChars="0"/>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项目其他成员中每有1人具有信息技术等履约相关专业本科以上学历的得0.5分，最高得2分；须提供证书复印件，否则不得分。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42F3C36A">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2F91397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p w14:paraId="0DC5D4E7">
            <w:pPr>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分</w:t>
            </w:r>
          </w:p>
        </w:tc>
      </w:tr>
      <w:tr w14:paraId="48B66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5923F1E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6.3.2</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783480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3651E5AE">
            <w:pPr>
              <w:widowControl/>
              <w:numPr>
                <w:ilvl w:val="0"/>
                <w:numId w:val="0"/>
              </w:numPr>
              <w:spacing w:line="360" w:lineRule="auto"/>
              <w:ind w:left="0" w:leftChars="0" w:firstLine="0" w:firstLineChars="0"/>
              <w:textAlignment w:val="top"/>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项目其他成员中每有1人具有近三年（自</w:t>
            </w:r>
            <w:r>
              <w:rPr>
                <w:rFonts w:hint="eastAsia" w:ascii="宋体" w:hAnsi="宋体" w:eastAsia="宋体" w:cs="宋体"/>
                <w:color w:val="auto"/>
                <w:sz w:val="24"/>
                <w:szCs w:val="24"/>
                <w:highlight w:val="none"/>
                <w:lang w:eastAsia="zh-CN"/>
              </w:rPr>
              <w:t>2022年1月1日</w:t>
            </w:r>
            <w:r>
              <w:rPr>
                <w:rFonts w:hint="eastAsia" w:ascii="宋体" w:hAnsi="宋体" w:eastAsia="宋体" w:cs="宋体"/>
                <w:color w:val="auto"/>
                <w:sz w:val="24"/>
                <w:szCs w:val="24"/>
                <w:highlight w:val="none"/>
              </w:rPr>
              <w:t>以来）同类电子</w:t>
            </w:r>
            <w:r>
              <w:rPr>
                <w:rFonts w:hint="eastAsia" w:ascii="宋体" w:hAnsi="宋体" w:eastAsia="宋体" w:cs="宋体"/>
                <w:color w:val="auto"/>
                <w:sz w:val="24"/>
                <w:szCs w:val="24"/>
                <w:highlight w:val="none"/>
                <w:lang w:val="en-US" w:eastAsia="zh-CN"/>
              </w:rPr>
              <w:t>政务</w:t>
            </w:r>
            <w:r>
              <w:rPr>
                <w:rFonts w:hint="eastAsia" w:ascii="宋体" w:hAnsi="宋体" w:eastAsia="宋体" w:cs="宋体"/>
                <w:color w:val="auto"/>
                <w:sz w:val="24"/>
                <w:szCs w:val="24"/>
                <w:highlight w:val="none"/>
              </w:rPr>
              <w:t>实施经验（业绩）的得0.5分，最高得2分；须提供合同复印件或业主证明等材料，否则不得分。</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6A58327E">
            <w:pPr>
              <w:widowControl/>
              <w:spacing w:line="360" w:lineRule="auto"/>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7591F661">
            <w:pPr>
              <w:snapToGrid w:val="0"/>
              <w:spacing w:line="360" w:lineRule="auto"/>
              <w:jc w:val="center"/>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客观分</w:t>
            </w:r>
          </w:p>
        </w:tc>
      </w:tr>
      <w:tr w14:paraId="06665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691255D7">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47B20C81">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29B9F4F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对</w:t>
            </w:r>
            <w:r>
              <w:rPr>
                <w:rFonts w:hint="eastAsia" w:ascii="宋体" w:hAnsi="宋体" w:eastAsia="宋体" w:cs="宋体"/>
                <w:color w:val="auto"/>
                <w:sz w:val="24"/>
                <w:szCs w:val="24"/>
                <w:highlight w:val="none"/>
              </w:rPr>
              <w:t>项目组织实施方案（包括系统设计、系统集成、试运行、测试、调优、应用管理培训、系统运行维护培训等内容，以及组织机构、实施场所、</w:t>
            </w:r>
            <w:r>
              <w:rPr>
                <w:rFonts w:hint="eastAsia" w:ascii="宋体" w:hAnsi="宋体" w:cs="宋体"/>
                <w:color w:val="auto"/>
                <w:sz w:val="24"/>
                <w:szCs w:val="24"/>
                <w:highlight w:val="none"/>
                <w:lang w:val="en-US" w:eastAsia="zh-CN"/>
              </w:rPr>
              <w:t>进度计划、</w:t>
            </w:r>
            <w:r>
              <w:rPr>
                <w:rFonts w:hint="eastAsia" w:ascii="宋体" w:hAnsi="宋体" w:eastAsia="宋体" w:cs="宋体"/>
                <w:color w:val="auto"/>
                <w:sz w:val="24"/>
                <w:szCs w:val="24"/>
                <w:highlight w:val="none"/>
              </w:rPr>
              <w:t>工作程序和步骤、管理和协调方法、关键步骤的思路和要点等）</w:t>
            </w:r>
            <w:r>
              <w:rPr>
                <w:rFonts w:hint="eastAsia" w:ascii="宋体" w:hAnsi="宋体" w:eastAsia="宋体" w:cs="宋体"/>
                <w:color w:val="auto"/>
                <w:kern w:val="0"/>
                <w:sz w:val="24"/>
                <w:szCs w:val="24"/>
                <w:highlight w:val="none"/>
                <w:lang w:val="en-US" w:eastAsia="zh-CN"/>
              </w:rPr>
              <w:t>与</w:t>
            </w:r>
            <w:r>
              <w:rPr>
                <w:rFonts w:hint="eastAsia" w:ascii="宋体" w:hAnsi="宋体" w:cs="宋体"/>
                <w:color w:val="auto"/>
                <w:kern w:val="0"/>
                <w:sz w:val="24"/>
                <w:szCs w:val="24"/>
                <w:highlight w:val="none"/>
                <w:lang w:val="en-US" w:eastAsia="zh-CN"/>
              </w:rPr>
              <w:t>项目实施要求</w:t>
            </w:r>
            <w:r>
              <w:rPr>
                <w:rFonts w:hint="eastAsia" w:ascii="宋体" w:hAnsi="宋体" w:eastAsia="宋体" w:cs="宋体"/>
                <w:color w:val="auto"/>
                <w:kern w:val="0"/>
                <w:sz w:val="24"/>
                <w:szCs w:val="24"/>
                <w:highlight w:val="none"/>
                <w:lang w:val="en-US" w:eastAsia="zh-CN"/>
              </w:rPr>
              <w:t>匹配情况</w:t>
            </w:r>
            <w:r>
              <w:rPr>
                <w:rFonts w:hint="eastAsia" w:ascii="宋体" w:hAnsi="宋体" w:cs="宋体"/>
                <w:color w:val="auto"/>
                <w:sz w:val="24"/>
                <w:szCs w:val="24"/>
                <w:highlight w:val="none"/>
                <w:lang w:val="en-US" w:eastAsia="zh-CN"/>
              </w:rPr>
              <w:t>进行</w:t>
            </w:r>
            <w:r>
              <w:rPr>
                <w:rFonts w:hint="eastAsia" w:ascii="宋体" w:hAnsi="宋体" w:eastAsia="宋体" w:cs="宋体"/>
                <w:color w:val="auto"/>
                <w:kern w:val="0"/>
                <w:sz w:val="24"/>
                <w:szCs w:val="24"/>
                <w:highlight w:val="none"/>
                <w:lang w:bidi="ar"/>
              </w:rPr>
              <w:t>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270DCE7A">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2D03998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1E0A6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26E93DB5">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76C72D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51AF0D03">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bidi="ar"/>
              </w:rPr>
              <w:t>投标人根据采购需求，需提供针对本项目的运维服务方案(包括服务体系、服务内容、故障解决方案、专业技术人员保障等)，评标委员会根据响应方案与</w:t>
            </w:r>
            <w:r>
              <w:rPr>
                <w:rFonts w:hint="eastAsia" w:ascii="宋体" w:hAnsi="宋体" w:cs="宋体"/>
                <w:color w:val="auto"/>
                <w:kern w:val="0"/>
                <w:sz w:val="24"/>
                <w:szCs w:val="24"/>
                <w:highlight w:val="none"/>
                <w:lang w:eastAsia="zh-CN" w:bidi="ar"/>
              </w:rPr>
              <w:t>项目实施要求</w:t>
            </w:r>
            <w:r>
              <w:rPr>
                <w:rFonts w:hint="eastAsia" w:ascii="宋体" w:hAnsi="宋体" w:eastAsia="宋体" w:cs="宋体"/>
                <w:color w:val="auto"/>
                <w:kern w:val="0"/>
                <w:sz w:val="24"/>
                <w:szCs w:val="24"/>
                <w:highlight w:val="none"/>
                <w:lang w:bidi="ar"/>
              </w:rPr>
              <w:t>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eastAsia="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1EEB23E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4E4CF99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113AF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08E28C9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14D8A07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w:t>
            </w:r>
          </w:p>
        </w:tc>
        <w:tc>
          <w:tcPr>
            <w:tcW w:w="6980" w:type="dxa"/>
            <w:tcBorders>
              <w:top w:val="single" w:color="auto" w:sz="4" w:space="0"/>
              <w:left w:val="single" w:color="auto" w:sz="4" w:space="0"/>
              <w:bottom w:val="single" w:color="auto" w:sz="4" w:space="0"/>
              <w:right w:val="single" w:color="auto" w:sz="4" w:space="0"/>
            </w:tcBorders>
            <w:noWrap w:val="0"/>
            <w:vAlign w:val="center"/>
          </w:tcPr>
          <w:p w14:paraId="01833CE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投标人根据采购需求，需提供针对本项目的培训方案（包括培训计划、培训内容、培训时间等），评标委员会根据响应方案与</w:t>
            </w:r>
            <w:r>
              <w:rPr>
                <w:rFonts w:hint="eastAsia" w:ascii="宋体" w:hAnsi="宋体" w:cs="宋体"/>
                <w:color w:val="auto"/>
                <w:kern w:val="0"/>
                <w:sz w:val="24"/>
                <w:szCs w:val="24"/>
                <w:highlight w:val="none"/>
                <w:lang w:eastAsia="zh-CN" w:bidi="ar"/>
              </w:rPr>
              <w:t>项目实施要求</w:t>
            </w:r>
            <w:r>
              <w:rPr>
                <w:rFonts w:hint="eastAsia" w:ascii="宋体" w:hAnsi="宋体" w:eastAsia="宋体" w:cs="宋体"/>
                <w:color w:val="auto"/>
                <w:kern w:val="0"/>
                <w:sz w:val="24"/>
                <w:szCs w:val="24"/>
                <w:highlight w:val="none"/>
                <w:lang w:bidi="ar"/>
              </w:rPr>
              <w:t>匹配情况进行评分。（</w:t>
            </w:r>
            <w:r>
              <w:rPr>
                <w:rStyle w:val="375"/>
                <w:rFonts w:hint="eastAsia" w:ascii="宋体" w:hAnsi="宋体" w:eastAsia="宋体" w:cs="宋体"/>
                <w:color w:val="auto"/>
                <w:sz w:val="24"/>
                <w:szCs w:val="24"/>
                <w:highlight w:val="none"/>
                <w:lang w:bidi="ar"/>
              </w:rPr>
              <w:t>分值：</w:t>
            </w:r>
            <w:r>
              <w:rPr>
                <w:rStyle w:val="375"/>
                <w:rFonts w:hint="eastAsia" w:ascii="宋体" w:hAnsi="宋体" w:cs="宋体"/>
                <w:color w:val="auto"/>
                <w:sz w:val="24"/>
                <w:szCs w:val="24"/>
                <w:highlight w:val="none"/>
                <w:lang w:val="en-US" w:eastAsia="zh-CN" w:bidi="ar"/>
              </w:rPr>
              <w:t>5，4，</w:t>
            </w:r>
            <w:r>
              <w:rPr>
                <w:rFonts w:hint="eastAsia" w:ascii="宋体" w:hAnsi="宋体" w:cs="宋体"/>
                <w:color w:val="auto"/>
                <w:kern w:val="0"/>
                <w:sz w:val="24"/>
                <w:szCs w:val="24"/>
                <w:highlight w:val="none"/>
                <w:lang w:val="en-US" w:eastAsia="zh-CN" w:bidi="ar"/>
              </w:rPr>
              <w:t>3</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2</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1</w:t>
            </w:r>
            <w:r>
              <w:rPr>
                <w:rStyle w:val="375"/>
                <w:rFonts w:hint="eastAsia" w:ascii="宋体" w:hAnsi="宋体" w:cs="宋体"/>
                <w:color w:val="auto"/>
                <w:sz w:val="24"/>
                <w:szCs w:val="24"/>
                <w:highlight w:val="none"/>
                <w:lang w:val="en-US" w:eastAsia="zh-CN" w:bidi="ar"/>
              </w:rPr>
              <w:t>，</w:t>
            </w:r>
            <w:r>
              <w:rPr>
                <w:rFonts w:hint="eastAsia" w:ascii="宋体" w:hAnsi="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bidi="ar"/>
              </w:rPr>
              <w:t>）</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370958B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1D1CA9C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30D43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46AC920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7FB3B4ED">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技术</w:t>
            </w:r>
          </w:p>
        </w:tc>
        <w:tc>
          <w:tcPr>
            <w:tcW w:w="6980"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22C8D121">
            <w:pPr>
              <w:widowControl/>
              <w:spacing w:line="360" w:lineRule="auto"/>
              <w:textAlignment w:val="top"/>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0"/>
                <w:sz w:val="24"/>
                <w:szCs w:val="24"/>
                <w:highlight w:val="none"/>
                <w:lang w:bidi="ar"/>
              </w:rPr>
              <w:t>投标人根据采购需求，需提供针对本项目的保密方案(包括保密制度、针对流程的保密措施、针对人员的保密措施、针对工作内容的保密措施等)，评标委员会根据响应方案与项目</w:t>
            </w:r>
            <w:r>
              <w:rPr>
                <w:rFonts w:hint="eastAsia" w:ascii="宋体" w:hAnsi="宋体" w:cs="宋体"/>
                <w:color w:val="auto"/>
                <w:kern w:val="0"/>
                <w:sz w:val="24"/>
                <w:szCs w:val="24"/>
                <w:highlight w:val="none"/>
                <w:lang w:val="en-US" w:eastAsia="zh-CN" w:bidi="ar"/>
              </w:rPr>
              <w:t>实施</w:t>
            </w:r>
            <w:r>
              <w:rPr>
                <w:rFonts w:hint="eastAsia" w:ascii="宋体" w:hAnsi="宋体" w:eastAsia="宋体" w:cs="宋体"/>
                <w:color w:val="auto"/>
                <w:kern w:val="0"/>
                <w:sz w:val="24"/>
                <w:szCs w:val="24"/>
                <w:highlight w:val="none"/>
                <w:lang w:bidi="ar"/>
              </w:rPr>
              <w:t>要求匹配情况进行评分。（</w:t>
            </w:r>
            <w:r>
              <w:rPr>
                <w:rStyle w:val="375"/>
                <w:rFonts w:hint="eastAsia" w:ascii="宋体" w:hAnsi="宋体" w:eastAsia="宋体" w:cs="宋体"/>
                <w:color w:val="auto"/>
                <w:sz w:val="24"/>
                <w:szCs w:val="24"/>
                <w:highlight w:val="none"/>
                <w:lang w:bidi="ar"/>
              </w:rPr>
              <w:t>分值：</w:t>
            </w: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2</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1</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bidi="ar"/>
              </w:rPr>
              <w:t>0）</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0273D67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6BE8C4B5">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r>
      <w:tr w14:paraId="27BAF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638" w:type="dxa"/>
            <w:tcBorders>
              <w:top w:val="single" w:color="auto" w:sz="4" w:space="0"/>
              <w:left w:val="single" w:color="auto" w:sz="4" w:space="0"/>
              <w:bottom w:val="single" w:color="auto" w:sz="4" w:space="0"/>
              <w:right w:val="single" w:color="auto" w:sz="4" w:space="0"/>
            </w:tcBorders>
            <w:noWrap w:val="0"/>
            <w:vAlign w:val="center"/>
          </w:tcPr>
          <w:p w14:paraId="1AEE120E">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1</w:t>
            </w:r>
          </w:p>
        </w:tc>
        <w:tc>
          <w:tcPr>
            <w:tcW w:w="700" w:type="dxa"/>
            <w:tcBorders>
              <w:top w:val="single" w:color="auto" w:sz="4" w:space="0"/>
              <w:left w:val="single" w:color="auto" w:sz="4" w:space="0"/>
              <w:bottom w:val="single" w:color="auto" w:sz="4" w:space="0"/>
              <w:right w:val="single" w:color="auto" w:sz="4" w:space="0"/>
            </w:tcBorders>
            <w:noWrap w:val="0"/>
            <w:vAlign w:val="center"/>
          </w:tcPr>
          <w:p w14:paraId="60A55C61">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w:t>
            </w:r>
          </w:p>
        </w:tc>
        <w:tc>
          <w:tcPr>
            <w:tcW w:w="6980" w:type="dxa"/>
            <w:tcBorders>
              <w:top w:val="single" w:color="auto" w:sz="4" w:space="0"/>
              <w:left w:val="single" w:color="auto" w:sz="4" w:space="0"/>
              <w:bottom w:val="single" w:color="auto" w:sz="4" w:space="0"/>
              <w:right w:val="single" w:color="auto" w:sz="4" w:space="0"/>
            </w:tcBorders>
            <w:noWrap w:val="0"/>
            <w:vAlign w:val="top"/>
          </w:tcPr>
          <w:p w14:paraId="1BEA8B6D">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有效投标报价的最低价作为评标基准价，其最低报价为满分；按［投标报价得分=（评标基准价/投标报价）*10］的计算公式计算。</w:t>
            </w:r>
          </w:p>
          <w:p w14:paraId="6D60F226">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6CC3762A">
            <w:pPr>
              <w:widowControl/>
              <w:shd w:val="clear" w:color="auto" w:fill="FFFFFF"/>
              <w:adjustRightIn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509" w:type="dxa"/>
            <w:tcBorders>
              <w:top w:val="single" w:color="auto" w:sz="4" w:space="0"/>
              <w:left w:val="single" w:color="auto" w:sz="4" w:space="0"/>
              <w:bottom w:val="single" w:color="auto" w:sz="4" w:space="0"/>
              <w:right w:val="single" w:color="auto" w:sz="4" w:space="0"/>
            </w:tcBorders>
            <w:noWrap w:val="0"/>
            <w:vAlign w:val="center"/>
          </w:tcPr>
          <w:p w14:paraId="20AACEB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801" w:type="dxa"/>
            <w:tcBorders>
              <w:top w:val="single" w:color="auto" w:sz="4" w:space="0"/>
              <w:left w:val="single" w:color="auto" w:sz="4" w:space="0"/>
              <w:bottom w:val="single" w:color="auto" w:sz="4" w:space="0"/>
              <w:right w:val="single" w:color="auto" w:sz="4" w:space="0"/>
            </w:tcBorders>
            <w:noWrap w:val="0"/>
            <w:vAlign w:val="center"/>
          </w:tcPr>
          <w:p w14:paraId="272BA7E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统一评分</w:t>
            </w:r>
          </w:p>
        </w:tc>
      </w:tr>
    </w:tbl>
    <w:p w14:paraId="1E953044">
      <w:pPr>
        <w:pStyle w:val="51"/>
        <w:rPr>
          <w:rFonts w:hint="eastAsia"/>
          <w:color w:val="auto"/>
          <w:highlight w:val="none"/>
          <w:lang w:val="en-US" w:eastAsia="zh-CN"/>
        </w:rPr>
      </w:pPr>
    </w:p>
    <w:p w14:paraId="00FCC8A0">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6C8294A3">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0CE9BC01">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357635D6">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54A12F51">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0DFD7307">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EF75E3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FEED1A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3A7208E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468BEC1C">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426ED592">
      <w:pPr>
        <w:pStyle w:val="14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1391416">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38CDD525">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0C70606F">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2E924F51">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72F1A62B">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A8CC480">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E4DF53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CD05C14">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9CB196B">
      <w:pPr>
        <w:pStyle w:val="14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0DB8AA7">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szCs w:val="24"/>
          <w:highlight w:val="none"/>
          <w:lang w:val="en" w:eastAsia="zh-CN" w:bidi="ar-SA"/>
        </w:rPr>
        <w:t>本项目</w:t>
      </w:r>
      <w:r>
        <w:rPr>
          <w:rFonts w:hint="eastAsia" w:ascii="宋体" w:hAnsi="宋体" w:cs="宋体"/>
          <w:color w:val="auto"/>
          <w:kern w:val="0"/>
          <w:sz w:val="24"/>
          <w:szCs w:val="24"/>
          <w:highlight w:val="none"/>
          <w:lang w:val="en-US" w:eastAsia="zh-CN" w:bidi="ar-SA"/>
        </w:rPr>
        <w:t>各标项</w:t>
      </w:r>
      <w:r>
        <w:rPr>
          <w:rFonts w:hint="eastAsia" w:ascii="宋体" w:hAnsi="宋体" w:eastAsia="宋体" w:cs="宋体"/>
          <w:color w:val="auto"/>
          <w:kern w:val="0"/>
          <w:sz w:val="24"/>
          <w:szCs w:val="24"/>
          <w:highlight w:val="none"/>
          <w:lang w:val="en" w:eastAsia="zh-CN" w:bidi="ar-SA"/>
        </w:rPr>
        <w:t>推荐的中标候选人数量：</w:t>
      </w:r>
      <w:r>
        <w:rPr>
          <w:rFonts w:hint="eastAsia" w:ascii="宋体" w:hAnsi="宋体" w:eastAsia="宋体" w:cs="宋体"/>
          <w:color w:val="auto"/>
          <w:kern w:val="0"/>
          <w:sz w:val="24"/>
          <w:szCs w:val="24"/>
          <w:highlight w:val="none"/>
          <w:u w:val="single"/>
          <w:lang w:val="en-US" w:eastAsia="zh-CN" w:bidi="ar-SA"/>
        </w:rPr>
        <w:t xml:space="preserve"> </w:t>
      </w:r>
      <w:r>
        <w:rPr>
          <w:rFonts w:hint="eastAsia" w:ascii="宋体" w:hAnsi="宋体" w:cs="宋体"/>
          <w:color w:val="auto"/>
          <w:kern w:val="0"/>
          <w:sz w:val="24"/>
          <w:szCs w:val="24"/>
          <w:highlight w:val="none"/>
          <w:u w:val="single"/>
          <w:lang w:val="en-US" w:eastAsia="zh-CN" w:bidi="ar-SA"/>
        </w:rPr>
        <w:t>1家</w:t>
      </w:r>
      <w:r>
        <w:rPr>
          <w:rFonts w:hint="eastAsia" w:ascii="宋体" w:hAnsi="宋体" w:eastAsia="宋体" w:cs="宋体"/>
          <w:color w:val="auto"/>
          <w:kern w:val="0"/>
          <w:sz w:val="24"/>
          <w:szCs w:val="24"/>
          <w:highlight w:val="none"/>
          <w:u w:val="single"/>
          <w:lang w:val="en-US" w:eastAsia="zh-CN" w:bidi="ar-SA"/>
        </w:rPr>
        <w:t xml:space="preserve">  </w:t>
      </w:r>
      <w:r>
        <w:rPr>
          <w:rFonts w:hint="eastAsia" w:ascii="宋体" w:hAnsi="宋体" w:cs="宋体"/>
          <w:color w:val="auto"/>
          <w:kern w:val="0"/>
          <w:sz w:val="24"/>
          <w:highlight w:val="none"/>
        </w:rPr>
        <w:t>。</w:t>
      </w:r>
    </w:p>
    <w:p w14:paraId="41304F22">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FA36BF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5B8FE90">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E443ACF">
      <w:pPr>
        <w:pStyle w:val="14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DC7E3B3">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94940F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2D88DBC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CCAC55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9ED595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97C09E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6BE4B9D3">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71EE37A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46898D2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31A7BCC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投标人对根据修正原则修正后的报价不确认的；</w:t>
      </w:r>
    </w:p>
    <w:p w14:paraId="5B33ADE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投标人提供虚假材料投标的（包括商务、技术响应情况与实际不符的）；</w:t>
      </w:r>
    </w:p>
    <w:p w14:paraId="3B32FF13">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投标人有恶意串通、妨碍其他投标人的竞争行为、损害采购人或者其他投标人的合法权益情形的；</w:t>
      </w:r>
    </w:p>
    <w:p w14:paraId="57C3ECE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响应）文件无效：（1）不同供应商的电子投标（响应）文件上传计算机的IP地址或网卡MAC地址或硬盘序列号等硬件信息相同的；（</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val="en-US" w:eastAsia="zh-CN"/>
        </w:rPr>
        <w:t>）上传的电子投标（响应）文件若出现使用本项目其他投标（响应）供应商的数字证书加密的，或者加盖本项目其他投标（响应）供应商的电子印章的；（</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）不同供应商的投标（响应）文件的内容存在3处（含）以上错误一致的；（</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val="en-US" w:eastAsia="zh-CN"/>
        </w:rPr>
        <w:t>）不同供应商联系人为同一人或不同联系人的联系电话一致的</w:t>
      </w:r>
      <w:r>
        <w:rPr>
          <w:rFonts w:hint="eastAsia" w:ascii="宋体" w:hAnsi="宋体" w:cs="宋体"/>
          <w:color w:val="auto"/>
          <w:kern w:val="0"/>
          <w:sz w:val="24"/>
          <w:highlight w:val="none"/>
        </w:rPr>
        <w:t>。</w:t>
      </w:r>
    </w:p>
    <w:p w14:paraId="0D1F56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投标人仅提交备份投标文件，未在电子交易平台传输递交投标文件的，投标无效；</w:t>
      </w:r>
    </w:p>
    <w:p w14:paraId="4096861F">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rPr>
        <w:t>投标文件不满足招标文件的其它实质性要求的；</w:t>
      </w:r>
    </w:p>
    <w:p w14:paraId="521F81A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法律、法规、规章（适用本区划的）及省级以上规范性文件（适用本区划的）规定的其他无效情形。</w:t>
      </w:r>
    </w:p>
    <w:p w14:paraId="1BD280BF">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ACFE8DD">
      <w:pPr>
        <w:pStyle w:val="2"/>
        <w:snapToGrid w:val="0"/>
        <w:spacing w:line="360" w:lineRule="auto"/>
        <w:rPr>
          <w:rFonts w:cs="宋体"/>
          <w:color w:val="auto"/>
          <w:highlight w:val="none"/>
        </w:rPr>
      </w:pPr>
      <w:r>
        <w:rPr>
          <w:rFonts w:hint="eastAsia" w:cs="宋体"/>
          <w:color w:val="auto"/>
          <w:highlight w:val="none"/>
        </w:rPr>
        <w:t>5.1符合专业条件的投标人或者对招标文件作实质响应的投标人不足3家的；</w:t>
      </w:r>
    </w:p>
    <w:p w14:paraId="35A1EDAE">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299734D8">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7018C86">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492B7CF9">
      <w:pPr>
        <w:pStyle w:val="2"/>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0A4104F7">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C3BD9A1">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7BC0D4D">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4A1674A">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193EA166">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36275C4">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701F1A8B">
      <w:pPr>
        <w:pStyle w:val="2"/>
        <w:snapToGrid w:val="0"/>
        <w:spacing w:line="360" w:lineRule="auto"/>
        <w:rPr>
          <w:rFonts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6"/>
      <w:bookmarkStart w:id="397" w:name="第五部分"/>
      <w:bookmarkStart w:id="398" w:name="_Toc86217003"/>
    </w:p>
    <w:p w14:paraId="64E9FD9A">
      <w:pPr>
        <w:rPr>
          <w:rFonts w:ascii="宋体" w:hAnsi="宋体" w:cs="宋体"/>
          <w:b/>
          <w:color w:val="auto"/>
          <w:sz w:val="36"/>
          <w:szCs w:val="36"/>
          <w:highlight w:val="none"/>
        </w:rPr>
      </w:pPr>
      <w:r>
        <w:rPr>
          <w:rFonts w:hint="eastAsia" w:ascii="宋体" w:hAnsi="宋体" w:cs="宋体"/>
          <w:b/>
          <w:color w:val="auto"/>
          <w:sz w:val="36"/>
          <w:szCs w:val="36"/>
          <w:highlight w:val="none"/>
        </w:rPr>
        <w:br w:type="page"/>
      </w:r>
    </w:p>
    <w:p w14:paraId="2E3B5870">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D374622">
      <w:pPr>
        <w:autoSpaceDE w:val="0"/>
        <w:autoSpaceDN w:val="0"/>
        <w:spacing w:line="360" w:lineRule="auto"/>
        <w:jc w:val="center"/>
        <w:rPr>
          <w:rFonts w:ascii="宋体" w:hAnsi="宋体" w:cs="宋体"/>
          <w:b/>
          <w:color w:val="auto"/>
          <w:szCs w:val="21"/>
          <w:highlight w:val="none"/>
        </w:rPr>
      </w:pPr>
    </w:p>
    <w:p w14:paraId="6F9A1225">
      <w:pPr>
        <w:autoSpaceDE w:val="0"/>
        <w:autoSpaceDN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（备注：以下仅提供合同主要条款，合同格式和具体条款在买卖双方签订合同时根据实际需求确定，正式合同文本以双方签字盖章的为准。）</w:t>
      </w:r>
    </w:p>
    <w:p w14:paraId="2211B65A">
      <w:pPr>
        <w:spacing w:line="360" w:lineRule="auto"/>
        <w:ind w:right="-185" w:rightChars="-88"/>
        <w:rPr>
          <w:rFonts w:ascii="宋体" w:hAnsi="宋体" w:cs="宋体"/>
          <w:color w:val="auto"/>
          <w:szCs w:val="21"/>
          <w:highlight w:val="none"/>
        </w:rPr>
      </w:pPr>
      <w:bookmarkStart w:id="399" w:name="_Hlk534720381"/>
      <w:bookmarkStart w:id="400" w:name="_Toc177870558"/>
      <w:r>
        <w:rPr>
          <w:rFonts w:hint="eastAsia" w:ascii="宋体" w:hAnsi="宋体" w:cs="宋体"/>
          <w:color w:val="auto"/>
          <w:szCs w:val="21"/>
          <w:highlight w:val="none"/>
        </w:rPr>
        <w:t xml:space="preserve">    </w:t>
      </w:r>
    </w:p>
    <w:bookmarkEnd w:id="399"/>
    <w:bookmarkEnd w:id="400"/>
    <w:p w14:paraId="0C74257E">
      <w:pPr>
        <w:spacing w:line="360" w:lineRule="auto"/>
        <w:ind w:right="-185" w:rightChars="-88"/>
        <w:rPr>
          <w:rFonts w:ascii="宋体" w:hAnsi="宋体" w:cs="宋体"/>
          <w:color w:val="auto"/>
          <w:szCs w:val="21"/>
          <w:highlight w:val="none"/>
        </w:rPr>
      </w:pPr>
      <w:r>
        <w:rPr>
          <w:rFonts w:hint="eastAsia" w:ascii="宋体" w:hAnsi="宋体" w:cs="宋体"/>
          <w:color w:val="auto"/>
          <w:szCs w:val="21"/>
          <w:highlight w:val="none"/>
        </w:rPr>
        <w:t xml:space="preserve">    </w:t>
      </w:r>
    </w:p>
    <w:p w14:paraId="48D0C386">
      <w:pPr>
        <w:pStyle w:val="32"/>
        <w:spacing w:line="600" w:lineRule="exact"/>
        <w:jc w:val="center"/>
        <w:rPr>
          <w:rFonts w:hAnsi="宋体" w:cs="宋体"/>
          <w:color w:val="auto"/>
          <w:kern w:val="0"/>
          <w:sz w:val="36"/>
          <w:szCs w:val="36"/>
          <w:highlight w:val="none"/>
        </w:rPr>
      </w:pPr>
      <w:r>
        <w:rPr>
          <w:rFonts w:hint="eastAsia" w:hAnsi="宋体" w:cs="宋体"/>
          <w:color w:val="auto"/>
          <w:sz w:val="36"/>
          <w:szCs w:val="36"/>
          <w:highlight w:val="none"/>
        </w:rPr>
        <w:t>浙江省政府采购合同</w:t>
      </w:r>
    </w:p>
    <w:p w14:paraId="096AFF8F">
      <w:pPr>
        <w:pStyle w:val="32"/>
        <w:snapToGrid w:val="0"/>
        <w:spacing w:before="156" w:line="600" w:lineRule="exact"/>
        <w:jc w:val="center"/>
        <w:rPr>
          <w:rFonts w:hAnsi="宋体" w:cs="宋体"/>
          <w:color w:val="auto"/>
          <w:sz w:val="24"/>
          <w:szCs w:val="24"/>
          <w:highlight w:val="none"/>
        </w:rPr>
      </w:pPr>
      <w:r>
        <w:rPr>
          <w:rFonts w:hint="eastAsia" w:hAnsi="宋体" w:cs="宋体"/>
          <w:color w:val="auto"/>
          <w:sz w:val="24"/>
          <w:szCs w:val="24"/>
          <w:highlight w:val="none"/>
        </w:rPr>
        <w:t xml:space="preserve">                 合同编号：</w:t>
      </w:r>
    </w:p>
    <w:p w14:paraId="25185D57">
      <w:pPr>
        <w:pStyle w:val="32"/>
        <w:snapToGrid w:val="0"/>
        <w:spacing w:before="156" w:line="600" w:lineRule="exact"/>
        <w:jc w:val="center"/>
        <w:rPr>
          <w:rFonts w:hAnsi="宋体" w:cs="宋体"/>
          <w:color w:val="auto"/>
          <w:sz w:val="24"/>
          <w:szCs w:val="24"/>
          <w:highlight w:val="none"/>
        </w:rPr>
      </w:pPr>
      <w:r>
        <w:rPr>
          <w:rFonts w:hint="eastAsia" w:hAnsi="宋体" w:cs="宋体"/>
          <w:color w:val="auto"/>
          <w:sz w:val="24"/>
          <w:szCs w:val="24"/>
          <w:highlight w:val="none"/>
        </w:rPr>
        <w:t xml:space="preserve">                 确认书号：</w:t>
      </w:r>
    </w:p>
    <w:p w14:paraId="615E0199">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甲方</w:t>
      </w:r>
      <w:r>
        <w:rPr>
          <w:rFonts w:hint="eastAsia" w:ascii="宋体" w:hAnsi="宋体" w:cs="宋体"/>
          <w:color w:val="auto"/>
          <w:sz w:val="24"/>
          <w:highlight w:val="none"/>
        </w:rPr>
        <w:t>（采购人）：浙江省司法厅</w:t>
      </w:r>
    </w:p>
    <w:p w14:paraId="668A2493">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乙方</w:t>
      </w:r>
      <w:r>
        <w:rPr>
          <w:rFonts w:hint="eastAsia" w:ascii="宋体" w:hAnsi="宋体" w:cs="宋体"/>
          <w:color w:val="auto"/>
          <w:sz w:val="24"/>
          <w:highlight w:val="none"/>
        </w:rPr>
        <w:t>（供应商）：</w:t>
      </w:r>
    </w:p>
    <w:p w14:paraId="5F2C09E1">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甲、乙双方根据浙江国际招投标有限公司关于项目编号为××的（标项×：××项目）项目公开招标的结果，签署本合同。</w:t>
      </w:r>
    </w:p>
    <w:p w14:paraId="3980F4F1">
      <w:pPr>
        <w:pStyle w:val="970"/>
        <w:spacing w:before="0" w:beforeLines="0" w:after="0" w:afterLines="0" w:line="360" w:lineRule="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合同文件</w:t>
      </w:r>
    </w:p>
    <w:p w14:paraId="0EC2D70A">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合同文件的组成，包括：</w:t>
      </w:r>
    </w:p>
    <w:p w14:paraId="61C97E3A">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（1）本合同协议书和合同全部条款；</w:t>
      </w:r>
    </w:p>
    <w:p w14:paraId="51B6CEB7">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（2）招标文件；</w:t>
      </w:r>
    </w:p>
    <w:p w14:paraId="65ABADC5">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（3）投标文件；</w:t>
      </w:r>
    </w:p>
    <w:p w14:paraId="03A515DA">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（4）评标过程中形成的文字资料/询标纪要；</w:t>
      </w:r>
    </w:p>
    <w:p w14:paraId="2C5617DC">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（5）中标通知书；</w:t>
      </w:r>
    </w:p>
    <w:p w14:paraId="1495B055">
      <w:pPr>
        <w:pStyle w:val="969"/>
        <w:spacing w:before="0" w:beforeLines="0" w:after="0" w:afterLines="0" w:line="360" w:lineRule="auto"/>
        <w:ind w:firstLine="480"/>
        <w:rPr>
          <w:rFonts w:ascii="宋体" w:hAnsi="宋体" w:eastAsia="宋体" w:cs="宋体"/>
          <w:b/>
          <w:bCs/>
          <w:color w:val="auto"/>
          <w:kern w:val="0"/>
          <w:sz w:val="24"/>
          <w:szCs w:val="24"/>
          <w:highlight w:val="none"/>
        </w:rPr>
      </w:pPr>
      <w:r>
        <w:rPr>
          <w:rFonts w:hint="eastAsia" w:ascii="宋体" w:hAnsi="宋体" w:eastAsia="宋体" w:cs="宋体"/>
          <w:bCs/>
          <w:color w:val="auto"/>
          <w:kern w:val="0"/>
          <w:sz w:val="24"/>
          <w:szCs w:val="24"/>
          <w:highlight w:val="none"/>
        </w:rPr>
        <w:t>（6）其他合同文件；</w:t>
      </w:r>
    </w:p>
    <w:p w14:paraId="0DE1CBC6">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在合同订立及履行过程中形成的与合同有关的文件均构成合同文件组成部分。</w:t>
      </w:r>
    </w:p>
    <w:p w14:paraId="770B407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上述各项合同文件包括合同当事人就该项合同文件所作出的补充和修改，属于同一类内容的文件，应以最新签署的为准。</w:t>
      </w:r>
    </w:p>
    <w:p w14:paraId="6DDD3FCA">
      <w:pPr>
        <w:pStyle w:val="970"/>
        <w:spacing w:before="0" w:beforeLines="0" w:after="0" w:afterLines="0" w:line="360" w:lineRule="auto"/>
        <w:rPr>
          <w:rFonts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项目内容及合同价格</w:t>
      </w:r>
    </w:p>
    <w:p w14:paraId="60F82419">
      <w:pPr>
        <w:pStyle w:val="32"/>
        <w:snapToGrid w:val="0"/>
        <w:spacing w:line="360" w:lineRule="auto"/>
        <w:jc w:val="right"/>
        <w:rPr>
          <w:rFonts w:hAnsi="宋体" w:cs="宋体"/>
          <w:color w:val="auto"/>
          <w:sz w:val="24"/>
          <w:szCs w:val="24"/>
          <w:highlight w:val="none"/>
        </w:rPr>
      </w:pPr>
      <w:r>
        <w:rPr>
          <w:rFonts w:hint="eastAsia" w:hAnsi="宋体" w:cs="宋体"/>
          <w:color w:val="auto"/>
          <w:sz w:val="24"/>
          <w:szCs w:val="24"/>
          <w:highlight w:val="none"/>
        </w:rPr>
        <w:t>金额单位：元（人民币）</w:t>
      </w:r>
    </w:p>
    <w:tbl>
      <w:tblPr>
        <w:tblStyle w:val="63"/>
        <w:tblW w:w="91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9"/>
        <w:gridCol w:w="2126"/>
        <w:gridCol w:w="850"/>
        <w:gridCol w:w="1733"/>
        <w:gridCol w:w="1734"/>
      </w:tblGrid>
      <w:tr w14:paraId="6E1DC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14:paraId="02C43BE7">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项目名称</w:t>
            </w:r>
          </w:p>
        </w:tc>
        <w:tc>
          <w:tcPr>
            <w:tcW w:w="2126" w:type="dxa"/>
            <w:tcBorders>
              <w:top w:val="single" w:color="auto" w:sz="4" w:space="0"/>
              <w:left w:val="single" w:color="auto" w:sz="4" w:space="0"/>
              <w:bottom w:val="single" w:color="auto" w:sz="4" w:space="0"/>
              <w:right w:val="single" w:color="auto" w:sz="4" w:space="0"/>
            </w:tcBorders>
            <w:vAlign w:val="center"/>
          </w:tcPr>
          <w:p w14:paraId="51472BEC">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技术需求</w:t>
            </w:r>
          </w:p>
        </w:tc>
        <w:tc>
          <w:tcPr>
            <w:tcW w:w="850" w:type="dxa"/>
            <w:tcBorders>
              <w:top w:val="single" w:color="auto" w:sz="4" w:space="0"/>
              <w:left w:val="single" w:color="auto" w:sz="4" w:space="0"/>
              <w:bottom w:val="single" w:color="auto" w:sz="4" w:space="0"/>
              <w:right w:val="single" w:color="auto" w:sz="4" w:space="0"/>
            </w:tcBorders>
            <w:vAlign w:val="center"/>
          </w:tcPr>
          <w:p w14:paraId="549735CF">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数量</w:t>
            </w:r>
          </w:p>
        </w:tc>
        <w:tc>
          <w:tcPr>
            <w:tcW w:w="1733" w:type="dxa"/>
            <w:tcBorders>
              <w:top w:val="single" w:color="auto" w:sz="4" w:space="0"/>
              <w:left w:val="single" w:color="auto" w:sz="4" w:space="0"/>
              <w:bottom w:val="single" w:color="auto" w:sz="4" w:space="0"/>
              <w:right w:val="single" w:color="auto" w:sz="4" w:space="0"/>
            </w:tcBorders>
            <w:vAlign w:val="center"/>
          </w:tcPr>
          <w:p w14:paraId="688E4F55">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单价</w:t>
            </w:r>
          </w:p>
        </w:tc>
        <w:tc>
          <w:tcPr>
            <w:tcW w:w="1734" w:type="dxa"/>
            <w:tcBorders>
              <w:top w:val="single" w:color="auto" w:sz="4" w:space="0"/>
              <w:left w:val="single" w:color="auto" w:sz="4" w:space="0"/>
              <w:bottom w:val="single" w:color="auto" w:sz="4" w:space="0"/>
              <w:right w:val="single" w:color="auto" w:sz="4" w:space="0"/>
            </w:tcBorders>
            <w:vAlign w:val="center"/>
          </w:tcPr>
          <w:p w14:paraId="401DA4BB">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总价</w:t>
            </w:r>
          </w:p>
        </w:tc>
      </w:tr>
      <w:tr w14:paraId="0F1FB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14:paraId="10E7CB2E">
            <w:pPr>
              <w:pStyle w:val="32"/>
              <w:snapToGrid w:val="0"/>
              <w:spacing w:line="360" w:lineRule="auto"/>
              <w:jc w:val="center"/>
              <w:rPr>
                <w:rFonts w:hAnsi="宋体" w:cs="宋体"/>
                <w:color w:val="auto"/>
                <w:sz w:val="24"/>
                <w:szCs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248DA455">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详见项目对应采购文件</w:t>
            </w:r>
          </w:p>
        </w:tc>
        <w:tc>
          <w:tcPr>
            <w:tcW w:w="850" w:type="dxa"/>
            <w:tcBorders>
              <w:top w:val="single" w:color="auto" w:sz="4" w:space="0"/>
              <w:left w:val="single" w:color="auto" w:sz="4" w:space="0"/>
              <w:bottom w:val="single" w:color="auto" w:sz="4" w:space="0"/>
              <w:right w:val="single" w:color="auto" w:sz="4" w:space="0"/>
            </w:tcBorders>
            <w:vAlign w:val="center"/>
          </w:tcPr>
          <w:p w14:paraId="55D0FC2D">
            <w:pPr>
              <w:pStyle w:val="32"/>
              <w:snapToGrid w:val="0"/>
              <w:spacing w:line="360" w:lineRule="auto"/>
              <w:jc w:val="center"/>
              <w:rPr>
                <w:rFonts w:hAnsi="宋体" w:cs="宋体"/>
                <w:color w:val="auto"/>
                <w:sz w:val="24"/>
                <w:szCs w:val="24"/>
                <w:highlight w:val="none"/>
              </w:rPr>
            </w:pPr>
          </w:p>
        </w:tc>
        <w:tc>
          <w:tcPr>
            <w:tcW w:w="1733" w:type="dxa"/>
            <w:tcBorders>
              <w:top w:val="single" w:color="auto" w:sz="4" w:space="0"/>
              <w:left w:val="single" w:color="auto" w:sz="4" w:space="0"/>
              <w:bottom w:val="single" w:color="auto" w:sz="4" w:space="0"/>
              <w:right w:val="single" w:color="auto" w:sz="4" w:space="0"/>
            </w:tcBorders>
            <w:vAlign w:val="center"/>
          </w:tcPr>
          <w:p w14:paraId="1E071023">
            <w:pPr>
              <w:pStyle w:val="32"/>
              <w:snapToGrid w:val="0"/>
              <w:spacing w:line="360" w:lineRule="auto"/>
              <w:jc w:val="center"/>
              <w:rPr>
                <w:rFonts w:hAnsi="宋体" w:cs="宋体"/>
                <w:color w:val="auto"/>
                <w:sz w:val="24"/>
                <w:szCs w:val="24"/>
                <w:highlight w:val="none"/>
              </w:rPr>
            </w:pPr>
          </w:p>
        </w:tc>
        <w:tc>
          <w:tcPr>
            <w:tcW w:w="1734" w:type="dxa"/>
            <w:tcBorders>
              <w:top w:val="single" w:color="auto" w:sz="4" w:space="0"/>
              <w:left w:val="single" w:color="auto" w:sz="4" w:space="0"/>
              <w:bottom w:val="single" w:color="auto" w:sz="4" w:space="0"/>
              <w:right w:val="single" w:color="auto" w:sz="4" w:space="0"/>
            </w:tcBorders>
            <w:vAlign w:val="center"/>
          </w:tcPr>
          <w:p w14:paraId="7588C00A">
            <w:pPr>
              <w:pStyle w:val="32"/>
              <w:snapToGrid w:val="0"/>
              <w:spacing w:line="360" w:lineRule="auto"/>
              <w:jc w:val="center"/>
              <w:rPr>
                <w:rFonts w:hAnsi="宋体" w:cs="宋体"/>
                <w:color w:val="auto"/>
                <w:sz w:val="24"/>
                <w:szCs w:val="24"/>
                <w:highlight w:val="none"/>
              </w:rPr>
            </w:pPr>
          </w:p>
        </w:tc>
      </w:tr>
      <w:tr w14:paraId="79B71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15" w:type="dxa"/>
            <w:gridSpan w:val="2"/>
            <w:tcBorders>
              <w:top w:val="single" w:color="auto" w:sz="4" w:space="0"/>
              <w:left w:val="single" w:color="auto" w:sz="4" w:space="0"/>
              <w:bottom w:val="single" w:color="auto" w:sz="4" w:space="0"/>
              <w:right w:val="single" w:color="auto" w:sz="4" w:space="0"/>
            </w:tcBorders>
            <w:vAlign w:val="center"/>
          </w:tcPr>
          <w:p w14:paraId="3B9C5AEB">
            <w:pPr>
              <w:pStyle w:val="32"/>
              <w:snapToGrid w:val="0"/>
              <w:spacing w:line="360" w:lineRule="auto"/>
              <w:jc w:val="center"/>
              <w:rPr>
                <w:rFonts w:hAnsi="宋体" w:cs="宋体"/>
                <w:color w:val="auto"/>
                <w:sz w:val="24"/>
                <w:szCs w:val="24"/>
                <w:highlight w:val="none"/>
              </w:rPr>
            </w:pPr>
            <w:r>
              <w:rPr>
                <w:rFonts w:hint="eastAsia" w:hAnsi="宋体" w:cs="宋体"/>
                <w:color w:val="auto"/>
                <w:sz w:val="24"/>
                <w:szCs w:val="24"/>
                <w:highlight w:val="none"/>
              </w:rPr>
              <w:t>合            计</w:t>
            </w:r>
          </w:p>
        </w:tc>
        <w:tc>
          <w:tcPr>
            <w:tcW w:w="4317" w:type="dxa"/>
            <w:gridSpan w:val="3"/>
            <w:tcBorders>
              <w:top w:val="single" w:color="auto" w:sz="4" w:space="0"/>
              <w:left w:val="single" w:color="auto" w:sz="4" w:space="0"/>
              <w:bottom w:val="single" w:color="auto" w:sz="4" w:space="0"/>
              <w:right w:val="single" w:color="auto" w:sz="4" w:space="0"/>
            </w:tcBorders>
            <w:vAlign w:val="center"/>
          </w:tcPr>
          <w:p w14:paraId="0D2F9844">
            <w:pPr>
              <w:pStyle w:val="32"/>
              <w:snapToGrid w:val="0"/>
              <w:spacing w:line="360" w:lineRule="auto"/>
              <w:jc w:val="center"/>
              <w:rPr>
                <w:rFonts w:hAnsi="宋体" w:cs="宋体"/>
                <w:color w:val="auto"/>
                <w:sz w:val="24"/>
                <w:szCs w:val="24"/>
                <w:highlight w:val="none"/>
              </w:rPr>
            </w:pPr>
          </w:p>
        </w:tc>
      </w:tr>
      <w:tr w14:paraId="56BF3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2" w:type="dxa"/>
            <w:gridSpan w:val="5"/>
            <w:tcBorders>
              <w:top w:val="single" w:color="auto" w:sz="4" w:space="0"/>
              <w:left w:val="single" w:color="auto" w:sz="4" w:space="0"/>
              <w:bottom w:val="single" w:color="auto" w:sz="4" w:space="0"/>
              <w:right w:val="single" w:color="auto" w:sz="4" w:space="0"/>
            </w:tcBorders>
            <w:vAlign w:val="center"/>
          </w:tcPr>
          <w:p w14:paraId="51551231">
            <w:pPr>
              <w:pStyle w:val="32"/>
              <w:snapToGrid w:val="0"/>
              <w:spacing w:line="360" w:lineRule="auto"/>
              <w:jc w:val="left"/>
              <w:rPr>
                <w:rFonts w:hAnsi="宋体" w:cs="宋体"/>
                <w:color w:val="auto"/>
                <w:sz w:val="24"/>
                <w:szCs w:val="24"/>
                <w:highlight w:val="none"/>
              </w:rPr>
            </w:pPr>
            <w:r>
              <w:rPr>
                <w:rFonts w:hint="eastAsia" w:hAnsi="宋体" w:cs="宋体"/>
                <w:color w:val="auto"/>
                <w:sz w:val="24"/>
                <w:szCs w:val="24"/>
                <w:highlight w:val="none"/>
              </w:rPr>
              <w:t xml:space="preserve">合同总价大写：                        小写：￥      </w:t>
            </w:r>
          </w:p>
        </w:tc>
      </w:tr>
    </w:tbl>
    <w:p w14:paraId="7DAEEA5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注：1.项目具体技术需求详见招标文件、投标文件以及询标记录。</w:t>
      </w:r>
    </w:p>
    <w:p w14:paraId="4865702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2.以上合同总价包含项目达到预期使用效果甲方所应承担的一切费用。</w:t>
      </w:r>
    </w:p>
    <w:p w14:paraId="07851BC7">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技术资料</w:t>
      </w:r>
    </w:p>
    <w:p w14:paraId="3BB47D6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1.乙方应按采购文件规定的时间向甲方提供使用项目的有关技术资料。具体如下：</w:t>
      </w:r>
    </w:p>
    <w:p w14:paraId="76B34BB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（1）合同签订后两周内提供需求规格说明书以及项目建设实施方案；</w:t>
      </w:r>
    </w:p>
    <w:p w14:paraId="2190DC9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（2）项目投入正式运行以前，提供项目半月报，定期进行汇报；</w:t>
      </w:r>
    </w:p>
    <w:p w14:paraId="66FF285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（3）用户培训时提供培训相关资料；</w:t>
      </w:r>
    </w:p>
    <w:p w14:paraId="574762F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（4）项目验收时提供系统管理维护文档、系统使用操作文档以及系统源代码等，纸质和电子各一份；</w:t>
      </w:r>
    </w:p>
    <w:p w14:paraId="69B5609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（5）其他甲方需要的文档。</w:t>
      </w:r>
    </w:p>
    <w:p w14:paraId="4ED6F4BC">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3FBBD98">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知识产权</w:t>
      </w:r>
    </w:p>
    <w:p w14:paraId="14885A9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1.本项目所产生成果（包括计算机软件、技术诀窍、秘密信息、技术资料和文件等）的知识产权甲方独享，共性技术双方共享。</w:t>
      </w:r>
    </w:p>
    <w:p w14:paraId="50AC953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2.乙方保证甲方不受到第三方关于侵犯知识产权（包括版权和专利权、商标权等）的指控，任何第三方如果提出指控，乙方与第三方交涉，承担可能发生的一切法律责任、费用和后果。</w:t>
      </w:r>
    </w:p>
    <w:p w14:paraId="0B0BEF51">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产权瑕疵担保</w:t>
      </w:r>
    </w:p>
    <w:p w14:paraId="03531B1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乙方保证所交付的货物的所有权完全属于乙方且无任何抵押、查封等产权瑕疵。</w:t>
      </w:r>
    </w:p>
    <w:p w14:paraId="6B8DB1E7">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转包或分包</w:t>
      </w:r>
    </w:p>
    <w:p w14:paraId="24D8155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不允许转包。</w:t>
      </w:r>
    </w:p>
    <w:p w14:paraId="75B5F55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允许分包部分</w:t>
      </w:r>
      <w:r>
        <w:rPr>
          <w:rFonts w:hint="eastAsia" w:ascii="宋体" w:hAnsi="宋体" w:eastAsia="宋体" w:cs="宋体"/>
          <w:color w:val="auto"/>
          <w:sz w:val="24"/>
          <w:szCs w:val="24"/>
          <w:highlight w:val="none"/>
          <w:u w:val="single"/>
        </w:rPr>
        <w:t xml:space="preserve">  无  </w:t>
      </w:r>
      <w:r>
        <w:rPr>
          <w:rFonts w:hint="eastAsia" w:ascii="宋体" w:hAnsi="宋体" w:eastAsia="宋体" w:cs="宋体"/>
          <w:color w:val="auto"/>
          <w:sz w:val="24"/>
          <w:szCs w:val="24"/>
          <w:highlight w:val="none"/>
        </w:rPr>
        <w:t xml:space="preserve"> 。</w:t>
      </w:r>
    </w:p>
    <w:p w14:paraId="74FBF1B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如乙方将项目转包或将不允许分包部分进行了分包，甲方有权解除合同，没收履约保证金并追究乙方的违约责任。</w:t>
      </w:r>
    </w:p>
    <w:p w14:paraId="753F48CF">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p w14:paraId="210DBA66">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免费维护期（即为</w:t>
      </w:r>
      <w:r>
        <w:rPr>
          <w:rFonts w:hint="eastAsia" w:ascii="宋体" w:hAnsi="宋体" w:eastAsia="宋体" w:cs="宋体"/>
          <w:color w:val="auto"/>
          <w:sz w:val="24"/>
          <w:szCs w:val="24"/>
          <w:highlight w:val="none"/>
        </w:rPr>
        <w:t>质保期）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年。（自项目验收合格交付使用之日起计）</w:t>
      </w:r>
    </w:p>
    <w:p w14:paraId="12012D7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2.履约保证金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元。[履约保证金在合同签订之日起5个工作日内交至采购人指定银行账户，在合同约定交货验收合格满（1）个月之日起5个工作日内无息退还]</w:t>
      </w:r>
    </w:p>
    <w:p w14:paraId="3488DC1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若履约保证金逾期超过30日未交付的，甲方有权解除合同并要求乙方承担合同总价的5%的违约责任，不足以弥补甲方损失的，乙方应按照甲方实际损失承担赔偿责任。</w:t>
      </w:r>
    </w:p>
    <w:p w14:paraId="5F2BBB7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履约期间，需服从监理单位的统一管理，如未能按本项目及其关联工作要求履职，监理单位有权做出书面意见。供应商自第二次（含）收到《监理通知单》起，按单次5000元予以处罚，在履约保证金退还时予以扣除。</w:t>
      </w:r>
    </w:p>
    <w:p w14:paraId="6E4BC2FA">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项目工期及实施地点</w:t>
      </w:r>
    </w:p>
    <w:p w14:paraId="20AFFB2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1.项目工期：</w:t>
      </w:r>
    </w:p>
    <w:p w14:paraId="35F932E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月   日前，完成需求分析、方案设计、概要设计及详细设计等工作；</w:t>
      </w:r>
    </w:p>
    <w:p w14:paraId="6846D5A6">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月   日前，完成程序编码、联调测试、用户培训等工作，经相关方确认后投入试运行；</w:t>
      </w:r>
    </w:p>
    <w:p w14:paraId="292776A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月   日前，完成项目试运行，并对程序功能进行调优，经相关方确认后组织验收。</w:t>
      </w:r>
    </w:p>
    <w:p w14:paraId="142A966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2.实施地点：甲方指定地点。</w:t>
      </w:r>
    </w:p>
    <w:p w14:paraId="7BBD5586">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货款支付</w:t>
      </w:r>
    </w:p>
    <w:p w14:paraId="06606398">
      <w:pPr>
        <w:pStyle w:val="969"/>
        <w:spacing w:beforeLines="0" w:afterLines="0"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第一期付款：合同签订后且具备项目实施条件（应用场景概要设计方案经招标方审查通过）后7个工作日内，支付合同金额40%的预付款项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第二期付款：系统初验通过后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w:t>
      </w:r>
      <w:r>
        <w:rPr>
          <w:rFonts w:hint="eastAsia" w:ascii="宋体" w:hAnsi="宋体" w:eastAsia="宋体" w:cs="宋体"/>
          <w:color w:val="auto"/>
          <w:sz w:val="24"/>
          <w:szCs w:val="24"/>
          <w:highlight w:val="none"/>
          <w:lang w:val="en-US"/>
        </w:rPr>
        <w:t>40</w:t>
      </w:r>
      <w:r>
        <w:rPr>
          <w:rFonts w:hint="eastAsia" w:ascii="宋体" w:hAnsi="宋体" w:eastAsia="宋体" w:cs="宋体"/>
          <w:color w:val="auto"/>
          <w:sz w:val="24"/>
          <w:szCs w:val="24"/>
          <w:highlight w:val="none"/>
        </w:rPr>
        <w:t>%的款项。第三期付款：系统初验通过满一年可申请终验，终验通过后</w:t>
      </w:r>
      <w:r>
        <w:rPr>
          <w:rFonts w:hint="eastAsia" w:ascii="宋体" w:hAnsi="宋体" w:eastAsia="宋体" w:cs="宋体"/>
          <w:color w:val="auto"/>
          <w:sz w:val="24"/>
          <w:szCs w:val="24"/>
          <w:highlight w:val="none"/>
          <w:lang w:val="en-US"/>
        </w:rPr>
        <w:t>7个工作日内</w:t>
      </w:r>
      <w:r>
        <w:rPr>
          <w:rFonts w:hint="eastAsia" w:ascii="宋体" w:hAnsi="宋体" w:eastAsia="宋体" w:cs="宋体"/>
          <w:color w:val="auto"/>
          <w:sz w:val="24"/>
          <w:szCs w:val="24"/>
          <w:highlight w:val="none"/>
        </w:rPr>
        <w:t>，支付合同金额的</w:t>
      </w:r>
      <w:r>
        <w:rPr>
          <w:rFonts w:hint="eastAsia" w:ascii="宋体" w:hAnsi="宋体" w:eastAsia="宋体" w:cs="宋体"/>
          <w:color w:val="auto"/>
          <w:sz w:val="24"/>
          <w:szCs w:val="24"/>
          <w:highlight w:val="none"/>
          <w:lang w:val="en-US"/>
        </w:rPr>
        <w:t>20%款项。</w:t>
      </w:r>
      <w:r>
        <w:rPr>
          <w:rFonts w:hint="eastAsia" w:ascii="宋体" w:hAnsi="宋体" w:eastAsia="宋体" w:cs="宋体"/>
          <w:color w:val="auto"/>
          <w:sz w:val="24"/>
          <w:szCs w:val="24"/>
          <w:highlight w:val="none"/>
        </w:rPr>
        <w:t>并退还履约保证金。</w:t>
      </w:r>
    </w:p>
    <w:p w14:paraId="0982D43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支付环节，乙方需向甲方提供符合甲方财务要求的</w:t>
      </w:r>
      <w:r>
        <w:rPr>
          <w:rFonts w:hint="eastAsia" w:ascii="宋体" w:hAnsi="宋体" w:eastAsia="宋体" w:cs="宋体"/>
          <w:color w:val="auto"/>
          <w:sz w:val="24"/>
          <w:szCs w:val="24"/>
          <w:highlight w:val="none"/>
          <w:lang w:val="en-US" w:eastAsia="zh-CN"/>
        </w:rPr>
        <w:t>税务</w:t>
      </w:r>
      <w:r>
        <w:rPr>
          <w:rFonts w:hint="eastAsia" w:ascii="宋体" w:hAnsi="宋体" w:eastAsia="宋体" w:cs="宋体"/>
          <w:color w:val="auto"/>
          <w:sz w:val="24"/>
          <w:szCs w:val="24"/>
          <w:highlight w:val="none"/>
        </w:rPr>
        <w:t>发票，否则甲方可顺延付款，所造成的风险由乙方承担。如因财政资金的下达、拨付问题导致付款延迟的，不视为甲方违约，合同相对方不能据此追究甲方的违约责任。</w:t>
      </w:r>
    </w:p>
    <w:p w14:paraId="1F2EE548">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税费</w:t>
      </w:r>
    </w:p>
    <w:p w14:paraId="3D64A67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本合同执行中相关的一切税费均由乙方负担。</w:t>
      </w:r>
    </w:p>
    <w:p w14:paraId="5195EE4C">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质量保证及售后服务</w:t>
      </w:r>
    </w:p>
    <w:p w14:paraId="261A00B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1.详见采购文件</w:t>
      </w:r>
    </w:p>
    <w:p w14:paraId="23F02D2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2.按照《信息安全技术网络安全等级保护基本要求》（GB/T 22239-2019）文件第三级安全要求，着重加强防病毒、网络态势感知、终端接入管理、身份认证密码、数据资源安全等网络安全体系建设，保障信息系统安全可靠运行。</w:t>
      </w:r>
    </w:p>
    <w:p w14:paraId="583B001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项目遵循商用密码应用安全体系框架建设，所有应用系统应能满足商用密码应用安全评估要求。根据《浙江省公共数据条例》、《浙江省公共数据安全管理总则》、《浙江省电子政务外网安全评估指标体系》等文件精神，落实数据安全分级分类、脱敏、加密、安全评估要求。</w:t>
      </w:r>
    </w:p>
    <w:p w14:paraId="5C26752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4.根据采购人要求，所有建设应用系统应基于安全可靠的技术路线，支持在信创云上部署和运行，满足安全可靠要求。</w:t>
      </w:r>
    </w:p>
    <w:p w14:paraId="0A8BDF2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应当遵守甲方制定的安全政策和技术规范，确保其提供的服务符合网络安全和数据安全行业监管以及相关法律法规的要求。如未按照规范开发设计，在建设和运行中存在网络攻击、信息泄露、有害程序植入等较大风险隐患的，被国家机关、省级机关书面通报的，按单次5000元予以处罚。未按照厅应用系统网络安全通报要求及时整改的，按以下处罚：</w:t>
      </w:r>
    </w:p>
    <w:p w14:paraId="7B04501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i.</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高危漏洞</w:t>
      </w:r>
    </w:p>
    <w:p w14:paraId="6F8CE93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连续2次被通报的，每漏洞处罚2000元。因未整改被继续通报的，每次增加处罚500元。</w:t>
      </w:r>
    </w:p>
    <w:p w14:paraId="73A42E4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ii.中危漏洞</w:t>
      </w:r>
    </w:p>
    <w:p w14:paraId="56BB368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连续3次被通报的，每漏洞处罚1000元。因未整改被继续通报的，每次增加处罚500元。</w:t>
      </w:r>
    </w:p>
    <w:p w14:paraId="4C723D9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该项处罚费用优先从履约保证金中扣除，履约保证金不足时从合同款中扣除，合同款也不足时由乙方补交处罚费用。若乙方未能在合理期限内解决问题，甲方有权暂停或终止合同服务，并要求乙方承担因此产生的所有损失和费用。</w:t>
      </w:r>
    </w:p>
    <w:p w14:paraId="2B92697B">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验收</w:t>
      </w:r>
      <w:r>
        <w:rPr>
          <w:rFonts w:hint="eastAsia" w:ascii="宋体" w:hAnsi="宋体" w:eastAsia="宋体" w:cs="宋体"/>
          <w:color w:val="auto"/>
          <w:sz w:val="24"/>
          <w:szCs w:val="24"/>
          <w:highlight w:val="none"/>
          <w:lang w:eastAsia="zh-CN"/>
        </w:rPr>
        <w:t>要求</w:t>
      </w:r>
    </w:p>
    <w:p w14:paraId="63EA443F">
      <w:pPr>
        <w:keepNext/>
        <w:keepLines/>
        <w:pageBreakBefore w:val="0"/>
        <w:widowControl w:val="0"/>
        <w:numPr>
          <w:ilvl w:val="1"/>
          <w:numId w:val="3"/>
        </w:numPr>
        <w:tabs>
          <w:tab w:val="left" w:pos="0"/>
        </w:tabs>
        <w:kinsoku/>
        <w:wordWrap/>
        <w:overflowPunct/>
        <w:topLinePunct w:val="0"/>
        <w:bidi w:val="0"/>
        <w:spacing w:before="0" w:after="100" w:line="360" w:lineRule="auto"/>
        <w:ind w:left="0" w:leftChars="0" w:firstLine="420" w:firstLineChars="0"/>
        <w:jc w:val="both"/>
        <w:outlineLvl w:val="1"/>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初验及试运行</w:t>
      </w:r>
    </w:p>
    <w:p w14:paraId="05CA3124">
      <w:pPr>
        <w:pageBreakBefore w:val="0"/>
        <w:widowControl w:val="0"/>
        <w:kinsoku/>
        <w:wordWrap/>
        <w:overflowPunct/>
        <w:topLinePunct w:val="0"/>
        <w:bidi w:val="0"/>
        <w:adjustRightInd w:val="0"/>
        <w:spacing w:line="360" w:lineRule="auto"/>
        <w:ind w:firstLine="49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基本建设完成后，供应商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时间不得少于12个月。终验前需完成以下工作：</w:t>
      </w:r>
    </w:p>
    <w:p w14:paraId="5DDBDC29">
      <w:pPr>
        <w:pageBreakBefore w:val="0"/>
        <w:widowControl w:val="0"/>
        <w:numPr>
          <w:ilvl w:val="0"/>
          <w:numId w:val="4"/>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完成软件验收测试工作/配合开展软件验收测试工作；</w:t>
      </w:r>
    </w:p>
    <w:p w14:paraId="46C2D314">
      <w:pPr>
        <w:pageBreakBefore w:val="0"/>
        <w:widowControl w:val="0"/>
        <w:numPr>
          <w:ilvl w:val="0"/>
          <w:numId w:val="4"/>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完成信息系统安全等级保护第三级测评工作/配合开展信息系统安全等级保护第三级测评工作；</w:t>
      </w:r>
    </w:p>
    <w:p w14:paraId="0C447828">
      <w:pPr>
        <w:pageBreakBefore w:val="0"/>
        <w:widowControl w:val="0"/>
        <w:numPr>
          <w:ilvl w:val="0"/>
          <w:numId w:val="4"/>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完成商用密码应用安全性评估工作/配合开展商用密码应用安全性评估工作；</w:t>
      </w:r>
    </w:p>
    <w:p w14:paraId="2083B379">
      <w:pPr>
        <w:pageBreakBefore w:val="0"/>
        <w:widowControl w:val="0"/>
        <w:numPr>
          <w:ilvl w:val="0"/>
          <w:numId w:val="4"/>
        </w:numPr>
        <w:kinsoku/>
        <w:wordWrap/>
        <w:overflowPunct/>
        <w:topLinePunct w:val="0"/>
        <w:bidi w:val="0"/>
        <w:adjustRightInd w:val="0"/>
        <w:spacing w:line="360" w:lineRule="auto"/>
        <w:ind w:left="0" w:leftChars="0" w:firstLine="40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完成财务报告、审计报告。</w:t>
      </w:r>
    </w:p>
    <w:p w14:paraId="6739DE0E">
      <w:pPr>
        <w:keepNext/>
        <w:keepLines/>
        <w:pageBreakBefore w:val="0"/>
        <w:widowControl w:val="0"/>
        <w:numPr>
          <w:ilvl w:val="1"/>
          <w:numId w:val="3"/>
        </w:numPr>
        <w:tabs>
          <w:tab w:val="left" w:pos="0"/>
        </w:tabs>
        <w:kinsoku/>
        <w:wordWrap/>
        <w:overflowPunct/>
        <w:topLinePunct w:val="0"/>
        <w:bidi w:val="0"/>
        <w:spacing w:before="0" w:after="100" w:line="360" w:lineRule="auto"/>
        <w:ind w:left="0" w:leftChars="0" w:firstLine="420" w:firstLineChars="0"/>
        <w:jc w:val="both"/>
        <w:outlineLvl w:val="1"/>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项目终验</w:t>
      </w:r>
    </w:p>
    <w:p w14:paraId="072421DF">
      <w:pPr>
        <w:pageBreakBefore w:val="0"/>
        <w:widowControl w:val="0"/>
        <w:kinsoku/>
        <w:wordWrap/>
        <w:overflowPunct/>
        <w:topLinePunct w:val="0"/>
        <w:bidi w:val="0"/>
        <w:adjustRightInd w:val="0"/>
        <w:spacing w:line="360" w:lineRule="auto"/>
        <w:ind w:firstLine="490"/>
        <w:jc w:val="left"/>
        <w:rPr>
          <w:rFonts w:hint="eastAsia" w:ascii="宋体" w:hAnsi="宋体" w:eastAsia="宋体" w:cs="宋体"/>
          <w:color w:val="auto"/>
          <w:kern w:val="2"/>
          <w:sz w:val="24"/>
          <w:szCs w:val="24"/>
          <w:highlight w:val="none"/>
          <w:lang w:val="en-US" w:eastAsia="zh-Hans" w:bidi="ar-SA"/>
        </w:rPr>
      </w:pPr>
      <w:r>
        <w:rPr>
          <w:rFonts w:hint="eastAsia" w:ascii="宋体" w:hAnsi="宋体" w:eastAsia="宋体" w:cs="宋体"/>
          <w:color w:val="auto"/>
          <w:kern w:val="2"/>
          <w:sz w:val="24"/>
          <w:szCs w:val="24"/>
          <w:highlight w:val="none"/>
          <w:lang w:val="en-US" w:eastAsia="zh-CN" w:bidi="ar-SA"/>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59D96BB3">
      <w:pPr>
        <w:pStyle w:val="969"/>
        <w:spacing w:before="0" w:beforeLines="0" w:after="0" w:afterLines="0" w:line="360" w:lineRule="auto"/>
        <w:ind w:firstLine="480"/>
        <w:rPr>
          <w:rFonts w:ascii="宋体" w:hAnsi="宋体" w:eastAsia="宋体" w:cs="宋体"/>
          <w:color w:val="auto"/>
          <w:sz w:val="24"/>
          <w:szCs w:val="24"/>
          <w:highlight w:val="none"/>
        </w:rPr>
      </w:pPr>
    </w:p>
    <w:p w14:paraId="17F8F16D">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货物包装</w:t>
      </w:r>
    </w:p>
    <w:p w14:paraId="26D34C6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p w14:paraId="3619195C">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w:t>
      </w:r>
    </w:p>
    <w:p w14:paraId="4051D19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1.甲方无正当理由拒收验收项目的，甲方向乙方偿付拒收合同总价的百分之五违约金。</w:t>
      </w:r>
    </w:p>
    <w:p w14:paraId="6ED35E1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2.甲方无故逾期验收或逾期支付合同款项的，甲方应按逾期付款总额每日万分之五向乙方支付违约金。</w:t>
      </w:r>
    </w:p>
    <w:p w14:paraId="0D987E2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3.乙方逾期交付项目的，乙方应按逾期交付项目总额每日千分之六向甲方支付违约金。逾期超过约定日期10个工作日不能交付的，甲方可单方面解除本合同。</w:t>
      </w:r>
    </w:p>
    <w:p w14:paraId="12A19E39">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21B95A3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5.因乙方逾期交付或其他违约行为导致甲方解除合同的，乙方应向甲方支付合同总值5%的违约金，如造成甲方损失超过违约金的，超出部分由乙方继续承担赔偿责任。</w:t>
      </w:r>
    </w:p>
    <w:p w14:paraId="65493646">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6.就乙方因未能履行合同约定义务而应承担的违约金或应赔偿的损失，甲方有权从履约保证金中扣除。履约保证金不足以弥补甲方损失的，乙方按照实际损失承担赔偿责任。</w:t>
      </w:r>
    </w:p>
    <w:p w14:paraId="3920A10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7.守约方为实现合同权利支出的律师费、诉讼费、仲裁费、保全费等费用，由违约方承担。</w:t>
      </w:r>
    </w:p>
    <w:p w14:paraId="26310A7A">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8.安全责任</w:t>
      </w:r>
    </w:p>
    <w:p w14:paraId="0662A60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1)乙方应按照《中华人民共和国数据安全法》《中华人民共和国个人信息保护法》《中华人民共和国网络安全法》的要求，履行网络、数据安全保护和个人信息保护的义务。</w:t>
      </w:r>
    </w:p>
    <w:p w14:paraId="52BF851D">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2)项目涉及乙方工作人员均需签订《保密承诺书》，且乙方应对项目涉及工作人员进行背景审查。</w:t>
      </w:r>
    </w:p>
    <w:p w14:paraId="41DBBA4F">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3)乙方应当采取技术措施和其他必要措施，确保其网络和数据安全，防止信息泄露、毁损、丢失。在发生或者可能发生信息泄露、毁损、丢失的情况时，应当立即采取补救措施，并在第一时间告知甲方。</w:t>
      </w:r>
    </w:p>
    <w:p w14:paraId="44CCD8D5">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4)乙方应合理使用操作账号，严禁乙方存在多名工作人员共用操作账号的情形，同时操作账号应采用高强度的密码、并定期更新账号密码。</w:t>
      </w:r>
    </w:p>
    <w:p w14:paraId="1B2E928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5)未经甲方允许，乙方不得对项目资源私开端口，不得利用项目资源进行与该项目无关的工作，不得将政务网和互联网私自打通。</w:t>
      </w:r>
    </w:p>
    <w:p w14:paraId="32B0DCA0">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6)乙方应严格按照要求使用、处理、交换、共享数据资源。做好数据落地相应的数据保护工作，严格执行数据安全技术标准和安全管理措施，避免相关数据出现泄露、窃取、篡改的风险。</w:t>
      </w:r>
    </w:p>
    <w:p w14:paraId="4015D78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7)乙方应认真组织开展各项数据处理活动，查找项目数据安全隐患和漏洞，对薄弱环节和潜在威胁采取有力措施进行整改，避免和消除数据安全风险，履行数据安全保护义务。</w:t>
      </w:r>
    </w:p>
    <w:p w14:paraId="40534ED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乙方应加强网络和数据安全风险监测，制定数据安全应急预案，完善应急机制。发现数据安全缺陷、漏洞等风险时，立即采取补救措施；发生数据安全事件时，立即采取处置措施。确保第一时间检测发现，第一时间应急处置，第一时间向采购人报告。</w:t>
      </w:r>
    </w:p>
    <w:p w14:paraId="1567CCBB">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违反以上任一条款，乙方应按合同总额的5%/次承担违约责任，若甲方实际损失超过违约金数额，超出部分由乙方另行承担。若乙方累计3次违反的，甲方有权解除合同，要求乙方退还已收取的全部合同款并按合同总额的20%承担违约金。若甲方要求乙方继续履行合同，不免除乙方承担违约金的义务。</w:t>
      </w:r>
    </w:p>
    <w:p w14:paraId="1FD62E01">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如以上条款违反《中华人民共和国数据安全法》《中华人民共和国个人信息保护法》《中华人民共和国网络安全法》任一法律规定，构成违反治安管理行为的，依法给予治安管理处罚；构成犯罪的，依法追究刑事责任。</w:t>
      </w:r>
    </w:p>
    <w:p w14:paraId="7A02514E">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不可抗力事件处理</w:t>
      </w:r>
    </w:p>
    <w:p w14:paraId="450F3954">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14:paraId="64F0739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w:t>
      </w:r>
    </w:p>
    <w:p w14:paraId="369F9841">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463584C7">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诉讼</w:t>
      </w:r>
    </w:p>
    <w:p w14:paraId="2EC9B228">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双方在执行合同中所发生的一切争议，应通过协商解决。如协商不成，任何一方可向甲方所在地有管辖权的法院起诉。</w:t>
      </w:r>
    </w:p>
    <w:p w14:paraId="2753F70E">
      <w:pPr>
        <w:pStyle w:val="970"/>
        <w:spacing w:before="0" w:beforeLines="0" w:after="0" w:afterLines="0"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合同生效及其它</w:t>
      </w:r>
    </w:p>
    <w:p w14:paraId="4A141F27">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1.合同经甲、乙双方法定代表人或授权代表签名并加盖单位公章后成立，乙方交付履约保证金并生效。</w:t>
      </w:r>
    </w:p>
    <w:p w14:paraId="74D6E49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2.合同执行中涉及采购资金和采购内容修改或补充的，须经采购中心、财政部门审批，并签书面补充协议，经报政府采购监督管理部门备案后，方可作为主合同不可分割的一部分。</w:t>
      </w:r>
    </w:p>
    <w:p w14:paraId="0790B94E">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3.本合同未尽事宜，遵照《中华人民共和国民法典》有关条文执行。</w:t>
      </w:r>
    </w:p>
    <w:p w14:paraId="56DAAC22">
      <w:pPr>
        <w:pStyle w:val="969"/>
        <w:spacing w:before="0" w:beforeLines="0" w:after="0" w:afterLines="0" w:line="360" w:lineRule="auto"/>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4.本合同一式四份，具有同等法律效力，甲、乙双方各执二份。</w:t>
      </w:r>
    </w:p>
    <w:p w14:paraId="5B4A1A99">
      <w:pPr>
        <w:pStyle w:val="969"/>
        <w:ind w:firstLine="480"/>
        <w:rPr>
          <w:rFonts w:ascii="宋体" w:hAnsi="宋体" w:eastAsia="宋体" w:cs="宋体"/>
          <w:color w:val="auto"/>
          <w:sz w:val="24"/>
          <w:szCs w:val="24"/>
          <w:highlight w:val="none"/>
        </w:rPr>
      </w:pPr>
    </w:p>
    <w:tbl>
      <w:tblPr>
        <w:tblStyle w:val="64"/>
        <w:tblW w:w="830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151"/>
        <w:gridCol w:w="4151"/>
      </w:tblGrid>
      <w:tr w14:paraId="1AEE7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151" w:type="dxa"/>
          </w:tcPr>
          <w:p w14:paraId="4BC3CD3F">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甲方（盖章）：浙江省司法厅</w:t>
            </w:r>
          </w:p>
          <w:p w14:paraId="63B6A7E0">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法定（授权）代表人：</w:t>
            </w:r>
          </w:p>
          <w:p w14:paraId="6C6F184E">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地址：省府路11号</w:t>
            </w:r>
          </w:p>
          <w:p w14:paraId="7188C0E9">
            <w:pPr>
              <w:spacing w:line="360" w:lineRule="auto"/>
              <w:jc w:val="left"/>
              <w:rPr>
                <w:rFonts w:ascii="宋体" w:hAnsi="宋体" w:cs="宋体"/>
                <w:color w:val="auto"/>
                <w:sz w:val="24"/>
                <w:highlight w:val="none"/>
              </w:rPr>
            </w:pPr>
            <w:r>
              <w:rPr>
                <w:rFonts w:hint="eastAsia" w:ascii="宋体" w:hAnsi="宋体" w:cs="宋体"/>
                <w:color w:val="auto"/>
                <w:sz w:val="24"/>
                <w:highlight w:val="none"/>
              </w:rPr>
              <w:t>开户行：</w:t>
            </w:r>
          </w:p>
          <w:p w14:paraId="401A384E">
            <w:pPr>
              <w:spacing w:line="360" w:lineRule="auto"/>
              <w:jc w:val="left"/>
              <w:rPr>
                <w:rFonts w:ascii="宋体" w:hAnsi="宋体" w:cs="宋体"/>
                <w:color w:val="auto"/>
                <w:sz w:val="24"/>
                <w:highlight w:val="none"/>
              </w:rPr>
            </w:pPr>
            <w:r>
              <w:rPr>
                <w:rFonts w:hint="eastAsia" w:ascii="宋体" w:hAnsi="宋体" w:cs="宋体"/>
                <w:color w:val="auto"/>
                <w:sz w:val="24"/>
                <w:highlight w:val="none"/>
              </w:rPr>
              <w:t>开户账号：</w:t>
            </w:r>
          </w:p>
          <w:p w14:paraId="347B81BD">
            <w:pPr>
              <w:spacing w:before="120" w:beforeLines="50"/>
              <w:jc w:val="left"/>
              <w:rPr>
                <w:rFonts w:ascii="宋体" w:hAnsi="宋体" w:cs="宋体"/>
                <w:color w:val="auto"/>
                <w:sz w:val="24"/>
                <w:highlight w:val="none"/>
              </w:rPr>
            </w:pPr>
            <w:r>
              <w:rPr>
                <w:rFonts w:hint="eastAsia" w:ascii="宋体" w:hAnsi="宋体" w:cs="宋体"/>
                <w:color w:val="auto"/>
                <w:sz w:val="24"/>
                <w:highlight w:val="none"/>
              </w:rPr>
              <w:t>签字日期：</w:t>
            </w:r>
          </w:p>
        </w:tc>
        <w:tc>
          <w:tcPr>
            <w:tcW w:w="4151" w:type="dxa"/>
          </w:tcPr>
          <w:p w14:paraId="38436757">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乙方（盖章）：</w:t>
            </w:r>
          </w:p>
          <w:p w14:paraId="7BF37346">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法定（授权）代表人：</w:t>
            </w:r>
          </w:p>
          <w:p w14:paraId="600F2EC8">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地址：</w:t>
            </w:r>
          </w:p>
          <w:p w14:paraId="13E4FEE9">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开户行：</w:t>
            </w:r>
          </w:p>
          <w:p w14:paraId="07C24E5C">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开户账号：</w:t>
            </w:r>
          </w:p>
          <w:p w14:paraId="4C105D9F">
            <w:pPr>
              <w:pStyle w:val="32"/>
              <w:snapToGrid w:val="0"/>
              <w:spacing w:line="360" w:lineRule="auto"/>
              <w:rPr>
                <w:rFonts w:hAnsi="宋体" w:cs="宋体"/>
                <w:color w:val="auto"/>
                <w:sz w:val="24"/>
                <w:szCs w:val="24"/>
                <w:highlight w:val="none"/>
              </w:rPr>
            </w:pPr>
            <w:r>
              <w:rPr>
                <w:rFonts w:hint="eastAsia" w:hAnsi="宋体" w:cs="宋体"/>
                <w:color w:val="auto"/>
                <w:sz w:val="24"/>
                <w:szCs w:val="24"/>
                <w:highlight w:val="none"/>
              </w:rPr>
              <w:t>签字日期：</w:t>
            </w:r>
          </w:p>
        </w:tc>
      </w:tr>
    </w:tbl>
    <w:p w14:paraId="47ABB7F4">
      <w:pPr>
        <w:rPr>
          <w:rFonts w:ascii="宋体" w:hAnsi="宋体" w:cs="宋体"/>
          <w:color w:val="auto"/>
          <w:sz w:val="24"/>
          <w:highlight w:val="none"/>
        </w:rPr>
      </w:pPr>
    </w:p>
    <w:p w14:paraId="2E158B3A">
      <w:pPr>
        <w:jc w:val="center"/>
        <w:rPr>
          <w:rFonts w:ascii="宋体" w:hAnsi="宋体" w:cs="宋体"/>
          <w:b/>
          <w:bCs/>
          <w:color w:val="auto"/>
          <w:sz w:val="28"/>
          <w:highlight w:val="none"/>
        </w:rPr>
      </w:pPr>
    </w:p>
    <w:p w14:paraId="0874E163">
      <w:pPr>
        <w:widowControl/>
        <w:adjustRightInd/>
        <w:jc w:val="left"/>
        <w:rPr>
          <w:rFonts w:ascii="宋体" w:hAnsi="宋体" w:cs="宋体"/>
          <w:b/>
          <w:color w:val="auto"/>
          <w:sz w:val="24"/>
          <w:highlight w:val="none"/>
        </w:rPr>
      </w:pPr>
    </w:p>
    <w:p w14:paraId="5B6DBCD9">
      <w:pPr>
        <w:spacing w:line="360" w:lineRule="auto"/>
        <w:ind w:left="-420" w:leftChars="-200" w:right="-420" w:rightChars="-200" w:firstLine="480" w:firstLineChars="200"/>
        <w:jc w:val="center"/>
        <w:outlineLvl w:val="0"/>
        <w:rPr>
          <w:rFonts w:ascii="宋体" w:hAnsi="宋体" w:cs="宋体"/>
          <w:color w:val="auto"/>
          <w:sz w:val="24"/>
          <w:highlight w:val="none"/>
        </w:rPr>
      </w:pPr>
    </w:p>
    <w:p w14:paraId="1F65CD54">
      <w:pPr>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6D58B70A">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7"/>
      <w:r>
        <w:rPr>
          <w:rFonts w:hint="eastAsia" w:ascii="宋体" w:hAnsi="宋体" w:cs="宋体"/>
          <w:b/>
          <w:color w:val="auto"/>
          <w:sz w:val="36"/>
          <w:szCs w:val="20"/>
          <w:highlight w:val="none"/>
        </w:rPr>
        <w:t xml:space="preserve"> </w:t>
      </w:r>
      <w:bookmarkEnd w:id="398"/>
      <w:r>
        <w:rPr>
          <w:rFonts w:hint="eastAsia" w:ascii="宋体" w:hAnsi="宋体" w:cs="宋体"/>
          <w:b/>
          <w:color w:val="auto"/>
          <w:sz w:val="36"/>
          <w:szCs w:val="20"/>
          <w:highlight w:val="none"/>
        </w:rPr>
        <w:t>应提交的有关格式范例</w:t>
      </w:r>
    </w:p>
    <w:p w14:paraId="32DA9135">
      <w:pPr>
        <w:spacing w:line="360" w:lineRule="auto"/>
        <w:jc w:val="center"/>
        <w:outlineLvl w:val="0"/>
        <w:rPr>
          <w:rFonts w:ascii="宋体" w:hAnsi="宋体" w:cs="宋体"/>
          <w:b/>
          <w:color w:val="auto"/>
          <w:kern w:val="0"/>
          <w:sz w:val="36"/>
          <w:szCs w:val="36"/>
          <w:highlight w:val="none"/>
        </w:rPr>
      </w:pPr>
    </w:p>
    <w:p w14:paraId="3740AB2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2B50E1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7B88313">
      <w:pPr>
        <w:spacing w:line="360" w:lineRule="auto"/>
        <w:jc w:val="center"/>
        <w:outlineLvl w:val="0"/>
        <w:rPr>
          <w:rFonts w:ascii="宋体" w:hAnsi="宋体" w:cs="宋体"/>
          <w:b/>
          <w:color w:val="auto"/>
          <w:kern w:val="0"/>
          <w:sz w:val="36"/>
          <w:szCs w:val="36"/>
          <w:highlight w:val="none"/>
        </w:rPr>
      </w:pPr>
    </w:p>
    <w:p w14:paraId="6F397F4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054F5E3">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2EA815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（3）落实政府采购政策需满足的资格要求………………………………（页码）</w:t>
      </w:r>
    </w:p>
    <w:p w14:paraId="03A334A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（4）本项目的特定资格要求………………………………………………（页码）</w:t>
      </w:r>
    </w:p>
    <w:p w14:paraId="29FBBD5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（5）分包意向协议</w:t>
      </w:r>
      <w:r>
        <w:rPr>
          <w:rFonts w:hint="eastAsia" w:ascii="宋体" w:hAnsi="宋体" w:cs="宋体"/>
          <w:color w:val="auto"/>
          <w:highlight w:val="none"/>
        </w:rPr>
        <w:t>…………………………………………………………………（页码）</w:t>
      </w:r>
    </w:p>
    <w:p w14:paraId="7047AC51">
      <w:pPr>
        <w:snapToGrid w:val="0"/>
        <w:spacing w:line="360" w:lineRule="auto"/>
        <w:ind w:firstLine="480" w:firstLineChars="200"/>
        <w:rPr>
          <w:rFonts w:ascii="宋体" w:hAnsi="宋体" w:cs="宋体"/>
          <w:color w:val="auto"/>
          <w:sz w:val="24"/>
          <w:highlight w:val="none"/>
        </w:rPr>
      </w:pPr>
    </w:p>
    <w:p w14:paraId="20984DF7">
      <w:pPr>
        <w:spacing w:line="360" w:lineRule="auto"/>
        <w:ind w:firstLine="480" w:firstLineChars="200"/>
        <w:rPr>
          <w:rFonts w:ascii="宋体" w:hAnsi="宋体" w:cs="宋体"/>
          <w:color w:val="auto"/>
          <w:sz w:val="24"/>
          <w:highlight w:val="none"/>
        </w:rPr>
      </w:pPr>
    </w:p>
    <w:p w14:paraId="1549B40E">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74FBE145">
      <w:pPr>
        <w:snapToGrid w:val="0"/>
        <w:spacing w:line="360" w:lineRule="auto"/>
        <w:rPr>
          <w:rFonts w:ascii="宋体" w:hAnsi="宋体" w:cs="宋体"/>
          <w:color w:val="auto"/>
          <w:sz w:val="24"/>
          <w:highlight w:val="none"/>
          <w:u w:val="single"/>
        </w:rPr>
      </w:pPr>
    </w:p>
    <w:p w14:paraId="5F74BF55">
      <w:pPr>
        <w:snapToGrid w:val="0"/>
        <w:spacing w:line="360" w:lineRule="auto"/>
        <w:rPr>
          <w:rFonts w:ascii="宋体" w:hAnsi="宋体" w:cs="宋体"/>
          <w:color w:val="auto"/>
          <w:sz w:val="24"/>
          <w:highlight w:val="none"/>
          <w:u w:val="single"/>
        </w:rPr>
      </w:pPr>
      <w:r>
        <w:rPr>
          <w:rFonts w:hint="eastAsia" w:ascii="宋体" w:hAnsi="宋体" w:cs="宋体"/>
          <w:color w:val="auto"/>
          <w:sz w:val="24"/>
          <w:highlight w:val="none"/>
          <w:u w:val="single"/>
        </w:rPr>
        <w:t>浙江省司法厅：</w:t>
      </w:r>
    </w:p>
    <w:p w14:paraId="288044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ZJ-2580230-03</w:t>
      </w:r>
      <w:r>
        <w:rPr>
          <w:rFonts w:hint="eastAsia" w:ascii="宋体" w:hAnsi="宋体" w:cs="宋体"/>
          <w:color w:val="auto"/>
          <w:sz w:val="24"/>
          <w:highlight w:val="none"/>
          <w:u w:val="single"/>
        </w:rPr>
        <w:t>】</w:t>
      </w:r>
      <w:r>
        <w:rPr>
          <w:rFonts w:hint="eastAsia" w:ascii="宋体" w:hAnsi="宋体" w:cs="宋体"/>
          <w:color w:val="auto"/>
          <w:sz w:val="24"/>
          <w:highlight w:val="none"/>
        </w:rPr>
        <w:t>政府采购活动，郑重承诺：</w:t>
      </w:r>
    </w:p>
    <w:p w14:paraId="34897DEC">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0E1A2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79B207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5FF9ED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CCBFC9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57D0CD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CC8A1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55FA5B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54F0AE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FDFBF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30A959F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0473128A">
      <w:pPr>
        <w:snapToGrid w:val="0"/>
        <w:spacing w:line="360" w:lineRule="auto"/>
        <w:ind w:firstLine="5520" w:firstLineChars="2300"/>
        <w:rPr>
          <w:rFonts w:ascii="宋体" w:hAnsi="宋体" w:cs="宋体"/>
          <w:color w:val="auto"/>
          <w:kern w:val="0"/>
          <w:sz w:val="24"/>
          <w:highlight w:val="none"/>
          <w:lang w:val="zh-CN"/>
        </w:rPr>
      </w:pPr>
    </w:p>
    <w:p w14:paraId="71404095">
      <w:pPr>
        <w:snapToGrid w:val="0"/>
        <w:spacing w:line="360" w:lineRule="auto"/>
        <w:ind w:firstLine="5520" w:firstLineChars="2300"/>
        <w:rPr>
          <w:rFonts w:ascii="宋体" w:hAnsi="宋体" w:cs="宋体"/>
          <w:color w:val="auto"/>
          <w:kern w:val="0"/>
          <w:sz w:val="24"/>
          <w:highlight w:val="none"/>
          <w:lang w:val="zh-CN"/>
        </w:rPr>
      </w:pPr>
    </w:p>
    <w:p w14:paraId="47380533">
      <w:pPr>
        <w:snapToGrid w:val="0"/>
        <w:spacing w:line="360" w:lineRule="auto"/>
        <w:ind w:firstLine="5520" w:firstLineChars="2300"/>
        <w:rPr>
          <w:rFonts w:ascii="宋体" w:hAnsi="宋体" w:cs="宋体"/>
          <w:color w:val="auto"/>
          <w:kern w:val="0"/>
          <w:sz w:val="24"/>
          <w:highlight w:val="none"/>
          <w:lang w:val="zh-CN"/>
        </w:rPr>
      </w:pPr>
    </w:p>
    <w:p w14:paraId="33D662B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3AAF5DB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4FD9F89">
      <w:pPr>
        <w:snapToGrid w:val="0"/>
        <w:spacing w:line="360" w:lineRule="auto"/>
        <w:ind w:right="480"/>
        <w:jc w:val="center"/>
        <w:rPr>
          <w:rFonts w:ascii="宋体" w:hAnsi="宋体" w:cs="宋体"/>
          <w:b/>
          <w:color w:val="auto"/>
          <w:kern w:val="0"/>
          <w:sz w:val="32"/>
          <w:szCs w:val="32"/>
          <w:highlight w:val="none"/>
        </w:rPr>
      </w:pPr>
    </w:p>
    <w:p w14:paraId="78CD21FA">
      <w:pPr>
        <w:snapToGrid w:val="0"/>
        <w:spacing w:line="360" w:lineRule="auto"/>
        <w:ind w:right="480"/>
        <w:jc w:val="center"/>
        <w:rPr>
          <w:rFonts w:ascii="宋体" w:hAnsi="宋体" w:cs="宋体"/>
          <w:b/>
          <w:color w:val="auto"/>
          <w:kern w:val="0"/>
          <w:sz w:val="32"/>
          <w:szCs w:val="32"/>
          <w:highlight w:val="none"/>
        </w:rPr>
      </w:pPr>
    </w:p>
    <w:p w14:paraId="5F48640A">
      <w:pPr>
        <w:snapToGrid w:val="0"/>
        <w:spacing w:line="360" w:lineRule="auto"/>
        <w:ind w:right="480"/>
        <w:jc w:val="center"/>
        <w:rPr>
          <w:rFonts w:ascii="宋体" w:hAnsi="宋体" w:cs="宋体"/>
          <w:b/>
          <w:color w:val="auto"/>
          <w:kern w:val="0"/>
          <w:sz w:val="32"/>
          <w:szCs w:val="32"/>
          <w:highlight w:val="none"/>
        </w:rPr>
      </w:pPr>
    </w:p>
    <w:p w14:paraId="7A1AB10E">
      <w:pPr>
        <w:rPr>
          <w:rFonts w:ascii="宋体" w:hAnsi="宋体" w:cs="宋体"/>
          <w:color w:val="auto"/>
          <w:highlight w:val="none"/>
        </w:rPr>
      </w:pPr>
    </w:p>
    <w:p w14:paraId="07095698">
      <w:pPr>
        <w:snapToGrid w:val="0"/>
        <w:spacing w:line="360" w:lineRule="auto"/>
        <w:ind w:right="480"/>
        <w:jc w:val="center"/>
        <w:rPr>
          <w:rFonts w:ascii="宋体" w:hAnsi="宋体" w:cs="宋体"/>
          <w:b/>
          <w:color w:val="auto"/>
          <w:kern w:val="0"/>
          <w:sz w:val="32"/>
          <w:szCs w:val="32"/>
          <w:highlight w:val="none"/>
        </w:rPr>
      </w:pPr>
    </w:p>
    <w:p w14:paraId="6DC55FAE">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1F433AA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497E9FB">
      <w:pPr>
        <w:snapToGrid w:val="0"/>
        <w:spacing w:line="360" w:lineRule="auto"/>
        <w:ind w:right="480"/>
        <w:jc w:val="center"/>
        <w:rPr>
          <w:rFonts w:ascii="宋体" w:hAnsi="宋体" w:cs="宋体"/>
          <w:b/>
          <w:color w:val="auto"/>
          <w:kern w:val="0"/>
          <w:sz w:val="32"/>
          <w:szCs w:val="32"/>
          <w:highlight w:val="none"/>
        </w:rPr>
      </w:pPr>
    </w:p>
    <w:p w14:paraId="5E58BDF6">
      <w:pPr>
        <w:snapToGrid w:val="0"/>
        <w:spacing w:line="360" w:lineRule="auto"/>
        <w:ind w:right="480"/>
        <w:jc w:val="center"/>
        <w:rPr>
          <w:rFonts w:ascii="宋体" w:hAnsi="宋体" w:cs="宋体"/>
          <w:b/>
          <w:color w:val="auto"/>
          <w:kern w:val="0"/>
          <w:sz w:val="32"/>
          <w:szCs w:val="32"/>
          <w:highlight w:val="none"/>
        </w:rPr>
      </w:pPr>
    </w:p>
    <w:p w14:paraId="15904117">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14B893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783848F0">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8C04210">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 xml:space="preserve">.专门面向中小企业，服务全部由符合政策要求的中小企业（或小微企业）承接的，提供相应的中小企业声明函（附件7）。 </w:t>
      </w:r>
    </w:p>
    <w:p w14:paraId="34AE3AB0">
      <w:pPr>
        <w:widowControl/>
        <w:spacing w:line="360" w:lineRule="auto"/>
        <w:ind w:firstLine="480"/>
        <w:jc w:val="left"/>
        <w:rPr>
          <w:rFonts w:ascii="宋体" w:hAnsi="宋体" w:cs="宋体"/>
          <w:color w:val="auto"/>
          <w:sz w:val="24"/>
          <w:highlight w:val="none"/>
        </w:rPr>
      </w:pPr>
    </w:p>
    <w:p w14:paraId="19772B3C">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7028C28C">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3D2576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7790A2C1">
      <w:pPr>
        <w:widowControl/>
        <w:spacing w:line="360" w:lineRule="auto"/>
        <w:ind w:left="150"/>
        <w:jc w:val="center"/>
        <w:rPr>
          <w:rFonts w:ascii="宋体" w:hAnsi="宋体" w:cs="宋体"/>
          <w:b/>
          <w:color w:val="auto"/>
          <w:kern w:val="0"/>
          <w:sz w:val="32"/>
          <w:szCs w:val="32"/>
          <w:highlight w:val="none"/>
        </w:rPr>
      </w:pPr>
    </w:p>
    <w:p w14:paraId="4A5D3849">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01C43BF">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419D2A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7D0A359">
      <w:pPr>
        <w:rPr>
          <w:rFonts w:ascii="宋体" w:hAnsi="宋体" w:cs="宋体"/>
          <w:color w:val="auto"/>
          <w:highlight w:val="none"/>
        </w:rPr>
      </w:pPr>
    </w:p>
    <w:p w14:paraId="42524556">
      <w:pPr>
        <w:snapToGrid w:val="0"/>
        <w:spacing w:line="360" w:lineRule="auto"/>
        <w:ind w:right="480"/>
        <w:jc w:val="center"/>
        <w:rPr>
          <w:rFonts w:ascii="宋体" w:hAnsi="宋体" w:cs="宋体"/>
          <w:b/>
          <w:color w:val="auto"/>
          <w:kern w:val="0"/>
          <w:sz w:val="32"/>
          <w:szCs w:val="32"/>
          <w:highlight w:val="none"/>
        </w:rPr>
      </w:pPr>
    </w:p>
    <w:p w14:paraId="22EDECCB">
      <w:pPr>
        <w:widowControl/>
        <w:adjustRightInd/>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027D413F">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CFCDC5A">
      <w:pPr>
        <w:spacing w:line="360" w:lineRule="auto"/>
        <w:jc w:val="center"/>
        <w:outlineLvl w:val="0"/>
        <w:rPr>
          <w:rFonts w:ascii="宋体" w:hAnsi="宋体" w:cs="宋体"/>
          <w:b/>
          <w:color w:val="auto"/>
          <w:kern w:val="0"/>
          <w:sz w:val="24"/>
          <w:highlight w:val="none"/>
        </w:rPr>
      </w:pPr>
    </w:p>
    <w:p w14:paraId="285C8175">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65431EDD">
      <w:pPr>
        <w:snapToGrid w:val="0"/>
        <w:spacing w:line="360" w:lineRule="auto"/>
        <w:ind w:left="479" w:leftChars="228"/>
        <w:rPr>
          <w:rFonts w:ascii="宋体" w:hAnsi="宋体" w:cs="宋体"/>
          <w:color w:val="auto"/>
          <w:sz w:val="24"/>
          <w:szCs w:val="24"/>
          <w:highlight w:val="none"/>
        </w:rPr>
      </w:pPr>
      <w:r>
        <w:rPr>
          <w:rFonts w:hint="eastAsia" w:ascii="宋体" w:hAnsi="宋体" w:cs="宋体"/>
          <w:color w:val="auto"/>
          <w:sz w:val="24"/>
          <w:szCs w:val="24"/>
          <w:highlight w:val="none"/>
        </w:rPr>
        <w:t>（1）投标函………………………………………………………………………（页码）（2）授权委托书或法定代表人（单位负责人、自然人本人）身份证明……（页码）</w:t>
      </w:r>
    </w:p>
    <w:p w14:paraId="0CF29F52">
      <w:pPr>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（3）分包意向协议（如果有）…………………………………………………（页码）</w:t>
      </w:r>
    </w:p>
    <w:p w14:paraId="583A35ED">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符合性审查资料……………………………………………………………（页码）</w:t>
      </w:r>
    </w:p>
    <w:p w14:paraId="77CA84BD">
      <w:pPr>
        <w:snapToGrid w:val="0"/>
        <w:spacing w:line="360" w:lineRule="auto"/>
        <w:ind w:left="479" w:leftChars="228"/>
        <w:rPr>
          <w:rFonts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）评标标准相应的商务技术资料……………………………………………（页码）（</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）投标标的清单………………………………………………………………（页码）（</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）商务技术偏离表……………………………………………………………（页码）</w:t>
      </w:r>
    </w:p>
    <w:p w14:paraId="4881CF20">
      <w:pPr>
        <w:snapToGrid w:val="0"/>
        <w:spacing w:line="360" w:lineRule="auto"/>
        <w:ind w:left="479" w:leftChars="228"/>
        <w:rPr>
          <w:rFonts w:ascii="宋体" w:hAnsi="宋体" w:cs="宋体"/>
          <w:color w:val="auto"/>
          <w:sz w:val="24"/>
          <w:szCs w:val="24"/>
          <w:highlight w:val="none"/>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lang w:val="zh-CN"/>
        </w:rPr>
        <w:t>）政府采购供应商廉洁自律承诺书</w:t>
      </w:r>
      <w:r>
        <w:rPr>
          <w:rFonts w:hint="eastAsia" w:ascii="宋体" w:hAnsi="宋体" w:cs="宋体"/>
          <w:color w:val="auto"/>
          <w:sz w:val="24"/>
          <w:szCs w:val="24"/>
          <w:highlight w:val="none"/>
        </w:rPr>
        <w:t>…………………………………………（页码）</w:t>
      </w:r>
    </w:p>
    <w:p w14:paraId="4F925498">
      <w:pPr>
        <w:snapToGrid w:val="0"/>
        <w:spacing w:line="360" w:lineRule="auto"/>
        <w:jc w:val="center"/>
        <w:rPr>
          <w:rFonts w:ascii="宋体" w:hAnsi="宋体" w:cs="宋体"/>
          <w:b/>
          <w:color w:val="auto"/>
          <w:kern w:val="0"/>
          <w:sz w:val="32"/>
          <w:szCs w:val="32"/>
          <w:highlight w:val="none"/>
          <w:lang w:val="zh-CN"/>
        </w:rPr>
      </w:pPr>
    </w:p>
    <w:p w14:paraId="71D98184">
      <w:pPr>
        <w:snapToGrid w:val="0"/>
        <w:spacing w:line="360" w:lineRule="auto"/>
        <w:jc w:val="center"/>
        <w:rPr>
          <w:rFonts w:ascii="宋体" w:hAnsi="宋体" w:cs="宋体"/>
          <w:b/>
          <w:color w:val="auto"/>
          <w:kern w:val="0"/>
          <w:sz w:val="32"/>
          <w:szCs w:val="32"/>
          <w:highlight w:val="none"/>
          <w:lang w:val="zh-CN"/>
        </w:rPr>
      </w:pPr>
    </w:p>
    <w:p w14:paraId="6071F332">
      <w:pPr>
        <w:snapToGrid w:val="0"/>
        <w:spacing w:line="360" w:lineRule="auto"/>
        <w:jc w:val="center"/>
        <w:rPr>
          <w:rFonts w:ascii="宋体" w:hAnsi="宋体" w:cs="宋体"/>
          <w:b/>
          <w:color w:val="auto"/>
          <w:kern w:val="0"/>
          <w:sz w:val="32"/>
          <w:szCs w:val="32"/>
          <w:highlight w:val="none"/>
          <w:lang w:val="zh-CN"/>
        </w:rPr>
      </w:pPr>
    </w:p>
    <w:p w14:paraId="20002CBC">
      <w:pPr>
        <w:snapToGrid w:val="0"/>
        <w:spacing w:line="360" w:lineRule="auto"/>
        <w:jc w:val="center"/>
        <w:rPr>
          <w:rFonts w:ascii="宋体" w:hAnsi="宋体" w:cs="宋体"/>
          <w:b/>
          <w:color w:val="auto"/>
          <w:kern w:val="0"/>
          <w:sz w:val="32"/>
          <w:szCs w:val="32"/>
          <w:highlight w:val="none"/>
          <w:lang w:val="zh-CN"/>
        </w:rPr>
      </w:pPr>
    </w:p>
    <w:p w14:paraId="6EF6CAC9">
      <w:pPr>
        <w:snapToGrid w:val="0"/>
        <w:spacing w:line="360" w:lineRule="auto"/>
        <w:jc w:val="center"/>
        <w:rPr>
          <w:rFonts w:ascii="宋体" w:hAnsi="宋体" w:cs="宋体"/>
          <w:b/>
          <w:color w:val="auto"/>
          <w:kern w:val="0"/>
          <w:sz w:val="32"/>
          <w:szCs w:val="32"/>
          <w:highlight w:val="none"/>
          <w:lang w:val="zh-CN"/>
        </w:rPr>
      </w:pPr>
    </w:p>
    <w:p w14:paraId="3AE12B98">
      <w:pPr>
        <w:snapToGrid w:val="0"/>
        <w:spacing w:line="360" w:lineRule="auto"/>
        <w:jc w:val="center"/>
        <w:rPr>
          <w:rFonts w:ascii="宋体" w:hAnsi="宋体" w:cs="宋体"/>
          <w:b/>
          <w:color w:val="auto"/>
          <w:kern w:val="0"/>
          <w:sz w:val="32"/>
          <w:szCs w:val="32"/>
          <w:highlight w:val="none"/>
          <w:lang w:val="zh-CN"/>
        </w:rPr>
      </w:pPr>
    </w:p>
    <w:p w14:paraId="0842D243">
      <w:pPr>
        <w:snapToGrid w:val="0"/>
        <w:spacing w:line="360" w:lineRule="auto"/>
        <w:jc w:val="center"/>
        <w:rPr>
          <w:rFonts w:ascii="宋体" w:hAnsi="宋体" w:cs="宋体"/>
          <w:b/>
          <w:color w:val="auto"/>
          <w:kern w:val="0"/>
          <w:sz w:val="32"/>
          <w:szCs w:val="32"/>
          <w:highlight w:val="none"/>
          <w:lang w:val="zh-CN"/>
        </w:rPr>
      </w:pPr>
    </w:p>
    <w:p w14:paraId="607D8FD6">
      <w:pPr>
        <w:snapToGrid w:val="0"/>
        <w:spacing w:line="360" w:lineRule="auto"/>
        <w:jc w:val="center"/>
        <w:rPr>
          <w:rFonts w:ascii="宋体" w:hAnsi="宋体" w:cs="宋体"/>
          <w:b/>
          <w:color w:val="auto"/>
          <w:kern w:val="0"/>
          <w:sz w:val="32"/>
          <w:szCs w:val="32"/>
          <w:highlight w:val="none"/>
          <w:lang w:val="zh-CN"/>
        </w:rPr>
      </w:pPr>
    </w:p>
    <w:p w14:paraId="76FAD9F3">
      <w:pPr>
        <w:snapToGrid w:val="0"/>
        <w:spacing w:line="360" w:lineRule="auto"/>
        <w:jc w:val="center"/>
        <w:rPr>
          <w:rFonts w:ascii="宋体" w:hAnsi="宋体" w:cs="宋体"/>
          <w:b/>
          <w:color w:val="auto"/>
          <w:kern w:val="0"/>
          <w:sz w:val="32"/>
          <w:szCs w:val="32"/>
          <w:highlight w:val="none"/>
          <w:lang w:val="zh-CN"/>
        </w:rPr>
      </w:pPr>
    </w:p>
    <w:p w14:paraId="6F27B92E">
      <w:pPr>
        <w:snapToGrid w:val="0"/>
        <w:spacing w:line="360" w:lineRule="auto"/>
        <w:jc w:val="center"/>
        <w:rPr>
          <w:rFonts w:ascii="宋体" w:hAnsi="宋体" w:cs="宋体"/>
          <w:b/>
          <w:color w:val="auto"/>
          <w:kern w:val="0"/>
          <w:sz w:val="32"/>
          <w:szCs w:val="32"/>
          <w:highlight w:val="none"/>
          <w:lang w:val="zh-CN"/>
        </w:rPr>
      </w:pPr>
    </w:p>
    <w:p w14:paraId="457D26AA">
      <w:pPr>
        <w:snapToGrid w:val="0"/>
        <w:spacing w:line="360" w:lineRule="auto"/>
        <w:jc w:val="center"/>
        <w:rPr>
          <w:rFonts w:ascii="宋体" w:hAnsi="宋体" w:cs="宋体"/>
          <w:b/>
          <w:color w:val="auto"/>
          <w:kern w:val="0"/>
          <w:sz w:val="32"/>
          <w:szCs w:val="32"/>
          <w:highlight w:val="none"/>
          <w:lang w:val="zh-CN"/>
        </w:rPr>
      </w:pPr>
    </w:p>
    <w:p w14:paraId="2EE85E34">
      <w:pPr>
        <w:snapToGrid w:val="0"/>
        <w:spacing w:line="360" w:lineRule="auto"/>
        <w:jc w:val="center"/>
        <w:rPr>
          <w:rFonts w:ascii="宋体" w:hAnsi="宋体" w:cs="宋体"/>
          <w:b/>
          <w:color w:val="auto"/>
          <w:kern w:val="0"/>
          <w:sz w:val="32"/>
          <w:szCs w:val="32"/>
          <w:highlight w:val="none"/>
          <w:lang w:val="zh-CN"/>
        </w:rPr>
      </w:pPr>
    </w:p>
    <w:p w14:paraId="31EEA06E">
      <w:pPr>
        <w:rPr>
          <w:rFonts w:ascii="宋体" w:hAnsi="宋体" w:cs="宋体"/>
          <w:b/>
          <w:color w:val="auto"/>
          <w:kern w:val="0"/>
          <w:sz w:val="32"/>
          <w:szCs w:val="32"/>
          <w:highlight w:val="none"/>
          <w:lang w:val="zh-CN"/>
        </w:rPr>
      </w:pPr>
    </w:p>
    <w:p w14:paraId="666BF48C">
      <w:pPr>
        <w:widowControl/>
        <w:adjustRightInd/>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F975FC3">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45CDF77">
      <w:pPr>
        <w:snapToGrid w:val="0"/>
        <w:spacing w:line="360" w:lineRule="auto"/>
        <w:rPr>
          <w:rFonts w:ascii="宋体" w:hAnsi="宋体" w:cs="宋体"/>
          <w:b/>
          <w:bCs/>
          <w:color w:val="auto"/>
          <w:sz w:val="24"/>
          <w:highlight w:val="none"/>
          <w:u w:val="single"/>
        </w:rPr>
      </w:pPr>
      <w:r>
        <w:rPr>
          <w:rFonts w:hint="eastAsia" w:ascii="宋体" w:hAnsi="宋体" w:cs="宋体"/>
          <w:b/>
          <w:bCs/>
          <w:color w:val="auto"/>
          <w:sz w:val="24"/>
          <w:highlight w:val="none"/>
          <w:u w:val="single"/>
        </w:rPr>
        <w:t>浙江省司法厅：</w:t>
      </w:r>
    </w:p>
    <w:p w14:paraId="27B85F2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ZJ-2580230-03</w:t>
      </w:r>
      <w:r>
        <w:rPr>
          <w:rFonts w:hint="eastAsia" w:ascii="宋体" w:hAnsi="宋体" w:cs="宋体"/>
          <w:color w:val="auto"/>
          <w:sz w:val="24"/>
          <w:highlight w:val="none"/>
          <w:u w:val="single"/>
        </w:rPr>
        <w:t>】</w:t>
      </w:r>
      <w:r>
        <w:rPr>
          <w:rFonts w:hint="eastAsia" w:ascii="宋体" w:hAnsi="宋体" w:cs="宋体"/>
          <w:color w:val="auto"/>
          <w:sz w:val="24"/>
          <w:highlight w:val="none"/>
        </w:rPr>
        <w:t>招标的有关活动，并对此项目进行投标。为此：</w:t>
      </w:r>
    </w:p>
    <w:p w14:paraId="1AB10E9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09A9B1F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5DA613C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6A6793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6F07BD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1" w:name="_Hlk101257010"/>
      <w:r>
        <w:rPr>
          <w:rFonts w:hint="eastAsia" w:ascii="宋体" w:hAnsi="宋体" w:cs="宋体"/>
          <w:color w:val="auto"/>
          <w:sz w:val="24"/>
          <w:highlight w:val="none"/>
        </w:rPr>
        <w:t>（如果有）</w:t>
      </w:r>
      <w:bookmarkEnd w:id="401"/>
      <w:r>
        <w:rPr>
          <w:rFonts w:hint="eastAsia" w:ascii="宋体" w:hAnsi="宋体" w:cs="宋体"/>
          <w:snapToGrid w:val="0"/>
          <w:color w:val="auto"/>
          <w:kern w:val="28"/>
          <w:sz w:val="24"/>
          <w:szCs w:val="20"/>
          <w:highlight w:val="none"/>
        </w:rPr>
        <w:t>；</w:t>
      </w:r>
    </w:p>
    <w:p w14:paraId="7E75289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2.1.3落实政府采购政策需满足的资格要求：</w:t>
      </w:r>
      <w:r>
        <w:rPr>
          <w:rFonts w:hint="eastAsia" w:ascii="宋体" w:hAnsi="宋体" w:cs="宋体"/>
          <w:color w:val="auto"/>
          <w:sz w:val="24"/>
          <w:highlight w:val="none"/>
          <w:lang w:val="en-US" w:eastAsia="zh-CN"/>
        </w:rPr>
        <w:t>无</w:t>
      </w:r>
      <w:r>
        <w:rPr>
          <w:rFonts w:hint="eastAsia" w:ascii="宋体" w:hAnsi="宋体" w:cs="宋体"/>
          <w:color w:val="auto"/>
          <w:sz w:val="24"/>
          <w:highlight w:val="none"/>
        </w:rPr>
        <w:t>；</w:t>
      </w:r>
    </w:p>
    <w:p w14:paraId="22C8DC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2.1.4本项目的特定资格要求：无；</w:t>
      </w:r>
    </w:p>
    <w:p w14:paraId="2E7903A2">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E5723E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5663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6B66AA26">
      <w:pP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2.2.3分包意向协议（如果有）</w:t>
      </w:r>
      <w:r>
        <w:rPr>
          <w:rFonts w:hint="eastAsia" w:ascii="宋体" w:hAnsi="宋体" w:cs="宋体"/>
          <w:color w:val="auto"/>
          <w:sz w:val="24"/>
          <w:highlight w:val="none"/>
          <w:lang w:eastAsia="zh-CN"/>
        </w:rPr>
        <w:t>；</w:t>
      </w:r>
    </w:p>
    <w:p w14:paraId="3DCC321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2.2.4</w:t>
      </w:r>
      <w:r>
        <w:rPr>
          <w:rFonts w:hint="eastAsia" w:ascii="宋体" w:hAnsi="宋体" w:cs="宋体"/>
          <w:color w:val="auto"/>
          <w:sz w:val="24"/>
          <w:highlight w:val="none"/>
        </w:rPr>
        <w:t>符合性审查资料；</w:t>
      </w:r>
    </w:p>
    <w:p w14:paraId="3559F1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评标标准相应的商务技术资料；</w:t>
      </w:r>
    </w:p>
    <w:p w14:paraId="219CF63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投标标的清单；</w:t>
      </w:r>
    </w:p>
    <w:p w14:paraId="3754C35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p>
    <w:p w14:paraId="2C862B0B">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p>
    <w:p w14:paraId="3F647EA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75704FAD">
      <w:pPr>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4CEDD3B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2.3.2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服务）（如果有）</w:t>
      </w:r>
      <w:r>
        <w:rPr>
          <w:rFonts w:hint="eastAsia" w:ascii="宋体" w:hAnsi="宋体" w:cs="宋体"/>
          <w:color w:val="auto"/>
          <w:sz w:val="24"/>
          <w:highlight w:val="none"/>
        </w:rPr>
        <w:t>。</w:t>
      </w:r>
    </w:p>
    <w:p w14:paraId="64568891">
      <w:pPr>
        <w:pStyle w:val="91"/>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r>
        <w:rPr>
          <w:rFonts w:hint="eastAsia" w:ascii="宋体" w:hAnsi="宋体" w:eastAsia="宋体" w:cs="宋体"/>
          <w:color w:val="auto"/>
          <w:sz w:val="24"/>
          <w:highlight w:val="none"/>
        </w:rPr>
        <w:t>。</w:t>
      </w:r>
    </w:p>
    <w:p w14:paraId="56DB245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523EEE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C48774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57472B4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AE4D46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2404B2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我方承诺将通过政采云平台开展质疑、投诉等活动，并确认接受平台以电子送达的方式送达相关文书。我方认可电子送达与邮寄送达具有同等法律效力，以文书到达政采云平台日期为送达日期，本公司保证政采云平台账号真实有效。</w:t>
      </w:r>
    </w:p>
    <w:p w14:paraId="7578C82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6.其他补充说明：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BA32CCD">
      <w:pPr>
        <w:spacing w:line="360" w:lineRule="auto"/>
        <w:ind w:firstLine="3600" w:firstLineChars="1500"/>
        <w:rPr>
          <w:rFonts w:ascii="宋体" w:hAnsi="宋体" w:cs="宋体"/>
          <w:color w:val="auto"/>
          <w:sz w:val="24"/>
          <w:highlight w:val="none"/>
        </w:rPr>
      </w:pPr>
    </w:p>
    <w:p w14:paraId="041EB7F6">
      <w:pPr>
        <w:spacing w:line="360" w:lineRule="auto"/>
        <w:ind w:firstLine="3600" w:firstLineChars="1500"/>
        <w:rPr>
          <w:rFonts w:ascii="宋体" w:hAnsi="宋体" w:cs="宋体"/>
          <w:color w:val="auto"/>
          <w:sz w:val="24"/>
          <w:highlight w:val="none"/>
        </w:rPr>
      </w:pPr>
    </w:p>
    <w:p w14:paraId="579FE6D2">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146C872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C5D29CD">
      <w:pPr>
        <w:snapToGrid w:val="0"/>
        <w:spacing w:line="360" w:lineRule="auto"/>
        <w:ind w:left="420" w:leftChars="200" w:firstLine="4200" w:firstLineChars="1750"/>
        <w:rPr>
          <w:rFonts w:ascii="宋体" w:hAnsi="宋体" w:cs="宋体"/>
          <w:color w:val="auto"/>
          <w:kern w:val="0"/>
          <w:sz w:val="24"/>
          <w:highlight w:val="none"/>
          <w:u w:val="single"/>
        </w:rPr>
      </w:pPr>
    </w:p>
    <w:p w14:paraId="25859A7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9638304">
      <w:pPr>
        <w:snapToGrid w:val="0"/>
        <w:spacing w:line="360" w:lineRule="auto"/>
        <w:jc w:val="center"/>
        <w:rPr>
          <w:rFonts w:ascii="宋体" w:hAnsi="宋体" w:cs="宋体"/>
          <w:b/>
          <w:color w:val="auto"/>
          <w:kern w:val="0"/>
          <w:sz w:val="32"/>
          <w:szCs w:val="32"/>
          <w:highlight w:val="none"/>
        </w:rPr>
      </w:pPr>
    </w:p>
    <w:p w14:paraId="18EB8DC9">
      <w:pPr>
        <w:snapToGrid w:val="0"/>
        <w:spacing w:line="360" w:lineRule="auto"/>
        <w:rPr>
          <w:rFonts w:ascii="宋体" w:hAnsi="宋体" w:cs="宋体"/>
          <w:color w:val="auto"/>
          <w:sz w:val="24"/>
          <w:highlight w:val="none"/>
        </w:rPr>
      </w:pPr>
    </w:p>
    <w:p w14:paraId="2B21596A">
      <w:pPr>
        <w:jc w:val="center"/>
        <w:rPr>
          <w:rFonts w:ascii="宋体" w:hAnsi="宋体" w:cs="宋体"/>
          <w:b/>
          <w:color w:val="auto"/>
          <w:kern w:val="0"/>
          <w:sz w:val="32"/>
          <w:szCs w:val="32"/>
          <w:highlight w:val="none"/>
        </w:rPr>
      </w:pPr>
    </w:p>
    <w:p w14:paraId="40AF6D50">
      <w:pPr>
        <w:jc w:val="center"/>
        <w:rPr>
          <w:rFonts w:ascii="宋体" w:hAnsi="宋体" w:cs="宋体"/>
          <w:b/>
          <w:color w:val="auto"/>
          <w:kern w:val="0"/>
          <w:sz w:val="32"/>
          <w:szCs w:val="32"/>
          <w:highlight w:val="none"/>
        </w:rPr>
      </w:pPr>
    </w:p>
    <w:p w14:paraId="6AB688C6">
      <w:pPr>
        <w:jc w:val="center"/>
        <w:rPr>
          <w:rFonts w:ascii="宋体" w:hAnsi="宋体" w:cs="宋体"/>
          <w:b/>
          <w:color w:val="auto"/>
          <w:kern w:val="0"/>
          <w:sz w:val="32"/>
          <w:szCs w:val="32"/>
          <w:highlight w:val="none"/>
        </w:rPr>
      </w:pPr>
    </w:p>
    <w:p w14:paraId="6ECCB777">
      <w:pPr>
        <w:jc w:val="center"/>
        <w:rPr>
          <w:rFonts w:ascii="宋体" w:hAnsi="宋体" w:cs="宋体"/>
          <w:b/>
          <w:color w:val="auto"/>
          <w:kern w:val="0"/>
          <w:sz w:val="32"/>
          <w:szCs w:val="32"/>
          <w:highlight w:val="none"/>
        </w:rPr>
      </w:pPr>
    </w:p>
    <w:p w14:paraId="78D2C55C">
      <w:pPr>
        <w:jc w:val="center"/>
        <w:rPr>
          <w:rFonts w:ascii="宋体" w:hAnsi="宋体" w:cs="宋体"/>
          <w:b/>
          <w:color w:val="auto"/>
          <w:kern w:val="0"/>
          <w:sz w:val="32"/>
          <w:szCs w:val="32"/>
          <w:highlight w:val="none"/>
        </w:rPr>
      </w:pPr>
    </w:p>
    <w:p w14:paraId="680393E9">
      <w:pPr>
        <w:jc w:val="center"/>
        <w:rPr>
          <w:rFonts w:ascii="宋体" w:hAnsi="宋体" w:cs="宋体"/>
          <w:b/>
          <w:color w:val="auto"/>
          <w:kern w:val="0"/>
          <w:sz w:val="32"/>
          <w:szCs w:val="32"/>
          <w:highlight w:val="none"/>
        </w:rPr>
      </w:pPr>
    </w:p>
    <w:p w14:paraId="0BD04AB5">
      <w:pPr>
        <w:jc w:val="center"/>
        <w:rPr>
          <w:rFonts w:ascii="宋体" w:hAnsi="宋体" w:cs="宋体"/>
          <w:b/>
          <w:color w:val="auto"/>
          <w:kern w:val="0"/>
          <w:sz w:val="32"/>
          <w:szCs w:val="32"/>
          <w:highlight w:val="none"/>
        </w:rPr>
      </w:pPr>
    </w:p>
    <w:p w14:paraId="355FEC05">
      <w:pPr>
        <w:jc w:val="center"/>
        <w:rPr>
          <w:rFonts w:ascii="宋体" w:hAnsi="宋体" w:cs="宋体"/>
          <w:b/>
          <w:color w:val="auto"/>
          <w:kern w:val="0"/>
          <w:sz w:val="32"/>
          <w:szCs w:val="32"/>
          <w:highlight w:val="none"/>
        </w:rPr>
      </w:pPr>
    </w:p>
    <w:p w14:paraId="3294BB5A">
      <w:pPr>
        <w:jc w:val="center"/>
        <w:rPr>
          <w:rFonts w:ascii="宋体" w:hAnsi="宋体" w:cs="宋体"/>
          <w:b/>
          <w:color w:val="auto"/>
          <w:kern w:val="0"/>
          <w:sz w:val="32"/>
          <w:szCs w:val="32"/>
          <w:highlight w:val="none"/>
        </w:rPr>
      </w:pPr>
    </w:p>
    <w:p w14:paraId="7115C0C0">
      <w:pPr>
        <w:jc w:val="center"/>
        <w:rPr>
          <w:rFonts w:ascii="宋体" w:hAnsi="宋体" w:cs="宋体"/>
          <w:b/>
          <w:color w:val="auto"/>
          <w:kern w:val="0"/>
          <w:sz w:val="32"/>
          <w:szCs w:val="32"/>
          <w:highlight w:val="none"/>
        </w:rPr>
      </w:pPr>
    </w:p>
    <w:p w14:paraId="5CC9D187">
      <w:pPr>
        <w:jc w:val="center"/>
        <w:rPr>
          <w:rFonts w:ascii="宋体" w:hAnsi="宋体" w:cs="宋体"/>
          <w:b/>
          <w:color w:val="auto"/>
          <w:kern w:val="0"/>
          <w:sz w:val="32"/>
          <w:szCs w:val="32"/>
          <w:highlight w:val="none"/>
        </w:rPr>
      </w:pPr>
    </w:p>
    <w:p w14:paraId="38F5653C">
      <w:pPr>
        <w:jc w:val="center"/>
        <w:rPr>
          <w:rFonts w:ascii="宋体" w:hAnsi="宋体" w:cs="宋体"/>
          <w:b/>
          <w:color w:val="auto"/>
          <w:kern w:val="0"/>
          <w:sz w:val="32"/>
          <w:szCs w:val="32"/>
          <w:highlight w:val="none"/>
        </w:rPr>
      </w:pPr>
    </w:p>
    <w:p w14:paraId="29C9A1F8">
      <w:pPr>
        <w:jc w:val="center"/>
        <w:rPr>
          <w:rFonts w:ascii="宋体" w:hAnsi="宋体" w:cs="宋体"/>
          <w:b/>
          <w:color w:val="auto"/>
          <w:kern w:val="0"/>
          <w:sz w:val="32"/>
          <w:szCs w:val="32"/>
          <w:highlight w:val="none"/>
        </w:rPr>
      </w:pPr>
    </w:p>
    <w:p w14:paraId="4A0B8E98">
      <w:pPr>
        <w:jc w:val="center"/>
        <w:rPr>
          <w:rFonts w:ascii="宋体" w:hAnsi="宋体" w:cs="宋体"/>
          <w:b/>
          <w:color w:val="auto"/>
          <w:kern w:val="0"/>
          <w:sz w:val="32"/>
          <w:szCs w:val="32"/>
          <w:highlight w:val="none"/>
        </w:rPr>
      </w:pPr>
    </w:p>
    <w:p w14:paraId="29973B03">
      <w:pPr>
        <w:jc w:val="center"/>
        <w:rPr>
          <w:rFonts w:ascii="宋体" w:hAnsi="宋体" w:cs="宋体"/>
          <w:b/>
          <w:color w:val="auto"/>
          <w:kern w:val="0"/>
          <w:sz w:val="32"/>
          <w:szCs w:val="32"/>
          <w:highlight w:val="none"/>
        </w:rPr>
      </w:pPr>
    </w:p>
    <w:p w14:paraId="3E551395">
      <w:pPr>
        <w:jc w:val="center"/>
        <w:rPr>
          <w:rFonts w:ascii="宋体" w:hAnsi="宋体" w:cs="宋体"/>
          <w:b/>
          <w:color w:val="auto"/>
          <w:kern w:val="0"/>
          <w:sz w:val="32"/>
          <w:szCs w:val="32"/>
          <w:highlight w:val="none"/>
        </w:rPr>
      </w:pPr>
    </w:p>
    <w:p w14:paraId="4A844766">
      <w:pPr>
        <w:jc w:val="center"/>
        <w:rPr>
          <w:rFonts w:ascii="宋体" w:hAnsi="宋体" w:cs="宋体"/>
          <w:b/>
          <w:color w:val="auto"/>
          <w:kern w:val="0"/>
          <w:sz w:val="32"/>
          <w:szCs w:val="32"/>
          <w:highlight w:val="none"/>
        </w:rPr>
      </w:pPr>
    </w:p>
    <w:p w14:paraId="76B7BB03">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7A6D4D5">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20768DB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7C6B9062">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4D47C6F4">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6E841E46">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浙江省司法行政综合业务管理系统迭代升级项目</w:t>
      </w:r>
      <w:r>
        <w:rPr>
          <w:rFonts w:hint="eastAsia" w:ascii="宋体" w:hAnsi="宋体" w:cs="宋体"/>
          <w:color w:val="auto"/>
          <w:sz w:val="24"/>
          <w:highlight w:val="none"/>
        </w:rPr>
        <w:t>【</w:t>
      </w:r>
      <w:r>
        <w:rPr>
          <w:rFonts w:hint="eastAsia" w:ascii="宋体" w:hAnsi="宋体" w:cs="宋体"/>
          <w:color w:val="auto"/>
          <w:sz w:val="24"/>
          <w:highlight w:val="none"/>
          <w:lang w:eastAsia="zh-CN"/>
        </w:rPr>
        <w:t>项目编号</w:t>
      </w:r>
      <w:r>
        <w:rPr>
          <w:rFonts w:hint="eastAsia" w:ascii="宋体" w:hAnsi="宋体" w:cs="宋体"/>
          <w:color w:val="auto"/>
          <w:sz w:val="24"/>
          <w:highlight w:val="none"/>
        </w:rPr>
        <w:t>：</w:t>
      </w:r>
      <w:r>
        <w:rPr>
          <w:rFonts w:hint="eastAsia" w:ascii="宋体" w:hAnsi="宋体" w:cs="宋体"/>
          <w:color w:val="auto"/>
          <w:sz w:val="24"/>
          <w:highlight w:val="none"/>
          <w:lang w:eastAsia="zh-CN"/>
        </w:rPr>
        <w:t>ZJ-2580230-03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B58D7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97B0B6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42B425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5D568A4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2005A0F5">
      <w:pPr>
        <w:snapToGrid w:val="0"/>
        <w:spacing w:line="360" w:lineRule="auto"/>
        <w:rPr>
          <w:rFonts w:ascii="宋体" w:hAnsi="宋体" w:cs="宋体"/>
          <w:color w:val="auto"/>
          <w:sz w:val="24"/>
          <w:highlight w:val="none"/>
        </w:rPr>
      </w:pPr>
    </w:p>
    <w:p w14:paraId="6A163F9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EDA711A">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6ACA1D4E">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浙江省司法行政综合业务管理系统迭代升级项目</w:t>
      </w:r>
      <w:r>
        <w:rPr>
          <w:rFonts w:hint="eastAsia" w:ascii="宋体" w:hAnsi="宋体" w:cs="宋体"/>
          <w:color w:val="auto"/>
          <w:sz w:val="24"/>
          <w:highlight w:val="none"/>
        </w:rPr>
        <w:t>【</w:t>
      </w:r>
      <w:r>
        <w:rPr>
          <w:rFonts w:hint="eastAsia" w:ascii="宋体" w:hAnsi="宋体" w:cs="宋体"/>
          <w:color w:val="auto"/>
          <w:sz w:val="24"/>
          <w:highlight w:val="none"/>
          <w:lang w:eastAsia="zh-CN"/>
        </w:rPr>
        <w:t>项目编号</w:t>
      </w:r>
      <w:r>
        <w:rPr>
          <w:rFonts w:hint="eastAsia" w:ascii="宋体" w:hAnsi="宋体" w:cs="宋体"/>
          <w:color w:val="auto"/>
          <w:sz w:val="24"/>
          <w:highlight w:val="none"/>
        </w:rPr>
        <w:t>：</w:t>
      </w:r>
      <w:r>
        <w:rPr>
          <w:rFonts w:hint="eastAsia" w:ascii="宋体" w:hAnsi="宋体" w:cs="宋体"/>
          <w:color w:val="auto"/>
          <w:sz w:val="24"/>
          <w:highlight w:val="none"/>
          <w:lang w:eastAsia="zh-CN"/>
        </w:rPr>
        <w:t>ZJ-2580230-03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AB0012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49DF2D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70C8B48">
      <w:pPr>
        <w:jc w:val="center"/>
        <w:rPr>
          <w:rFonts w:ascii="宋体" w:hAnsi="宋体" w:cs="宋体"/>
          <w:b/>
          <w:color w:val="auto"/>
          <w:kern w:val="0"/>
          <w:sz w:val="32"/>
          <w:szCs w:val="32"/>
          <w:highlight w:val="none"/>
        </w:rPr>
      </w:pPr>
    </w:p>
    <w:p w14:paraId="44119DD5">
      <w:pPr>
        <w:rPr>
          <w:rFonts w:ascii="宋体" w:hAnsi="宋体" w:cs="宋体"/>
          <w:color w:val="auto"/>
          <w:highlight w:val="none"/>
        </w:rPr>
      </w:pPr>
    </w:p>
    <w:p w14:paraId="35AADC1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6F69E3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65BACBE">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2E1C415">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A6186B1">
      <w:pPr>
        <w:autoSpaceDE w:val="0"/>
        <w:autoSpaceDN w:val="0"/>
        <w:spacing w:line="360" w:lineRule="auto"/>
        <w:jc w:val="center"/>
        <w:rPr>
          <w:rFonts w:ascii="宋体" w:hAnsi="宋体" w:cs="宋体"/>
          <w:b/>
          <w:color w:val="auto"/>
          <w:kern w:val="0"/>
          <w:sz w:val="32"/>
          <w:szCs w:val="32"/>
          <w:highlight w:val="none"/>
          <w:lang w:val="zh-CN"/>
        </w:rPr>
      </w:pPr>
    </w:p>
    <w:p w14:paraId="78DAC7CE">
      <w:pPr>
        <w:autoSpaceDE w:val="0"/>
        <w:autoSpaceDN w:val="0"/>
        <w:spacing w:line="360" w:lineRule="auto"/>
        <w:jc w:val="center"/>
        <w:rPr>
          <w:rFonts w:ascii="宋体" w:hAnsi="宋体" w:cs="宋体"/>
          <w:b/>
          <w:color w:val="auto"/>
          <w:kern w:val="0"/>
          <w:sz w:val="32"/>
          <w:szCs w:val="32"/>
          <w:highlight w:val="none"/>
          <w:lang w:val="zh-CN"/>
        </w:rPr>
      </w:pPr>
    </w:p>
    <w:p w14:paraId="57F8A9CB">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E445934">
      <w:pPr>
        <w:pStyle w:val="15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FB3E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0B12A84">
            <w:pPr>
              <w:pStyle w:val="15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3FE0B5E">
            <w:pPr>
              <w:pStyle w:val="159"/>
              <w:adjustRightInd w:val="0"/>
              <w:spacing w:line="360" w:lineRule="auto"/>
              <w:rPr>
                <w:rFonts w:hAnsi="宋体" w:cs="宋体"/>
                <w:bCs/>
                <w:color w:val="auto"/>
                <w:sz w:val="24"/>
                <w:highlight w:val="none"/>
              </w:rPr>
            </w:pPr>
          </w:p>
        </w:tc>
      </w:tr>
    </w:tbl>
    <w:p w14:paraId="43C9F35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FDAC039">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16519019">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8EBA41C">
      <w:pPr>
        <w:jc w:val="center"/>
        <w:rPr>
          <w:rFonts w:ascii="宋体" w:hAnsi="宋体" w:cs="宋体"/>
          <w:b/>
          <w:color w:val="auto"/>
          <w:kern w:val="0"/>
          <w:sz w:val="32"/>
          <w:szCs w:val="32"/>
          <w:highlight w:val="none"/>
        </w:rPr>
      </w:pPr>
    </w:p>
    <w:p w14:paraId="5F26F1C6">
      <w:pPr>
        <w:jc w:val="center"/>
        <w:rPr>
          <w:rFonts w:ascii="宋体" w:hAnsi="宋体" w:cs="宋体"/>
          <w:b/>
          <w:color w:val="auto"/>
          <w:kern w:val="0"/>
          <w:sz w:val="32"/>
          <w:szCs w:val="32"/>
          <w:highlight w:val="none"/>
        </w:rPr>
      </w:pPr>
    </w:p>
    <w:p w14:paraId="2A2456E0">
      <w:pPr>
        <w:jc w:val="center"/>
        <w:rPr>
          <w:rFonts w:ascii="宋体" w:hAnsi="宋体" w:cs="宋体"/>
          <w:b/>
          <w:color w:val="auto"/>
          <w:kern w:val="0"/>
          <w:sz w:val="32"/>
          <w:szCs w:val="32"/>
          <w:highlight w:val="none"/>
        </w:rPr>
      </w:pPr>
    </w:p>
    <w:p w14:paraId="1EC81D03">
      <w:pPr>
        <w:jc w:val="center"/>
        <w:rPr>
          <w:rFonts w:ascii="宋体" w:hAnsi="宋体" w:cs="宋体"/>
          <w:b/>
          <w:color w:val="auto"/>
          <w:kern w:val="0"/>
          <w:sz w:val="32"/>
          <w:szCs w:val="32"/>
          <w:highlight w:val="none"/>
        </w:rPr>
      </w:pPr>
    </w:p>
    <w:p w14:paraId="040414F5">
      <w:pPr>
        <w:jc w:val="center"/>
        <w:rPr>
          <w:rFonts w:ascii="宋体" w:hAnsi="宋体" w:cs="宋体"/>
          <w:b/>
          <w:color w:val="auto"/>
          <w:kern w:val="0"/>
          <w:sz w:val="32"/>
          <w:szCs w:val="32"/>
          <w:highlight w:val="none"/>
        </w:rPr>
      </w:pPr>
    </w:p>
    <w:p w14:paraId="1C5D383E">
      <w:pPr>
        <w:jc w:val="center"/>
        <w:rPr>
          <w:rFonts w:ascii="宋体" w:hAnsi="宋体" w:cs="宋体"/>
          <w:b/>
          <w:color w:val="auto"/>
          <w:kern w:val="0"/>
          <w:sz w:val="32"/>
          <w:szCs w:val="32"/>
          <w:highlight w:val="none"/>
        </w:rPr>
      </w:pPr>
    </w:p>
    <w:p w14:paraId="67D8C3F4">
      <w:pPr>
        <w:jc w:val="center"/>
        <w:rPr>
          <w:rFonts w:ascii="宋体" w:hAnsi="宋体" w:cs="宋体"/>
          <w:b/>
          <w:color w:val="auto"/>
          <w:kern w:val="0"/>
          <w:sz w:val="32"/>
          <w:szCs w:val="32"/>
          <w:highlight w:val="none"/>
        </w:rPr>
      </w:pPr>
    </w:p>
    <w:p w14:paraId="38BD5231">
      <w:pPr>
        <w:jc w:val="center"/>
        <w:rPr>
          <w:rFonts w:ascii="宋体" w:hAnsi="宋体" w:cs="宋体"/>
          <w:b/>
          <w:color w:val="auto"/>
          <w:kern w:val="0"/>
          <w:sz w:val="32"/>
          <w:szCs w:val="32"/>
          <w:highlight w:val="none"/>
        </w:rPr>
      </w:pPr>
    </w:p>
    <w:p w14:paraId="30A0CBF0">
      <w:pPr>
        <w:jc w:val="center"/>
        <w:rPr>
          <w:rFonts w:ascii="宋体" w:hAnsi="宋体" w:cs="宋体"/>
          <w:b/>
          <w:color w:val="auto"/>
          <w:kern w:val="0"/>
          <w:sz w:val="32"/>
          <w:szCs w:val="32"/>
          <w:highlight w:val="none"/>
        </w:rPr>
      </w:pPr>
    </w:p>
    <w:p w14:paraId="74140FC6">
      <w:pPr>
        <w:jc w:val="center"/>
        <w:rPr>
          <w:rFonts w:ascii="宋体" w:hAnsi="宋体" w:cs="宋体"/>
          <w:b/>
          <w:color w:val="auto"/>
          <w:kern w:val="0"/>
          <w:sz w:val="32"/>
          <w:szCs w:val="32"/>
          <w:highlight w:val="none"/>
        </w:rPr>
      </w:pPr>
    </w:p>
    <w:p w14:paraId="55F532AD">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95B16D6">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0AB081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cs="宋体"/>
          <w:color w:val="auto"/>
          <w:sz w:val="24"/>
          <w:highlight w:val="none"/>
        </w:rPr>
        <w:t>]</w:t>
      </w:r>
    </w:p>
    <w:p w14:paraId="0C3217E8">
      <w:pPr>
        <w:snapToGrid w:val="0"/>
        <w:spacing w:line="360" w:lineRule="auto"/>
        <w:rPr>
          <w:rFonts w:ascii="宋体" w:hAnsi="宋体" w:cs="宋体"/>
          <w:color w:val="auto"/>
          <w:kern w:val="0"/>
          <w:sz w:val="24"/>
          <w:highlight w:val="none"/>
        </w:rPr>
      </w:pPr>
    </w:p>
    <w:p w14:paraId="498FEDE1">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2E5266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43877319">
      <w:pPr>
        <w:jc w:val="center"/>
        <w:rPr>
          <w:rFonts w:ascii="宋体" w:hAnsi="宋体" w:cs="宋体"/>
          <w:b/>
          <w:color w:val="auto"/>
          <w:kern w:val="0"/>
          <w:sz w:val="32"/>
          <w:szCs w:val="32"/>
          <w:highlight w:val="none"/>
        </w:rPr>
      </w:pPr>
    </w:p>
    <w:p w14:paraId="6AF7F108">
      <w:pPr>
        <w:pStyle w:val="6"/>
        <w:spacing w:line="360" w:lineRule="auto"/>
        <w:ind w:firstLine="0"/>
        <w:rPr>
          <w:rFonts w:hint="default" w:ascii="宋体" w:hAnsi="宋体" w:eastAsia="宋体" w:cs="宋体"/>
          <w:b w:val="0"/>
          <w:bCs/>
          <w:color w:val="auto"/>
          <w:kern w:val="0"/>
          <w:sz w:val="21"/>
          <w:szCs w:val="21"/>
          <w:highlight w:val="none"/>
          <w:lang w:val="en-US" w:eastAsia="zh-CN"/>
        </w:rPr>
      </w:pPr>
      <w:r>
        <w:rPr>
          <w:rFonts w:hint="eastAsia" w:hAnsi="宋体" w:cs="宋体"/>
          <w:b w:val="0"/>
          <w:bCs/>
          <w:color w:val="auto"/>
          <w:kern w:val="0"/>
          <w:sz w:val="21"/>
          <w:szCs w:val="21"/>
          <w:highlight w:val="none"/>
          <w:lang w:val="en-US" w:eastAsia="zh-CN"/>
        </w:rPr>
        <w:t>项目名称：</w:t>
      </w:r>
    </w:p>
    <w:p w14:paraId="4F187AE7">
      <w:pPr>
        <w:spacing w:line="360" w:lineRule="auto"/>
        <w:rPr>
          <w:rFonts w:hint="eastAsia" w:ascii="宋体" w:hAnsi="宋体" w:cs="宋体"/>
          <w:bCs/>
          <w:color w:val="auto"/>
          <w:sz w:val="21"/>
          <w:szCs w:val="21"/>
          <w:highlight w:val="none"/>
          <w:lang w:eastAsia="zh-CN"/>
        </w:rPr>
      </w:pPr>
      <w:r>
        <w:rPr>
          <w:rFonts w:hint="eastAsia" w:ascii="宋体" w:hAnsi="宋体" w:cs="宋体"/>
          <w:bCs/>
          <w:color w:val="auto"/>
          <w:sz w:val="21"/>
          <w:szCs w:val="21"/>
          <w:highlight w:val="none"/>
          <w:lang w:eastAsia="zh-CN"/>
        </w:rPr>
        <w:t>项目编号：</w:t>
      </w:r>
    </w:p>
    <w:p w14:paraId="4A3462C1">
      <w:pPr>
        <w:pStyle w:val="6"/>
        <w:ind w:left="0" w:leftChars="0" w:firstLine="0" w:firstLineChars="0"/>
        <w:rPr>
          <w:rFonts w:hint="default"/>
          <w:color w:val="auto"/>
          <w:highlight w:val="none"/>
          <w:lang w:val="en-US" w:eastAsia="zh-CN"/>
        </w:rPr>
      </w:pPr>
      <w:r>
        <w:rPr>
          <w:rFonts w:hint="eastAsia" w:hAnsi="宋体" w:cs="宋体"/>
          <w:bCs/>
          <w:color w:val="auto"/>
          <w:sz w:val="21"/>
          <w:szCs w:val="21"/>
          <w:highlight w:val="none"/>
          <w:lang w:val="en-US" w:eastAsia="zh-CN"/>
        </w:rPr>
        <w:t>标项号：</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
        <w:gridCol w:w="5203"/>
        <w:gridCol w:w="2551"/>
        <w:gridCol w:w="1418"/>
      </w:tblGrid>
      <w:tr w14:paraId="5EC6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434" w:type="dxa"/>
            <w:vAlign w:val="center"/>
          </w:tcPr>
          <w:p w14:paraId="14FEC9D7">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5203" w:type="dxa"/>
            <w:vAlign w:val="center"/>
          </w:tcPr>
          <w:p w14:paraId="61AF3B8E">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2551" w:type="dxa"/>
            <w:vAlign w:val="center"/>
          </w:tcPr>
          <w:p w14:paraId="64E50276">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40CFE68F">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投标文件中的页码位置</w:t>
            </w:r>
          </w:p>
        </w:tc>
      </w:tr>
      <w:tr w14:paraId="05DE3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03798D47">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203" w:type="dxa"/>
            <w:vAlign w:val="center"/>
          </w:tcPr>
          <w:p w14:paraId="4E5DA24E">
            <w:pPr>
              <w:spacing w:line="36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投标文件按照招标文件要求签署、盖章。</w:t>
            </w:r>
          </w:p>
        </w:tc>
        <w:tc>
          <w:tcPr>
            <w:tcW w:w="2551" w:type="dxa"/>
            <w:vAlign w:val="center"/>
          </w:tcPr>
          <w:p w14:paraId="6370271B">
            <w:pP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需要使用电子签名或者签字盖章的投标文件的组成部分</w:t>
            </w:r>
          </w:p>
        </w:tc>
        <w:tc>
          <w:tcPr>
            <w:tcW w:w="1418" w:type="dxa"/>
          </w:tcPr>
          <w:p w14:paraId="34BED792">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56F01FFB">
            <w:pP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25875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4B40FA3A">
            <w:pPr>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5203" w:type="dxa"/>
            <w:shd w:val="clear" w:color="auto" w:fill="auto"/>
            <w:vAlign w:val="center"/>
          </w:tcPr>
          <w:p w14:paraId="332F3E96">
            <w:pPr>
              <w:spacing w:line="360" w:lineRule="auto"/>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投标文件中承诺的投标有效期不少于招标文件中载明的投标有效期。</w:t>
            </w:r>
          </w:p>
        </w:tc>
        <w:tc>
          <w:tcPr>
            <w:tcW w:w="2551" w:type="dxa"/>
            <w:shd w:val="clear" w:color="auto" w:fill="auto"/>
            <w:vAlign w:val="center"/>
          </w:tcPr>
          <w:p w14:paraId="52F431AF">
            <w:pP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投标函</w:t>
            </w:r>
          </w:p>
        </w:tc>
        <w:tc>
          <w:tcPr>
            <w:tcW w:w="1418" w:type="dxa"/>
            <w:shd w:val="clear" w:color="auto" w:fill="auto"/>
            <w:vAlign w:val="top"/>
          </w:tcPr>
          <w:p w14:paraId="1A1146A5">
            <w:pP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20822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1B7D4FB3">
            <w:pPr>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5203" w:type="dxa"/>
            <w:vAlign w:val="center"/>
          </w:tcPr>
          <w:p w14:paraId="19545136">
            <w:pPr>
              <w:spacing w:line="360" w:lineRule="auto"/>
              <w:jc w:val="both"/>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其他实质性要求1：</w:t>
            </w:r>
          </w:p>
        </w:tc>
        <w:tc>
          <w:tcPr>
            <w:tcW w:w="2551" w:type="dxa"/>
            <w:vMerge w:val="restart"/>
            <w:vAlign w:val="center"/>
          </w:tcPr>
          <w:p w14:paraId="432B7805">
            <w:pP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招标文件其它实质性要求相应的材料（“▲” 系指实质性要求条款，招标文件无其它实质性要求的，无需提供）</w:t>
            </w:r>
          </w:p>
        </w:tc>
        <w:tc>
          <w:tcPr>
            <w:tcW w:w="1418" w:type="dxa"/>
          </w:tcPr>
          <w:p w14:paraId="51287E9D">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1A785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1D00030A">
            <w:pPr>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5203" w:type="dxa"/>
            <w:vAlign w:val="center"/>
          </w:tcPr>
          <w:p w14:paraId="4F4969F1">
            <w:pPr>
              <w:spacing w:line="360" w:lineRule="auto"/>
              <w:jc w:val="both"/>
              <w:rPr>
                <w:rFonts w:hint="eastAsia" w:ascii="宋体" w:hAnsi="宋体" w:eastAsia="宋体" w:cs="宋体"/>
                <w:b w:val="0"/>
                <w:bCs w:val="0"/>
                <w:snapToGrid w:val="0"/>
                <w:color w:val="auto"/>
                <w:sz w:val="24"/>
                <w:highlight w:val="none"/>
                <w:lang w:val="en-US" w:eastAsia="zh-CN"/>
              </w:rPr>
            </w:pPr>
            <w:r>
              <w:rPr>
                <w:rFonts w:hint="eastAsia" w:ascii="宋体" w:hAnsi="宋体" w:eastAsia="宋体" w:cs="宋体"/>
                <w:b w:val="0"/>
                <w:bCs w:val="0"/>
                <w:snapToGrid w:val="0"/>
                <w:color w:val="auto"/>
                <w:sz w:val="24"/>
                <w:highlight w:val="none"/>
                <w:lang w:val="en-US" w:eastAsia="zh-CN"/>
              </w:rPr>
              <w:t>其他实质性要求2：</w:t>
            </w:r>
          </w:p>
        </w:tc>
        <w:tc>
          <w:tcPr>
            <w:tcW w:w="2551" w:type="dxa"/>
            <w:vMerge w:val="continue"/>
            <w:vAlign w:val="center"/>
          </w:tcPr>
          <w:p w14:paraId="120EC574">
            <w:pPr>
              <w:rPr>
                <w:rFonts w:hint="eastAsia" w:ascii="宋体" w:hAnsi="宋体" w:eastAsia="宋体" w:cs="宋体"/>
                <w:color w:val="auto"/>
                <w:kern w:val="0"/>
                <w:sz w:val="24"/>
                <w:highlight w:val="none"/>
              </w:rPr>
            </w:pPr>
          </w:p>
        </w:tc>
        <w:tc>
          <w:tcPr>
            <w:tcW w:w="1418" w:type="dxa"/>
          </w:tcPr>
          <w:p w14:paraId="154CE796">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43C5E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72C1C601">
            <w:pPr>
              <w:jc w:val="center"/>
              <w:rPr>
                <w:rFonts w:hint="eastAsia" w:ascii="宋体" w:hAnsi="宋体" w:eastAsia="宋体" w:cs="宋体"/>
                <w:color w:val="auto"/>
                <w:sz w:val="24"/>
                <w:highlight w:val="none"/>
                <w:lang w:eastAsia="zh-CN"/>
              </w:rPr>
            </w:pPr>
            <w:r>
              <w:rPr>
                <w:rFonts w:hint="eastAsia" w:ascii="宋体" w:hAnsi="宋体" w:eastAsia="宋体" w:cs="宋体"/>
                <w:color w:val="auto"/>
                <w:kern w:val="0"/>
                <w:sz w:val="24"/>
                <w:highlight w:val="none"/>
              </w:rPr>
              <w:t>…</w:t>
            </w:r>
          </w:p>
        </w:tc>
        <w:tc>
          <w:tcPr>
            <w:tcW w:w="5203" w:type="dxa"/>
            <w:vAlign w:val="center"/>
          </w:tcPr>
          <w:p w14:paraId="3139DAFD">
            <w:pPr>
              <w:spacing w:line="360" w:lineRule="auto"/>
              <w:jc w:val="both"/>
              <w:rPr>
                <w:rFonts w:hint="eastAsia" w:ascii="宋体" w:hAnsi="宋体" w:eastAsia="宋体" w:cs="宋体"/>
                <w:color w:val="auto"/>
                <w:sz w:val="24"/>
                <w:highlight w:val="none"/>
              </w:rPr>
            </w:pPr>
            <w:r>
              <w:rPr>
                <w:rFonts w:hint="eastAsia" w:ascii="宋体" w:hAnsi="宋体" w:eastAsia="宋体" w:cs="宋体"/>
                <w:b w:val="0"/>
                <w:bCs w:val="0"/>
                <w:snapToGrid w:val="0"/>
                <w:color w:val="auto"/>
                <w:sz w:val="24"/>
                <w:highlight w:val="none"/>
                <w:lang w:val="en-US" w:eastAsia="zh-CN"/>
              </w:rPr>
              <w:t>其他实质性要求</w:t>
            </w:r>
            <w:r>
              <w:rPr>
                <w:rFonts w:hint="eastAsia" w:ascii="宋体" w:hAnsi="宋体" w:eastAsia="宋体" w:cs="宋体"/>
                <w:color w:val="auto"/>
                <w:kern w:val="0"/>
                <w:sz w:val="24"/>
                <w:highlight w:val="none"/>
              </w:rPr>
              <w:t>…</w:t>
            </w:r>
            <w:r>
              <w:rPr>
                <w:rFonts w:hint="eastAsia" w:ascii="宋体" w:hAnsi="宋体" w:eastAsia="宋体" w:cs="宋体"/>
                <w:b w:val="0"/>
                <w:bCs w:val="0"/>
                <w:snapToGrid w:val="0"/>
                <w:color w:val="auto"/>
                <w:sz w:val="24"/>
                <w:highlight w:val="none"/>
                <w:lang w:val="en-US" w:eastAsia="zh-CN"/>
              </w:rPr>
              <w:t>：</w:t>
            </w:r>
          </w:p>
        </w:tc>
        <w:tc>
          <w:tcPr>
            <w:tcW w:w="2551" w:type="dxa"/>
            <w:vMerge w:val="continue"/>
            <w:vAlign w:val="center"/>
          </w:tcPr>
          <w:p w14:paraId="1E05C2AE">
            <w:pPr>
              <w:rPr>
                <w:rFonts w:hint="eastAsia" w:ascii="宋体" w:hAnsi="宋体" w:eastAsia="宋体" w:cs="宋体"/>
                <w:color w:val="auto"/>
                <w:sz w:val="24"/>
                <w:highlight w:val="none"/>
              </w:rPr>
            </w:pPr>
          </w:p>
        </w:tc>
        <w:tc>
          <w:tcPr>
            <w:tcW w:w="1418" w:type="dxa"/>
          </w:tcPr>
          <w:p w14:paraId="38D456A2">
            <w:pPr>
              <w:rPr>
                <w:rFonts w:hint="eastAsia" w:ascii="宋体" w:hAnsi="宋体" w:eastAsia="宋体" w:cs="宋体"/>
                <w:color w:val="auto"/>
                <w:highlight w:val="none"/>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420008D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14:paraId="00FA31BB">
      <w:pPr>
        <w:spacing w:line="360" w:lineRule="auto"/>
        <w:ind w:right="420"/>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54BF3D26">
      <w:pPr>
        <w:spacing w:line="360" w:lineRule="auto"/>
        <w:ind w:right="420"/>
        <w:rPr>
          <w:rFonts w:ascii="宋体" w:hAnsi="宋体" w:cs="宋体"/>
          <w:color w:val="auto"/>
          <w:sz w:val="24"/>
          <w:highlight w:val="none"/>
        </w:rPr>
      </w:pPr>
    </w:p>
    <w:p w14:paraId="49D4A03F">
      <w:pPr>
        <w:jc w:val="center"/>
        <w:rPr>
          <w:rFonts w:ascii="宋体" w:hAnsi="宋体" w:cs="宋体"/>
          <w:b/>
          <w:color w:val="auto"/>
          <w:kern w:val="0"/>
          <w:sz w:val="32"/>
          <w:szCs w:val="32"/>
          <w:highlight w:val="none"/>
        </w:rPr>
      </w:pPr>
    </w:p>
    <w:p w14:paraId="16F7E22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B0D318B">
      <w:pPr>
        <w:jc w:val="center"/>
        <w:rPr>
          <w:rFonts w:ascii="宋体" w:hAnsi="宋体" w:cs="宋体"/>
          <w:b/>
          <w:color w:val="auto"/>
          <w:kern w:val="0"/>
          <w:sz w:val="32"/>
          <w:szCs w:val="32"/>
          <w:highlight w:val="none"/>
        </w:rPr>
      </w:pPr>
    </w:p>
    <w:p w14:paraId="7DA06394">
      <w:pPr>
        <w:jc w:val="center"/>
        <w:rPr>
          <w:rFonts w:ascii="宋体" w:hAnsi="宋体" w:cs="宋体"/>
          <w:b/>
          <w:color w:val="auto"/>
          <w:kern w:val="0"/>
          <w:sz w:val="32"/>
          <w:szCs w:val="32"/>
          <w:highlight w:val="none"/>
        </w:rPr>
      </w:pPr>
    </w:p>
    <w:p w14:paraId="1CBF7E9E">
      <w:pPr>
        <w:jc w:val="center"/>
        <w:rPr>
          <w:rFonts w:ascii="宋体" w:hAnsi="宋体" w:cs="宋体"/>
          <w:b/>
          <w:color w:val="auto"/>
          <w:kern w:val="0"/>
          <w:sz w:val="32"/>
          <w:szCs w:val="32"/>
          <w:highlight w:val="none"/>
        </w:rPr>
      </w:pPr>
    </w:p>
    <w:p w14:paraId="25348F35">
      <w:pPr>
        <w:jc w:val="center"/>
        <w:rPr>
          <w:rFonts w:ascii="宋体" w:hAnsi="宋体" w:cs="宋体"/>
          <w:b/>
          <w:color w:val="auto"/>
          <w:kern w:val="0"/>
          <w:sz w:val="32"/>
          <w:szCs w:val="32"/>
          <w:highlight w:val="none"/>
        </w:rPr>
      </w:pPr>
    </w:p>
    <w:p w14:paraId="7C4963D6">
      <w:pPr>
        <w:jc w:val="center"/>
        <w:rPr>
          <w:rFonts w:ascii="宋体" w:hAnsi="宋体" w:cs="宋体"/>
          <w:b/>
          <w:color w:val="auto"/>
          <w:kern w:val="0"/>
          <w:sz w:val="32"/>
          <w:szCs w:val="32"/>
          <w:highlight w:val="none"/>
        </w:rPr>
      </w:pPr>
    </w:p>
    <w:p w14:paraId="64ED0B23">
      <w:pPr>
        <w:jc w:val="center"/>
        <w:rPr>
          <w:rFonts w:ascii="宋体" w:hAnsi="宋体" w:cs="宋体"/>
          <w:b/>
          <w:color w:val="auto"/>
          <w:kern w:val="0"/>
          <w:sz w:val="32"/>
          <w:szCs w:val="32"/>
          <w:highlight w:val="none"/>
        </w:rPr>
      </w:pPr>
    </w:p>
    <w:p w14:paraId="27840E14">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77B9C818">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五、评标标准相应的商务技术资料</w:t>
      </w:r>
    </w:p>
    <w:p w14:paraId="7C2CBE31">
      <w:pPr>
        <w:pStyle w:val="6"/>
        <w:spacing w:line="360" w:lineRule="auto"/>
        <w:ind w:firstLine="0"/>
        <w:rPr>
          <w:rFonts w:hint="eastAsia" w:hAnsi="宋体" w:cs="宋体"/>
          <w:b w:val="0"/>
          <w:bCs/>
          <w:color w:val="auto"/>
          <w:kern w:val="0"/>
          <w:sz w:val="21"/>
          <w:szCs w:val="21"/>
          <w:highlight w:val="none"/>
          <w:lang w:val="en-US" w:eastAsia="zh-CN"/>
        </w:rPr>
      </w:pPr>
    </w:p>
    <w:p w14:paraId="4D248EFB">
      <w:pPr>
        <w:pStyle w:val="6"/>
        <w:spacing w:line="360" w:lineRule="auto"/>
        <w:ind w:firstLine="0"/>
        <w:rPr>
          <w:rFonts w:hint="default" w:ascii="宋体" w:hAnsi="宋体" w:eastAsia="宋体" w:cs="宋体"/>
          <w:b w:val="0"/>
          <w:bCs/>
          <w:color w:val="auto"/>
          <w:kern w:val="0"/>
          <w:sz w:val="21"/>
          <w:szCs w:val="21"/>
          <w:highlight w:val="none"/>
          <w:lang w:val="en-US" w:eastAsia="zh-CN"/>
        </w:rPr>
      </w:pPr>
      <w:r>
        <w:rPr>
          <w:rFonts w:hint="eastAsia" w:hAnsi="宋体" w:cs="宋体"/>
          <w:b w:val="0"/>
          <w:bCs/>
          <w:color w:val="auto"/>
          <w:kern w:val="0"/>
          <w:sz w:val="21"/>
          <w:szCs w:val="21"/>
          <w:highlight w:val="none"/>
          <w:lang w:val="en-US" w:eastAsia="zh-CN"/>
        </w:rPr>
        <w:t>项目名称：</w:t>
      </w:r>
    </w:p>
    <w:p w14:paraId="57FC089A">
      <w:pPr>
        <w:pStyle w:val="6"/>
        <w:ind w:left="0" w:leftChars="0" w:firstLine="0" w:firstLineChars="0"/>
        <w:rPr>
          <w:rFonts w:hint="eastAsia" w:ascii="宋体" w:hAnsi="宋体" w:cs="宋体"/>
          <w:bCs/>
          <w:color w:val="auto"/>
          <w:sz w:val="21"/>
          <w:szCs w:val="21"/>
          <w:highlight w:val="none"/>
          <w:lang w:eastAsia="zh-CN"/>
        </w:rPr>
      </w:pPr>
      <w:r>
        <w:rPr>
          <w:rFonts w:hint="eastAsia" w:ascii="宋体" w:hAnsi="宋体" w:cs="宋体"/>
          <w:bCs/>
          <w:color w:val="auto"/>
          <w:sz w:val="21"/>
          <w:szCs w:val="21"/>
          <w:highlight w:val="none"/>
          <w:lang w:eastAsia="zh-CN"/>
        </w:rPr>
        <w:t>项目编号：</w:t>
      </w:r>
    </w:p>
    <w:p w14:paraId="2133FAA9">
      <w:pPr>
        <w:pStyle w:val="6"/>
        <w:ind w:firstLine="0"/>
        <w:rPr>
          <w:color w:val="auto"/>
          <w:highlight w:val="none"/>
        </w:rPr>
      </w:pPr>
      <w:r>
        <w:rPr>
          <w:rFonts w:hint="eastAsia" w:hAnsi="宋体" w:cs="宋体"/>
          <w:bCs/>
          <w:color w:val="auto"/>
          <w:sz w:val="21"/>
          <w:szCs w:val="21"/>
          <w:highlight w:val="none"/>
          <w:lang w:val="en-US" w:eastAsia="zh-CN"/>
        </w:rPr>
        <w:t>标项号：</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FAA1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04F848E7">
            <w:pPr>
              <w:snapToGrid w:val="0"/>
              <w:spacing w:line="600" w:lineRule="exact"/>
              <w:rPr>
                <w:rFonts w:ascii="宋体" w:hAnsi="宋体" w:cs="宋体"/>
                <w:color w:val="auto"/>
                <w:sz w:val="24"/>
                <w:highlight w:val="none"/>
              </w:rPr>
            </w:pPr>
            <w:r>
              <w:rPr>
                <w:rFonts w:hint="eastAsia" w:ascii="宋体" w:hAnsi="宋体" w:cs="宋体"/>
                <w:color w:val="auto"/>
                <w:sz w:val="24"/>
                <w:highlight w:val="none"/>
                <w:lang w:bidi="ar"/>
              </w:rPr>
              <w:t>序号</w:t>
            </w:r>
          </w:p>
        </w:tc>
        <w:tc>
          <w:tcPr>
            <w:tcW w:w="5465" w:type="dxa"/>
            <w:tcBorders>
              <w:top w:val="single" w:color="auto" w:sz="4" w:space="0"/>
              <w:left w:val="nil"/>
              <w:bottom w:val="single" w:color="auto" w:sz="4" w:space="0"/>
              <w:right w:val="single" w:color="auto" w:sz="4" w:space="0"/>
            </w:tcBorders>
          </w:tcPr>
          <w:p w14:paraId="097AC077">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tcPr>
          <w:p w14:paraId="77A27505">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投标文件中的页码位置</w:t>
            </w:r>
          </w:p>
        </w:tc>
      </w:tr>
      <w:tr w14:paraId="3C599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77090BFD">
            <w:pPr>
              <w:snapToGrid w:val="0"/>
              <w:spacing w:line="600" w:lineRule="exact"/>
              <w:rPr>
                <w:rFonts w:ascii="宋体" w:hAnsi="宋体" w:cs="宋体"/>
                <w:color w:val="auto"/>
                <w:sz w:val="24"/>
                <w:highlight w:val="none"/>
              </w:rPr>
            </w:pPr>
            <w:r>
              <w:rPr>
                <w:rFonts w:hint="eastAsia" w:ascii="宋体" w:hAnsi="宋体" w:cs="宋体"/>
                <w:color w:val="auto"/>
                <w:sz w:val="24"/>
                <w:highlight w:val="none"/>
                <w:lang w:bidi="ar"/>
              </w:rPr>
              <w:t>1</w:t>
            </w:r>
          </w:p>
        </w:tc>
        <w:tc>
          <w:tcPr>
            <w:tcW w:w="5465" w:type="dxa"/>
            <w:tcBorders>
              <w:top w:val="single" w:color="auto" w:sz="4" w:space="0"/>
              <w:left w:val="nil"/>
              <w:bottom w:val="single" w:color="auto" w:sz="4" w:space="0"/>
              <w:right w:val="single" w:color="auto" w:sz="4" w:space="0"/>
            </w:tcBorders>
          </w:tcPr>
          <w:p w14:paraId="10B7F3EC">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XXX</w:t>
            </w:r>
          </w:p>
        </w:tc>
        <w:tc>
          <w:tcPr>
            <w:tcW w:w="3046" w:type="dxa"/>
            <w:tcBorders>
              <w:top w:val="single" w:color="auto" w:sz="4" w:space="0"/>
              <w:left w:val="nil"/>
              <w:bottom w:val="single" w:color="auto" w:sz="4" w:space="0"/>
              <w:right w:val="single" w:color="auto" w:sz="4" w:space="0"/>
            </w:tcBorders>
          </w:tcPr>
          <w:p w14:paraId="59D6FDD9">
            <w:pPr>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见投标文件第</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页</w:t>
            </w:r>
          </w:p>
        </w:tc>
      </w:tr>
      <w:tr w14:paraId="14313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519D6D45">
            <w:pPr>
              <w:snapToGrid w:val="0"/>
              <w:spacing w:line="600" w:lineRule="exact"/>
              <w:rPr>
                <w:rFonts w:ascii="宋体" w:hAnsi="宋体" w:cs="宋体"/>
                <w:color w:val="auto"/>
                <w:sz w:val="24"/>
                <w:highlight w:val="none"/>
              </w:rPr>
            </w:pPr>
            <w:r>
              <w:rPr>
                <w:rFonts w:hint="eastAsia" w:ascii="宋体" w:hAnsi="宋体" w:cs="宋体"/>
                <w:color w:val="auto"/>
                <w:sz w:val="24"/>
                <w:highlight w:val="none"/>
                <w:lang w:bidi="ar"/>
              </w:rPr>
              <w:t>2</w:t>
            </w:r>
          </w:p>
        </w:tc>
        <w:tc>
          <w:tcPr>
            <w:tcW w:w="5465" w:type="dxa"/>
            <w:tcBorders>
              <w:top w:val="single" w:color="auto" w:sz="4" w:space="0"/>
              <w:left w:val="nil"/>
              <w:bottom w:val="single" w:color="auto" w:sz="4" w:space="0"/>
              <w:right w:val="single" w:color="auto" w:sz="4" w:space="0"/>
            </w:tcBorders>
          </w:tcPr>
          <w:p w14:paraId="78A9692A">
            <w:pPr>
              <w:snapToGrid w:val="0"/>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XXX</w:t>
            </w:r>
          </w:p>
        </w:tc>
        <w:tc>
          <w:tcPr>
            <w:tcW w:w="3046" w:type="dxa"/>
            <w:tcBorders>
              <w:top w:val="single" w:color="auto" w:sz="4" w:space="0"/>
              <w:left w:val="nil"/>
              <w:bottom w:val="single" w:color="auto" w:sz="4" w:space="0"/>
              <w:right w:val="single" w:color="auto" w:sz="4" w:space="0"/>
            </w:tcBorders>
          </w:tcPr>
          <w:p w14:paraId="048FD0CA">
            <w:pPr>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见投标文件第</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页</w:t>
            </w:r>
          </w:p>
        </w:tc>
      </w:tr>
      <w:tr w14:paraId="2A24A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3CEAC372">
            <w:pPr>
              <w:snapToGrid w:val="0"/>
              <w:spacing w:line="600" w:lineRule="exact"/>
              <w:rPr>
                <w:rFonts w:ascii="宋体" w:hAnsi="宋体" w:cs="宋体"/>
                <w:color w:val="auto"/>
                <w:sz w:val="24"/>
                <w:highlight w:val="none"/>
              </w:rPr>
            </w:pPr>
            <w:r>
              <w:rPr>
                <w:rFonts w:hint="eastAsia" w:ascii="宋体" w:hAnsi="宋体" w:cs="宋体"/>
                <w:color w:val="auto"/>
                <w:kern w:val="0"/>
                <w:sz w:val="24"/>
                <w:highlight w:val="none"/>
                <w:lang w:bidi="ar"/>
              </w:rPr>
              <w:t>……</w:t>
            </w:r>
          </w:p>
        </w:tc>
        <w:tc>
          <w:tcPr>
            <w:tcW w:w="5465" w:type="dxa"/>
            <w:tcBorders>
              <w:top w:val="single" w:color="auto" w:sz="4" w:space="0"/>
              <w:left w:val="nil"/>
              <w:bottom w:val="single" w:color="auto" w:sz="4" w:space="0"/>
              <w:right w:val="single" w:color="auto" w:sz="4" w:space="0"/>
            </w:tcBorders>
          </w:tcPr>
          <w:p w14:paraId="043B3CB3">
            <w:pPr>
              <w:snapToGrid w:val="0"/>
              <w:spacing w:line="600" w:lineRule="exact"/>
              <w:ind w:firstLine="480" w:firstLineChars="200"/>
              <w:jc w:val="center"/>
              <w:rPr>
                <w:rFonts w:ascii="宋体" w:hAnsi="宋体" w:cs="宋体"/>
                <w:color w:val="auto"/>
                <w:sz w:val="24"/>
                <w:highlight w:val="none"/>
              </w:rPr>
            </w:pPr>
          </w:p>
        </w:tc>
        <w:tc>
          <w:tcPr>
            <w:tcW w:w="3046" w:type="dxa"/>
            <w:tcBorders>
              <w:top w:val="single" w:color="auto" w:sz="4" w:space="0"/>
              <w:left w:val="nil"/>
              <w:bottom w:val="single" w:color="auto" w:sz="4" w:space="0"/>
              <w:right w:val="single" w:color="auto" w:sz="4" w:space="0"/>
            </w:tcBorders>
          </w:tcPr>
          <w:p w14:paraId="4FB95F98">
            <w:pPr>
              <w:spacing w:line="600" w:lineRule="exact"/>
              <w:ind w:firstLine="480" w:firstLineChars="200"/>
              <w:jc w:val="center"/>
              <w:rPr>
                <w:rFonts w:ascii="宋体" w:hAnsi="宋体" w:cs="宋体"/>
                <w:color w:val="auto"/>
                <w:sz w:val="24"/>
                <w:highlight w:val="none"/>
              </w:rPr>
            </w:pPr>
            <w:r>
              <w:rPr>
                <w:rFonts w:hint="eastAsia" w:ascii="宋体" w:hAnsi="宋体" w:cs="宋体"/>
                <w:color w:val="auto"/>
                <w:sz w:val="24"/>
                <w:highlight w:val="none"/>
                <w:lang w:bidi="ar"/>
              </w:rPr>
              <w:t>见投标文件第</w:t>
            </w:r>
            <w:r>
              <w:rPr>
                <w:rFonts w:hint="eastAsia" w:ascii="宋体" w:hAnsi="宋体" w:cs="宋体"/>
                <w:color w:val="auto"/>
                <w:sz w:val="24"/>
                <w:highlight w:val="none"/>
                <w:u w:val="single"/>
                <w:lang w:bidi="ar"/>
              </w:rPr>
              <w:t xml:space="preserve">  </w:t>
            </w:r>
            <w:r>
              <w:rPr>
                <w:rFonts w:hint="eastAsia" w:ascii="宋体" w:hAnsi="宋体" w:cs="宋体"/>
                <w:color w:val="auto"/>
                <w:sz w:val="24"/>
                <w:highlight w:val="none"/>
                <w:lang w:bidi="ar"/>
              </w:rPr>
              <w:t>页</w:t>
            </w:r>
          </w:p>
        </w:tc>
      </w:tr>
    </w:tbl>
    <w:p w14:paraId="0B674242">
      <w:pPr>
        <w:jc w:val="center"/>
        <w:rPr>
          <w:rFonts w:ascii="宋体" w:hAnsi="宋体" w:cs="宋体"/>
          <w:b/>
          <w:color w:val="auto"/>
          <w:kern w:val="0"/>
          <w:sz w:val="32"/>
          <w:szCs w:val="32"/>
          <w:highlight w:val="none"/>
        </w:rPr>
      </w:pPr>
    </w:p>
    <w:p w14:paraId="0DAFCCA9">
      <w:pPr>
        <w:jc w:val="center"/>
        <w:rPr>
          <w:rFonts w:ascii="宋体" w:hAnsi="宋体" w:cs="宋体"/>
          <w:b/>
          <w:color w:val="auto"/>
          <w:kern w:val="0"/>
          <w:sz w:val="32"/>
          <w:szCs w:val="32"/>
          <w:highlight w:val="none"/>
        </w:rPr>
      </w:pPr>
    </w:p>
    <w:p w14:paraId="0849EFF5">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1A2EC1DF">
      <w:p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p w14:paraId="465E1248">
      <w:pPr>
        <w:pStyle w:val="6"/>
        <w:spacing w:line="360" w:lineRule="auto"/>
        <w:ind w:firstLine="0"/>
        <w:rPr>
          <w:rFonts w:hint="eastAsia" w:hAnsi="宋体" w:cs="宋体"/>
          <w:b w:val="0"/>
          <w:bCs/>
          <w:color w:val="auto"/>
          <w:kern w:val="0"/>
          <w:sz w:val="21"/>
          <w:szCs w:val="21"/>
          <w:highlight w:val="none"/>
          <w:lang w:val="en-US" w:eastAsia="zh-CN"/>
        </w:rPr>
      </w:pPr>
    </w:p>
    <w:p w14:paraId="58D6CC08">
      <w:pPr>
        <w:pStyle w:val="6"/>
        <w:spacing w:line="360" w:lineRule="auto"/>
        <w:ind w:firstLine="0"/>
        <w:rPr>
          <w:rFonts w:hint="default" w:ascii="宋体" w:hAnsi="宋体" w:eastAsia="宋体" w:cs="宋体"/>
          <w:b w:val="0"/>
          <w:bCs/>
          <w:color w:val="auto"/>
          <w:kern w:val="0"/>
          <w:sz w:val="21"/>
          <w:szCs w:val="21"/>
          <w:highlight w:val="none"/>
          <w:lang w:val="en-US" w:eastAsia="zh-CN"/>
        </w:rPr>
      </w:pPr>
      <w:r>
        <w:rPr>
          <w:rFonts w:hint="eastAsia" w:hAnsi="宋体" w:cs="宋体"/>
          <w:b w:val="0"/>
          <w:bCs/>
          <w:color w:val="auto"/>
          <w:kern w:val="0"/>
          <w:sz w:val="21"/>
          <w:szCs w:val="21"/>
          <w:highlight w:val="none"/>
          <w:lang w:val="en-US" w:eastAsia="zh-CN"/>
        </w:rPr>
        <w:t>项目名称：</w:t>
      </w:r>
    </w:p>
    <w:p w14:paraId="701E1FF9">
      <w:pPr>
        <w:pStyle w:val="6"/>
        <w:ind w:left="0" w:leftChars="0" w:firstLine="0" w:firstLineChars="0"/>
        <w:rPr>
          <w:rFonts w:hint="eastAsia" w:ascii="宋体" w:hAnsi="宋体" w:cs="宋体"/>
          <w:bCs/>
          <w:color w:val="auto"/>
          <w:sz w:val="21"/>
          <w:szCs w:val="21"/>
          <w:highlight w:val="none"/>
          <w:lang w:eastAsia="zh-CN"/>
        </w:rPr>
      </w:pPr>
      <w:r>
        <w:rPr>
          <w:rFonts w:hint="eastAsia" w:ascii="宋体" w:hAnsi="宋体" w:cs="宋体"/>
          <w:bCs/>
          <w:color w:val="auto"/>
          <w:sz w:val="21"/>
          <w:szCs w:val="21"/>
          <w:highlight w:val="none"/>
          <w:lang w:eastAsia="zh-CN"/>
        </w:rPr>
        <w:t>项目编号：</w:t>
      </w:r>
    </w:p>
    <w:p w14:paraId="0968B75A">
      <w:pPr>
        <w:pStyle w:val="6"/>
        <w:ind w:firstLine="0"/>
        <w:rPr>
          <w:color w:val="auto"/>
          <w:highlight w:val="none"/>
        </w:rPr>
      </w:pPr>
      <w:r>
        <w:rPr>
          <w:rFonts w:hint="eastAsia" w:hAnsi="宋体" w:cs="宋体"/>
          <w:bCs/>
          <w:color w:val="auto"/>
          <w:sz w:val="21"/>
          <w:szCs w:val="21"/>
          <w:highlight w:val="none"/>
          <w:lang w:val="en-US" w:eastAsia="zh-CN"/>
        </w:rPr>
        <w:t>标项号：</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1308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675D5B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ACAD54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66800233">
            <w:pPr>
              <w:spacing w:line="360" w:lineRule="auto"/>
              <w:jc w:val="center"/>
              <w:rPr>
                <w:rFonts w:ascii="宋体" w:hAnsi="宋体" w:cs="宋体"/>
                <w:b/>
                <w:color w:val="auto"/>
                <w:sz w:val="24"/>
                <w:highlight w:val="none"/>
              </w:rPr>
            </w:pPr>
          </w:p>
          <w:p w14:paraId="7E0A30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1C96A7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82188D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A2A2BF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07C3182D">
            <w:pPr>
              <w:spacing w:line="360" w:lineRule="auto"/>
              <w:jc w:val="center"/>
              <w:rPr>
                <w:rFonts w:ascii="宋体" w:hAnsi="宋体" w:cs="宋体"/>
                <w:b/>
                <w:color w:val="auto"/>
                <w:sz w:val="24"/>
                <w:highlight w:val="none"/>
              </w:rPr>
            </w:pPr>
          </w:p>
          <w:p w14:paraId="58F3CCC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EF41768">
            <w:pPr>
              <w:spacing w:line="360" w:lineRule="auto"/>
              <w:jc w:val="center"/>
              <w:rPr>
                <w:rFonts w:ascii="宋体" w:hAnsi="宋体" w:cs="宋体"/>
                <w:b/>
                <w:color w:val="auto"/>
                <w:sz w:val="24"/>
                <w:highlight w:val="none"/>
              </w:rPr>
            </w:pPr>
          </w:p>
        </w:tc>
      </w:tr>
      <w:tr w14:paraId="11B39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4455B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8EEE9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E1D2A4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0641E6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36C5E2B">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2B31295">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81342F1">
            <w:pPr>
              <w:spacing w:line="360" w:lineRule="auto"/>
              <w:jc w:val="center"/>
              <w:rPr>
                <w:rFonts w:ascii="宋体" w:hAnsi="宋体" w:cs="宋体"/>
                <w:color w:val="auto"/>
                <w:sz w:val="24"/>
                <w:highlight w:val="none"/>
              </w:rPr>
            </w:pPr>
          </w:p>
        </w:tc>
      </w:tr>
      <w:tr w14:paraId="4F5EB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C159CA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4A2F7902">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3CC81C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23049D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5126E3A">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3A14C0D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732F60E0">
            <w:pPr>
              <w:spacing w:line="360" w:lineRule="auto"/>
              <w:jc w:val="center"/>
              <w:rPr>
                <w:rFonts w:ascii="宋体" w:hAnsi="宋体" w:cs="宋体"/>
                <w:color w:val="auto"/>
                <w:sz w:val="24"/>
                <w:highlight w:val="none"/>
              </w:rPr>
            </w:pPr>
          </w:p>
        </w:tc>
      </w:tr>
      <w:tr w14:paraId="25A99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B96C02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24AB12C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1388DE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173781A">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607364A">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2F7F87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D244934">
            <w:pPr>
              <w:spacing w:line="360" w:lineRule="auto"/>
              <w:jc w:val="center"/>
              <w:rPr>
                <w:rFonts w:ascii="宋体" w:hAnsi="宋体" w:cs="宋体"/>
                <w:color w:val="auto"/>
                <w:sz w:val="24"/>
                <w:highlight w:val="none"/>
              </w:rPr>
            </w:pPr>
          </w:p>
        </w:tc>
      </w:tr>
    </w:tbl>
    <w:p w14:paraId="07F175B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1B56BB2">
      <w:pPr>
        <w:jc w:val="center"/>
        <w:rPr>
          <w:rFonts w:ascii="宋体" w:hAnsi="宋体" w:cs="宋体"/>
          <w:b/>
          <w:color w:val="auto"/>
          <w:kern w:val="0"/>
          <w:sz w:val="32"/>
          <w:szCs w:val="32"/>
          <w:highlight w:val="none"/>
        </w:rPr>
      </w:pPr>
    </w:p>
    <w:p w14:paraId="19A8C8EA">
      <w:pPr>
        <w:jc w:val="center"/>
        <w:rPr>
          <w:rFonts w:ascii="宋体" w:hAnsi="宋体" w:cs="宋体"/>
          <w:b/>
          <w:color w:val="auto"/>
          <w:kern w:val="0"/>
          <w:sz w:val="32"/>
          <w:szCs w:val="32"/>
          <w:highlight w:val="none"/>
        </w:rPr>
      </w:pPr>
    </w:p>
    <w:p w14:paraId="4F32FE62">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A665F30">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p w14:paraId="4683AFF9">
      <w:pPr>
        <w:pStyle w:val="6"/>
        <w:spacing w:line="360" w:lineRule="auto"/>
        <w:ind w:firstLine="0"/>
        <w:rPr>
          <w:rFonts w:hint="eastAsia" w:hAnsi="宋体" w:cs="宋体"/>
          <w:b w:val="0"/>
          <w:bCs/>
          <w:color w:val="auto"/>
          <w:kern w:val="0"/>
          <w:sz w:val="21"/>
          <w:szCs w:val="21"/>
          <w:highlight w:val="none"/>
          <w:lang w:val="en-US" w:eastAsia="zh-CN"/>
        </w:rPr>
      </w:pPr>
    </w:p>
    <w:p w14:paraId="518FAF0D">
      <w:pPr>
        <w:pStyle w:val="6"/>
        <w:spacing w:line="360" w:lineRule="auto"/>
        <w:ind w:firstLine="0"/>
        <w:rPr>
          <w:rFonts w:hint="default" w:ascii="宋体" w:hAnsi="宋体" w:eastAsia="宋体" w:cs="宋体"/>
          <w:b w:val="0"/>
          <w:bCs/>
          <w:color w:val="auto"/>
          <w:kern w:val="0"/>
          <w:sz w:val="21"/>
          <w:szCs w:val="21"/>
          <w:highlight w:val="none"/>
          <w:lang w:val="en-US" w:eastAsia="zh-CN"/>
        </w:rPr>
      </w:pPr>
      <w:r>
        <w:rPr>
          <w:rFonts w:hint="eastAsia" w:hAnsi="宋体" w:cs="宋体"/>
          <w:b w:val="0"/>
          <w:bCs/>
          <w:color w:val="auto"/>
          <w:kern w:val="0"/>
          <w:sz w:val="21"/>
          <w:szCs w:val="21"/>
          <w:highlight w:val="none"/>
          <w:lang w:val="en-US" w:eastAsia="zh-CN"/>
        </w:rPr>
        <w:t>项目名称：</w:t>
      </w:r>
    </w:p>
    <w:p w14:paraId="135CA22B">
      <w:pPr>
        <w:pStyle w:val="6"/>
        <w:ind w:left="0" w:leftChars="0" w:firstLine="0" w:firstLineChars="0"/>
        <w:rPr>
          <w:rFonts w:hint="eastAsia" w:ascii="宋体" w:hAnsi="宋体" w:cs="宋体"/>
          <w:bCs/>
          <w:color w:val="auto"/>
          <w:sz w:val="21"/>
          <w:szCs w:val="21"/>
          <w:highlight w:val="none"/>
          <w:lang w:eastAsia="zh-CN"/>
        </w:rPr>
      </w:pPr>
      <w:r>
        <w:rPr>
          <w:rFonts w:hint="eastAsia" w:ascii="宋体" w:hAnsi="宋体" w:cs="宋体"/>
          <w:bCs/>
          <w:color w:val="auto"/>
          <w:sz w:val="21"/>
          <w:szCs w:val="21"/>
          <w:highlight w:val="none"/>
          <w:lang w:eastAsia="zh-CN"/>
        </w:rPr>
        <w:t>项目编号：</w:t>
      </w:r>
    </w:p>
    <w:p w14:paraId="320DBD9D">
      <w:pPr>
        <w:pStyle w:val="6"/>
        <w:ind w:left="0" w:leftChars="0" w:firstLine="0" w:firstLineChars="0"/>
        <w:rPr>
          <w:rFonts w:hint="default"/>
          <w:color w:val="auto"/>
          <w:highlight w:val="none"/>
          <w:lang w:val="en-US" w:eastAsia="zh-CN"/>
        </w:rPr>
      </w:pPr>
      <w:r>
        <w:rPr>
          <w:rFonts w:hint="eastAsia" w:hAnsi="宋体" w:cs="宋体"/>
          <w:bCs/>
          <w:color w:val="auto"/>
          <w:sz w:val="21"/>
          <w:szCs w:val="21"/>
          <w:highlight w:val="none"/>
          <w:lang w:val="en-US" w:eastAsia="zh-CN"/>
        </w:rPr>
        <w:t>标项号：</w:t>
      </w:r>
    </w:p>
    <w:p w14:paraId="6F9DC1FF">
      <w:pPr>
        <w:spacing w:line="360" w:lineRule="auto"/>
        <w:rPr>
          <w:color w:val="auto"/>
          <w:highlight w:val="none"/>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2087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59" w:type="dxa"/>
            <w:vAlign w:val="center"/>
          </w:tcPr>
          <w:p w14:paraId="19966B9D">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vAlign w:val="center"/>
          </w:tcPr>
          <w:p w14:paraId="38FB7D2E">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vAlign w:val="center"/>
          </w:tcPr>
          <w:p w14:paraId="35FF8181">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vAlign w:val="center"/>
          </w:tcPr>
          <w:p w14:paraId="72D43430">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58A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188A72BA">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vAlign w:val="center"/>
          </w:tcPr>
          <w:p w14:paraId="7DE6059D">
            <w:pPr>
              <w:jc w:val="center"/>
              <w:rPr>
                <w:rFonts w:ascii="宋体" w:hAnsi="宋体" w:cs="宋体"/>
                <w:b/>
                <w:color w:val="auto"/>
                <w:kern w:val="0"/>
                <w:sz w:val="32"/>
                <w:szCs w:val="32"/>
                <w:highlight w:val="none"/>
              </w:rPr>
            </w:pPr>
          </w:p>
        </w:tc>
        <w:tc>
          <w:tcPr>
            <w:tcW w:w="3546" w:type="dxa"/>
            <w:vAlign w:val="center"/>
          </w:tcPr>
          <w:p w14:paraId="410BF74E">
            <w:pPr>
              <w:jc w:val="center"/>
              <w:rPr>
                <w:rFonts w:ascii="宋体" w:hAnsi="宋体" w:cs="宋体"/>
                <w:b/>
                <w:color w:val="auto"/>
                <w:kern w:val="0"/>
                <w:sz w:val="32"/>
                <w:szCs w:val="32"/>
                <w:highlight w:val="none"/>
              </w:rPr>
            </w:pPr>
          </w:p>
        </w:tc>
        <w:tc>
          <w:tcPr>
            <w:tcW w:w="1276" w:type="dxa"/>
            <w:vAlign w:val="center"/>
          </w:tcPr>
          <w:p w14:paraId="570BCDA3">
            <w:pPr>
              <w:jc w:val="center"/>
              <w:rPr>
                <w:rFonts w:ascii="宋体" w:hAnsi="宋体" w:cs="宋体"/>
                <w:b/>
                <w:color w:val="auto"/>
                <w:kern w:val="0"/>
                <w:sz w:val="32"/>
                <w:szCs w:val="32"/>
                <w:highlight w:val="none"/>
              </w:rPr>
            </w:pPr>
          </w:p>
        </w:tc>
      </w:tr>
      <w:tr w14:paraId="35CB3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41725218">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vAlign w:val="center"/>
          </w:tcPr>
          <w:p w14:paraId="67801E61">
            <w:pPr>
              <w:jc w:val="center"/>
              <w:rPr>
                <w:rFonts w:ascii="宋体" w:hAnsi="宋体" w:cs="宋体"/>
                <w:b/>
                <w:color w:val="auto"/>
                <w:kern w:val="0"/>
                <w:sz w:val="32"/>
                <w:szCs w:val="32"/>
                <w:highlight w:val="none"/>
              </w:rPr>
            </w:pPr>
          </w:p>
        </w:tc>
        <w:tc>
          <w:tcPr>
            <w:tcW w:w="3546" w:type="dxa"/>
            <w:vAlign w:val="center"/>
          </w:tcPr>
          <w:p w14:paraId="09D072A1">
            <w:pPr>
              <w:jc w:val="center"/>
              <w:rPr>
                <w:rFonts w:ascii="宋体" w:hAnsi="宋体" w:cs="宋体"/>
                <w:b/>
                <w:color w:val="auto"/>
                <w:kern w:val="0"/>
                <w:sz w:val="32"/>
                <w:szCs w:val="32"/>
                <w:highlight w:val="none"/>
              </w:rPr>
            </w:pPr>
          </w:p>
        </w:tc>
        <w:tc>
          <w:tcPr>
            <w:tcW w:w="1276" w:type="dxa"/>
            <w:vAlign w:val="center"/>
          </w:tcPr>
          <w:p w14:paraId="4D03633B">
            <w:pPr>
              <w:jc w:val="center"/>
              <w:rPr>
                <w:rFonts w:ascii="宋体" w:hAnsi="宋体" w:cs="宋体"/>
                <w:b/>
                <w:color w:val="auto"/>
                <w:kern w:val="0"/>
                <w:sz w:val="32"/>
                <w:szCs w:val="32"/>
                <w:highlight w:val="none"/>
              </w:rPr>
            </w:pPr>
          </w:p>
        </w:tc>
      </w:tr>
      <w:tr w14:paraId="163A6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7FC9846C">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vAlign w:val="center"/>
          </w:tcPr>
          <w:p w14:paraId="1324D907">
            <w:pPr>
              <w:jc w:val="center"/>
              <w:rPr>
                <w:rFonts w:ascii="宋体" w:hAnsi="宋体" w:cs="宋体"/>
                <w:b/>
                <w:color w:val="auto"/>
                <w:kern w:val="0"/>
                <w:sz w:val="32"/>
                <w:szCs w:val="32"/>
                <w:highlight w:val="none"/>
              </w:rPr>
            </w:pPr>
          </w:p>
        </w:tc>
        <w:tc>
          <w:tcPr>
            <w:tcW w:w="3546" w:type="dxa"/>
            <w:vAlign w:val="center"/>
          </w:tcPr>
          <w:p w14:paraId="1B521F02">
            <w:pPr>
              <w:jc w:val="center"/>
              <w:rPr>
                <w:rFonts w:ascii="宋体" w:hAnsi="宋体" w:cs="宋体"/>
                <w:b/>
                <w:color w:val="auto"/>
                <w:kern w:val="0"/>
                <w:sz w:val="32"/>
                <w:szCs w:val="32"/>
                <w:highlight w:val="none"/>
              </w:rPr>
            </w:pPr>
          </w:p>
        </w:tc>
        <w:tc>
          <w:tcPr>
            <w:tcW w:w="1276" w:type="dxa"/>
            <w:vAlign w:val="center"/>
          </w:tcPr>
          <w:p w14:paraId="539520BD">
            <w:pPr>
              <w:jc w:val="center"/>
              <w:rPr>
                <w:rFonts w:ascii="宋体" w:hAnsi="宋体" w:cs="宋体"/>
                <w:b/>
                <w:color w:val="auto"/>
                <w:kern w:val="0"/>
                <w:sz w:val="32"/>
                <w:szCs w:val="32"/>
                <w:highlight w:val="none"/>
              </w:rPr>
            </w:pPr>
          </w:p>
        </w:tc>
      </w:tr>
    </w:tbl>
    <w:p w14:paraId="34A4EFCC">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E9E43A4">
      <w:pPr>
        <w:jc w:val="center"/>
        <w:rPr>
          <w:rFonts w:ascii="宋体" w:hAnsi="宋体" w:cs="宋体"/>
          <w:b/>
          <w:color w:val="auto"/>
          <w:kern w:val="0"/>
          <w:sz w:val="32"/>
          <w:szCs w:val="32"/>
          <w:highlight w:val="none"/>
        </w:rPr>
      </w:pPr>
    </w:p>
    <w:p w14:paraId="5311059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14:paraId="2CAE5971">
      <w:pPr>
        <w:pStyle w:val="89"/>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2.本表格所反映的偏离情况与“符合性审查资料”、“评标标准相应的商务技术资料”不一致的，以“符合性审查资料”、“评标标准相应的商务技术资料”为准。</w:t>
      </w:r>
    </w:p>
    <w:p w14:paraId="65D37ECA">
      <w:pPr>
        <w:pStyle w:val="89"/>
        <w:ind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3.投标人须保证：除商务技术偏离表列出的偏离外，投标人响应招标文件的全部非实质性要求。</w:t>
      </w:r>
    </w:p>
    <w:p w14:paraId="347956D6">
      <w:pPr>
        <w:widowControl/>
        <w:adjustRightInd/>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4DF12089">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856D8F9">
      <w:pPr>
        <w:snapToGrid w:val="0"/>
        <w:spacing w:line="360" w:lineRule="auto"/>
        <w:rPr>
          <w:rFonts w:ascii="宋体" w:hAnsi="宋体" w:cs="宋体"/>
          <w:color w:val="auto"/>
          <w:sz w:val="24"/>
          <w:highlight w:val="none"/>
        </w:rPr>
      </w:pPr>
    </w:p>
    <w:p w14:paraId="4252073C">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7278266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37A3EDC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3A8E9D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5D18C55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9C5CE8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4DB421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B42F212">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1418898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BC8855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FC53032">
      <w:pPr>
        <w:autoSpaceDE w:val="0"/>
        <w:autoSpaceDN w:val="0"/>
        <w:spacing w:line="360" w:lineRule="auto"/>
        <w:ind w:left="2"/>
        <w:jc w:val="left"/>
        <w:rPr>
          <w:rFonts w:ascii="宋体" w:hAnsi="宋体" w:cs="宋体"/>
          <w:color w:val="auto"/>
          <w:kern w:val="0"/>
          <w:sz w:val="24"/>
          <w:highlight w:val="none"/>
          <w:lang w:val="zh-CN"/>
        </w:rPr>
      </w:pPr>
    </w:p>
    <w:p w14:paraId="6A2A368E">
      <w:pPr>
        <w:autoSpaceDE w:val="0"/>
        <w:autoSpaceDN w:val="0"/>
        <w:spacing w:line="360" w:lineRule="auto"/>
        <w:ind w:left="2"/>
        <w:jc w:val="left"/>
        <w:rPr>
          <w:rFonts w:ascii="宋体" w:hAnsi="宋体" w:cs="宋体"/>
          <w:color w:val="auto"/>
          <w:kern w:val="0"/>
          <w:sz w:val="24"/>
          <w:highlight w:val="none"/>
          <w:lang w:val="zh-CN"/>
        </w:rPr>
      </w:pPr>
    </w:p>
    <w:p w14:paraId="33177DD4">
      <w:pPr>
        <w:autoSpaceDE w:val="0"/>
        <w:autoSpaceDN w:val="0"/>
        <w:spacing w:line="360" w:lineRule="auto"/>
        <w:ind w:left="2"/>
        <w:jc w:val="left"/>
        <w:rPr>
          <w:rFonts w:ascii="宋体" w:hAnsi="宋体" w:cs="宋体"/>
          <w:color w:val="auto"/>
          <w:kern w:val="0"/>
          <w:sz w:val="24"/>
          <w:highlight w:val="none"/>
          <w:lang w:val="zh-CN"/>
        </w:rPr>
      </w:pPr>
    </w:p>
    <w:p w14:paraId="7A0B3E05">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47D8871">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6BDC5A1F">
      <w:pPr>
        <w:spacing w:line="360" w:lineRule="auto"/>
        <w:jc w:val="center"/>
        <w:rPr>
          <w:rFonts w:ascii="宋体" w:hAnsi="宋体" w:cs="宋体"/>
          <w:b/>
          <w:bCs/>
          <w:color w:val="auto"/>
          <w:sz w:val="24"/>
          <w:highlight w:val="none"/>
        </w:rPr>
      </w:pPr>
    </w:p>
    <w:p w14:paraId="69731E8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5EBC18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61D6EC9">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21EB464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F5960B5">
      <w:pPr>
        <w:spacing w:line="360" w:lineRule="auto"/>
        <w:jc w:val="center"/>
        <w:outlineLvl w:val="0"/>
        <w:rPr>
          <w:rFonts w:ascii="宋体" w:hAnsi="宋体" w:cs="宋体"/>
          <w:b/>
          <w:color w:val="auto"/>
          <w:kern w:val="0"/>
          <w:sz w:val="36"/>
          <w:szCs w:val="36"/>
          <w:highlight w:val="none"/>
        </w:rPr>
      </w:pPr>
    </w:p>
    <w:p w14:paraId="07E2BE4E">
      <w:pPr>
        <w:numPr>
          <w:ilvl w:val="0"/>
          <w:numId w:val="5"/>
        </w:num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开标一览表（报价表）………………………………………………………（页码）</w:t>
      </w:r>
    </w:p>
    <w:p w14:paraId="465200E1">
      <w:pPr>
        <w:numPr>
          <w:ilvl w:val="0"/>
          <w:numId w:val="0"/>
        </w:numPr>
        <w:spacing w:line="360" w:lineRule="auto"/>
        <w:ind w:leftChars="0"/>
        <w:rPr>
          <w:rFonts w:hint="default" w:eastAsia="宋体"/>
          <w:color w:val="auto"/>
          <w:highlight w:val="none"/>
          <w:lang w:val="en-US"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2）中小企业声明函</w:t>
      </w:r>
      <w:r>
        <w:rPr>
          <w:rFonts w:hint="eastAsia" w:ascii="宋体" w:hAnsi="宋体" w:cs="宋体"/>
          <w:bCs/>
          <w:snapToGrid w:val="0"/>
          <w:color w:val="auto"/>
          <w:sz w:val="24"/>
          <w:highlight w:val="none"/>
        </w:rPr>
        <w:t>（如有）</w:t>
      </w:r>
      <w:r>
        <w:rPr>
          <w:rFonts w:hint="eastAsia" w:ascii="宋体" w:hAnsi="宋体" w:cs="宋体"/>
          <w:color w:val="auto"/>
          <w:sz w:val="24"/>
          <w:highlight w:val="none"/>
        </w:rPr>
        <w:t>……………………………………………………（页码）</w:t>
      </w:r>
    </w:p>
    <w:p w14:paraId="75D1F575">
      <w:pPr>
        <w:pStyle w:val="91"/>
        <w:rPr>
          <w:rFonts w:ascii="宋体" w:hAnsi="宋体" w:eastAsia="宋体" w:cs="宋体"/>
          <w:color w:val="auto"/>
          <w:highlight w:val="none"/>
        </w:rPr>
      </w:pPr>
    </w:p>
    <w:p w14:paraId="23228C8E">
      <w:pPr>
        <w:pStyle w:val="91"/>
        <w:rPr>
          <w:rFonts w:ascii="宋体" w:hAnsi="宋体" w:eastAsia="宋体" w:cs="宋体"/>
          <w:color w:val="auto"/>
          <w:highlight w:val="none"/>
        </w:rPr>
      </w:pPr>
    </w:p>
    <w:p w14:paraId="1006E44B">
      <w:pPr>
        <w:snapToGrid w:val="0"/>
        <w:spacing w:line="360" w:lineRule="auto"/>
        <w:ind w:right="480"/>
        <w:jc w:val="center"/>
        <w:rPr>
          <w:rFonts w:ascii="宋体" w:hAnsi="宋体" w:cs="宋体"/>
          <w:b/>
          <w:color w:val="auto"/>
          <w:kern w:val="0"/>
          <w:sz w:val="32"/>
          <w:szCs w:val="32"/>
          <w:highlight w:val="none"/>
        </w:rPr>
      </w:pPr>
    </w:p>
    <w:p w14:paraId="269D46ED">
      <w:pPr>
        <w:snapToGrid w:val="0"/>
        <w:spacing w:line="360" w:lineRule="auto"/>
        <w:ind w:right="480"/>
        <w:jc w:val="center"/>
        <w:rPr>
          <w:rFonts w:ascii="宋体" w:hAnsi="宋体" w:cs="宋体"/>
          <w:b/>
          <w:color w:val="auto"/>
          <w:kern w:val="0"/>
          <w:sz w:val="32"/>
          <w:szCs w:val="32"/>
          <w:highlight w:val="none"/>
        </w:rPr>
      </w:pPr>
    </w:p>
    <w:p w14:paraId="2D26DFC0">
      <w:pPr>
        <w:snapToGrid w:val="0"/>
        <w:spacing w:line="360" w:lineRule="auto"/>
        <w:ind w:right="480"/>
        <w:jc w:val="center"/>
        <w:rPr>
          <w:rFonts w:ascii="宋体" w:hAnsi="宋体" w:cs="宋体"/>
          <w:b/>
          <w:color w:val="auto"/>
          <w:kern w:val="0"/>
          <w:sz w:val="32"/>
          <w:szCs w:val="32"/>
          <w:highlight w:val="none"/>
        </w:rPr>
      </w:pPr>
    </w:p>
    <w:p w14:paraId="670E60C8">
      <w:pPr>
        <w:snapToGrid w:val="0"/>
        <w:spacing w:line="360" w:lineRule="auto"/>
        <w:ind w:right="480"/>
        <w:jc w:val="center"/>
        <w:rPr>
          <w:rFonts w:ascii="宋体" w:hAnsi="宋体" w:cs="宋体"/>
          <w:b/>
          <w:color w:val="auto"/>
          <w:kern w:val="0"/>
          <w:sz w:val="32"/>
          <w:szCs w:val="32"/>
          <w:highlight w:val="none"/>
        </w:rPr>
      </w:pPr>
    </w:p>
    <w:p w14:paraId="3486D942">
      <w:pPr>
        <w:snapToGrid w:val="0"/>
        <w:spacing w:line="360" w:lineRule="auto"/>
        <w:ind w:right="480"/>
        <w:jc w:val="center"/>
        <w:rPr>
          <w:rFonts w:ascii="宋体" w:hAnsi="宋体" w:cs="宋体"/>
          <w:b/>
          <w:color w:val="auto"/>
          <w:kern w:val="0"/>
          <w:sz w:val="32"/>
          <w:szCs w:val="32"/>
          <w:highlight w:val="none"/>
        </w:rPr>
      </w:pPr>
    </w:p>
    <w:p w14:paraId="4BE57F31">
      <w:pPr>
        <w:snapToGrid w:val="0"/>
        <w:spacing w:line="360" w:lineRule="auto"/>
        <w:ind w:right="480"/>
        <w:jc w:val="center"/>
        <w:rPr>
          <w:rFonts w:ascii="宋体" w:hAnsi="宋体" w:cs="宋体"/>
          <w:b/>
          <w:color w:val="auto"/>
          <w:kern w:val="0"/>
          <w:sz w:val="32"/>
          <w:szCs w:val="32"/>
          <w:highlight w:val="none"/>
        </w:rPr>
      </w:pPr>
    </w:p>
    <w:p w14:paraId="7CE8B0A9">
      <w:pPr>
        <w:snapToGrid w:val="0"/>
        <w:spacing w:line="360" w:lineRule="auto"/>
        <w:ind w:right="480"/>
        <w:jc w:val="center"/>
        <w:rPr>
          <w:rFonts w:ascii="宋体" w:hAnsi="宋体" w:cs="宋体"/>
          <w:b/>
          <w:color w:val="auto"/>
          <w:kern w:val="0"/>
          <w:sz w:val="32"/>
          <w:szCs w:val="32"/>
          <w:highlight w:val="none"/>
        </w:rPr>
      </w:pPr>
    </w:p>
    <w:p w14:paraId="6BF122CE">
      <w:pPr>
        <w:snapToGrid w:val="0"/>
        <w:spacing w:line="360" w:lineRule="auto"/>
        <w:ind w:right="480"/>
        <w:jc w:val="center"/>
        <w:rPr>
          <w:rFonts w:ascii="宋体" w:hAnsi="宋体" w:cs="宋体"/>
          <w:b/>
          <w:color w:val="auto"/>
          <w:kern w:val="0"/>
          <w:sz w:val="32"/>
          <w:szCs w:val="32"/>
          <w:highlight w:val="none"/>
        </w:rPr>
      </w:pPr>
    </w:p>
    <w:p w14:paraId="6B59AA84">
      <w:pPr>
        <w:snapToGrid w:val="0"/>
        <w:spacing w:line="360" w:lineRule="auto"/>
        <w:ind w:right="480"/>
        <w:jc w:val="center"/>
        <w:rPr>
          <w:rFonts w:ascii="宋体" w:hAnsi="宋体" w:cs="宋体"/>
          <w:b/>
          <w:color w:val="auto"/>
          <w:kern w:val="0"/>
          <w:sz w:val="32"/>
          <w:szCs w:val="32"/>
          <w:highlight w:val="none"/>
        </w:rPr>
      </w:pPr>
    </w:p>
    <w:p w14:paraId="2E45C97C">
      <w:pPr>
        <w:snapToGrid w:val="0"/>
        <w:spacing w:line="360" w:lineRule="auto"/>
        <w:ind w:right="480"/>
        <w:jc w:val="center"/>
        <w:rPr>
          <w:rFonts w:ascii="宋体" w:hAnsi="宋体" w:cs="宋体"/>
          <w:b/>
          <w:color w:val="auto"/>
          <w:kern w:val="0"/>
          <w:sz w:val="32"/>
          <w:szCs w:val="32"/>
          <w:highlight w:val="none"/>
        </w:rPr>
      </w:pPr>
    </w:p>
    <w:p w14:paraId="57A5237C">
      <w:pPr>
        <w:snapToGrid w:val="0"/>
        <w:spacing w:line="360" w:lineRule="auto"/>
        <w:ind w:right="480"/>
        <w:jc w:val="center"/>
        <w:rPr>
          <w:rFonts w:ascii="宋体" w:hAnsi="宋体" w:cs="宋体"/>
          <w:b/>
          <w:color w:val="auto"/>
          <w:kern w:val="0"/>
          <w:sz w:val="32"/>
          <w:szCs w:val="32"/>
          <w:highlight w:val="none"/>
        </w:rPr>
      </w:pPr>
    </w:p>
    <w:p w14:paraId="37348DE3">
      <w:pPr>
        <w:snapToGrid w:val="0"/>
        <w:spacing w:line="360" w:lineRule="auto"/>
        <w:ind w:right="480"/>
        <w:jc w:val="center"/>
        <w:rPr>
          <w:rFonts w:ascii="宋体" w:hAnsi="宋体" w:cs="宋体"/>
          <w:b/>
          <w:color w:val="auto"/>
          <w:kern w:val="0"/>
          <w:sz w:val="32"/>
          <w:szCs w:val="32"/>
          <w:highlight w:val="none"/>
        </w:rPr>
      </w:pPr>
    </w:p>
    <w:p w14:paraId="5886317E">
      <w:pPr>
        <w:snapToGrid w:val="0"/>
        <w:spacing w:line="360" w:lineRule="auto"/>
        <w:ind w:right="480"/>
        <w:jc w:val="center"/>
        <w:rPr>
          <w:rFonts w:ascii="宋体" w:hAnsi="宋体" w:cs="宋体"/>
          <w:b/>
          <w:color w:val="auto"/>
          <w:kern w:val="0"/>
          <w:sz w:val="32"/>
          <w:szCs w:val="32"/>
          <w:highlight w:val="none"/>
        </w:rPr>
      </w:pPr>
    </w:p>
    <w:p w14:paraId="404B393A">
      <w:pPr>
        <w:snapToGrid w:val="0"/>
        <w:spacing w:line="360" w:lineRule="auto"/>
        <w:ind w:right="480"/>
        <w:jc w:val="center"/>
        <w:rPr>
          <w:rFonts w:ascii="宋体" w:hAnsi="宋体" w:cs="宋体"/>
          <w:b/>
          <w:color w:val="auto"/>
          <w:kern w:val="0"/>
          <w:sz w:val="32"/>
          <w:szCs w:val="32"/>
          <w:highlight w:val="none"/>
        </w:rPr>
      </w:pPr>
    </w:p>
    <w:p w14:paraId="4F91D1D4">
      <w:pPr>
        <w:snapToGrid w:val="0"/>
        <w:spacing w:line="360" w:lineRule="auto"/>
        <w:ind w:right="480"/>
        <w:jc w:val="center"/>
        <w:rPr>
          <w:rFonts w:ascii="宋体" w:hAnsi="宋体" w:cs="宋体"/>
          <w:b/>
          <w:color w:val="auto"/>
          <w:kern w:val="0"/>
          <w:sz w:val="32"/>
          <w:szCs w:val="32"/>
          <w:highlight w:val="none"/>
        </w:rPr>
      </w:pPr>
    </w:p>
    <w:p w14:paraId="1E702AC1">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70BE3A9">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BA6C39F">
      <w:pPr>
        <w:snapToGrid w:val="0"/>
        <w:spacing w:line="360" w:lineRule="auto"/>
        <w:rPr>
          <w:rFonts w:ascii="宋体" w:hAnsi="宋体" w:cs="宋体"/>
          <w:b/>
          <w:bCs/>
          <w:color w:val="auto"/>
          <w:kern w:val="0"/>
          <w:sz w:val="24"/>
          <w:highlight w:val="none"/>
          <w:u w:val="single"/>
        </w:rPr>
      </w:pPr>
      <w:r>
        <w:rPr>
          <w:rFonts w:hint="eastAsia" w:ascii="宋体" w:hAnsi="宋体" w:cs="宋体"/>
          <w:b/>
          <w:bCs/>
          <w:color w:val="auto"/>
          <w:sz w:val="24"/>
          <w:highlight w:val="none"/>
          <w:u w:val="single"/>
        </w:rPr>
        <w:t>浙江省司法厅</w:t>
      </w:r>
      <w:r>
        <w:rPr>
          <w:rFonts w:hint="eastAsia" w:ascii="宋体" w:hAnsi="宋体" w:cs="宋体"/>
          <w:b/>
          <w:bCs/>
          <w:color w:val="auto"/>
          <w:kern w:val="0"/>
          <w:sz w:val="24"/>
          <w:highlight w:val="none"/>
          <w:u w:val="single"/>
          <w:lang w:val="zh-CN"/>
        </w:rPr>
        <w:t>：</w:t>
      </w:r>
    </w:p>
    <w:p w14:paraId="5AE0909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kern w:val="0"/>
          <w:sz w:val="24"/>
          <w:highlight w:val="none"/>
          <w:u w:val="single"/>
          <w:lang w:val="zh-CN"/>
        </w:rPr>
        <w:t>【项目编号：</w:t>
      </w:r>
      <w:r>
        <w:rPr>
          <w:rFonts w:hint="eastAsia" w:ascii="宋体" w:hAnsi="宋体" w:cs="宋体"/>
          <w:color w:val="auto"/>
          <w:sz w:val="24"/>
          <w:highlight w:val="none"/>
          <w:u w:val="single"/>
          <w:lang w:eastAsia="zh-CN"/>
        </w:rPr>
        <w:t>ZJ-2580230-03</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rPr>
        <w:t>标项</w:t>
      </w:r>
      <w:r>
        <w:rPr>
          <w:rFonts w:hint="eastAsia" w:ascii="宋体" w:hAnsi="宋体" w:cs="宋体"/>
          <w:b/>
          <w:bCs/>
          <w:color w:val="auto"/>
          <w:sz w:val="24"/>
          <w:highlight w:val="none"/>
          <w:u w:val="single"/>
          <w:lang w:val="en-US" w:eastAsia="zh-CN"/>
        </w:rPr>
        <w:t xml:space="preserve">    （填标项1或标项2）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77AB003E">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62"/>
        <w:gridCol w:w="1798"/>
        <w:gridCol w:w="2410"/>
        <w:gridCol w:w="2268"/>
        <w:gridCol w:w="2126"/>
        <w:gridCol w:w="2127"/>
        <w:gridCol w:w="2126"/>
      </w:tblGrid>
      <w:tr w14:paraId="386A8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57333A2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62" w:type="dxa"/>
            <w:vAlign w:val="center"/>
          </w:tcPr>
          <w:p w14:paraId="40A3D49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798" w:type="dxa"/>
          </w:tcPr>
          <w:p w14:paraId="72563EE5">
            <w:pPr>
              <w:spacing w:line="360" w:lineRule="auto"/>
              <w:jc w:val="center"/>
              <w:rPr>
                <w:rFonts w:ascii="宋体" w:hAnsi="宋体" w:cs="宋体"/>
                <w:b/>
                <w:color w:val="auto"/>
                <w:sz w:val="24"/>
                <w:highlight w:val="none"/>
              </w:rPr>
            </w:pPr>
          </w:p>
          <w:p w14:paraId="6B9E72B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250FA3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9BC29E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2126" w:type="dxa"/>
            <w:vAlign w:val="center"/>
          </w:tcPr>
          <w:p w14:paraId="0D629B3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2127" w:type="dxa"/>
            <w:vAlign w:val="center"/>
          </w:tcPr>
          <w:p w14:paraId="73A3531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2126" w:type="dxa"/>
            <w:vAlign w:val="center"/>
          </w:tcPr>
          <w:p w14:paraId="6BE73C23">
            <w:pPr>
              <w:spacing w:line="360" w:lineRule="auto"/>
              <w:jc w:val="center"/>
              <w:rPr>
                <w:rFonts w:ascii="宋体" w:hAnsi="宋体" w:cs="宋体"/>
                <w:b/>
                <w:color w:val="auto"/>
                <w:sz w:val="24"/>
                <w:highlight w:val="none"/>
              </w:rPr>
            </w:pPr>
          </w:p>
          <w:p w14:paraId="558AA9E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27F9A732">
            <w:pPr>
              <w:spacing w:line="360" w:lineRule="auto"/>
              <w:jc w:val="center"/>
              <w:rPr>
                <w:rFonts w:ascii="宋体" w:hAnsi="宋体" w:cs="宋体"/>
                <w:b/>
                <w:color w:val="auto"/>
                <w:sz w:val="24"/>
                <w:highlight w:val="none"/>
              </w:rPr>
            </w:pPr>
          </w:p>
        </w:tc>
      </w:tr>
      <w:tr w14:paraId="210E5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6CE049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62" w:type="dxa"/>
            <w:vAlign w:val="center"/>
          </w:tcPr>
          <w:p w14:paraId="5B81E5D4">
            <w:pPr>
              <w:widowControl/>
              <w:snapToGrid w:val="0"/>
              <w:spacing w:line="360" w:lineRule="auto"/>
              <w:jc w:val="center"/>
              <w:textAlignment w:val="center"/>
              <w:rPr>
                <w:rFonts w:ascii="宋体" w:hAnsi="宋体" w:cs="宋体"/>
                <w:color w:val="auto"/>
                <w:sz w:val="24"/>
                <w:highlight w:val="none"/>
              </w:rPr>
            </w:pPr>
          </w:p>
        </w:tc>
        <w:tc>
          <w:tcPr>
            <w:tcW w:w="1798" w:type="dxa"/>
            <w:vAlign w:val="center"/>
          </w:tcPr>
          <w:p w14:paraId="6D240472">
            <w:pPr>
              <w:snapToGrid w:val="0"/>
              <w:spacing w:line="360" w:lineRule="auto"/>
              <w:jc w:val="center"/>
              <w:rPr>
                <w:rFonts w:ascii="宋体" w:hAnsi="宋体" w:cs="宋体"/>
                <w:color w:val="auto"/>
                <w:sz w:val="24"/>
                <w:highlight w:val="none"/>
              </w:rPr>
            </w:pPr>
          </w:p>
        </w:tc>
        <w:tc>
          <w:tcPr>
            <w:tcW w:w="2410" w:type="dxa"/>
            <w:vAlign w:val="center"/>
          </w:tcPr>
          <w:p w14:paraId="0B3C39CE">
            <w:pPr>
              <w:snapToGrid w:val="0"/>
              <w:spacing w:line="360" w:lineRule="auto"/>
              <w:jc w:val="center"/>
              <w:rPr>
                <w:rFonts w:ascii="宋体" w:hAnsi="宋体" w:cs="宋体"/>
                <w:color w:val="auto"/>
                <w:sz w:val="24"/>
                <w:highlight w:val="none"/>
              </w:rPr>
            </w:pPr>
          </w:p>
        </w:tc>
        <w:tc>
          <w:tcPr>
            <w:tcW w:w="2268" w:type="dxa"/>
            <w:vAlign w:val="center"/>
          </w:tcPr>
          <w:p w14:paraId="32CC0B39">
            <w:pPr>
              <w:snapToGrid w:val="0"/>
              <w:spacing w:line="360" w:lineRule="auto"/>
              <w:jc w:val="center"/>
              <w:rPr>
                <w:rFonts w:ascii="宋体" w:hAnsi="宋体" w:cs="宋体"/>
                <w:color w:val="auto"/>
                <w:sz w:val="24"/>
                <w:highlight w:val="none"/>
              </w:rPr>
            </w:pPr>
          </w:p>
        </w:tc>
        <w:tc>
          <w:tcPr>
            <w:tcW w:w="2126" w:type="dxa"/>
            <w:vAlign w:val="center"/>
          </w:tcPr>
          <w:p w14:paraId="27F9BBB1">
            <w:pPr>
              <w:spacing w:line="360" w:lineRule="auto"/>
              <w:jc w:val="center"/>
              <w:rPr>
                <w:rFonts w:ascii="宋体" w:hAnsi="宋体" w:cs="宋体"/>
                <w:color w:val="auto"/>
                <w:sz w:val="24"/>
                <w:highlight w:val="none"/>
              </w:rPr>
            </w:pPr>
          </w:p>
        </w:tc>
        <w:tc>
          <w:tcPr>
            <w:tcW w:w="2127" w:type="dxa"/>
          </w:tcPr>
          <w:p w14:paraId="500F4F45">
            <w:pPr>
              <w:spacing w:line="360" w:lineRule="auto"/>
              <w:jc w:val="center"/>
              <w:rPr>
                <w:rFonts w:ascii="宋体" w:hAnsi="宋体" w:cs="宋体"/>
                <w:color w:val="auto"/>
                <w:sz w:val="24"/>
                <w:highlight w:val="none"/>
              </w:rPr>
            </w:pPr>
          </w:p>
        </w:tc>
        <w:tc>
          <w:tcPr>
            <w:tcW w:w="2126" w:type="dxa"/>
            <w:vAlign w:val="center"/>
          </w:tcPr>
          <w:p w14:paraId="16930FCF">
            <w:pPr>
              <w:spacing w:line="360" w:lineRule="auto"/>
              <w:jc w:val="center"/>
              <w:rPr>
                <w:rFonts w:ascii="宋体" w:hAnsi="宋体" w:cs="宋体"/>
                <w:color w:val="auto"/>
                <w:sz w:val="24"/>
                <w:highlight w:val="none"/>
              </w:rPr>
            </w:pPr>
          </w:p>
        </w:tc>
      </w:tr>
      <w:tr w14:paraId="754F8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DCE8DD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62" w:type="dxa"/>
            <w:vAlign w:val="center"/>
          </w:tcPr>
          <w:p w14:paraId="037664FD">
            <w:pPr>
              <w:widowControl/>
              <w:snapToGrid w:val="0"/>
              <w:spacing w:line="360" w:lineRule="auto"/>
              <w:jc w:val="center"/>
              <w:textAlignment w:val="center"/>
              <w:rPr>
                <w:rFonts w:ascii="宋体" w:hAnsi="宋体" w:cs="宋体"/>
                <w:color w:val="auto"/>
                <w:sz w:val="24"/>
                <w:highlight w:val="none"/>
              </w:rPr>
            </w:pPr>
          </w:p>
        </w:tc>
        <w:tc>
          <w:tcPr>
            <w:tcW w:w="1798" w:type="dxa"/>
            <w:vAlign w:val="center"/>
          </w:tcPr>
          <w:p w14:paraId="48AB3E97">
            <w:pPr>
              <w:snapToGrid w:val="0"/>
              <w:spacing w:line="360" w:lineRule="auto"/>
              <w:jc w:val="center"/>
              <w:rPr>
                <w:rFonts w:ascii="宋体" w:hAnsi="宋体" w:cs="宋体"/>
                <w:color w:val="auto"/>
                <w:sz w:val="24"/>
                <w:highlight w:val="none"/>
              </w:rPr>
            </w:pPr>
          </w:p>
        </w:tc>
        <w:tc>
          <w:tcPr>
            <w:tcW w:w="2410" w:type="dxa"/>
            <w:vAlign w:val="center"/>
          </w:tcPr>
          <w:p w14:paraId="604F5586">
            <w:pPr>
              <w:snapToGrid w:val="0"/>
              <w:spacing w:line="360" w:lineRule="auto"/>
              <w:jc w:val="center"/>
              <w:rPr>
                <w:rFonts w:ascii="宋体" w:hAnsi="宋体" w:cs="宋体"/>
                <w:color w:val="auto"/>
                <w:sz w:val="24"/>
                <w:highlight w:val="none"/>
              </w:rPr>
            </w:pPr>
          </w:p>
        </w:tc>
        <w:tc>
          <w:tcPr>
            <w:tcW w:w="2268" w:type="dxa"/>
            <w:vAlign w:val="center"/>
          </w:tcPr>
          <w:p w14:paraId="504CC07D">
            <w:pPr>
              <w:snapToGrid w:val="0"/>
              <w:spacing w:line="360" w:lineRule="auto"/>
              <w:jc w:val="center"/>
              <w:rPr>
                <w:rFonts w:ascii="宋体" w:hAnsi="宋体" w:cs="宋体"/>
                <w:color w:val="auto"/>
                <w:sz w:val="24"/>
                <w:highlight w:val="none"/>
              </w:rPr>
            </w:pPr>
          </w:p>
        </w:tc>
        <w:tc>
          <w:tcPr>
            <w:tcW w:w="2126" w:type="dxa"/>
            <w:vAlign w:val="center"/>
          </w:tcPr>
          <w:p w14:paraId="525BF56A">
            <w:pPr>
              <w:spacing w:line="360" w:lineRule="auto"/>
              <w:jc w:val="center"/>
              <w:rPr>
                <w:rFonts w:ascii="宋体" w:hAnsi="宋体" w:cs="宋体"/>
                <w:color w:val="auto"/>
                <w:sz w:val="24"/>
                <w:highlight w:val="none"/>
              </w:rPr>
            </w:pPr>
          </w:p>
        </w:tc>
        <w:tc>
          <w:tcPr>
            <w:tcW w:w="2127" w:type="dxa"/>
          </w:tcPr>
          <w:p w14:paraId="6665AA7B">
            <w:pPr>
              <w:spacing w:line="360" w:lineRule="auto"/>
              <w:jc w:val="center"/>
              <w:rPr>
                <w:rFonts w:ascii="宋体" w:hAnsi="宋体" w:cs="宋体"/>
                <w:color w:val="auto"/>
                <w:sz w:val="24"/>
                <w:highlight w:val="none"/>
              </w:rPr>
            </w:pPr>
          </w:p>
        </w:tc>
        <w:tc>
          <w:tcPr>
            <w:tcW w:w="2126" w:type="dxa"/>
            <w:vAlign w:val="center"/>
          </w:tcPr>
          <w:p w14:paraId="3CD2A01C">
            <w:pPr>
              <w:spacing w:line="360" w:lineRule="auto"/>
              <w:jc w:val="center"/>
              <w:rPr>
                <w:rFonts w:ascii="宋体" w:hAnsi="宋体" w:cs="宋体"/>
                <w:color w:val="auto"/>
                <w:sz w:val="24"/>
                <w:highlight w:val="none"/>
              </w:rPr>
            </w:pPr>
          </w:p>
        </w:tc>
      </w:tr>
      <w:tr w14:paraId="37840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711DF8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62" w:type="dxa"/>
            <w:vAlign w:val="center"/>
          </w:tcPr>
          <w:p w14:paraId="603AA531">
            <w:pPr>
              <w:widowControl/>
              <w:snapToGrid w:val="0"/>
              <w:spacing w:line="360" w:lineRule="auto"/>
              <w:jc w:val="center"/>
              <w:textAlignment w:val="center"/>
              <w:rPr>
                <w:rFonts w:ascii="宋体" w:hAnsi="宋体" w:cs="宋体"/>
                <w:color w:val="auto"/>
                <w:sz w:val="24"/>
                <w:highlight w:val="none"/>
              </w:rPr>
            </w:pPr>
          </w:p>
        </w:tc>
        <w:tc>
          <w:tcPr>
            <w:tcW w:w="1798" w:type="dxa"/>
            <w:vAlign w:val="center"/>
          </w:tcPr>
          <w:p w14:paraId="4D0C0632">
            <w:pPr>
              <w:snapToGrid w:val="0"/>
              <w:spacing w:line="360" w:lineRule="auto"/>
              <w:jc w:val="center"/>
              <w:rPr>
                <w:rFonts w:ascii="宋体" w:hAnsi="宋体" w:cs="宋体"/>
                <w:color w:val="auto"/>
                <w:sz w:val="24"/>
                <w:highlight w:val="none"/>
              </w:rPr>
            </w:pPr>
          </w:p>
        </w:tc>
        <w:tc>
          <w:tcPr>
            <w:tcW w:w="2410" w:type="dxa"/>
            <w:vAlign w:val="center"/>
          </w:tcPr>
          <w:p w14:paraId="3FBA51F0">
            <w:pPr>
              <w:snapToGrid w:val="0"/>
              <w:spacing w:line="360" w:lineRule="auto"/>
              <w:jc w:val="center"/>
              <w:rPr>
                <w:rFonts w:ascii="宋体" w:hAnsi="宋体" w:cs="宋体"/>
                <w:color w:val="auto"/>
                <w:sz w:val="24"/>
                <w:highlight w:val="none"/>
              </w:rPr>
            </w:pPr>
          </w:p>
        </w:tc>
        <w:tc>
          <w:tcPr>
            <w:tcW w:w="2268" w:type="dxa"/>
            <w:vAlign w:val="center"/>
          </w:tcPr>
          <w:p w14:paraId="54B61CBE">
            <w:pPr>
              <w:snapToGrid w:val="0"/>
              <w:spacing w:line="360" w:lineRule="auto"/>
              <w:jc w:val="center"/>
              <w:rPr>
                <w:rFonts w:ascii="宋体" w:hAnsi="宋体" w:cs="宋体"/>
                <w:color w:val="auto"/>
                <w:sz w:val="24"/>
                <w:highlight w:val="none"/>
              </w:rPr>
            </w:pPr>
          </w:p>
        </w:tc>
        <w:tc>
          <w:tcPr>
            <w:tcW w:w="2126" w:type="dxa"/>
            <w:vAlign w:val="center"/>
          </w:tcPr>
          <w:p w14:paraId="3463B381">
            <w:pPr>
              <w:spacing w:line="360" w:lineRule="auto"/>
              <w:jc w:val="center"/>
              <w:rPr>
                <w:rFonts w:ascii="宋体" w:hAnsi="宋体" w:cs="宋体"/>
                <w:color w:val="auto"/>
                <w:sz w:val="24"/>
                <w:highlight w:val="none"/>
              </w:rPr>
            </w:pPr>
          </w:p>
        </w:tc>
        <w:tc>
          <w:tcPr>
            <w:tcW w:w="2127" w:type="dxa"/>
          </w:tcPr>
          <w:p w14:paraId="2BF5EA40">
            <w:pPr>
              <w:spacing w:line="360" w:lineRule="auto"/>
              <w:jc w:val="center"/>
              <w:rPr>
                <w:rFonts w:ascii="宋体" w:hAnsi="宋体" w:cs="宋体"/>
                <w:color w:val="auto"/>
                <w:sz w:val="24"/>
                <w:highlight w:val="none"/>
              </w:rPr>
            </w:pPr>
          </w:p>
        </w:tc>
        <w:tc>
          <w:tcPr>
            <w:tcW w:w="2126" w:type="dxa"/>
            <w:vAlign w:val="center"/>
          </w:tcPr>
          <w:p w14:paraId="3563BF58">
            <w:pPr>
              <w:spacing w:line="360" w:lineRule="auto"/>
              <w:jc w:val="center"/>
              <w:rPr>
                <w:rFonts w:ascii="宋体" w:hAnsi="宋体" w:cs="宋体"/>
                <w:color w:val="auto"/>
                <w:sz w:val="24"/>
                <w:highlight w:val="none"/>
              </w:rPr>
            </w:pPr>
          </w:p>
        </w:tc>
      </w:tr>
      <w:tr w14:paraId="7BB9E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50DD95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282D9C74">
            <w:pPr>
              <w:spacing w:line="360" w:lineRule="auto"/>
              <w:jc w:val="center"/>
              <w:rPr>
                <w:rFonts w:ascii="宋体" w:hAnsi="宋体" w:cs="宋体"/>
                <w:color w:val="auto"/>
                <w:sz w:val="24"/>
                <w:highlight w:val="none"/>
              </w:rPr>
            </w:pPr>
          </w:p>
        </w:tc>
      </w:tr>
      <w:tr w14:paraId="1F21F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366E05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1FCCFD24">
            <w:pPr>
              <w:spacing w:line="360" w:lineRule="auto"/>
              <w:jc w:val="center"/>
              <w:rPr>
                <w:rFonts w:ascii="宋体" w:hAnsi="宋体" w:cs="宋体"/>
                <w:color w:val="auto"/>
                <w:sz w:val="24"/>
                <w:highlight w:val="none"/>
              </w:rPr>
            </w:pPr>
          </w:p>
        </w:tc>
      </w:tr>
    </w:tbl>
    <w:p w14:paraId="77DB03F5">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3CE1E838">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0BD874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0A69C7BD">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25F5002">
      <w:pPr>
        <w:spacing w:line="360" w:lineRule="auto"/>
        <w:ind w:firstLine="482" w:firstLineChars="200"/>
        <w:rPr>
          <w:rFonts w:ascii="宋体" w:hAnsi="宋体" w:cs="宋体"/>
          <w:b/>
          <w:color w:val="auto"/>
          <w:kern w:val="0"/>
          <w:sz w:val="24"/>
          <w:highlight w:val="none"/>
        </w:rPr>
      </w:pPr>
    </w:p>
    <w:p w14:paraId="7D93DC40">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6403ADF5">
      <w:pPr>
        <w:spacing w:line="360" w:lineRule="auto"/>
        <w:ind w:firstLine="7358" w:firstLineChars="3066"/>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FC972BB">
      <w:pPr>
        <w:spacing w:line="360" w:lineRule="auto"/>
        <w:ind w:firstLine="7358" w:firstLineChars="3066"/>
        <w:rPr>
          <w:rFonts w:ascii="宋体" w:hAnsi="宋体" w:cs="宋体"/>
          <w:color w:val="auto"/>
          <w:sz w:val="24"/>
          <w:highlight w:val="none"/>
        </w:rPr>
      </w:pPr>
      <w:r>
        <w:rPr>
          <w:rFonts w:hint="eastAsia" w:ascii="宋体" w:hAnsi="宋体" w:cs="宋体"/>
          <w:color w:val="auto"/>
          <w:sz w:val="24"/>
          <w:highlight w:val="none"/>
        </w:rPr>
        <w:t>日期：  年   月   日</w:t>
      </w:r>
    </w:p>
    <w:p w14:paraId="033E1C2C">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55025E7F">
      <w:pPr>
        <w:pStyle w:val="695"/>
        <w:keepNext w:val="0"/>
        <w:pageBreakBefore/>
        <w:numPr>
          <w:ilvl w:val="0"/>
          <w:numId w:val="6"/>
        </w:numPr>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中小企业声明函（服务）（如果有）</w:t>
      </w:r>
    </w:p>
    <w:p w14:paraId="717E21F6">
      <w:pPr>
        <w:rPr>
          <w:rFonts w:hint="eastAsia" w:ascii="宋体" w:hAnsi="宋体" w:eastAsia="宋体" w:cs="宋体"/>
          <w:color w:val="auto"/>
          <w:highlight w:val="none"/>
          <w:lang w:val="en-US" w:eastAsia="zh-CN"/>
        </w:rPr>
      </w:pPr>
    </w:p>
    <w:p w14:paraId="4FB47031">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77B8734">
      <w:pPr>
        <w:pStyle w:val="91"/>
        <w:ind w:firstLine="482"/>
        <w:rPr>
          <w:rFonts w:ascii="宋体" w:hAnsi="宋体" w:eastAsia="宋体" w:cs="宋体"/>
          <w:b/>
          <w:color w:val="auto"/>
          <w:sz w:val="24"/>
          <w:highlight w:val="none"/>
        </w:rPr>
      </w:pPr>
    </w:p>
    <w:p w14:paraId="226A4246">
      <w:pPr>
        <w:pStyle w:val="91"/>
        <w:ind w:firstLine="482"/>
        <w:rPr>
          <w:rFonts w:ascii="宋体" w:hAnsi="宋体" w:eastAsia="宋体" w:cs="宋体"/>
          <w:b/>
          <w:color w:val="auto"/>
          <w:sz w:val="24"/>
          <w:highlight w:val="none"/>
        </w:rPr>
      </w:pPr>
    </w:p>
    <w:p w14:paraId="437AE627">
      <w:pPr>
        <w:pStyle w:val="695"/>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5ECADCE8">
      <w:pPr>
        <w:spacing w:line="360" w:lineRule="auto"/>
        <w:ind w:right="420" w:firstLine="3614" w:firstLineChars="1000"/>
        <w:rPr>
          <w:rFonts w:ascii="宋体" w:hAnsi="宋体" w:cs="宋体"/>
          <w:b/>
          <w:color w:val="auto"/>
          <w:kern w:val="0"/>
          <w:sz w:val="36"/>
          <w:szCs w:val="36"/>
          <w:highlight w:val="none"/>
        </w:rPr>
      </w:pPr>
    </w:p>
    <w:p w14:paraId="30766820">
      <w:pPr>
        <w:spacing w:line="360" w:lineRule="auto"/>
        <w:ind w:right="420" w:firstLine="3614" w:firstLineChars="1000"/>
        <w:rPr>
          <w:rFonts w:ascii="宋体" w:hAnsi="宋体" w:cs="宋体"/>
          <w:b/>
          <w:color w:val="auto"/>
          <w:kern w:val="0"/>
          <w:sz w:val="36"/>
          <w:szCs w:val="36"/>
          <w:highlight w:val="none"/>
        </w:rPr>
      </w:pPr>
    </w:p>
    <w:p w14:paraId="07DFE046">
      <w:pPr>
        <w:spacing w:line="360" w:lineRule="auto"/>
        <w:ind w:right="420" w:firstLine="3614" w:firstLineChars="1000"/>
        <w:rPr>
          <w:rFonts w:ascii="宋体" w:hAnsi="宋体" w:cs="宋体"/>
          <w:b/>
          <w:color w:val="auto"/>
          <w:kern w:val="0"/>
          <w:sz w:val="36"/>
          <w:szCs w:val="36"/>
          <w:highlight w:val="none"/>
        </w:rPr>
      </w:pPr>
    </w:p>
    <w:p w14:paraId="1E4DF77C">
      <w:pPr>
        <w:spacing w:line="360" w:lineRule="auto"/>
        <w:ind w:right="420" w:firstLine="3614" w:firstLineChars="1000"/>
        <w:rPr>
          <w:rFonts w:ascii="宋体" w:hAnsi="宋体" w:cs="宋体"/>
          <w:b/>
          <w:color w:val="auto"/>
          <w:kern w:val="0"/>
          <w:sz w:val="36"/>
          <w:szCs w:val="36"/>
          <w:highlight w:val="none"/>
        </w:rPr>
      </w:pPr>
    </w:p>
    <w:p w14:paraId="66818108">
      <w:pPr>
        <w:spacing w:line="360" w:lineRule="auto"/>
        <w:ind w:right="420" w:firstLine="3614" w:firstLineChars="1000"/>
        <w:rPr>
          <w:rFonts w:ascii="宋体" w:hAnsi="宋体" w:cs="宋体"/>
          <w:b/>
          <w:color w:val="auto"/>
          <w:kern w:val="0"/>
          <w:sz w:val="36"/>
          <w:szCs w:val="36"/>
          <w:highlight w:val="none"/>
        </w:rPr>
      </w:pPr>
    </w:p>
    <w:p w14:paraId="5A6498B7">
      <w:pPr>
        <w:spacing w:line="360" w:lineRule="auto"/>
        <w:ind w:right="420" w:firstLine="3614" w:firstLineChars="1000"/>
        <w:rPr>
          <w:rFonts w:ascii="宋体" w:hAnsi="宋体" w:cs="宋体"/>
          <w:b/>
          <w:color w:val="auto"/>
          <w:kern w:val="0"/>
          <w:sz w:val="36"/>
          <w:szCs w:val="36"/>
          <w:highlight w:val="none"/>
        </w:rPr>
      </w:pPr>
    </w:p>
    <w:p w14:paraId="2166F5C9">
      <w:pPr>
        <w:spacing w:line="360" w:lineRule="auto"/>
        <w:ind w:right="420" w:firstLine="3614" w:firstLineChars="1000"/>
        <w:rPr>
          <w:rFonts w:ascii="宋体" w:hAnsi="宋体" w:cs="宋体"/>
          <w:b/>
          <w:color w:val="auto"/>
          <w:kern w:val="0"/>
          <w:sz w:val="36"/>
          <w:szCs w:val="36"/>
          <w:highlight w:val="none"/>
        </w:rPr>
      </w:pPr>
    </w:p>
    <w:p w14:paraId="124979BD">
      <w:pPr>
        <w:spacing w:line="360" w:lineRule="auto"/>
        <w:ind w:right="420" w:firstLine="3614" w:firstLineChars="1000"/>
        <w:rPr>
          <w:rFonts w:ascii="宋体" w:hAnsi="宋体" w:cs="宋体"/>
          <w:b/>
          <w:color w:val="auto"/>
          <w:kern w:val="0"/>
          <w:sz w:val="36"/>
          <w:szCs w:val="36"/>
          <w:highlight w:val="none"/>
        </w:rPr>
      </w:pPr>
    </w:p>
    <w:p w14:paraId="22336303">
      <w:pPr>
        <w:spacing w:line="360" w:lineRule="auto"/>
        <w:ind w:right="420" w:firstLine="3614" w:firstLineChars="1000"/>
        <w:rPr>
          <w:rFonts w:ascii="宋体" w:hAnsi="宋体" w:cs="宋体"/>
          <w:b/>
          <w:color w:val="auto"/>
          <w:kern w:val="0"/>
          <w:sz w:val="36"/>
          <w:szCs w:val="36"/>
          <w:highlight w:val="none"/>
        </w:rPr>
      </w:pPr>
    </w:p>
    <w:p w14:paraId="3ECEFBA5">
      <w:pPr>
        <w:spacing w:line="360" w:lineRule="auto"/>
        <w:ind w:right="420" w:firstLine="3614" w:firstLineChars="1000"/>
        <w:rPr>
          <w:rFonts w:ascii="宋体" w:hAnsi="宋体" w:cs="宋体"/>
          <w:b/>
          <w:color w:val="auto"/>
          <w:kern w:val="0"/>
          <w:sz w:val="36"/>
          <w:szCs w:val="36"/>
          <w:highlight w:val="none"/>
        </w:rPr>
      </w:pPr>
    </w:p>
    <w:p w14:paraId="0B4B156B">
      <w:pPr>
        <w:spacing w:line="360" w:lineRule="auto"/>
        <w:ind w:right="420" w:firstLine="3614" w:firstLineChars="1000"/>
        <w:rPr>
          <w:rFonts w:ascii="宋体" w:hAnsi="宋体" w:cs="宋体"/>
          <w:b/>
          <w:color w:val="auto"/>
          <w:kern w:val="0"/>
          <w:sz w:val="36"/>
          <w:szCs w:val="36"/>
          <w:highlight w:val="none"/>
        </w:rPr>
      </w:pPr>
    </w:p>
    <w:p w14:paraId="48F34032">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6851121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169FDFE">
      <w:pPr>
        <w:spacing w:line="360" w:lineRule="auto"/>
        <w:jc w:val="center"/>
        <w:rPr>
          <w:rFonts w:ascii="宋体" w:hAnsi="宋体" w:cs="宋体"/>
          <w:b/>
          <w:color w:val="auto"/>
          <w:spacing w:val="6"/>
          <w:sz w:val="32"/>
          <w:szCs w:val="32"/>
          <w:highlight w:val="none"/>
        </w:rPr>
      </w:pPr>
      <w:bookmarkStart w:id="402" w:name="OLE_LINK14"/>
      <w:bookmarkStart w:id="403" w:name="OLE_LINK13"/>
      <w:r>
        <w:rPr>
          <w:rFonts w:hint="eastAsia" w:ascii="宋体" w:hAnsi="宋体" w:cs="宋体"/>
          <w:b/>
          <w:color w:val="auto"/>
          <w:spacing w:val="6"/>
          <w:sz w:val="32"/>
          <w:szCs w:val="32"/>
          <w:highlight w:val="none"/>
        </w:rPr>
        <w:t>残疾人福利性单位声明函</w:t>
      </w:r>
    </w:p>
    <w:bookmarkEnd w:id="402"/>
    <w:bookmarkEnd w:id="403"/>
    <w:p w14:paraId="01640ECD">
      <w:pPr>
        <w:spacing w:line="360" w:lineRule="auto"/>
        <w:rPr>
          <w:rFonts w:ascii="宋体" w:hAnsi="宋体" w:cs="宋体"/>
          <w:b/>
          <w:color w:val="auto"/>
          <w:spacing w:val="6"/>
          <w:sz w:val="30"/>
          <w:szCs w:val="30"/>
          <w:highlight w:val="none"/>
        </w:rPr>
      </w:pPr>
    </w:p>
    <w:p w14:paraId="07B6ED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4"/>
          <w:highlight w:val="none"/>
          <w:u w:val="single"/>
        </w:rPr>
        <w:t>采购人）</w:t>
      </w:r>
      <w:r>
        <w:rPr>
          <w:rFonts w:hint="eastAsia" w:ascii="宋体" w:hAnsi="宋体" w:cs="宋体"/>
          <w:color w:val="auto"/>
          <w:sz w:val="24"/>
          <w:highlight w:val="none"/>
        </w:rPr>
        <w:t>单位的_</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rPr>
        <w:t>__采购活动提供本单位制造的货物（由本单位承担工程/提供服务），或者提供其他残疾人福利性单位制造的货物（不包括使用非残疾人福利性单位注册商标的货物）。</w:t>
      </w:r>
    </w:p>
    <w:p w14:paraId="25FF40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D57102A">
      <w:pPr>
        <w:spacing w:line="360" w:lineRule="auto"/>
        <w:ind w:firstLine="480" w:firstLineChars="200"/>
        <w:rPr>
          <w:rFonts w:ascii="宋体" w:hAnsi="宋体" w:cs="宋体"/>
          <w:color w:val="auto"/>
          <w:sz w:val="24"/>
          <w:highlight w:val="none"/>
        </w:rPr>
      </w:pPr>
    </w:p>
    <w:p w14:paraId="0B432BA9">
      <w:pPr>
        <w:spacing w:line="360" w:lineRule="auto"/>
        <w:ind w:firstLine="480" w:firstLineChars="200"/>
        <w:rPr>
          <w:rFonts w:ascii="宋体" w:hAnsi="宋体" w:cs="宋体"/>
          <w:color w:val="auto"/>
          <w:sz w:val="24"/>
          <w:highlight w:val="none"/>
        </w:rPr>
      </w:pPr>
    </w:p>
    <w:p w14:paraId="35405DD6">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2A8C93A">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4F685870">
      <w:pPr>
        <w:spacing w:line="360" w:lineRule="auto"/>
        <w:ind w:firstLine="480" w:firstLineChars="200"/>
        <w:rPr>
          <w:rFonts w:ascii="宋体" w:hAnsi="宋体" w:cs="宋体"/>
          <w:color w:val="auto"/>
          <w:sz w:val="24"/>
          <w:highlight w:val="none"/>
        </w:rPr>
      </w:pPr>
    </w:p>
    <w:p w14:paraId="45AB7159">
      <w:pPr>
        <w:spacing w:line="360" w:lineRule="auto"/>
        <w:ind w:firstLine="420" w:firstLineChars="200"/>
        <w:rPr>
          <w:rFonts w:ascii="宋体" w:hAnsi="宋体" w:cs="宋体"/>
          <w:color w:val="auto"/>
          <w:highlight w:val="none"/>
        </w:rPr>
      </w:pPr>
    </w:p>
    <w:p w14:paraId="6A8396AB">
      <w:pPr>
        <w:spacing w:line="360" w:lineRule="auto"/>
        <w:ind w:firstLine="420" w:firstLineChars="200"/>
        <w:rPr>
          <w:rFonts w:ascii="宋体" w:hAnsi="宋体" w:cs="宋体"/>
          <w:color w:val="auto"/>
          <w:highlight w:val="none"/>
        </w:rPr>
      </w:pPr>
    </w:p>
    <w:p w14:paraId="4662F8BF">
      <w:pPr>
        <w:spacing w:line="360" w:lineRule="auto"/>
        <w:ind w:firstLine="420" w:firstLineChars="200"/>
        <w:rPr>
          <w:rFonts w:ascii="宋体" w:hAnsi="宋体" w:cs="宋体"/>
          <w:color w:val="auto"/>
          <w:highlight w:val="none"/>
        </w:rPr>
      </w:pPr>
    </w:p>
    <w:p w14:paraId="7648CF61">
      <w:pPr>
        <w:spacing w:line="360" w:lineRule="auto"/>
        <w:ind w:firstLine="420" w:firstLineChars="200"/>
        <w:rPr>
          <w:rFonts w:ascii="宋体" w:hAnsi="宋体" w:cs="宋体"/>
          <w:color w:val="auto"/>
          <w:highlight w:val="none"/>
        </w:rPr>
      </w:pPr>
    </w:p>
    <w:p w14:paraId="04DF87F5">
      <w:pPr>
        <w:spacing w:line="360" w:lineRule="auto"/>
        <w:rPr>
          <w:rFonts w:ascii="宋体" w:hAnsi="宋体" w:cs="宋体"/>
          <w:b/>
          <w:color w:val="auto"/>
          <w:sz w:val="24"/>
          <w:highlight w:val="none"/>
        </w:rPr>
      </w:pPr>
    </w:p>
    <w:p w14:paraId="4D5BB10C">
      <w:pPr>
        <w:spacing w:line="360" w:lineRule="auto"/>
        <w:rPr>
          <w:rFonts w:ascii="宋体" w:hAnsi="宋体" w:cs="宋体"/>
          <w:b/>
          <w:color w:val="auto"/>
          <w:sz w:val="24"/>
          <w:highlight w:val="none"/>
        </w:rPr>
      </w:pPr>
    </w:p>
    <w:p w14:paraId="577F6874">
      <w:pPr>
        <w:spacing w:line="360" w:lineRule="auto"/>
        <w:rPr>
          <w:rFonts w:ascii="宋体" w:hAnsi="宋体" w:cs="宋体"/>
          <w:b/>
          <w:color w:val="auto"/>
          <w:sz w:val="24"/>
          <w:highlight w:val="none"/>
        </w:rPr>
      </w:pPr>
    </w:p>
    <w:p w14:paraId="08840A6F">
      <w:pPr>
        <w:spacing w:line="360" w:lineRule="auto"/>
        <w:rPr>
          <w:rFonts w:ascii="宋体" w:hAnsi="宋体" w:cs="宋体"/>
          <w:b/>
          <w:color w:val="auto"/>
          <w:sz w:val="24"/>
          <w:highlight w:val="none"/>
        </w:rPr>
      </w:pPr>
    </w:p>
    <w:p w14:paraId="4451A43A">
      <w:pPr>
        <w:spacing w:line="360" w:lineRule="auto"/>
        <w:rPr>
          <w:rFonts w:ascii="宋体" w:hAnsi="宋体" w:cs="宋体"/>
          <w:b/>
          <w:color w:val="auto"/>
          <w:sz w:val="24"/>
          <w:highlight w:val="none"/>
        </w:rPr>
      </w:pPr>
    </w:p>
    <w:p w14:paraId="3249212E">
      <w:pPr>
        <w:spacing w:line="360" w:lineRule="auto"/>
        <w:rPr>
          <w:rFonts w:ascii="宋体" w:hAnsi="宋体" w:cs="宋体"/>
          <w:b/>
          <w:color w:val="auto"/>
          <w:sz w:val="24"/>
          <w:highlight w:val="none"/>
        </w:rPr>
      </w:pPr>
    </w:p>
    <w:p w14:paraId="2730454B">
      <w:pPr>
        <w:spacing w:line="360" w:lineRule="auto"/>
        <w:rPr>
          <w:rFonts w:ascii="宋体" w:hAnsi="宋体" w:cs="宋体"/>
          <w:b/>
          <w:color w:val="auto"/>
          <w:sz w:val="24"/>
          <w:highlight w:val="none"/>
        </w:rPr>
      </w:pPr>
    </w:p>
    <w:p w14:paraId="6C7010E4">
      <w:pPr>
        <w:spacing w:line="360" w:lineRule="auto"/>
        <w:rPr>
          <w:rFonts w:ascii="宋体" w:hAnsi="宋体" w:cs="宋体"/>
          <w:b/>
          <w:color w:val="auto"/>
          <w:sz w:val="24"/>
          <w:highlight w:val="none"/>
        </w:rPr>
      </w:pPr>
    </w:p>
    <w:p w14:paraId="020F1930">
      <w:pPr>
        <w:spacing w:line="360" w:lineRule="auto"/>
        <w:rPr>
          <w:rFonts w:ascii="宋体" w:hAnsi="宋体" w:cs="宋体"/>
          <w:b/>
          <w:color w:val="auto"/>
          <w:sz w:val="24"/>
          <w:highlight w:val="none"/>
        </w:rPr>
      </w:pPr>
    </w:p>
    <w:p w14:paraId="6A8B6B69">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30BCFB3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19C1631">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53B0CAB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5883315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6316E0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40ECC5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ACFEED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0BA566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1F273B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99A2B4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09E428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A6CB0A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7BF10A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4094E4F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42FFD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3BE7C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E89B7C2">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0159E82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5FCC31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F7EAF6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041F49A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51701B5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19AC39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4E70A29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9ECDE6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19D670B">
      <w:pPr>
        <w:spacing w:line="360" w:lineRule="auto"/>
        <w:jc w:val="center"/>
        <w:rPr>
          <w:rFonts w:ascii="宋体" w:hAnsi="宋体" w:cs="宋体"/>
          <w:b/>
          <w:bCs/>
          <w:color w:val="auto"/>
          <w:sz w:val="24"/>
          <w:highlight w:val="none"/>
        </w:rPr>
      </w:pPr>
    </w:p>
    <w:p w14:paraId="244682C8">
      <w:pPr>
        <w:spacing w:line="360" w:lineRule="auto"/>
        <w:rPr>
          <w:rFonts w:ascii="宋体" w:hAnsi="宋体" w:cs="宋体"/>
          <w:b/>
          <w:color w:val="auto"/>
          <w:sz w:val="24"/>
          <w:highlight w:val="none"/>
        </w:rPr>
      </w:pPr>
    </w:p>
    <w:p w14:paraId="3131D3B5">
      <w:pPr>
        <w:spacing w:line="360" w:lineRule="auto"/>
        <w:rPr>
          <w:rFonts w:ascii="宋体" w:hAnsi="宋体" w:cs="宋体"/>
          <w:b/>
          <w:color w:val="auto"/>
          <w:sz w:val="24"/>
          <w:highlight w:val="none"/>
        </w:rPr>
      </w:pPr>
    </w:p>
    <w:p w14:paraId="02F35250">
      <w:pPr>
        <w:spacing w:line="360" w:lineRule="auto"/>
        <w:rPr>
          <w:rFonts w:ascii="宋体" w:hAnsi="宋体" w:cs="宋体"/>
          <w:b/>
          <w:color w:val="auto"/>
          <w:sz w:val="24"/>
          <w:highlight w:val="none"/>
        </w:rPr>
      </w:pPr>
    </w:p>
    <w:p w14:paraId="058569EA">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68FBAC7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23F2D1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1FB023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455FE80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F8327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FD8FD8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DC0E0DF">
      <w:pPr>
        <w:widowControl/>
        <w:spacing w:line="360" w:lineRule="auto"/>
        <w:ind w:firstLine="600" w:firstLineChars="200"/>
        <w:jc w:val="left"/>
        <w:rPr>
          <w:rFonts w:ascii="宋体" w:hAnsi="宋体" w:cs="宋体"/>
          <w:color w:val="auto"/>
          <w:sz w:val="30"/>
          <w:szCs w:val="30"/>
          <w:highlight w:val="none"/>
        </w:rPr>
      </w:pPr>
    </w:p>
    <w:p w14:paraId="135BBD65">
      <w:pPr>
        <w:spacing w:line="360" w:lineRule="auto"/>
        <w:jc w:val="center"/>
        <w:rPr>
          <w:rFonts w:ascii="宋体" w:hAnsi="宋体" w:cs="宋体"/>
          <w:b/>
          <w:color w:val="auto"/>
          <w:spacing w:val="6"/>
          <w:sz w:val="32"/>
          <w:szCs w:val="32"/>
          <w:highlight w:val="none"/>
        </w:rPr>
      </w:pPr>
    </w:p>
    <w:p w14:paraId="174B04D4">
      <w:pPr>
        <w:spacing w:line="360" w:lineRule="auto"/>
        <w:jc w:val="center"/>
        <w:rPr>
          <w:rFonts w:ascii="宋体" w:hAnsi="宋体" w:cs="宋体"/>
          <w:b/>
          <w:color w:val="auto"/>
          <w:spacing w:val="6"/>
          <w:sz w:val="32"/>
          <w:szCs w:val="32"/>
          <w:highlight w:val="none"/>
        </w:rPr>
      </w:pPr>
    </w:p>
    <w:p w14:paraId="14759B9D">
      <w:pPr>
        <w:spacing w:line="360" w:lineRule="auto"/>
        <w:jc w:val="center"/>
        <w:rPr>
          <w:rFonts w:ascii="宋体" w:hAnsi="宋体" w:cs="宋体"/>
          <w:b/>
          <w:color w:val="auto"/>
          <w:spacing w:val="6"/>
          <w:sz w:val="32"/>
          <w:szCs w:val="32"/>
          <w:highlight w:val="none"/>
        </w:rPr>
      </w:pPr>
    </w:p>
    <w:p w14:paraId="0FB7E639">
      <w:pPr>
        <w:spacing w:line="360" w:lineRule="auto"/>
        <w:jc w:val="center"/>
        <w:rPr>
          <w:rFonts w:ascii="宋体" w:hAnsi="宋体" w:cs="宋体"/>
          <w:b/>
          <w:color w:val="auto"/>
          <w:spacing w:val="6"/>
          <w:sz w:val="32"/>
          <w:szCs w:val="32"/>
          <w:highlight w:val="none"/>
        </w:rPr>
      </w:pPr>
    </w:p>
    <w:p w14:paraId="26290516">
      <w:pPr>
        <w:spacing w:line="360" w:lineRule="auto"/>
        <w:jc w:val="center"/>
        <w:rPr>
          <w:rFonts w:ascii="宋体" w:hAnsi="宋体" w:cs="宋体"/>
          <w:b/>
          <w:color w:val="auto"/>
          <w:spacing w:val="6"/>
          <w:sz w:val="32"/>
          <w:szCs w:val="32"/>
          <w:highlight w:val="none"/>
        </w:rPr>
      </w:pPr>
    </w:p>
    <w:p w14:paraId="4B860539">
      <w:pPr>
        <w:spacing w:line="360" w:lineRule="auto"/>
        <w:jc w:val="center"/>
        <w:rPr>
          <w:rFonts w:ascii="宋体" w:hAnsi="宋体" w:cs="宋体"/>
          <w:b/>
          <w:color w:val="auto"/>
          <w:spacing w:val="6"/>
          <w:sz w:val="32"/>
          <w:szCs w:val="32"/>
          <w:highlight w:val="none"/>
        </w:rPr>
      </w:pPr>
    </w:p>
    <w:p w14:paraId="08518726">
      <w:pPr>
        <w:spacing w:line="360" w:lineRule="auto"/>
        <w:jc w:val="center"/>
        <w:rPr>
          <w:rFonts w:ascii="宋体" w:hAnsi="宋体" w:cs="宋体"/>
          <w:b/>
          <w:color w:val="auto"/>
          <w:spacing w:val="6"/>
          <w:sz w:val="32"/>
          <w:szCs w:val="32"/>
          <w:highlight w:val="none"/>
        </w:rPr>
      </w:pPr>
    </w:p>
    <w:p w14:paraId="110206CF">
      <w:pPr>
        <w:spacing w:line="360" w:lineRule="auto"/>
        <w:jc w:val="center"/>
        <w:rPr>
          <w:rFonts w:ascii="宋体" w:hAnsi="宋体" w:cs="宋体"/>
          <w:b/>
          <w:color w:val="auto"/>
          <w:spacing w:val="6"/>
          <w:sz w:val="32"/>
          <w:szCs w:val="32"/>
          <w:highlight w:val="none"/>
        </w:rPr>
      </w:pPr>
    </w:p>
    <w:p w14:paraId="50C4263B">
      <w:pPr>
        <w:spacing w:line="360" w:lineRule="auto"/>
        <w:jc w:val="center"/>
        <w:rPr>
          <w:rFonts w:ascii="宋体" w:hAnsi="宋体" w:cs="宋体"/>
          <w:b/>
          <w:color w:val="auto"/>
          <w:spacing w:val="6"/>
          <w:sz w:val="32"/>
          <w:szCs w:val="32"/>
          <w:highlight w:val="none"/>
        </w:rPr>
      </w:pPr>
    </w:p>
    <w:p w14:paraId="47583EFE">
      <w:pPr>
        <w:spacing w:line="360" w:lineRule="auto"/>
        <w:jc w:val="center"/>
        <w:rPr>
          <w:rFonts w:ascii="宋体" w:hAnsi="宋体" w:cs="宋体"/>
          <w:b/>
          <w:color w:val="auto"/>
          <w:spacing w:val="6"/>
          <w:sz w:val="32"/>
          <w:szCs w:val="32"/>
          <w:highlight w:val="none"/>
        </w:rPr>
      </w:pPr>
    </w:p>
    <w:p w14:paraId="41D47081">
      <w:pPr>
        <w:spacing w:line="360" w:lineRule="auto"/>
        <w:jc w:val="center"/>
        <w:rPr>
          <w:rFonts w:ascii="宋体" w:hAnsi="宋体" w:cs="宋体"/>
          <w:b/>
          <w:color w:val="auto"/>
          <w:spacing w:val="6"/>
          <w:sz w:val="32"/>
          <w:szCs w:val="32"/>
          <w:highlight w:val="none"/>
        </w:rPr>
      </w:pPr>
    </w:p>
    <w:p w14:paraId="66254F2D">
      <w:pPr>
        <w:spacing w:line="360" w:lineRule="auto"/>
        <w:jc w:val="center"/>
        <w:rPr>
          <w:rFonts w:ascii="宋体" w:hAnsi="宋体" w:cs="宋体"/>
          <w:b/>
          <w:color w:val="auto"/>
          <w:spacing w:val="6"/>
          <w:sz w:val="32"/>
          <w:szCs w:val="32"/>
          <w:highlight w:val="none"/>
        </w:rPr>
      </w:pPr>
    </w:p>
    <w:p w14:paraId="4C822140">
      <w:pPr>
        <w:spacing w:line="360" w:lineRule="auto"/>
        <w:jc w:val="left"/>
        <w:rPr>
          <w:rFonts w:ascii="宋体" w:hAnsi="宋体" w:cs="宋体"/>
          <w:b/>
          <w:color w:val="auto"/>
          <w:spacing w:val="6"/>
          <w:sz w:val="32"/>
          <w:szCs w:val="32"/>
          <w:highlight w:val="none"/>
        </w:rPr>
      </w:pPr>
    </w:p>
    <w:p w14:paraId="0BFB350A">
      <w:pPr>
        <w:spacing w:line="360" w:lineRule="auto"/>
        <w:jc w:val="left"/>
        <w:rPr>
          <w:rFonts w:ascii="宋体" w:hAnsi="宋体" w:cs="宋体"/>
          <w:b/>
          <w:color w:val="auto"/>
          <w:spacing w:val="6"/>
          <w:sz w:val="32"/>
          <w:szCs w:val="32"/>
          <w:highlight w:val="none"/>
        </w:rPr>
      </w:pPr>
    </w:p>
    <w:p w14:paraId="133D96A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24D1E65">
      <w:pPr>
        <w:spacing w:line="360" w:lineRule="auto"/>
        <w:jc w:val="center"/>
        <w:rPr>
          <w:rFonts w:ascii="宋体" w:hAnsi="宋体" w:cs="宋体"/>
          <w:b/>
          <w:color w:val="auto"/>
          <w:sz w:val="24"/>
          <w:highlight w:val="none"/>
        </w:rPr>
      </w:pPr>
    </w:p>
    <w:p w14:paraId="7F09C7EC">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5C786D4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01BA6FD4">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0DE9423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16C4C2C">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847B286">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7DC760C">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99948C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B3555D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8EC35C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611F0F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CC8A01">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DAAEDF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D3B5136">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744EE0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14205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FCC8AA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2FFA8F62">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5C64075F">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59C654F">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A6737C1">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480507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602782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0AF3F8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68AA029">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2E026C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4BCA71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1B89C44">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D1DED96">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45078E3D">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635D888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04BEC9C1">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7E90D5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ECBE272">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756C1997">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669F0D7">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4A0DBFD">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1B2368B">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299F185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1BFD7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9B725A0">
      <w:pPr>
        <w:spacing w:line="360" w:lineRule="auto"/>
        <w:rPr>
          <w:rFonts w:ascii="宋体" w:hAnsi="宋体" w:cs="宋体"/>
          <w:b/>
          <w:color w:val="auto"/>
          <w:sz w:val="24"/>
          <w:highlight w:val="none"/>
        </w:rPr>
      </w:pPr>
    </w:p>
    <w:p w14:paraId="62F9FCCE">
      <w:pPr>
        <w:spacing w:line="360" w:lineRule="auto"/>
        <w:rPr>
          <w:rFonts w:ascii="宋体" w:hAnsi="宋体" w:cs="宋体"/>
          <w:b/>
          <w:color w:val="auto"/>
          <w:sz w:val="24"/>
          <w:highlight w:val="none"/>
        </w:rPr>
      </w:pPr>
    </w:p>
    <w:p w14:paraId="2FDCC703">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4021B268">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016A5D4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224D926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1E7F88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7B466A9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BE23C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CE8C39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E4108BC">
      <w:pPr>
        <w:spacing w:line="360" w:lineRule="auto"/>
        <w:rPr>
          <w:rFonts w:ascii="宋体" w:hAnsi="宋体" w:cs="宋体"/>
          <w:b/>
          <w:color w:val="auto"/>
          <w:sz w:val="24"/>
          <w:highlight w:val="none"/>
        </w:rPr>
      </w:pPr>
    </w:p>
    <w:p w14:paraId="5DA77373">
      <w:pPr>
        <w:autoSpaceDE w:val="0"/>
        <w:autoSpaceDN w:val="0"/>
        <w:jc w:val="center"/>
        <w:rPr>
          <w:rFonts w:ascii="宋体" w:hAnsi="宋体" w:cs="宋体"/>
          <w:b/>
          <w:color w:val="auto"/>
          <w:spacing w:val="6"/>
          <w:sz w:val="32"/>
          <w:szCs w:val="32"/>
          <w:highlight w:val="none"/>
        </w:rPr>
      </w:pPr>
    </w:p>
    <w:p w14:paraId="1E738100">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94495B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385EC68">
      <w:pPr>
        <w:spacing w:line="360" w:lineRule="auto"/>
        <w:rPr>
          <w:rFonts w:ascii="宋体" w:hAnsi="宋体" w:cs="宋体"/>
          <w:color w:val="auto"/>
          <w:sz w:val="24"/>
          <w:highlight w:val="none"/>
          <w:u w:val="single"/>
        </w:rPr>
      </w:pPr>
    </w:p>
    <w:p w14:paraId="0369EEF9">
      <w:pPr>
        <w:spacing w:line="360" w:lineRule="auto"/>
        <w:rPr>
          <w:rFonts w:ascii="宋体" w:hAnsi="宋体" w:cs="宋体"/>
          <w:color w:val="auto"/>
          <w:sz w:val="24"/>
          <w:highlight w:val="none"/>
        </w:rPr>
      </w:pPr>
      <w:r>
        <w:rPr>
          <w:rFonts w:hint="eastAsia" w:ascii="宋体" w:hAnsi="宋体" w:cs="宋体"/>
          <w:color w:val="auto"/>
          <w:sz w:val="24"/>
          <w:highlight w:val="none"/>
          <w:u w:val="single"/>
        </w:rPr>
        <w:t>浙江省司法厅：</w:t>
      </w:r>
    </w:p>
    <w:p w14:paraId="768194C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ZJ-2580230-03</w:t>
      </w:r>
      <w:r>
        <w:rPr>
          <w:rFonts w:hint="eastAsia" w:ascii="宋体" w:hAnsi="宋体" w:cs="宋体"/>
          <w:color w:val="auto"/>
          <w:sz w:val="24"/>
          <w:highlight w:val="none"/>
          <w:u w:val="singl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2E70D34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6965D91">
      <w:pPr>
        <w:spacing w:line="360" w:lineRule="auto"/>
        <w:ind w:firstLine="494"/>
        <w:rPr>
          <w:rFonts w:ascii="宋体" w:hAnsi="宋体" w:cs="宋体"/>
          <w:color w:val="auto"/>
          <w:sz w:val="24"/>
          <w:highlight w:val="none"/>
        </w:rPr>
      </w:pPr>
    </w:p>
    <w:p w14:paraId="46479250">
      <w:pPr>
        <w:spacing w:line="360" w:lineRule="auto"/>
        <w:ind w:firstLine="494"/>
        <w:rPr>
          <w:rFonts w:ascii="宋体" w:hAnsi="宋体" w:cs="宋体"/>
          <w:color w:val="auto"/>
          <w:sz w:val="24"/>
          <w:highlight w:val="none"/>
        </w:rPr>
      </w:pPr>
    </w:p>
    <w:p w14:paraId="73B6C3C6">
      <w:pPr>
        <w:spacing w:line="360" w:lineRule="auto"/>
        <w:ind w:firstLine="494"/>
        <w:rPr>
          <w:rFonts w:ascii="宋体" w:hAnsi="宋体" w:cs="宋体"/>
          <w:color w:val="auto"/>
          <w:sz w:val="24"/>
          <w:highlight w:val="none"/>
        </w:rPr>
      </w:pPr>
    </w:p>
    <w:p w14:paraId="78C4B824">
      <w:pPr>
        <w:spacing w:line="360" w:lineRule="auto"/>
        <w:ind w:firstLine="494"/>
        <w:rPr>
          <w:rFonts w:ascii="宋体" w:hAnsi="宋体" w:cs="宋体"/>
          <w:color w:val="auto"/>
          <w:sz w:val="24"/>
          <w:highlight w:val="none"/>
        </w:rPr>
      </w:pPr>
    </w:p>
    <w:p w14:paraId="450FC57F">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5438327">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1FD1D90">
      <w:pPr>
        <w:rPr>
          <w:rFonts w:ascii="宋体" w:hAnsi="宋体" w:cs="宋体"/>
          <w:color w:val="auto"/>
          <w:sz w:val="24"/>
          <w:highlight w:val="none"/>
        </w:rPr>
      </w:pPr>
      <w:r>
        <w:rPr>
          <w:rFonts w:hint="eastAsia" w:ascii="宋体" w:hAnsi="宋体" w:cs="宋体"/>
          <w:b/>
          <w:bCs/>
          <w:color w:val="auto"/>
          <w:sz w:val="24"/>
          <w:highlight w:val="none"/>
        </w:rPr>
        <w:t>附：</w:t>
      </w:r>
    </w:p>
    <w:p w14:paraId="660474B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69F03FC9">
      <w:pPr>
        <w:autoSpaceDE w:val="0"/>
        <w:autoSpaceDN w:val="0"/>
        <w:jc w:val="center"/>
        <w:rPr>
          <w:rFonts w:ascii="宋体" w:hAnsi="宋体" w:cs="宋体"/>
          <w:b/>
          <w:color w:val="auto"/>
          <w:spacing w:val="6"/>
          <w:sz w:val="32"/>
          <w:szCs w:val="32"/>
          <w:highlight w:val="none"/>
        </w:rPr>
      </w:pPr>
    </w:p>
    <w:p w14:paraId="00F94894">
      <w:pPr>
        <w:autoSpaceDE w:val="0"/>
        <w:autoSpaceDN w:val="0"/>
        <w:jc w:val="center"/>
        <w:rPr>
          <w:rFonts w:ascii="宋体" w:hAnsi="宋体" w:cs="宋体"/>
          <w:b/>
          <w:color w:val="auto"/>
          <w:spacing w:val="6"/>
          <w:sz w:val="32"/>
          <w:szCs w:val="32"/>
          <w:highlight w:val="none"/>
        </w:rPr>
      </w:pPr>
    </w:p>
    <w:p w14:paraId="447AB84B">
      <w:pPr>
        <w:autoSpaceDE w:val="0"/>
        <w:autoSpaceDN w:val="0"/>
        <w:jc w:val="center"/>
        <w:rPr>
          <w:rFonts w:ascii="宋体" w:hAnsi="宋体" w:cs="宋体"/>
          <w:b/>
          <w:color w:val="auto"/>
          <w:spacing w:val="6"/>
          <w:sz w:val="32"/>
          <w:szCs w:val="32"/>
          <w:highlight w:val="none"/>
        </w:rPr>
      </w:pPr>
    </w:p>
    <w:p w14:paraId="46972706">
      <w:pPr>
        <w:autoSpaceDE w:val="0"/>
        <w:autoSpaceDN w:val="0"/>
        <w:jc w:val="center"/>
        <w:rPr>
          <w:rFonts w:ascii="宋体" w:hAnsi="宋体" w:cs="宋体"/>
          <w:b/>
          <w:color w:val="auto"/>
          <w:spacing w:val="6"/>
          <w:sz w:val="32"/>
          <w:szCs w:val="32"/>
          <w:highlight w:val="none"/>
        </w:rPr>
      </w:pPr>
    </w:p>
    <w:p w14:paraId="26B823C9">
      <w:pPr>
        <w:autoSpaceDE w:val="0"/>
        <w:autoSpaceDN w:val="0"/>
        <w:jc w:val="center"/>
        <w:rPr>
          <w:rFonts w:ascii="宋体" w:hAnsi="宋体" w:cs="宋体"/>
          <w:b/>
          <w:color w:val="auto"/>
          <w:spacing w:val="6"/>
          <w:sz w:val="32"/>
          <w:szCs w:val="32"/>
          <w:highlight w:val="none"/>
        </w:rPr>
      </w:pPr>
    </w:p>
    <w:p w14:paraId="0635608D">
      <w:pPr>
        <w:autoSpaceDE w:val="0"/>
        <w:autoSpaceDN w:val="0"/>
        <w:jc w:val="center"/>
        <w:rPr>
          <w:rFonts w:ascii="宋体" w:hAnsi="宋体" w:cs="宋体"/>
          <w:b/>
          <w:color w:val="auto"/>
          <w:spacing w:val="6"/>
          <w:sz w:val="32"/>
          <w:szCs w:val="32"/>
          <w:highlight w:val="none"/>
        </w:rPr>
      </w:pPr>
    </w:p>
    <w:p w14:paraId="4E33C1F2">
      <w:pPr>
        <w:autoSpaceDE w:val="0"/>
        <w:autoSpaceDN w:val="0"/>
        <w:jc w:val="center"/>
        <w:rPr>
          <w:rFonts w:ascii="宋体" w:hAnsi="宋体" w:cs="宋体"/>
          <w:b/>
          <w:color w:val="auto"/>
          <w:spacing w:val="6"/>
          <w:sz w:val="32"/>
          <w:szCs w:val="32"/>
          <w:highlight w:val="none"/>
        </w:rPr>
      </w:pPr>
    </w:p>
    <w:p w14:paraId="47053BB4">
      <w:pPr>
        <w:autoSpaceDE w:val="0"/>
        <w:autoSpaceDN w:val="0"/>
        <w:jc w:val="center"/>
        <w:rPr>
          <w:rFonts w:ascii="宋体" w:hAnsi="宋体" w:cs="宋体"/>
          <w:b/>
          <w:color w:val="auto"/>
          <w:spacing w:val="6"/>
          <w:sz w:val="32"/>
          <w:szCs w:val="32"/>
          <w:highlight w:val="none"/>
        </w:rPr>
      </w:pPr>
    </w:p>
    <w:p w14:paraId="189338D8">
      <w:pPr>
        <w:autoSpaceDE w:val="0"/>
        <w:autoSpaceDN w:val="0"/>
        <w:jc w:val="center"/>
        <w:rPr>
          <w:rFonts w:ascii="宋体" w:hAnsi="宋体" w:cs="宋体"/>
          <w:b/>
          <w:color w:val="auto"/>
          <w:spacing w:val="6"/>
          <w:sz w:val="32"/>
          <w:szCs w:val="32"/>
          <w:highlight w:val="none"/>
        </w:rPr>
      </w:pPr>
    </w:p>
    <w:p w14:paraId="3C87240A">
      <w:pPr>
        <w:autoSpaceDE w:val="0"/>
        <w:autoSpaceDN w:val="0"/>
        <w:jc w:val="center"/>
        <w:rPr>
          <w:rFonts w:ascii="宋体" w:hAnsi="宋体" w:cs="宋体"/>
          <w:b/>
          <w:color w:val="auto"/>
          <w:spacing w:val="6"/>
          <w:sz w:val="32"/>
          <w:szCs w:val="32"/>
          <w:highlight w:val="none"/>
        </w:rPr>
      </w:pPr>
    </w:p>
    <w:p w14:paraId="6BAB398B">
      <w:pPr>
        <w:autoSpaceDE w:val="0"/>
        <w:autoSpaceDN w:val="0"/>
        <w:jc w:val="center"/>
        <w:rPr>
          <w:rFonts w:ascii="宋体" w:hAnsi="宋体" w:cs="宋体"/>
          <w:b/>
          <w:color w:val="auto"/>
          <w:spacing w:val="6"/>
          <w:sz w:val="32"/>
          <w:szCs w:val="32"/>
          <w:highlight w:val="none"/>
        </w:rPr>
      </w:pPr>
    </w:p>
    <w:p w14:paraId="106A9406">
      <w:pPr>
        <w:autoSpaceDE w:val="0"/>
        <w:autoSpaceDN w:val="0"/>
        <w:jc w:val="center"/>
        <w:rPr>
          <w:rFonts w:ascii="宋体" w:hAnsi="宋体" w:cs="宋体"/>
          <w:b/>
          <w:color w:val="auto"/>
          <w:spacing w:val="6"/>
          <w:sz w:val="32"/>
          <w:szCs w:val="32"/>
          <w:highlight w:val="none"/>
        </w:rPr>
      </w:pPr>
    </w:p>
    <w:p w14:paraId="60AA3154">
      <w:pPr>
        <w:autoSpaceDE w:val="0"/>
        <w:autoSpaceDN w:val="0"/>
        <w:jc w:val="center"/>
        <w:rPr>
          <w:rFonts w:ascii="宋体" w:hAnsi="宋体" w:cs="宋体"/>
          <w:b/>
          <w:color w:val="auto"/>
          <w:spacing w:val="6"/>
          <w:sz w:val="32"/>
          <w:szCs w:val="32"/>
          <w:highlight w:val="none"/>
        </w:rPr>
      </w:pPr>
    </w:p>
    <w:p w14:paraId="3FDE128C">
      <w:pPr>
        <w:autoSpaceDE w:val="0"/>
        <w:autoSpaceDN w:val="0"/>
        <w:jc w:val="center"/>
        <w:rPr>
          <w:rFonts w:ascii="宋体" w:hAnsi="宋体" w:cs="宋体"/>
          <w:b/>
          <w:color w:val="auto"/>
          <w:spacing w:val="6"/>
          <w:sz w:val="32"/>
          <w:szCs w:val="32"/>
          <w:highlight w:val="none"/>
        </w:rPr>
      </w:pPr>
    </w:p>
    <w:p w14:paraId="4A898991">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56845132">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附件5：</w:t>
      </w:r>
      <w:r>
        <w:rPr>
          <w:rFonts w:hint="eastAsia" w:ascii="宋体" w:hAnsi="宋体" w:cs="宋体"/>
          <w:b/>
          <w:color w:val="auto"/>
          <w:kern w:val="0"/>
          <w:sz w:val="32"/>
          <w:szCs w:val="32"/>
          <w:highlight w:val="none"/>
          <w:lang w:val="zh-CN"/>
        </w:rPr>
        <w:t>联合协议</w:t>
      </w:r>
    </w:p>
    <w:p w14:paraId="160C6328">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65142A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ZJ-2580230-03</w:t>
      </w:r>
      <w:r>
        <w:rPr>
          <w:rFonts w:hint="eastAsia" w:ascii="宋体" w:hAnsi="宋体" w:cs="宋体"/>
          <w:color w:val="auto"/>
          <w:sz w:val="24"/>
          <w:highlight w:val="none"/>
          <w:u w:val="single"/>
        </w:rPr>
        <w:t>】</w:t>
      </w:r>
      <w:r>
        <w:rPr>
          <w:rFonts w:hint="eastAsia" w:ascii="宋体" w:hAnsi="宋体" w:cs="宋体"/>
          <w:color w:val="auto"/>
          <w:kern w:val="0"/>
          <w:sz w:val="24"/>
          <w:highlight w:val="none"/>
          <w:lang w:val="zh-CN"/>
        </w:rPr>
        <w:t xml:space="preserve">投标。 </w:t>
      </w:r>
    </w:p>
    <w:p w14:paraId="2841D32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192BBC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等均对联合投标各方产生约束力。</w:t>
      </w:r>
    </w:p>
    <w:p w14:paraId="38A79A6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E82EDF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26C4E3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38D100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E39DB6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5424BB56">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4" w:name="_Hlk101131882"/>
      <w:r>
        <w:rPr>
          <w:rFonts w:hint="eastAsia" w:ascii="宋体" w:hAnsi="宋体" w:cs="宋体"/>
          <w:color w:val="auto"/>
          <w:kern w:val="0"/>
          <w:sz w:val="24"/>
          <w:highlight w:val="none"/>
          <w:u w:val="single"/>
        </w:rPr>
        <w:t>联合体成员X,……</w:t>
      </w:r>
      <w:bookmarkEnd w:id="404"/>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5"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5"/>
      <w:r>
        <w:rPr>
          <w:rFonts w:hint="eastAsia" w:ascii="宋体" w:hAnsi="宋体" w:cs="宋体"/>
          <w:b/>
          <w:color w:val="auto"/>
          <w:kern w:val="0"/>
          <w:sz w:val="24"/>
          <w:highlight w:val="none"/>
          <w:lang w:val="zh-CN"/>
        </w:rPr>
        <w:t>）</w:t>
      </w:r>
    </w:p>
    <w:p w14:paraId="3DEB7BD9">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6"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6"/>
    </w:p>
    <w:p w14:paraId="36D05F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154EDA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F0AA51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015365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5EDDE7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681EFC99">
      <w:pPr>
        <w:snapToGrid w:val="0"/>
        <w:spacing w:line="360" w:lineRule="auto"/>
        <w:ind w:firstLine="5040" w:firstLineChars="2100"/>
        <w:rPr>
          <w:rFonts w:ascii="宋体" w:hAnsi="宋体" w:cs="宋体"/>
          <w:color w:val="auto"/>
          <w:kern w:val="0"/>
          <w:sz w:val="24"/>
          <w:highlight w:val="none"/>
          <w:lang w:val="zh-CN"/>
        </w:rPr>
      </w:pPr>
    </w:p>
    <w:p w14:paraId="3D96318B">
      <w:pPr>
        <w:snapToGrid w:val="0"/>
        <w:spacing w:line="360" w:lineRule="auto"/>
        <w:ind w:firstLine="5040" w:firstLineChars="2100"/>
        <w:rPr>
          <w:rFonts w:ascii="宋体" w:hAnsi="宋体" w:cs="宋体"/>
          <w:color w:val="auto"/>
          <w:kern w:val="0"/>
          <w:sz w:val="24"/>
          <w:highlight w:val="none"/>
          <w:lang w:val="zh-CN"/>
        </w:rPr>
      </w:pPr>
    </w:p>
    <w:p w14:paraId="5747C025">
      <w:pPr>
        <w:snapToGrid w:val="0"/>
        <w:spacing w:line="360" w:lineRule="auto"/>
        <w:ind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B51811E">
      <w:pPr>
        <w:snapToGrid w:val="0"/>
        <w:spacing w:line="360" w:lineRule="auto"/>
        <w:ind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4E5BF1B">
      <w:pPr>
        <w:snapToGrid w:val="0"/>
        <w:spacing w:line="360" w:lineRule="auto"/>
        <w:ind w:right="960"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2B52C3D">
      <w:pPr>
        <w:snapToGrid w:val="0"/>
        <w:spacing w:line="360" w:lineRule="auto"/>
        <w:ind w:firstLine="2940" w:firstLineChars="122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5210924A">
      <w:pPr>
        <w:spacing w:line="360" w:lineRule="auto"/>
        <w:ind w:right="420"/>
        <w:rPr>
          <w:rFonts w:ascii="宋体" w:hAnsi="宋体" w:cs="宋体"/>
          <w:color w:val="auto"/>
          <w:sz w:val="24"/>
          <w:highlight w:val="none"/>
        </w:rPr>
      </w:pPr>
    </w:p>
    <w:p w14:paraId="03C2D9FE">
      <w:pPr>
        <w:spacing w:line="360" w:lineRule="auto"/>
        <w:ind w:right="420"/>
        <w:rPr>
          <w:rFonts w:ascii="宋体" w:hAnsi="宋体" w:cs="宋体"/>
          <w:color w:val="auto"/>
          <w:sz w:val="24"/>
          <w:highlight w:val="none"/>
        </w:rPr>
      </w:pPr>
    </w:p>
    <w:p w14:paraId="05255DC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0E35EF7">
      <w:pPr>
        <w:autoSpaceDE w:val="0"/>
        <w:autoSpaceDN w:val="0"/>
        <w:jc w:val="center"/>
        <w:rPr>
          <w:rFonts w:ascii="宋体" w:hAnsi="宋体" w:cs="宋体"/>
          <w:b/>
          <w:color w:val="auto"/>
          <w:spacing w:val="6"/>
          <w:sz w:val="32"/>
          <w:szCs w:val="32"/>
          <w:highlight w:val="none"/>
        </w:rPr>
      </w:pPr>
    </w:p>
    <w:p w14:paraId="231B8B0A">
      <w:pPr>
        <w:autoSpaceDE w:val="0"/>
        <w:autoSpaceDN w:val="0"/>
        <w:jc w:val="center"/>
        <w:rPr>
          <w:rFonts w:ascii="宋体" w:hAnsi="宋体" w:cs="宋体"/>
          <w:b/>
          <w:color w:val="auto"/>
          <w:spacing w:val="6"/>
          <w:sz w:val="32"/>
          <w:szCs w:val="32"/>
          <w:highlight w:val="none"/>
        </w:rPr>
      </w:pPr>
    </w:p>
    <w:p w14:paraId="570564B1">
      <w:pPr>
        <w:autoSpaceDE w:val="0"/>
        <w:autoSpaceDN w:val="0"/>
        <w:jc w:val="center"/>
        <w:rPr>
          <w:rFonts w:ascii="宋体" w:hAnsi="宋体" w:cs="宋体"/>
          <w:b/>
          <w:color w:val="auto"/>
          <w:spacing w:val="6"/>
          <w:sz w:val="32"/>
          <w:szCs w:val="32"/>
          <w:highlight w:val="none"/>
        </w:rPr>
      </w:pPr>
    </w:p>
    <w:p w14:paraId="1D3FD178">
      <w:pPr>
        <w:autoSpaceDE w:val="0"/>
        <w:autoSpaceDN w:val="0"/>
        <w:jc w:val="center"/>
        <w:rPr>
          <w:rFonts w:ascii="宋体" w:hAnsi="宋体" w:cs="宋体"/>
          <w:b/>
          <w:color w:val="auto"/>
          <w:spacing w:val="6"/>
          <w:sz w:val="32"/>
          <w:szCs w:val="32"/>
          <w:highlight w:val="none"/>
        </w:rPr>
      </w:pPr>
    </w:p>
    <w:p w14:paraId="08B6B8AB">
      <w:pPr>
        <w:autoSpaceDE w:val="0"/>
        <w:autoSpaceDN w:val="0"/>
        <w:jc w:val="center"/>
        <w:rPr>
          <w:rFonts w:ascii="宋体" w:hAnsi="宋体" w:cs="宋体"/>
          <w:b/>
          <w:color w:val="auto"/>
          <w:spacing w:val="6"/>
          <w:sz w:val="32"/>
          <w:szCs w:val="32"/>
          <w:highlight w:val="none"/>
        </w:rPr>
      </w:pPr>
    </w:p>
    <w:p w14:paraId="5B008E5E">
      <w:pPr>
        <w:autoSpaceDE w:val="0"/>
        <w:autoSpaceDN w:val="0"/>
        <w:jc w:val="center"/>
        <w:rPr>
          <w:rFonts w:ascii="宋体" w:hAnsi="宋体" w:cs="宋体"/>
          <w:b/>
          <w:color w:val="auto"/>
          <w:spacing w:val="6"/>
          <w:sz w:val="32"/>
          <w:szCs w:val="32"/>
          <w:highlight w:val="none"/>
        </w:rPr>
      </w:pPr>
    </w:p>
    <w:p w14:paraId="487EFC22">
      <w:pPr>
        <w:autoSpaceDE w:val="0"/>
        <w:autoSpaceDN w:val="0"/>
        <w:jc w:val="center"/>
        <w:rPr>
          <w:rFonts w:ascii="宋体" w:hAnsi="宋体" w:cs="宋体"/>
          <w:b/>
          <w:color w:val="auto"/>
          <w:spacing w:val="6"/>
          <w:sz w:val="32"/>
          <w:szCs w:val="32"/>
          <w:highlight w:val="none"/>
        </w:rPr>
      </w:pPr>
    </w:p>
    <w:p w14:paraId="6C7C6440">
      <w:pPr>
        <w:autoSpaceDE w:val="0"/>
        <w:autoSpaceDN w:val="0"/>
        <w:jc w:val="center"/>
        <w:rPr>
          <w:rFonts w:ascii="宋体" w:hAnsi="宋体" w:cs="宋体"/>
          <w:b/>
          <w:color w:val="auto"/>
          <w:spacing w:val="6"/>
          <w:sz w:val="32"/>
          <w:szCs w:val="32"/>
          <w:highlight w:val="none"/>
        </w:rPr>
      </w:pPr>
    </w:p>
    <w:p w14:paraId="072F8727">
      <w:pPr>
        <w:autoSpaceDE w:val="0"/>
        <w:autoSpaceDN w:val="0"/>
        <w:jc w:val="center"/>
        <w:rPr>
          <w:rFonts w:ascii="宋体" w:hAnsi="宋体" w:cs="宋体"/>
          <w:b/>
          <w:color w:val="auto"/>
          <w:spacing w:val="6"/>
          <w:sz w:val="32"/>
          <w:szCs w:val="32"/>
          <w:highlight w:val="none"/>
        </w:rPr>
      </w:pPr>
    </w:p>
    <w:p w14:paraId="51437E1A">
      <w:pPr>
        <w:autoSpaceDE w:val="0"/>
        <w:autoSpaceDN w:val="0"/>
        <w:jc w:val="center"/>
        <w:rPr>
          <w:rFonts w:ascii="宋体" w:hAnsi="宋体" w:cs="宋体"/>
          <w:b/>
          <w:color w:val="auto"/>
          <w:spacing w:val="6"/>
          <w:sz w:val="32"/>
          <w:szCs w:val="32"/>
          <w:highlight w:val="none"/>
        </w:rPr>
      </w:pPr>
    </w:p>
    <w:p w14:paraId="6AC82CAF">
      <w:pPr>
        <w:autoSpaceDE w:val="0"/>
        <w:autoSpaceDN w:val="0"/>
        <w:jc w:val="center"/>
        <w:rPr>
          <w:rFonts w:ascii="宋体" w:hAnsi="宋体" w:cs="宋体"/>
          <w:b/>
          <w:color w:val="auto"/>
          <w:spacing w:val="6"/>
          <w:sz w:val="32"/>
          <w:szCs w:val="32"/>
          <w:highlight w:val="none"/>
        </w:rPr>
      </w:pPr>
    </w:p>
    <w:p w14:paraId="6E02B4D3">
      <w:pPr>
        <w:autoSpaceDE w:val="0"/>
        <w:autoSpaceDN w:val="0"/>
        <w:jc w:val="center"/>
        <w:rPr>
          <w:rFonts w:ascii="宋体" w:hAnsi="宋体" w:cs="宋体"/>
          <w:b/>
          <w:color w:val="auto"/>
          <w:spacing w:val="6"/>
          <w:sz w:val="32"/>
          <w:szCs w:val="32"/>
          <w:highlight w:val="none"/>
        </w:rPr>
      </w:pPr>
    </w:p>
    <w:p w14:paraId="33A9578A">
      <w:pPr>
        <w:autoSpaceDE w:val="0"/>
        <w:autoSpaceDN w:val="0"/>
        <w:jc w:val="center"/>
        <w:rPr>
          <w:rFonts w:ascii="宋体" w:hAnsi="宋体" w:cs="宋体"/>
          <w:b/>
          <w:color w:val="auto"/>
          <w:spacing w:val="6"/>
          <w:sz w:val="32"/>
          <w:szCs w:val="32"/>
          <w:highlight w:val="none"/>
        </w:rPr>
      </w:pPr>
    </w:p>
    <w:p w14:paraId="4232A901">
      <w:pPr>
        <w:autoSpaceDE w:val="0"/>
        <w:autoSpaceDN w:val="0"/>
        <w:jc w:val="center"/>
        <w:rPr>
          <w:rFonts w:ascii="宋体" w:hAnsi="宋体" w:cs="宋体"/>
          <w:b/>
          <w:color w:val="auto"/>
          <w:spacing w:val="6"/>
          <w:sz w:val="32"/>
          <w:szCs w:val="32"/>
          <w:highlight w:val="none"/>
        </w:rPr>
      </w:pPr>
    </w:p>
    <w:p w14:paraId="55C59621">
      <w:pPr>
        <w:autoSpaceDE w:val="0"/>
        <w:autoSpaceDN w:val="0"/>
        <w:jc w:val="center"/>
        <w:rPr>
          <w:rFonts w:ascii="宋体" w:hAnsi="宋体" w:cs="宋体"/>
          <w:b/>
          <w:color w:val="auto"/>
          <w:spacing w:val="6"/>
          <w:sz w:val="32"/>
          <w:szCs w:val="32"/>
          <w:highlight w:val="none"/>
        </w:rPr>
      </w:pPr>
    </w:p>
    <w:p w14:paraId="1732E6F9">
      <w:pPr>
        <w:autoSpaceDE w:val="0"/>
        <w:autoSpaceDN w:val="0"/>
        <w:jc w:val="center"/>
        <w:rPr>
          <w:rFonts w:ascii="宋体" w:hAnsi="宋体" w:cs="宋体"/>
          <w:b/>
          <w:color w:val="auto"/>
          <w:spacing w:val="6"/>
          <w:sz w:val="32"/>
          <w:szCs w:val="32"/>
          <w:highlight w:val="none"/>
        </w:rPr>
      </w:pPr>
    </w:p>
    <w:p w14:paraId="674849CC">
      <w:pPr>
        <w:autoSpaceDE w:val="0"/>
        <w:autoSpaceDN w:val="0"/>
        <w:jc w:val="center"/>
        <w:rPr>
          <w:rFonts w:ascii="宋体" w:hAnsi="宋体" w:cs="宋体"/>
          <w:b/>
          <w:color w:val="auto"/>
          <w:spacing w:val="6"/>
          <w:sz w:val="32"/>
          <w:szCs w:val="32"/>
          <w:highlight w:val="none"/>
        </w:rPr>
      </w:pPr>
    </w:p>
    <w:p w14:paraId="21E40DF1">
      <w:pPr>
        <w:autoSpaceDE w:val="0"/>
        <w:autoSpaceDN w:val="0"/>
        <w:jc w:val="center"/>
        <w:rPr>
          <w:rFonts w:ascii="宋体" w:hAnsi="宋体" w:cs="宋体"/>
          <w:b/>
          <w:color w:val="auto"/>
          <w:spacing w:val="6"/>
          <w:sz w:val="32"/>
          <w:szCs w:val="32"/>
          <w:highlight w:val="none"/>
        </w:rPr>
      </w:pPr>
    </w:p>
    <w:p w14:paraId="0CF55B33">
      <w:pPr>
        <w:autoSpaceDE w:val="0"/>
        <w:autoSpaceDN w:val="0"/>
        <w:jc w:val="center"/>
        <w:rPr>
          <w:rFonts w:ascii="宋体" w:hAnsi="宋体" w:cs="宋体"/>
          <w:b/>
          <w:color w:val="auto"/>
          <w:spacing w:val="6"/>
          <w:sz w:val="32"/>
          <w:szCs w:val="32"/>
          <w:highlight w:val="none"/>
        </w:rPr>
      </w:pPr>
    </w:p>
    <w:p w14:paraId="342F44DB">
      <w:pPr>
        <w:autoSpaceDE w:val="0"/>
        <w:autoSpaceDN w:val="0"/>
        <w:jc w:val="center"/>
        <w:rPr>
          <w:rFonts w:ascii="宋体" w:hAnsi="宋体" w:cs="宋体"/>
          <w:b/>
          <w:color w:val="auto"/>
          <w:spacing w:val="6"/>
          <w:sz w:val="32"/>
          <w:szCs w:val="32"/>
          <w:highlight w:val="none"/>
        </w:rPr>
      </w:pPr>
    </w:p>
    <w:p w14:paraId="2A7E275D">
      <w:pPr>
        <w:autoSpaceDE w:val="0"/>
        <w:autoSpaceDN w:val="0"/>
        <w:jc w:val="center"/>
        <w:rPr>
          <w:rFonts w:ascii="宋体" w:hAnsi="宋体" w:cs="宋体"/>
          <w:b/>
          <w:color w:val="auto"/>
          <w:spacing w:val="6"/>
          <w:sz w:val="32"/>
          <w:szCs w:val="32"/>
          <w:highlight w:val="none"/>
        </w:rPr>
      </w:pPr>
    </w:p>
    <w:p w14:paraId="4B5E60A9">
      <w:pPr>
        <w:autoSpaceDE w:val="0"/>
        <w:autoSpaceDN w:val="0"/>
        <w:jc w:val="center"/>
        <w:rPr>
          <w:rFonts w:ascii="宋体" w:hAnsi="宋体" w:cs="宋体"/>
          <w:b/>
          <w:color w:val="auto"/>
          <w:spacing w:val="6"/>
          <w:sz w:val="32"/>
          <w:szCs w:val="32"/>
          <w:highlight w:val="none"/>
        </w:rPr>
      </w:pPr>
    </w:p>
    <w:p w14:paraId="73AED4BF">
      <w:pPr>
        <w:widowControl/>
        <w:adjustRightInd/>
        <w:jc w:val="left"/>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br w:type="page"/>
      </w:r>
      <w:r>
        <w:rPr>
          <w:rFonts w:hint="eastAsia" w:ascii="宋体" w:hAnsi="宋体" w:cs="宋体"/>
          <w:b/>
          <w:color w:val="auto"/>
          <w:spacing w:val="6"/>
          <w:sz w:val="32"/>
          <w:szCs w:val="32"/>
          <w:highlight w:val="none"/>
        </w:rPr>
        <w:t>附件6：</w:t>
      </w:r>
      <w:r>
        <w:rPr>
          <w:rFonts w:hint="eastAsia" w:ascii="宋体" w:hAnsi="宋体" w:cs="宋体"/>
          <w:b/>
          <w:color w:val="auto"/>
          <w:kern w:val="0"/>
          <w:sz w:val="32"/>
          <w:szCs w:val="32"/>
          <w:highlight w:val="none"/>
        </w:rPr>
        <w:t>分包意向协议</w:t>
      </w:r>
    </w:p>
    <w:p w14:paraId="6A7CF6A0">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34CF97D1">
      <w:pPr>
        <w:snapToGrid w:val="0"/>
        <w:spacing w:line="360" w:lineRule="auto"/>
        <w:ind w:firstLine="576"/>
        <w:rPr>
          <w:rFonts w:hint="eastAsia" w:ascii="宋体" w:hAnsi="宋体" w:cs="宋体"/>
          <w:color w:val="auto"/>
          <w:kern w:val="0"/>
          <w:sz w:val="24"/>
          <w:highlight w:val="none"/>
          <w:u w:val="single"/>
        </w:rPr>
      </w:pPr>
    </w:p>
    <w:p w14:paraId="52B86AC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ZJ-2580230-03</w:t>
      </w:r>
      <w:r>
        <w:rPr>
          <w:rFonts w:hint="eastAsia" w:ascii="宋体" w:hAnsi="宋体" w:cs="宋体"/>
          <w:color w:val="auto"/>
          <w:sz w:val="24"/>
          <w:highlight w:val="none"/>
          <w:u w:val="singl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76E5FBF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798CC36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hint="eastAsia"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2DB739C">
      <w:pPr>
        <w:bidi w:val="0"/>
        <w:ind w:left="0" w:leftChars="0" w:firstLine="638" w:firstLineChars="304"/>
        <w:rPr>
          <w:color w:val="auto"/>
          <w:highlight w:val="none"/>
        </w:rPr>
      </w:pPr>
      <w:r>
        <w:rPr>
          <w:rFonts w:hint="eastAsia"/>
          <w:color w:val="auto"/>
          <w:highlight w:val="none"/>
        </w:rPr>
        <w:t>……</w:t>
      </w:r>
    </w:p>
    <w:p w14:paraId="21B9610D">
      <w:pPr>
        <w:rPr>
          <w:rFonts w:ascii="宋体" w:hAnsi="宋体" w:cs="宋体"/>
          <w:color w:val="auto"/>
          <w:highlight w:val="none"/>
        </w:rPr>
      </w:pPr>
      <w:r>
        <w:rPr>
          <w:rFonts w:hint="eastAsia" w:ascii="宋体" w:hAnsi="宋体" w:cs="宋体"/>
          <w:color w:val="auto"/>
          <w:highlight w:val="none"/>
          <w:lang w:val="zh-CN"/>
        </w:rPr>
        <w:t xml:space="preserve"> </w:t>
      </w:r>
    </w:p>
    <w:p w14:paraId="6E8068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4F446F17">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u w:val="single"/>
        </w:rPr>
        <w:t>（分包供应商X,……）提供的服务全部由小微企业承接，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FAAC5E9">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09DDC43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4A9562E9">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61F663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CC29524">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16841B5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D754E49">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六、违约责任</w:t>
      </w:r>
    </w:p>
    <w:p w14:paraId="072C3243">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6E0B0E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72E3871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03F091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434EB957">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w:t>
      </w:r>
    </w:p>
    <w:p w14:paraId="7B660FBA">
      <w:pPr>
        <w:snapToGrid w:val="0"/>
        <w:spacing w:line="360" w:lineRule="auto"/>
        <w:ind w:left="5758" w:leftChars="342" w:hanging="5040" w:hangingChars="2100"/>
        <w:rPr>
          <w:rFonts w:ascii="宋体" w:hAnsi="宋体" w:cs="宋体"/>
          <w:color w:val="auto"/>
          <w:kern w:val="0"/>
          <w:sz w:val="24"/>
          <w:highlight w:val="none"/>
          <w:lang w:val="zh-CN"/>
        </w:rPr>
      </w:pPr>
    </w:p>
    <w:p w14:paraId="108CB6A7">
      <w:pPr>
        <w:snapToGrid w:val="0"/>
        <w:spacing w:line="360" w:lineRule="auto"/>
        <w:ind w:left="5758" w:leftChars="342" w:hanging="5040" w:hangingChars="2100"/>
        <w:rPr>
          <w:rFonts w:ascii="宋体" w:hAnsi="宋体" w:cs="宋体"/>
          <w:color w:val="auto"/>
          <w:kern w:val="0"/>
          <w:sz w:val="24"/>
          <w:highlight w:val="none"/>
          <w:lang w:val="zh-CN"/>
        </w:rPr>
      </w:pPr>
    </w:p>
    <w:p w14:paraId="6C65891A">
      <w:pPr>
        <w:snapToGrid w:val="0"/>
        <w:spacing w:line="360" w:lineRule="auto"/>
        <w:ind w:left="5757" w:leftChars="2000" w:hanging="1557" w:hangingChars="64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投标人名称（电子签名）：</w:t>
      </w:r>
    </w:p>
    <w:p w14:paraId="621F1090">
      <w:pPr>
        <w:snapToGrid w:val="0"/>
        <w:spacing w:line="360" w:lineRule="auto"/>
        <w:ind w:left="5757" w:leftChars="2000" w:hanging="1557" w:hangingChars="64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5BD3788E">
      <w:pPr>
        <w:snapToGrid w:val="0"/>
        <w:spacing w:line="360" w:lineRule="auto"/>
        <w:ind w:left="5757" w:leftChars="2000" w:hanging="1557" w:hangingChars="649"/>
        <w:rPr>
          <w:rFonts w:ascii="宋体" w:hAnsi="宋体" w:cs="宋体"/>
          <w:color w:val="auto"/>
          <w:highlight w:val="none"/>
        </w:rPr>
      </w:pPr>
      <w:r>
        <w:rPr>
          <w:rFonts w:hint="eastAsia" w:ascii="宋体" w:hAnsi="宋体" w:cs="宋体"/>
          <w:color w:val="auto"/>
          <w:kern w:val="0"/>
          <w:sz w:val="24"/>
          <w:highlight w:val="none"/>
          <w:lang w:val="zh-CN"/>
        </w:rPr>
        <w:t>……</w:t>
      </w:r>
    </w:p>
    <w:p w14:paraId="724B3CDE">
      <w:pPr>
        <w:snapToGrid w:val="0"/>
        <w:spacing w:line="360" w:lineRule="auto"/>
        <w:ind w:left="5757" w:leftChars="2000" w:hanging="1557" w:hangingChars="64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ED9FDE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9B9C9BD">
      <w:pPr>
        <w:autoSpaceDE w:val="0"/>
        <w:autoSpaceDN w:val="0"/>
        <w:jc w:val="center"/>
        <w:rPr>
          <w:rFonts w:ascii="宋体" w:hAnsi="宋体" w:cs="宋体"/>
          <w:b/>
          <w:color w:val="auto"/>
          <w:spacing w:val="6"/>
          <w:sz w:val="32"/>
          <w:szCs w:val="32"/>
          <w:highlight w:val="none"/>
        </w:rPr>
      </w:pPr>
    </w:p>
    <w:p w14:paraId="2AE8687F">
      <w:pPr>
        <w:autoSpaceDE w:val="0"/>
        <w:autoSpaceDN w:val="0"/>
        <w:jc w:val="center"/>
        <w:rPr>
          <w:rFonts w:ascii="宋体" w:hAnsi="宋体" w:cs="宋体"/>
          <w:b/>
          <w:color w:val="auto"/>
          <w:spacing w:val="6"/>
          <w:sz w:val="32"/>
          <w:szCs w:val="32"/>
          <w:highlight w:val="none"/>
        </w:rPr>
      </w:pPr>
    </w:p>
    <w:p w14:paraId="0B664720">
      <w:pPr>
        <w:autoSpaceDE w:val="0"/>
        <w:autoSpaceDN w:val="0"/>
        <w:jc w:val="center"/>
        <w:rPr>
          <w:rFonts w:ascii="宋体" w:hAnsi="宋体" w:cs="宋体"/>
          <w:b/>
          <w:color w:val="auto"/>
          <w:spacing w:val="6"/>
          <w:sz w:val="32"/>
          <w:szCs w:val="32"/>
          <w:highlight w:val="none"/>
        </w:rPr>
      </w:pPr>
    </w:p>
    <w:p w14:paraId="1B08F9D9">
      <w:pPr>
        <w:autoSpaceDE w:val="0"/>
        <w:autoSpaceDN w:val="0"/>
        <w:jc w:val="center"/>
        <w:rPr>
          <w:rFonts w:ascii="宋体" w:hAnsi="宋体" w:cs="宋体"/>
          <w:b/>
          <w:color w:val="auto"/>
          <w:spacing w:val="6"/>
          <w:sz w:val="32"/>
          <w:szCs w:val="32"/>
          <w:highlight w:val="none"/>
        </w:rPr>
      </w:pPr>
    </w:p>
    <w:p w14:paraId="05DFA711">
      <w:pPr>
        <w:autoSpaceDE w:val="0"/>
        <w:autoSpaceDN w:val="0"/>
        <w:jc w:val="center"/>
        <w:rPr>
          <w:rFonts w:ascii="宋体" w:hAnsi="宋体" w:cs="宋体"/>
          <w:b/>
          <w:color w:val="auto"/>
          <w:spacing w:val="6"/>
          <w:sz w:val="32"/>
          <w:szCs w:val="32"/>
          <w:highlight w:val="none"/>
        </w:rPr>
      </w:pPr>
    </w:p>
    <w:p w14:paraId="3054FBC1">
      <w:pPr>
        <w:autoSpaceDE w:val="0"/>
        <w:autoSpaceDN w:val="0"/>
        <w:jc w:val="center"/>
        <w:rPr>
          <w:rFonts w:ascii="宋体" w:hAnsi="宋体" w:cs="宋体"/>
          <w:b/>
          <w:color w:val="auto"/>
          <w:spacing w:val="6"/>
          <w:sz w:val="32"/>
          <w:szCs w:val="32"/>
          <w:highlight w:val="none"/>
        </w:rPr>
      </w:pPr>
    </w:p>
    <w:p w14:paraId="4C8C12DA">
      <w:pPr>
        <w:autoSpaceDE w:val="0"/>
        <w:autoSpaceDN w:val="0"/>
        <w:jc w:val="center"/>
        <w:rPr>
          <w:rFonts w:ascii="宋体" w:hAnsi="宋体" w:cs="宋体"/>
          <w:b/>
          <w:color w:val="auto"/>
          <w:spacing w:val="6"/>
          <w:sz w:val="32"/>
          <w:szCs w:val="32"/>
          <w:highlight w:val="none"/>
        </w:rPr>
      </w:pPr>
    </w:p>
    <w:p w14:paraId="243C2FF4">
      <w:pPr>
        <w:autoSpaceDE w:val="0"/>
        <w:autoSpaceDN w:val="0"/>
        <w:jc w:val="center"/>
        <w:rPr>
          <w:rFonts w:ascii="宋体" w:hAnsi="宋体" w:cs="宋体"/>
          <w:b/>
          <w:color w:val="auto"/>
          <w:spacing w:val="6"/>
          <w:sz w:val="32"/>
          <w:szCs w:val="32"/>
          <w:highlight w:val="none"/>
        </w:rPr>
      </w:pPr>
    </w:p>
    <w:p w14:paraId="0D937754">
      <w:pPr>
        <w:autoSpaceDE w:val="0"/>
        <w:autoSpaceDN w:val="0"/>
        <w:jc w:val="center"/>
        <w:rPr>
          <w:rFonts w:ascii="宋体" w:hAnsi="宋体" w:cs="宋体"/>
          <w:b/>
          <w:color w:val="auto"/>
          <w:spacing w:val="6"/>
          <w:sz w:val="32"/>
          <w:szCs w:val="32"/>
          <w:highlight w:val="none"/>
        </w:rPr>
      </w:pPr>
    </w:p>
    <w:p w14:paraId="02FEE724">
      <w:pPr>
        <w:autoSpaceDE w:val="0"/>
        <w:autoSpaceDN w:val="0"/>
        <w:jc w:val="center"/>
        <w:rPr>
          <w:rFonts w:ascii="宋体" w:hAnsi="宋体" w:cs="宋体"/>
          <w:b/>
          <w:color w:val="auto"/>
          <w:spacing w:val="6"/>
          <w:sz w:val="32"/>
          <w:szCs w:val="32"/>
          <w:highlight w:val="none"/>
        </w:rPr>
      </w:pPr>
    </w:p>
    <w:p w14:paraId="50A9372C">
      <w:pPr>
        <w:autoSpaceDE w:val="0"/>
        <w:autoSpaceDN w:val="0"/>
        <w:jc w:val="center"/>
        <w:rPr>
          <w:rFonts w:ascii="宋体" w:hAnsi="宋体" w:cs="宋体"/>
          <w:b/>
          <w:color w:val="auto"/>
          <w:spacing w:val="6"/>
          <w:sz w:val="32"/>
          <w:szCs w:val="32"/>
          <w:highlight w:val="none"/>
        </w:rPr>
      </w:pPr>
    </w:p>
    <w:p w14:paraId="6B3C1A95">
      <w:pPr>
        <w:autoSpaceDE w:val="0"/>
        <w:autoSpaceDN w:val="0"/>
        <w:jc w:val="center"/>
        <w:rPr>
          <w:rFonts w:ascii="宋体" w:hAnsi="宋体" w:cs="宋体"/>
          <w:b/>
          <w:color w:val="auto"/>
          <w:spacing w:val="6"/>
          <w:sz w:val="32"/>
          <w:szCs w:val="32"/>
          <w:highlight w:val="none"/>
        </w:rPr>
      </w:pPr>
    </w:p>
    <w:p w14:paraId="1D8E9660">
      <w:pPr>
        <w:autoSpaceDE w:val="0"/>
        <w:autoSpaceDN w:val="0"/>
        <w:jc w:val="center"/>
        <w:rPr>
          <w:rFonts w:ascii="宋体" w:hAnsi="宋体" w:cs="宋体"/>
          <w:b/>
          <w:color w:val="auto"/>
          <w:spacing w:val="6"/>
          <w:sz w:val="32"/>
          <w:szCs w:val="32"/>
          <w:highlight w:val="none"/>
        </w:rPr>
      </w:pPr>
    </w:p>
    <w:p w14:paraId="2BD07BE0">
      <w:pPr>
        <w:autoSpaceDE w:val="0"/>
        <w:autoSpaceDN w:val="0"/>
        <w:jc w:val="center"/>
        <w:rPr>
          <w:rFonts w:ascii="宋体" w:hAnsi="宋体" w:cs="宋体"/>
          <w:b/>
          <w:color w:val="auto"/>
          <w:spacing w:val="6"/>
          <w:sz w:val="32"/>
          <w:szCs w:val="32"/>
          <w:highlight w:val="none"/>
        </w:rPr>
      </w:pPr>
    </w:p>
    <w:p w14:paraId="7FC0620F">
      <w:pPr>
        <w:autoSpaceDE w:val="0"/>
        <w:autoSpaceDN w:val="0"/>
        <w:jc w:val="center"/>
        <w:rPr>
          <w:rFonts w:ascii="宋体" w:hAnsi="宋体" w:cs="宋体"/>
          <w:b/>
          <w:color w:val="auto"/>
          <w:spacing w:val="6"/>
          <w:sz w:val="32"/>
          <w:szCs w:val="32"/>
          <w:highlight w:val="none"/>
        </w:rPr>
      </w:pPr>
    </w:p>
    <w:p w14:paraId="22CAD964">
      <w:pPr>
        <w:autoSpaceDE w:val="0"/>
        <w:autoSpaceDN w:val="0"/>
        <w:jc w:val="center"/>
        <w:rPr>
          <w:rFonts w:ascii="宋体" w:hAnsi="宋体" w:cs="宋体"/>
          <w:b/>
          <w:color w:val="auto"/>
          <w:spacing w:val="6"/>
          <w:sz w:val="32"/>
          <w:szCs w:val="32"/>
          <w:highlight w:val="none"/>
        </w:rPr>
      </w:pPr>
    </w:p>
    <w:p w14:paraId="5D5AF73A">
      <w:pPr>
        <w:autoSpaceDE w:val="0"/>
        <w:autoSpaceDN w:val="0"/>
        <w:jc w:val="center"/>
        <w:rPr>
          <w:rFonts w:ascii="宋体" w:hAnsi="宋体" w:cs="宋体"/>
          <w:b/>
          <w:color w:val="auto"/>
          <w:spacing w:val="6"/>
          <w:sz w:val="32"/>
          <w:szCs w:val="32"/>
          <w:highlight w:val="none"/>
        </w:rPr>
      </w:pPr>
    </w:p>
    <w:p w14:paraId="59AF5822">
      <w:pPr>
        <w:autoSpaceDE w:val="0"/>
        <w:autoSpaceDN w:val="0"/>
        <w:jc w:val="center"/>
        <w:rPr>
          <w:rFonts w:ascii="宋体" w:hAnsi="宋体" w:cs="宋体"/>
          <w:b/>
          <w:color w:val="auto"/>
          <w:spacing w:val="6"/>
          <w:sz w:val="32"/>
          <w:szCs w:val="32"/>
          <w:highlight w:val="none"/>
        </w:rPr>
      </w:pPr>
    </w:p>
    <w:p w14:paraId="6DCC040E">
      <w:pPr>
        <w:autoSpaceDE w:val="0"/>
        <w:autoSpaceDN w:val="0"/>
        <w:jc w:val="center"/>
        <w:rPr>
          <w:rFonts w:ascii="宋体" w:hAnsi="宋体" w:cs="宋体"/>
          <w:b/>
          <w:color w:val="auto"/>
          <w:spacing w:val="6"/>
          <w:sz w:val="32"/>
          <w:szCs w:val="32"/>
          <w:highlight w:val="none"/>
        </w:rPr>
      </w:pPr>
    </w:p>
    <w:p w14:paraId="113452CE">
      <w:pPr>
        <w:autoSpaceDE w:val="0"/>
        <w:autoSpaceDN w:val="0"/>
        <w:jc w:val="center"/>
        <w:rPr>
          <w:rFonts w:ascii="宋体" w:hAnsi="宋体" w:cs="宋体"/>
          <w:b/>
          <w:color w:val="auto"/>
          <w:spacing w:val="6"/>
          <w:sz w:val="32"/>
          <w:szCs w:val="32"/>
          <w:highlight w:val="none"/>
        </w:rPr>
      </w:pPr>
    </w:p>
    <w:p w14:paraId="4380BBA1">
      <w:pPr>
        <w:autoSpaceDE w:val="0"/>
        <w:autoSpaceDN w:val="0"/>
        <w:jc w:val="center"/>
        <w:rPr>
          <w:rFonts w:ascii="宋体" w:hAnsi="宋体" w:cs="宋体"/>
          <w:b/>
          <w:color w:val="auto"/>
          <w:spacing w:val="6"/>
          <w:sz w:val="32"/>
          <w:szCs w:val="32"/>
          <w:highlight w:val="none"/>
        </w:rPr>
      </w:pPr>
    </w:p>
    <w:p w14:paraId="7B77A10C">
      <w:pPr>
        <w:autoSpaceDE w:val="0"/>
        <w:autoSpaceDN w:val="0"/>
        <w:jc w:val="center"/>
        <w:rPr>
          <w:rFonts w:ascii="宋体" w:hAnsi="宋体" w:cs="宋体"/>
          <w:b/>
          <w:color w:val="auto"/>
          <w:spacing w:val="6"/>
          <w:sz w:val="32"/>
          <w:szCs w:val="32"/>
          <w:highlight w:val="none"/>
        </w:rPr>
      </w:pPr>
    </w:p>
    <w:p w14:paraId="2C976EA2">
      <w:pPr>
        <w:autoSpaceDE w:val="0"/>
        <w:autoSpaceDN w:val="0"/>
        <w:jc w:val="center"/>
        <w:rPr>
          <w:rFonts w:ascii="宋体" w:hAnsi="宋体" w:cs="宋体"/>
          <w:b/>
          <w:color w:val="auto"/>
          <w:spacing w:val="6"/>
          <w:sz w:val="32"/>
          <w:szCs w:val="32"/>
          <w:highlight w:val="none"/>
        </w:rPr>
      </w:pPr>
    </w:p>
    <w:p w14:paraId="674C7A74">
      <w:pPr>
        <w:autoSpaceDE w:val="0"/>
        <w:autoSpaceDN w:val="0"/>
        <w:jc w:val="center"/>
        <w:rPr>
          <w:rFonts w:ascii="宋体" w:hAnsi="宋体" w:cs="宋体"/>
          <w:b/>
          <w:color w:val="auto"/>
          <w:spacing w:val="6"/>
          <w:sz w:val="32"/>
          <w:szCs w:val="32"/>
          <w:highlight w:val="none"/>
        </w:rPr>
      </w:pPr>
    </w:p>
    <w:p w14:paraId="34853396">
      <w:pPr>
        <w:autoSpaceDE w:val="0"/>
        <w:autoSpaceDN w:val="0"/>
        <w:jc w:val="center"/>
        <w:rPr>
          <w:rFonts w:ascii="宋体" w:hAnsi="宋体" w:cs="宋体"/>
          <w:b/>
          <w:color w:val="auto"/>
          <w:spacing w:val="6"/>
          <w:sz w:val="32"/>
          <w:szCs w:val="32"/>
          <w:highlight w:val="none"/>
        </w:rPr>
      </w:pPr>
    </w:p>
    <w:p w14:paraId="639262D0">
      <w:pPr>
        <w:autoSpaceDE w:val="0"/>
        <w:autoSpaceDN w:val="0"/>
        <w:jc w:val="center"/>
        <w:rPr>
          <w:rFonts w:ascii="宋体" w:hAnsi="宋体" w:cs="宋体"/>
          <w:b/>
          <w:color w:val="auto"/>
          <w:spacing w:val="6"/>
          <w:sz w:val="32"/>
          <w:szCs w:val="32"/>
          <w:highlight w:val="none"/>
        </w:rPr>
      </w:pPr>
    </w:p>
    <w:p w14:paraId="25EBDB4C">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附件7：中小企业声明函</w:t>
      </w:r>
    </w:p>
    <w:p w14:paraId="6FF4EAC8">
      <w:pPr>
        <w:spacing w:line="360" w:lineRule="auto"/>
        <w:jc w:val="center"/>
        <w:rPr>
          <w:rFonts w:ascii="宋体" w:hAnsi="宋体" w:cs="宋体"/>
          <w:color w:val="auto"/>
          <w:sz w:val="24"/>
          <w:highlight w:val="none"/>
          <w:u w:val="single"/>
        </w:rPr>
      </w:pPr>
    </w:p>
    <w:p w14:paraId="34564956">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D95A034">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浙江省司法厅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浙江省司法行政综合业务管理系统迭代升级项目</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D445D1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浙江省司法行政综合业务管理系统迭代升级项目——市县工作平台升级（</w:t>
      </w:r>
      <w:r>
        <w:rPr>
          <w:rFonts w:hint="eastAsia" w:ascii="宋体" w:hAnsi="宋体" w:cs="宋体"/>
          <w:color w:val="auto"/>
          <w:kern w:val="0"/>
          <w:sz w:val="24"/>
          <w:highlight w:val="none"/>
          <w:u w:val="single"/>
          <w:lang w:val="en-US" w:eastAsia="zh-CN"/>
        </w:rPr>
        <w:t>如参加标项1投标）或浙江省司法行政综合业务管理系统迭代升级项目——机关内控管理功能升级</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如参加标项2投标）</w:t>
      </w:r>
      <w:r>
        <w:rPr>
          <w:rFonts w:hint="eastAsia" w:ascii="宋体" w:hAnsi="宋体" w:cs="宋体"/>
          <w:color w:val="auto"/>
          <w:kern w:val="0"/>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软件和信息技术服务业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7860D32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78D1C9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997C5D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A6BE970">
      <w:pPr>
        <w:spacing w:line="360" w:lineRule="auto"/>
        <w:ind w:right="1760"/>
        <w:jc w:val="right"/>
        <w:rPr>
          <w:rFonts w:ascii="宋体" w:hAnsi="宋体" w:cs="宋体"/>
          <w:color w:val="auto"/>
          <w:sz w:val="24"/>
          <w:highlight w:val="none"/>
        </w:rPr>
      </w:pPr>
    </w:p>
    <w:p w14:paraId="70E7F526">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40496381">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EB2D624">
      <w:pPr>
        <w:spacing w:line="360" w:lineRule="auto"/>
        <w:ind w:right="420"/>
        <w:rPr>
          <w:rFonts w:ascii="宋体" w:hAnsi="宋体" w:cs="宋体"/>
          <w:color w:val="auto"/>
          <w:sz w:val="24"/>
          <w:highlight w:val="none"/>
        </w:rPr>
      </w:pPr>
    </w:p>
    <w:p w14:paraId="0572FA04">
      <w:pPr>
        <w:spacing w:line="360" w:lineRule="auto"/>
        <w:ind w:right="42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7E404D50">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汉仪仿宋KW">
    <w:altName w:val="仿宋"/>
    <w:panose1 w:val="00020600040101010101"/>
    <w:charset w:val="86"/>
    <w:family w:val="auto"/>
    <w:pitch w:val="default"/>
    <w:sig w:usb0="00000000" w:usb1="00000000" w:usb2="00000016"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汉仪书宋二KW">
    <w:altName w:val="宋体"/>
    <w:panose1 w:val="00020600040101010101"/>
    <w:charset w:val="86"/>
    <w:family w:val="auto"/>
    <w:pitch w:val="default"/>
    <w:sig w:usb0="00000000" w:usb1="00000000" w:usb2="00000016"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汉仪楷体KW">
    <w:altName w:val="宋体"/>
    <w:panose1 w:val="00020600040101010101"/>
    <w:charset w:val="86"/>
    <w:family w:val="auto"/>
    <w:pitch w:val="default"/>
    <w:sig w:usb0="00000000" w:usb1="00000000" w:usb2="00000016"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DejaVu Sans">
    <w:altName w:val="Segoe Print"/>
    <w:panose1 w:val="020B0603030804020204"/>
    <w:charset w:val="00"/>
    <w:family w:val="auto"/>
    <w:pitch w:val="default"/>
    <w:sig w:usb0="00000000" w:usb1="00000000" w:usb2="0A246029" w:usb3="0400200C" w:csb0="600001FF" w:csb1="DFFF0000"/>
  </w:font>
  <w:font w:name="等线 Light">
    <w:panose1 w:val="02010600030101010101"/>
    <w:charset w:val="86"/>
    <w:family w:val="auto"/>
    <w:pitch w:val="default"/>
    <w:sig w:usb0="A00002BF" w:usb1="38CF7CFA" w:usb2="00000016" w:usb3="00000000" w:csb0="0004000F"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Arial"/>
    <w:panose1 w:val="00000000000000000000"/>
    <w:charset w:val="00"/>
    <w:family w:val="modern"/>
    <w:pitch w:val="default"/>
    <w:sig w:usb0="00000000" w:usb1="00000000" w:usb2="00000001" w:usb3="00000000" w:csb0="400001BF" w:csb1="DFF70000"/>
  </w:font>
  <w:font w:name="MS Gothic">
    <w:panose1 w:val="020B0609070205080204"/>
    <w:charset w:val="80"/>
    <w:family w:val="auto"/>
    <w:pitch w:val="default"/>
    <w:sig w:usb0="E00002FF" w:usb1="6AC7FDFB" w:usb2="08000012" w:usb3="00000000" w:csb0="4002009F" w:csb1="DFD70000"/>
  </w:font>
  <w:font w:name="华文宋体">
    <w:altName w:val="宋体"/>
    <w:panose1 w:val="02010600040101010101"/>
    <w:charset w:val="86"/>
    <w:family w:val="auto"/>
    <w:pitch w:val="default"/>
    <w:sig w:usb0="00000000" w:usb1="00000000" w:usb2="00000000" w:usb3="00000000" w:csb0="0004009F" w:csb1="DFD70000"/>
  </w:font>
  <w:font w:name="Segoe Print">
    <w:panose1 w:val="02000600000000000000"/>
    <w:charset w:val="00"/>
    <w:family w:val="auto"/>
    <w:pitch w:val="default"/>
    <w:sig w:usb0="0000028F" w:usb1="00000000" w:usb2="00000000" w:usb3="00000000" w:csb0="2000009F" w:csb1="47010000"/>
  </w:font>
  <w:font w:name="方正公文小标宋">
    <w:panose1 w:val="02000500000000000000"/>
    <w:charset w:val="86"/>
    <w:family w:val="auto"/>
    <w:pitch w:val="default"/>
    <w:sig w:usb0="A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D5429">
    <w:pPr>
      <w:pStyle w:val="39"/>
      <w:framePr w:wrap="around" w:vAnchor="text" w:hAnchor="margin" w:xAlign="right" w:y="1"/>
      <w:rPr>
        <w:rStyle w:val="73"/>
      </w:rPr>
    </w:pPr>
    <w:r>
      <w:fldChar w:fldCharType="begin"/>
    </w:r>
    <w:r>
      <w:rPr>
        <w:rStyle w:val="73"/>
      </w:rPr>
      <w:instrText xml:space="preserve">PAGE  </w:instrText>
    </w:r>
    <w:r>
      <w:fldChar w:fldCharType="end"/>
    </w:r>
  </w:p>
  <w:p w14:paraId="3B9F1B60">
    <w:pPr>
      <w:pStyle w:val="3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71111">
    <w:pPr>
      <w:pStyle w:val="39"/>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4AA392">
                          <w:pPr>
                            <w:pStyle w:val="3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194AA392">
                    <w:pPr>
                      <w:pStyle w:val="3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E87FC">
    <w:pPr>
      <w:pStyle w:val="39"/>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3A5663">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553A5663">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0C414">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C9C22D">
                          <w:pPr>
                            <w:pStyle w:val="3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2CC9C22D">
                    <w:pPr>
                      <w:pStyle w:val="3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361928">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BCFA55">
                          <w:pPr>
                            <w:pStyle w:val="39"/>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CBCFA55">
                    <w:pPr>
                      <w:pStyle w:val="39"/>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B6AE7">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90056B">
                          <w:pPr>
                            <w:pStyle w:val="39"/>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6D90056B">
                    <w:pPr>
                      <w:pStyle w:val="39"/>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83AF2">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6F71E">
                          <w:pPr>
                            <w:pStyle w:val="39"/>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C16F71E">
                    <w:pPr>
                      <w:pStyle w:val="39"/>
                    </w:pPr>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B35C9">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CDE6A3">
                          <w:pPr>
                            <w:pStyle w:val="39"/>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22CDE6A3">
                    <w:pPr>
                      <w:pStyle w:val="39"/>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35E61">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3B3096">
                          <w:pPr>
                            <w:pStyle w:val="39"/>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7F3B3096">
                    <w:pPr>
                      <w:pStyle w:val="39"/>
                    </w:pPr>
                    <w:r>
                      <w:fldChar w:fldCharType="begin"/>
                    </w:r>
                    <w:r>
                      <w:instrText xml:space="preserve"> PAGE  \* MERGEFORMAT </w:instrText>
                    </w:r>
                    <w:r>
                      <w:fldChar w:fldCharType="separate"/>
                    </w:r>
                    <w:r>
                      <w:t>78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72210">
    <w:pPr>
      <w:pStyle w:val="39"/>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47AB58">
                          <w:pPr>
                            <w:pStyle w:val="39"/>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7A47AB58">
                    <w:pPr>
                      <w:pStyle w:val="39"/>
                    </w:pPr>
                    <w:r>
                      <w:fldChar w:fldCharType="begin"/>
                    </w:r>
                    <w:r>
                      <w:instrText xml:space="preserve"> PAGE  \* MERGEFORMAT </w:instrText>
                    </w:r>
                    <w:r>
                      <w:fldChar w:fldCharType="separate"/>
                    </w:r>
                    <w:r>
                      <w:t>82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06842">
    <w:pPr>
      <w:pStyle w:val="39"/>
      <w:framePr w:wrap="around" w:vAnchor="text" w:hAnchor="margin" w:xAlign="right" w:y="1"/>
      <w:rPr>
        <w:rStyle w:val="73"/>
      </w:rPr>
    </w:pPr>
    <w:r>
      <w:fldChar w:fldCharType="begin"/>
    </w:r>
    <w:r>
      <w:rPr>
        <w:rStyle w:val="73"/>
      </w:rPr>
      <w:instrText xml:space="preserve">PAGE  </w:instrText>
    </w:r>
    <w:r>
      <w:fldChar w:fldCharType="end"/>
    </w:r>
  </w:p>
  <w:p w14:paraId="6426F79B">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E1262">
    <w:pPr>
      <w:pStyle w:val="39"/>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C02F6C">
                          <w:pPr>
                            <w:pStyle w:val="39"/>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3CC02F6C">
                    <w:pPr>
                      <w:pStyle w:val="39"/>
                    </w:pPr>
                    <w:r>
                      <w:fldChar w:fldCharType="begin"/>
                    </w:r>
                    <w:r>
                      <w:instrText xml:space="preserve"> PAGE  \* MERGEFORMAT </w:instrText>
                    </w:r>
                    <w:r>
                      <w:fldChar w:fldCharType="separate"/>
                    </w:r>
                    <w:r>
                      <w:t>81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38F62">
    <w:pPr>
      <w:pStyle w:val="41"/>
      <w:pBdr>
        <w:bottom w:val="single" w:color="auto" w:sz="6" w:space="4"/>
      </w:pBdr>
      <w:jc w:val="right"/>
    </w:pPr>
    <w:r>
      <w:t></w:t>
    </w:r>
    <w:r>
      <w:rPr>
        <w:rFonts w:hint="eastAsia"/>
      </w:rPr>
      <w:t xml:space="preserve">            </w:t>
    </w:r>
    <w:r>
      <w:t>政府采购公开招标文件</w:t>
    </w:r>
  </w:p>
  <w:p w14:paraId="4A6DEA8F">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B99C8">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B6405">
    <w:pPr>
      <w:pStyle w:val="41"/>
      <w:rPr>
        <w:rFonts w:ascii="仿宋_GB2312" w:eastAsia="仿宋_GB2312"/>
        <w:b/>
        <w:i/>
        <w:u w:val="single"/>
      </w:rPr>
    </w:pPr>
    <w:r>
      <w:t></w:t>
    </w:r>
    <w:r>
      <w:rPr>
        <w:rFonts w:hint="eastAsia"/>
      </w:rPr>
      <w:t xml:space="preserve">                                                  </w:t>
    </w:r>
    <w:r>
      <w:t xml:space="preserve">           政府采购公开招标文件</w:t>
    </w:r>
  </w:p>
  <w:p w14:paraId="305E990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1CFD2">
    <w:pPr>
      <w:pStyle w:val="41"/>
    </w:pPr>
    <w:r>
      <w:t></w:t>
    </w:r>
    <w:r>
      <w:rPr>
        <w:rFonts w:hint="eastAsia"/>
      </w:rPr>
      <w:t xml:space="preserve">         </w:t>
    </w:r>
  </w:p>
  <w:p w14:paraId="04691489">
    <w:pPr>
      <w:pStyle w:val="41"/>
    </w:pPr>
    <w:r>
      <w:rPr>
        <w:rFonts w:hint="eastAsia"/>
      </w:rPr>
      <w:t xml:space="preserve">                                                                  </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CA6D59">
    <w:pPr>
      <w:pStyle w:val="41"/>
      <w:rPr>
        <w:rFonts w:ascii="仿宋_GB2312" w:eastAsia="仿宋_GB2312"/>
        <w:b/>
        <w:i/>
        <w:u w:val="single"/>
      </w:rPr>
    </w:pPr>
    <w:r>
      <w:t></w:t>
    </w:r>
    <w:r>
      <w:rPr>
        <w:rFonts w:hint="eastAsia"/>
      </w:rPr>
      <w:t xml:space="preserve">                                                 </w:t>
    </w:r>
    <w:r>
      <w:t>政府采购公开招标文件</w:t>
    </w:r>
  </w:p>
  <w:p w14:paraId="0AD3C23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994EB">
    <w:pPr>
      <w:pStyle w:val="41"/>
      <w:jc w:val="right"/>
    </w:pPr>
    <w:r>
      <w:t></w:t>
    </w:r>
    <w:r>
      <w:rPr>
        <w:rFonts w:hint="eastAsia"/>
      </w:rPr>
      <w:t xml:space="preserve">                 </w:t>
    </w:r>
    <w:r>
      <w:t xml:space="preserve">                                </w:t>
    </w: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76777">
    <w:pPr>
      <w:pStyle w:val="41"/>
      <w:jc w:val="right"/>
      <w:rPr>
        <w:rFonts w:ascii="仿宋_GB2312" w:eastAsia="仿宋_GB2312"/>
        <w:b/>
        <w:i/>
        <w:u w:val="single"/>
      </w:rPr>
    </w:pPr>
    <w:r>
      <w:rPr>
        <w:rFonts w:hint="eastAsia"/>
      </w:rPr>
      <w:t xml:space="preserve">                                 </w:t>
    </w:r>
    <w:r>
      <w:t>政府采购公开招标文件</w:t>
    </w:r>
  </w:p>
  <w:p w14:paraId="67501F4D">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2F1675">
    <w:pPr>
      <w:pStyle w:val="41"/>
      <w:jc w:val="right"/>
    </w:pPr>
    <w:r>
      <w:rPr>
        <w:rFonts w:hint="eastAsia"/>
      </w:rPr>
      <w:t xml:space="preserve">                                                                                                     </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3511D8">
    <w:pPr>
      <w:pStyle w:val="41"/>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AB89F">
    <w:pPr>
      <w:pStyle w:val="41"/>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0F0F43"/>
    <w:multiLevelType w:val="singleLevel"/>
    <w:tmpl w:val="100F0F43"/>
    <w:lvl w:ilvl="0" w:tentative="0">
      <w:start w:val="1"/>
      <w:numFmt w:val="decimalEnclosedCircleChinese"/>
      <w:suff w:val="nothing"/>
      <w:lvlText w:val="%1　"/>
      <w:lvlJc w:val="left"/>
      <w:pPr>
        <w:ind w:left="0" w:firstLine="400"/>
      </w:pPr>
      <w:rPr>
        <w:rFonts w:hint="eastAsia"/>
      </w:rPr>
    </w:lvl>
  </w:abstractNum>
  <w:abstractNum w:abstractNumId="1">
    <w:nsid w:val="12E0556D"/>
    <w:multiLevelType w:val="multilevel"/>
    <w:tmpl w:val="12E0556D"/>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
    <w:nsid w:val="35D71722"/>
    <w:multiLevelType w:val="singleLevel"/>
    <w:tmpl w:val="35D71722"/>
    <w:lvl w:ilvl="0" w:tentative="0">
      <w:start w:val="2"/>
      <w:numFmt w:val="chineseCounting"/>
      <w:suff w:val="nothing"/>
      <w:lvlText w:val="%1、"/>
      <w:lvlJc w:val="left"/>
      <w:rPr>
        <w:rFonts w:hint="eastAsia"/>
      </w:rPr>
    </w:lvl>
  </w:abstractNum>
  <w:abstractNum w:abstractNumId="3">
    <w:nsid w:val="41892D21"/>
    <w:multiLevelType w:val="singleLevel"/>
    <w:tmpl w:val="41892D21"/>
    <w:lvl w:ilvl="0" w:tentative="0">
      <w:start w:val="1"/>
      <w:numFmt w:val="decimal"/>
      <w:suff w:val="nothing"/>
      <w:lvlText w:val="（%1）"/>
      <w:lvlJc w:val="left"/>
    </w:lvl>
  </w:abstractNum>
  <w:abstractNum w:abstractNumId="4">
    <w:nsid w:val="6FBEBC2A"/>
    <w:multiLevelType w:val="multilevel"/>
    <w:tmpl w:val="6FBEBC2A"/>
    <w:lvl w:ilvl="0" w:tentative="0">
      <w:start w:val="1"/>
      <w:numFmt w:val="decimal"/>
      <w:lvlText w:val="%1"/>
      <w:lvlJc w:val="left"/>
      <w:pPr>
        <w:ind w:left="432" w:hanging="432"/>
      </w:pPr>
      <w:rPr>
        <w:rFonts w:hint="default"/>
      </w:rPr>
    </w:lvl>
    <w:lvl w:ilvl="1" w:tentative="0">
      <w:start w:val="1"/>
      <w:numFmt w:val="decimal"/>
      <w:lvlText w:val="%1.%2"/>
      <w:lvlJc w:val="left"/>
      <w:pPr>
        <w:ind w:left="576" w:hanging="576"/>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5401"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2" w:hanging="1152"/>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4" w:hanging="1584"/>
      </w:pPr>
      <w:rPr>
        <w:rFonts w:hint="default"/>
      </w:rPr>
    </w:lvl>
  </w:abstractNum>
  <w:abstractNum w:abstractNumId="5">
    <w:nsid w:val="749556B6"/>
    <w:multiLevelType w:val="multilevel"/>
    <w:tmpl w:val="749556B6"/>
    <w:lvl w:ilvl="0" w:tentative="0">
      <w:start w:val="1"/>
      <w:numFmt w:val="chineseCountingThousand"/>
      <w:pStyle w:val="970"/>
      <w:lvlText w:val="%1、"/>
      <w:lvlJc w:val="left"/>
      <w:pPr>
        <w:ind w:left="1022" w:hanging="420"/>
      </w:pPr>
      <w:rPr>
        <w:rFonts w:hint="eastAsia"/>
      </w:rPr>
    </w:lvl>
    <w:lvl w:ilvl="1" w:tentative="0">
      <w:start w:val="1"/>
      <w:numFmt w:val="lowerLetter"/>
      <w:lvlText w:val="%2)"/>
      <w:lvlJc w:val="left"/>
      <w:pPr>
        <w:ind w:left="1442" w:hanging="420"/>
      </w:pPr>
    </w:lvl>
    <w:lvl w:ilvl="2" w:tentative="0">
      <w:start w:val="1"/>
      <w:numFmt w:val="lowerRoman"/>
      <w:lvlText w:val="%3."/>
      <w:lvlJc w:val="right"/>
      <w:pPr>
        <w:ind w:left="1862" w:hanging="420"/>
      </w:pPr>
    </w:lvl>
    <w:lvl w:ilvl="3" w:tentative="0">
      <w:start w:val="1"/>
      <w:numFmt w:val="decimal"/>
      <w:lvlText w:val="%4."/>
      <w:lvlJc w:val="left"/>
      <w:pPr>
        <w:ind w:left="2282" w:hanging="420"/>
      </w:pPr>
    </w:lvl>
    <w:lvl w:ilvl="4" w:tentative="0">
      <w:start w:val="1"/>
      <w:numFmt w:val="lowerLetter"/>
      <w:lvlText w:val="%5)"/>
      <w:lvlJc w:val="left"/>
      <w:pPr>
        <w:ind w:left="2702" w:hanging="420"/>
      </w:pPr>
    </w:lvl>
    <w:lvl w:ilvl="5" w:tentative="0">
      <w:start w:val="1"/>
      <w:numFmt w:val="lowerRoman"/>
      <w:lvlText w:val="%6."/>
      <w:lvlJc w:val="right"/>
      <w:pPr>
        <w:ind w:left="3122" w:hanging="420"/>
      </w:pPr>
    </w:lvl>
    <w:lvl w:ilvl="6" w:tentative="0">
      <w:start w:val="1"/>
      <w:numFmt w:val="decimal"/>
      <w:lvlText w:val="%7."/>
      <w:lvlJc w:val="left"/>
      <w:pPr>
        <w:ind w:left="3542" w:hanging="420"/>
      </w:pPr>
    </w:lvl>
    <w:lvl w:ilvl="7" w:tentative="0">
      <w:start w:val="1"/>
      <w:numFmt w:val="lowerLetter"/>
      <w:lvlText w:val="%8)"/>
      <w:lvlJc w:val="left"/>
      <w:pPr>
        <w:ind w:left="3962" w:hanging="420"/>
      </w:pPr>
    </w:lvl>
    <w:lvl w:ilvl="8" w:tentative="0">
      <w:start w:val="1"/>
      <w:numFmt w:val="lowerRoman"/>
      <w:lvlText w:val="%9."/>
      <w:lvlJc w:val="right"/>
      <w:pPr>
        <w:ind w:left="4382" w:hanging="420"/>
      </w:pPr>
    </w:lvl>
  </w:abstractNum>
  <w:num w:numId="1">
    <w:abstractNumId w:val="5"/>
  </w:num>
  <w:num w:numId="2">
    <w:abstractNumId w:val="1"/>
  </w:num>
  <w:num w:numId="3">
    <w:abstractNumId w:val="4"/>
  </w:num>
  <w:num w:numId="4">
    <w:abstractNumId w:val="0"/>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RhZDg3NWJmZmNlYTBkM2I2ZDdhMGZkZDNlNTQ3OWYifQ=="/>
    <w:docVar w:name="KSO_WPS_MARK_KEY" w:val="770740b8-9925-4379-a928-fa9a6bc56174"/>
  </w:docVars>
  <w:rsids>
    <w:rsidRoot w:val="00172A27"/>
    <w:rsid w:val="00000451"/>
    <w:rsid w:val="0000108B"/>
    <w:rsid w:val="0000133D"/>
    <w:rsid w:val="00001509"/>
    <w:rsid w:val="00001E3F"/>
    <w:rsid w:val="00002DEE"/>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176F9"/>
    <w:rsid w:val="00020287"/>
    <w:rsid w:val="000202FE"/>
    <w:rsid w:val="00020B5F"/>
    <w:rsid w:val="000211BC"/>
    <w:rsid w:val="0002207B"/>
    <w:rsid w:val="000232FD"/>
    <w:rsid w:val="00023323"/>
    <w:rsid w:val="000233E4"/>
    <w:rsid w:val="00023495"/>
    <w:rsid w:val="0002355A"/>
    <w:rsid w:val="00023777"/>
    <w:rsid w:val="00023C06"/>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76B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B"/>
    <w:rsid w:val="0006785E"/>
    <w:rsid w:val="00067AFB"/>
    <w:rsid w:val="00067F92"/>
    <w:rsid w:val="00067FA7"/>
    <w:rsid w:val="0007038E"/>
    <w:rsid w:val="0007077C"/>
    <w:rsid w:val="00070825"/>
    <w:rsid w:val="00071CD8"/>
    <w:rsid w:val="00071DB2"/>
    <w:rsid w:val="0007237B"/>
    <w:rsid w:val="00072AED"/>
    <w:rsid w:val="00072B56"/>
    <w:rsid w:val="00072D2B"/>
    <w:rsid w:val="00072D51"/>
    <w:rsid w:val="000730B1"/>
    <w:rsid w:val="00073860"/>
    <w:rsid w:val="00073879"/>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F6"/>
    <w:rsid w:val="000D11E5"/>
    <w:rsid w:val="000D19E8"/>
    <w:rsid w:val="000D1FA1"/>
    <w:rsid w:val="000D2834"/>
    <w:rsid w:val="000D286B"/>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866"/>
    <w:rsid w:val="000E6AE1"/>
    <w:rsid w:val="000E7142"/>
    <w:rsid w:val="000E7632"/>
    <w:rsid w:val="000E7737"/>
    <w:rsid w:val="000E7739"/>
    <w:rsid w:val="000E77EE"/>
    <w:rsid w:val="000F1332"/>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0A"/>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A26"/>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047"/>
    <w:rsid w:val="0013116E"/>
    <w:rsid w:val="00131C2D"/>
    <w:rsid w:val="0013202C"/>
    <w:rsid w:val="00132704"/>
    <w:rsid w:val="00132CBF"/>
    <w:rsid w:val="00133707"/>
    <w:rsid w:val="00133742"/>
    <w:rsid w:val="00133B70"/>
    <w:rsid w:val="00133E97"/>
    <w:rsid w:val="001350F7"/>
    <w:rsid w:val="00135769"/>
    <w:rsid w:val="00135BE9"/>
    <w:rsid w:val="00135E5C"/>
    <w:rsid w:val="0013635D"/>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7E9"/>
    <w:rsid w:val="00173826"/>
    <w:rsid w:val="00173C58"/>
    <w:rsid w:val="00173E59"/>
    <w:rsid w:val="001741DC"/>
    <w:rsid w:val="00174C4F"/>
    <w:rsid w:val="00174F57"/>
    <w:rsid w:val="00175078"/>
    <w:rsid w:val="001755DC"/>
    <w:rsid w:val="00176AA6"/>
    <w:rsid w:val="00177063"/>
    <w:rsid w:val="00180A47"/>
    <w:rsid w:val="00181025"/>
    <w:rsid w:val="00182014"/>
    <w:rsid w:val="001827B7"/>
    <w:rsid w:val="001827EF"/>
    <w:rsid w:val="00182982"/>
    <w:rsid w:val="001829BC"/>
    <w:rsid w:val="00182D68"/>
    <w:rsid w:val="00183031"/>
    <w:rsid w:val="00183468"/>
    <w:rsid w:val="0018397E"/>
    <w:rsid w:val="00184466"/>
    <w:rsid w:val="00184DBF"/>
    <w:rsid w:val="00184E83"/>
    <w:rsid w:val="001852A8"/>
    <w:rsid w:val="0018620A"/>
    <w:rsid w:val="00186EB0"/>
    <w:rsid w:val="00187121"/>
    <w:rsid w:val="00187243"/>
    <w:rsid w:val="00187C29"/>
    <w:rsid w:val="00190782"/>
    <w:rsid w:val="00190942"/>
    <w:rsid w:val="001909A7"/>
    <w:rsid w:val="001909C3"/>
    <w:rsid w:val="00190CF7"/>
    <w:rsid w:val="00191459"/>
    <w:rsid w:val="00191603"/>
    <w:rsid w:val="0019173E"/>
    <w:rsid w:val="0019174E"/>
    <w:rsid w:val="0019196B"/>
    <w:rsid w:val="00191EEF"/>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2F1E"/>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B7EB6"/>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9B1"/>
    <w:rsid w:val="001D1D55"/>
    <w:rsid w:val="001D21EF"/>
    <w:rsid w:val="001D29A4"/>
    <w:rsid w:val="001D2B73"/>
    <w:rsid w:val="001D3136"/>
    <w:rsid w:val="001D3177"/>
    <w:rsid w:val="001D330D"/>
    <w:rsid w:val="001D4AB6"/>
    <w:rsid w:val="001D4AD3"/>
    <w:rsid w:val="001D5281"/>
    <w:rsid w:val="001E0F77"/>
    <w:rsid w:val="001E17E3"/>
    <w:rsid w:val="001E2052"/>
    <w:rsid w:val="001E2492"/>
    <w:rsid w:val="001E257C"/>
    <w:rsid w:val="001E286C"/>
    <w:rsid w:val="001E2F34"/>
    <w:rsid w:val="001E35EE"/>
    <w:rsid w:val="001E46A4"/>
    <w:rsid w:val="001E4B2C"/>
    <w:rsid w:val="001E507F"/>
    <w:rsid w:val="001E56C2"/>
    <w:rsid w:val="001E59FB"/>
    <w:rsid w:val="001E7F81"/>
    <w:rsid w:val="001F0FD1"/>
    <w:rsid w:val="001F1526"/>
    <w:rsid w:val="001F19D1"/>
    <w:rsid w:val="001F1CB9"/>
    <w:rsid w:val="001F1F18"/>
    <w:rsid w:val="001F2F92"/>
    <w:rsid w:val="001F456F"/>
    <w:rsid w:val="001F50E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57ED"/>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6BE"/>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6F7"/>
    <w:rsid w:val="00242F79"/>
    <w:rsid w:val="0024415B"/>
    <w:rsid w:val="00245565"/>
    <w:rsid w:val="002458C1"/>
    <w:rsid w:val="00245E62"/>
    <w:rsid w:val="002460D0"/>
    <w:rsid w:val="00246357"/>
    <w:rsid w:val="00247422"/>
    <w:rsid w:val="00247BA2"/>
    <w:rsid w:val="00250870"/>
    <w:rsid w:val="0025117F"/>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ADB"/>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5DE8"/>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ACD"/>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4FD2"/>
    <w:rsid w:val="002C519E"/>
    <w:rsid w:val="002C5D5E"/>
    <w:rsid w:val="002C6116"/>
    <w:rsid w:val="002C643D"/>
    <w:rsid w:val="002C66B8"/>
    <w:rsid w:val="002C70E7"/>
    <w:rsid w:val="002D0767"/>
    <w:rsid w:val="002D0C27"/>
    <w:rsid w:val="002D0E88"/>
    <w:rsid w:val="002D0EA7"/>
    <w:rsid w:val="002D0F31"/>
    <w:rsid w:val="002D1593"/>
    <w:rsid w:val="002D1A1E"/>
    <w:rsid w:val="002D22A6"/>
    <w:rsid w:val="002D2819"/>
    <w:rsid w:val="002D2BB8"/>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11E"/>
    <w:rsid w:val="002E12FA"/>
    <w:rsid w:val="002E13CF"/>
    <w:rsid w:val="002E201C"/>
    <w:rsid w:val="002E22CA"/>
    <w:rsid w:val="002E236F"/>
    <w:rsid w:val="002E30C6"/>
    <w:rsid w:val="002E37C5"/>
    <w:rsid w:val="002E3956"/>
    <w:rsid w:val="002E3C08"/>
    <w:rsid w:val="002E3CF2"/>
    <w:rsid w:val="002E469E"/>
    <w:rsid w:val="002E4C01"/>
    <w:rsid w:val="002E4D50"/>
    <w:rsid w:val="002E51AF"/>
    <w:rsid w:val="002E55FF"/>
    <w:rsid w:val="002E587E"/>
    <w:rsid w:val="002E672A"/>
    <w:rsid w:val="002E6853"/>
    <w:rsid w:val="002E7EC1"/>
    <w:rsid w:val="002E7EE5"/>
    <w:rsid w:val="002F0323"/>
    <w:rsid w:val="002F0DFB"/>
    <w:rsid w:val="002F0F4E"/>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4A2"/>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09B"/>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2872"/>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475"/>
    <w:rsid w:val="00372842"/>
    <w:rsid w:val="003729A5"/>
    <w:rsid w:val="00372C89"/>
    <w:rsid w:val="00372E9A"/>
    <w:rsid w:val="003735B9"/>
    <w:rsid w:val="00373634"/>
    <w:rsid w:val="00374677"/>
    <w:rsid w:val="0037510C"/>
    <w:rsid w:val="00375850"/>
    <w:rsid w:val="0037632F"/>
    <w:rsid w:val="00377B26"/>
    <w:rsid w:val="00377E4C"/>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8C4"/>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8E8"/>
    <w:rsid w:val="00396F7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2C8D"/>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44"/>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E7D"/>
    <w:rsid w:val="00440262"/>
    <w:rsid w:val="004406BF"/>
    <w:rsid w:val="00440814"/>
    <w:rsid w:val="004408AE"/>
    <w:rsid w:val="0044105D"/>
    <w:rsid w:val="00441424"/>
    <w:rsid w:val="00442731"/>
    <w:rsid w:val="00442C12"/>
    <w:rsid w:val="004434DF"/>
    <w:rsid w:val="0044354B"/>
    <w:rsid w:val="00443841"/>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1C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7C2"/>
    <w:rsid w:val="0049492D"/>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92A"/>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44F"/>
    <w:rsid w:val="004C0BF0"/>
    <w:rsid w:val="004C0D40"/>
    <w:rsid w:val="004C114F"/>
    <w:rsid w:val="004C11A9"/>
    <w:rsid w:val="004C27CF"/>
    <w:rsid w:val="004C2CA7"/>
    <w:rsid w:val="004C3592"/>
    <w:rsid w:val="004C36D8"/>
    <w:rsid w:val="004C3D56"/>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11"/>
    <w:rsid w:val="004D1934"/>
    <w:rsid w:val="004D1E41"/>
    <w:rsid w:val="004D2326"/>
    <w:rsid w:val="004D2E11"/>
    <w:rsid w:val="004D2F9F"/>
    <w:rsid w:val="004D3108"/>
    <w:rsid w:val="004D329C"/>
    <w:rsid w:val="004D34D1"/>
    <w:rsid w:val="004D4523"/>
    <w:rsid w:val="004D4990"/>
    <w:rsid w:val="004D4AAA"/>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3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6DA"/>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CDE"/>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1E0"/>
    <w:rsid w:val="00594437"/>
    <w:rsid w:val="00594B70"/>
    <w:rsid w:val="00596CFA"/>
    <w:rsid w:val="00596EC6"/>
    <w:rsid w:val="005975CE"/>
    <w:rsid w:val="005977F2"/>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8D9"/>
    <w:rsid w:val="005C4E4D"/>
    <w:rsid w:val="005C58F2"/>
    <w:rsid w:val="005C5A97"/>
    <w:rsid w:val="005C5F77"/>
    <w:rsid w:val="005C6AAB"/>
    <w:rsid w:val="005C6D5D"/>
    <w:rsid w:val="005C6DEC"/>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136"/>
    <w:rsid w:val="00603373"/>
    <w:rsid w:val="006036D0"/>
    <w:rsid w:val="00603B1C"/>
    <w:rsid w:val="006042CD"/>
    <w:rsid w:val="00605217"/>
    <w:rsid w:val="006054A5"/>
    <w:rsid w:val="006059E4"/>
    <w:rsid w:val="00605D60"/>
    <w:rsid w:val="006062A0"/>
    <w:rsid w:val="00606F3D"/>
    <w:rsid w:val="00607015"/>
    <w:rsid w:val="0061098D"/>
    <w:rsid w:val="00610B78"/>
    <w:rsid w:val="00611B59"/>
    <w:rsid w:val="00611FBA"/>
    <w:rsid w:val="00612098"/>
    <w:rsid w:val="0061272A"/>
    <w:rsid w:val="0061299E"/>
    <w:rsid w:val="006130D0"/>
    <w:rsid w:val="0061355D"/>
    <w:rsid w:val="0061392B"/>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4EC"/>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93F"/>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4BB"/>
    <w:rsid w:val="0067772D"/>
    <w:rsid w:val="00677991"/>
    <w:rsid w:val="00677AD2"/>
    <w:rsid w:val="00680326"/>
    <w:rsid w:val="00680714"/>
    <w:rsid w:val="0068071D"/>
    <w:rsid w:val="00680C6B"/>
    <w:rsid w:val="006811F3"/>
    <w:rsid w:val="00681240"/>
    <w:rsid w:val="00681408"/>
    <w:rsid w:val="00681E43"/>
    <w:rsid w:val="00683068"/>
    <w:rsid w:val="00683565"/>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373"/>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36"/>
    <w:rsid w:val="006A0582"/>
    <w:rsid w:val="006A060C"/>
    <w:rsid w:val="006A06F8"/>
    <w:rsid w:val="006A071C"/>
    <w:rsid w:val="006A0DC7"/>
    <w:rsid w:val="006A150D"/>
    <w:rsid w:val="006A1B00"/>
    <w:rsid w:val="006A2766"/>
    <w:rsid w:val="006A2D20"/>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63"/>
    <w:rsid w:val="006B54E8"/>
    <w:rsid w:val="006B5FBC"/>
    <w:rsid w:val="006B6ED2"/>
    <w:rsid w:val="006B7F74"/>
    <w:rsid w:val="006C0230"/>
    <w:rsid w:val="006C05C7"/>
    <w:rsid w:val="006C25AB"/>
    <w:rsid w:val="006C2DA6"/>
    <w:rsid w:val="006C3581"/>
    <w:rsid w:val="006C39A0"/>
    <w:rsid w:val="006C3DB7"/>
    <w:rsid w:val="006C3EFE"/>
    <w:rsid w:val="006C46C7"/>
    <w:rsid w:val="006C4767"/>
    <w:rsid w:val="006C47E5"/>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2C1"/>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3E"/>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67BAF"/>
    <w:rsid w:val="007702BF"/>
    <w:rsid w:val="007705F0"/>
    <w:rsid w:val="00770C04"/>
    <w:rsid w:val="00771CAC"/>
    <w:rsid w:val="00772036"/>
    <w:rsid w:val="00772794"/>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08A"/>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4F2"/>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63C"/>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9C5"/>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15E"/>
    <w:rsid w:val="008465B4"/>
    <w:rsid w:val="00846D25"/>
    <w:rsid w:val="00850013"/>
    <w:rsid w:val="008500DD"/>
    <w:rsid w:val="00850A0A"/>
    <w:rsid w:val="00850A94"/>
    <w:rsid w:val="00851CEF"/>
    <w:rsid w:val="00851E96"/>
    <w:rsid w:val="00851F1C"/>
    <w:rsid w:val="0085237B"/>
    <w:rsid w:val="0085287D"/>
    <w:rsid w:val="00852FA5"/>
    <w:rsid w:val="00853864"/>
    <w:rsid w:val="00853F7D"/>
    <w:rsid w:val="0085517F"/>
    <w:rsid w:val="0085562D"/>
    <w:rsid w:val="00855A78"/>
    <w:rsid w:val="00856154"/>
    <w:rsid w:val="00856286"/>
    <w:rsid w:val="0085657E"/>
    <w:rsid w:val="00856BD5"/>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8A7"/>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00"/>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168"/>
    <w:rsid w:val="008D5432"/>
    <w:rsid w:val="008D54C0"/>
    <w:rsid w:val="008D5558"/>
    <w:rsid w:val="008D5806"/>
    <w:rsid w:val="008D5ED9"/>
    <w:rsid w:val="008D65BE"/>
    <w:rsid w:val="008D7247"/>
    <w:rsid w:val="008D7567"/>
    <w:rsid w:val="008E0EE4"/>
    <w:rsid w:val="008E12BE"/>
    <w:rsid w:val="008E13FD"/>
    <w:rsid w:val="008E15AC"/>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491"/>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B4B"/>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1EB2"/>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6F5"/>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218"/>
    <w:rsid w:val="0099361F"/>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4AC"/>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310"/>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71"/>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0C7F"/>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3E38"/>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9CF"/>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B8E"/>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29E"/>
    <w:rsid w:val="00A82D32"/>
    <w:rsid w:val="00A82EAE"/>
    <w:rsid w:val="00A82FC7"/>
    <w:rsid w:val="00A847F9"/>
    <w:rsid w:val="00A84CB7"/>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A3"/>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7BC"/>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8B6"/>
    <w:rsid w:val="00B07A43"/>
    <w:rsid w:val="00B07F74"/>
    <w:rsid w:val="00B10618"/>
    <w:rsid w:val="00B10B04"/>
    <w:rsid w:val="00B10CC6"/>
    <w:rsid w:val="00B10CD4"/>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6C44"/>
    <w:rsid w:val="00B274E3"/>
    <w:rsid w:val="00B2765C"/>
    <w:rsid w:val="00B27C4B"/>
    <w:rsid w:val="00B3020F"/>
    <w:rsid w:val="00B30563"/>
    <w:rsid w:val="00B3069E"/>
    <w:rsid w:val="00B30A76"/>
    <w:rsid w:val="00B31246"/>
    <w:rsid w:val="00B32295"/>
    <w:rsid w:val="00B33AB5"/>
    <w:rsid w:val="00B3412E"/>
    <w:rsid w:val="00B343E0"/>
    <w:rsid w:val="00B35137"/>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440"/>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6759C"/>
    <w:rsid w:val="00B70200"/>
    <w:rsid w:val="00B702D7"/>
    <w:rsid w:val="00B70389"/>
    <w:rsid w:val="00B70E01"/>
    <w:rsid w:val="00B718FA"/>
    <w:rsid w:val="00B72A0B"/>
    <w:rsid w:val="00B72CF0"/>
    <w:rsid w:val="00B72F50"/>
    <w:rsid w:val="00B7380E"/>
    <w:rsid w:val="00B740F6"/>
    <w:rsid w:val="00B74615"/>
    <w:rsid w:val="00B74789"/>
    <w:rsid w:val="00B755B6"/>
    <w:rsid w:val="00B75977"/>
    <w:rsid w:val="00B75A48"/>
    <w:rsid w:val="00B75CC0"/>
    <w:rsid w:val="00B76021"/>
    <w:rsid w:val="00B76FCD"/>
    <w:rsid w:val="00B7764D"/>
    <w:rsid w:val="00B804F8"/>
    <w:rsid w:val="00B80861"/>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325"/>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428"/>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73D"/>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3E9"/>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30"/>
    <w:rsid w:val="00C20051"/>
    <w:rsid w:val="00C2021B"/>
    <w:rsid w:val="00C203C7"/>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872"/>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1633"/>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1F1"/>
    <w:rsid w:val="00CD44FF"/>
    <w:rsid w:val="00CD46A7"/>
    <w:rsid w:val="00CD47BC"/>
    <w:rsid w:val="00CD4E50"/>
    <w:rsid w:val="00CD57CB"/>
    <w:rsid w:val="00CD64E1"/>
    <w:rsid w:val="00CD66BA"/>
    <w:rsid w:val="00CD68D5"/>
    <w:rsid w:val="00CD699D"/>
    <w:rsid w:val="00CD6BA3"/>
    <w:rsid w:val="00CD70DB"/>
    <w:rsid w:val="00CD7544"/>
    <w:rsid w:val="00CD75B6"/>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346D"/>
    <w:rsid w:val="00CF43F4"/>
    <w:rsid w:val="00CF475F"/>
    <w:rsid w:val="00CF4E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98"/>
    <w:rsid w:val="00D144D8"/>
    <w:rsid w:val="00D14919"/>
    <w:rsid w:val="00D14E25"/>
    <w:rsid w:val="00D15470"/>
    <w:rsid w:val="00D15AE3"/>
    <w:rsid w:val="00D160C4"/>
    <w:rsid w:val="00D165D8"/>
    <w:rsid w:val="00D1724E"/>
    <w:rsid w:val="00D178E8"/>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CD4"/>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0F74"/>
    <w:rsid w:val="00D511E7"/>
    <w:rsid w:val="00D51372"/>
    <w:rsid w:val="00D517ED"/>
    <w:rsid w:val="00D5251C"/>
    <w:rsid w:val="00D52F56"/>
    <w:rsid w:val="00D537B7"/>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A56"/>
    <w:rsid w:val="00D774F4"/>
    <w:rsid w:val="00D77687"/>
    <w:rsid w:val="00D77AF6"/>
    <w:rsid w:val="00D804C5"/>
    <w:rsid w:val="00D815E6"/>
    <w:rsid w:val="00D81A28"/>
    <w:rsid w:val="00D81BDE"/>
    <w:rsid w:val="00D8201D"/>
    <w:rsid w:val="00D82043"/>
    <w:rsid w:val="00D826E6"/>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2AA"/>
    <w:rsid w:val="00DC4311"/>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3C9"/>
    <w:rsid w:val="00E105CE"/>
    <w:rsid w:val="00E10712"/>
    <w:rsid w:val="00E10DD1"/>
    <w:rsid w:val="00E1224C"/>
    <w:rsid w:val="00E1254C"/>
    <w:rsid w:val="00E12BDF"/>
    <w:rsid w:val="00E13326"/>
    <w:rsid w:val="00E13D07"/>
    <w:rsid w:val="00E14356"/>
    <w:rsid w:val="00E14961"/>
    <w:rsid w:val="00E14D76"/>
    <w:rsid w:val="00E15183"/>
    <w:rsid w:val="00E15995"/>
    <w:rsid w:val="00E15D6C"/>
    <w:rsid w:val="00E1720B"/>
    <w:rsid w:val="00E203DE"/>
    <w:rsid w:val="00E20971"/>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6D8"/>
    <w:rsid w:val="00E31761"/>
    <w:rsid w:val="00E31812"/>
    <w:rsid w:val="00E31889"/>
    <w:rsid w:val="00E31CE7"/>
    <w:rsid w:val="00E333D5"/>
    <w:rsid w:val="00E3394F"/>
    <w:rsid w:val="00E33A0B"/>
    <w:rsid w:val="00E34A2F"/>
    <w:rsid w:val="00E35A45"/>
    <w:rsid w:val="00E35F7F"/>
    <w:rsid w:val="00E36112"/>
    <w:rsid w:val="00E36392"/>
    <w:rsid w:val="00E3694F"/>
    <w:rsid w:val="00E36B32"/>
    <w:rsid w:val="00E36E40"/>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1C41"/>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77F2F"/>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5B5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F6"/>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0FB"/>
    <w:rsid w:val="00EF71E6"/>
    <w:rsid w:val="00F0058A"/>
    <w:rsid w:val="00F00630"/>
    <w:rsid w:val="00F00922"/>
    <w:rsid w:val="00F00924"/>
    <w:rsid w:val="00F0161A"/>
    <w:rsid w:val="00F0187E"/>
    <w:rsid w:val="00F01956"/>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2C3"/>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8E1"/>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895"/>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2E15"/>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300"/>
    <w:rsid w:val="00F54E5E"/>
    <w:rsid w:val="00F551DB"/>
    <w:rsid w:val="00F551DF"/>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6678"/>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7E5"/>
    <w:rsid w:val="00FB5138"/>
    <w:rsid w:val="00FB547F"/>
    <w:rsid w:val="00FB5A71"/>
    <w:rsid w:val="00FB63F6"/>
    <w:rsid w:val="00FB7823"/>
    <w:rsid w:val="00FC05B2"/>
    <w:rsid w:val="00FC08B3"/>
    <w:rsid w:val="00FC09D7"/>
    <w:rsid w:val="00FC0ABE"/>
    <w:rsid w:val="00FC1269"/>
    <w:rsid w:val="00FC22D0"/>
    <w:rsid w:val="00FC3668"/>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7B4"/>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9E9"/>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95070"/>
    <w:rsid w:val="019F7441"/>
    <w:rsid w:val="01B37585"/>
    <w:rsid w:val="01D55165"/>
    <w:rsid w:val="01DF6BF8"/>
    <w:rsid w:val="01E03DA0"/>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5BEE927"/>
    <w:rsid w:val="05FB043B"/>
    <w:rsid w:val="060E5941"/>
    <w:rsid w:val="06110FAF"/>
    <w:rsid w:val="06493CA7"/>
    <w:rsid w:val="064A4B6B"/>
    <w:rsid w:val="065A6178"/>
    <w:rsid w:val="066F1CF3"/>
    <w:rsid w:val="06930BB8"/>
    <w:rsid w:val="07245D42"/>
    <w:rsid w:val="07264C62"/>
    <w:rsid w:val="0779354C"/>
    <w:rsid w:val="07C55751"/>
    <w:rsid w:val="08061376"/>
    <w:rsid w:val="08410597"/>
    <w:rsid w:val="08452D77"/>
    <w:rsid w:val="086401F8"/>
    <w:rsid w:val="08751CAA"/>
    <w:rsid w:val="087E4C40"/>
    <w:rsid w:val="08A871D0"/>
    <w:rsid w:val="08D66AD6"/>
    <w:rsid w:val="08DA33A3"/>
    <w:rsid w:val="08E80F13"/>
    <w:rsid w:val="08EF5238"/>
    <w:rsid w:val="09313BAC"/>
    <w:rsid w:val="09335624"/>
    <w:rsid w:val="093C74AB"/>
    <w:rsid w:val="0944690F"/>
    <w:rsid w:val="09535675"/>
    <w:rsid w:val="095F057D"/>
    <w:rsid w:val="09642282"/>
    <w:rsid w:val="09733572"/>
    <w:rsid w:val="09772C16"/>
    <w:rsid w:val="098353B5"/>
    <w:rsid w:val="09A92330"/>
    <w:rsid w:val="09B06B87"/>
    <w:rsid w:val="09C13146"/>
    <w:rsid w:val="09E04166"/>
    <w:rsid w:val="09EE4315"/>
    <w:rsid w:val="0A1C0718"/>
    <w:rsid w:val="0A3E7710"/>
    <w:rsid w:val="0A4E70E3"/>
    <w:rsid w:val="0A5B7E63"/>
    <w:rsid w:val="0AA374A5"/>
    <w:rsid w:val="0AAB7649"/>
    <w:rsid w:val="0ABC5606"/>
    <w:rsid w:val="0B30404E"/>
    <w:rsid w:val="0B4C6C14"/>
    <w:rsid w:val="0B547599"/>
    <w:rsid w:val="0B5542B2"/>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246BD4"/>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E34B24"/>
    <w:rsid w:val="10646583"/>
    <w:rsid w:val="107D4B15"/>
    <w:rsid w:val="108A3C80"/>
    <w:rsid w:val="10C26171"/>
    <w:rsid w:val="10EE6F66"/>
    <w:rsid w:val="10F33360"/>
    <w:rsid w:val="10FC16EA"/>
    <w:rsid w:val="110F1D40"/>
    <w:rsid w:val="11266F33"/>
    <w:rsid w:val="118963A1"/>
    <w:rsid w:val="11C6522A"/>
    <w:rsid w:val="11E104CC"/>
    <w:rsid w:val="11E20309"/>
    <w:rsid w:val="12154D3D"/>
    <w:rsid w:val="12255233"/>
    <w:rsid w:val="12530213"/>
    <w:rsid w:val="127723A9"/>
    <w:rsid w:val="12862074"/>
    <w:rsid w:val="12883966"/>
    <w:rsid w:val="129E45B4"/>
    <w:rsid w:val="12D81596"/>
    <w:rsid w:val="13072A44"/>
    <w:rsid w:val="135F4BE2"/>
    <w:rsid w:val="13631AD8"/>
    <w:rsid w:val="139B1A0A"/>
    <w:rsid w:val="139D25C7"/>
    <w:rsid w:val="13BF3CE4"/>
    <w:rsid w:val="13C92283"/>
    <w:rsid w:val="141008D8"/>
    <w:rsid w:val="14125FE6"/>
    <w:rsid w:val="1457788F"/>
    <w:rsid w:val="146D271E"/>
    <w:rsid w:val="147310E7"/>
    <w:rsid w:val="147C10A3"/>
    <w:rsid w:val="14982588"/>
    <w:rsid w:val="149A5AD9"/>
    <w:rsid w:val="14A7619D"/>
    <w:rsid w:val="150536C3"/>
    <w:rsid w:val="150C1963"/>
    <w:rsid w:val="151447A0"/>
    <w:rsid w:val="154A6454"/>
    <w:rsid w:val="15762120"/>
    <w:rsid w:val="16A8729C"/>
    <w:rsid w:val="16B33777"/>
    <w:rsid w:val="16BC70A7"/>
    <w:rsid w:val="16C6339E"/>
    <w:rsid w:val="1729546F"/>
    <w:rsid w:val="172F2D79"/>
    <w:rsid w:val="17557BEF"/>
    <w:rsid w:val="17D349C1"/>
    <w:rsid w:val="1830729E"/>
    <w:rsid w:val="1870062C"/>
    <w:rsid w:val="18817102"/>
    <w:rsid w:val="18830A15"/>
    <w:rsid w:val="18852B28"/>
    <w:rsid w:val="188B5321"/>
    <w:rsid w:val="18E85CF6"/>
    <w:rsid w:val="19932372"/>
    <w:rsid w:val="19A20DD5"/>
    <w:rsid w:val="19AE03F1"/>
    <w:rsid w:val="1A071A03"/>
    <w:rsid w:val="1A1F16AE"/>
    <w:rsid w:val="1A2C70C8"/>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1A4B05"/>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0E7688B"/>
    <w:rsid w:val="211116EB"/>
    <w:rsid w:val="211724F3"/>
    <w:rsid w:val="216133FC"/>
    <w:rsid w:val="217D645B"/>
    <w:rsid w:val="21D56769"/>
    <w:rsid w:val="21E52EF3"/>
    <w:rsid w:val="21E97D80"/>
    <w:rsid w:val="21FB5D7B"/>
    <w:rsid w:val="22015E94"/>
    <w:rsid w:val="220B1C3D"/>
    <w:rsid w:val="221D1D20"/>
    <w:rsid w:val="22334A87"/>
    <w:rsid w:val="226D06CE"/>
    <w:rsid w:val="22BE6801"/>
    <w:rsid w:val="233500BF"/>
    <w:rsid w:val="23377FF7"/>
    <w:rsid w:val="236B425F"/>
    <w:rsid w:val="23836192"/>
    <w:rsid w:val="23901F29"/>
    <w:rsid w:val="239C0061"/>
    <w:rsid w:val="23B00D6A"/>
    <w:rsid w:val="23B908A4"/>
    <w:rsid w:val="23E478F9"/>
    <w:rsid w:val="23E95BEF"/>
    <w:rsid w:val="23FD0064"/>
    <w:rsid w:val="245375B0"/>
    <w:rsid w:val="24642C0A"/>
    <w:rsid w:val="24B22173"/>
    <w:rsid w:val="24B95AD9"/>
    <w:rsid w:val="24BE24DA"/>
    <w:rsid w:val="24CF5825"/>
    <w:rsid w:val="24D663E6"/>
    <w:rsid w:val="24D77F2B"/>
    <w:rsid w:val="258B00E2"/>
    <w:rsid w:val="25A917A6"/>
    <w:rsid w:val="25BE27CC"/>
    <w:rsid w:val="25F74A5C"/>
    <w:rsid w:val="261455E0"/>
    <w:rsid w:val="2628662C"/>
    <w:rsid w:val="262D45DE"/>
    <w:rsid w:val="26871DC8"/>
    <w:rsid w:val="26A53EF9"/>
    <w:rsid w:val="26A94201"/>
    <w:rsid w:val="26AC274F"/>
    <w:rsid w:val="27044A29"/>
    <w:rsid w:val="271D34C8"/>
    <w:rsid w:val="276142BF"/>
    <w:rsid w:val="27783712"/>
    <w:rsid w:val="27907362"/>
    <w:rsid w:val="28123DA1"/>
    <w:rsid w:val="28333E1D"/>
    <w:rsid w:val="28454BD6"/>
    <w:rsid w:val="28455253"/>
    <w:rsid w:val="28551971"/>
    <w:rsid w:val="285B1C53"/>
    <w:rsid w:val="289F7086"/>
    <w:rsid w:val="28C32028"/>
    <w:rsid w:val="28C66939"/>
    <w:rsid w:val="28CC490F"/>
    <w:rsid w:val="28DE40AA"/>
    <w:rsid w:val="29345E77"/>
    <w:rsid w:val="294C65AD"/>
    <w:rsid w:val="29806583"/>
    <w:rsid w:val="29817BFA"/>
    <w:rsid w:val="298B3C4C"/>
    <w:rsid w:val="29F26D24"/>
    <w:rsid w:val="2A15033F"/>
    <w:rsid w:val="2A1662C1"/>
    <w:rsid w:val="2A1C7367"/>
    <w:rsid w:val="2A2815FA"/>
    <w:rsid w:val="2A6D6092"/>
    <w:rsid w:val="2A7D76B4"/>
    <w:rsid w:val="2A946CEF"/>
    <w:rsid w:val="2B3F3E85"/>
    <w:rsid w:val="2B437463"/>
    <w:rsid w:val="2B5E0B35"/>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7B3D22"/>
    <w:rsid w:val="2E9A3C18"/>
    <w:rsid w:val="2EBB0FEE"/>
    <w:rsid w:val="2EC63002"/>
    <w:rsid w:val="2F0A6B38"/>
    <w:rsid w:val="2F124686"/>
    <w:rsid w:val="2F946CCB"/>
    <w:rsid w:val="2FD25781"/>
    <w:rsid w:val="2FDC745C"/>
    <w:rsid w:val="2FF7D722"/>
    <w:rsid w:val="2FFD7934"/>
    <w:rsid w:val="303C2E81"/>
    <w:rsid w:val="30733ACD"/>
    <w:rsid w:val="308C3862"/>
    <w:rsid w:val="309379D8"/>
    <w:rsid w:val="30A270F7"/>
    <w:rsid w:val="30DF1478"/>
    <w:rsid w:val="30EC586F"/>
    <w:rsid w:val="310402C4"/>
    <w:rsid w:val="314550B7"/>
    <w:rsid w:val="319C6071"/>
    <w:rsid w:val="31AC537E"/>
    <w:rsid w:val="31E3679B"/>
    <w:rsid w:val="31E732FD"/>
    <w:rsid w:val="32517576"/>
    <w:rsid w:val="32AA4DE3"/>
    <w:rsid w:val="32AE7576"/>
    <w:rsid w:val="32BE5C2C"/>
    <w:rsid w:val="32FB6478"/>
    <w:rsid w:val="330D07CD"/>
    <w:rsid w:val="33263B3F"/>
    <w:rsid w:val="33571B89"/>
    <w:rsid w:val="336963EB"/>
    <w:rsid w:val="33816EEB"/>
    <w:rsid w:val="33EB55CD"/>
    <w:rsid w:val="33EC4C02"/>
    <w:rsid w:val="340D2360"/>
    <w:rsid w:val="3410665D"/>
    <w:rsid w:val="34211214"/>
    <w:rsid w:val="342E63AB"/>
    <w:rsid w:val="34950E68"/>
    <w:rsid w:val="34986E94"/>
    <w:rsid w:val="34AF62C9"/>
    <w:rsid w:val="34CB4388"/>
    <w:rsid w:val="34FA6E12"/>
    <w:rsid w:val="3502519D"/>
    <w:rsid w:val="354D7158"/>
    <w:rsid w:val="358D5588"/>
    <w:rsid w:val="363A3B40"/>
    <w:rsid w:val="365302AE"/>
    <w:rsid w:val="36607A0A"/>
    <w:rsid w:val="366E227C"/>
    <w:rsid w:val="366F2E0D"/>
    <w:rsid w:val="367B6A5C"/>
    <w:rsid w:val="36A74ADA"/>
    <w:rsid w:val="36AD60D5"/>
    <w:rsid w:val="36B224F9"/>
    <w:rsid w:val="36EC0CC9"/>
    <w:rsid w:val="373F410B"/>
    <w:rsid w:val="37E109D8"/>
    <w:rsid w:val="37EE7094"/>
    <w:rsid w:val="37FF0B27"/>
    <w:rsid w:val="38296C89"/>
    <w:rsid w:val="383002EB"/>
    <w:rsid w:val="38586797"/>
    <w:rsid w:val="38BC0149"/>
    <w:rsid w:val="38D87D1C"/>
    <w:rsid w:val="38EC2989"/>
    <w:rsid w:val="396106E4"/>
    <w:rsid w:val="39636459"/>
    <w:rsid w:val="396B7F6C"/>
    <w:rsid w:val="39B417A9"/>
    <w:rsid w:val="39FC5695"/>
    <w:rsid w:val="3A006D8E"/>
    <w:rsid w:val="3A3651E5"/>
    <w:rsid w:val="3A744481"/>
    <w:rsid w:val="3A8C7BEF"/>
    <w:rsid w:val="3A906246"/>
    <w:rsid w:val="3B132617"/>
    <w:rsid w:val="3B2349B7"/>
    <w:rsid w:val="3B616CFF"/>
    <w:rsid w:val="3B6259F6"/>
    <w:rsid w:val="3B976654"/>
    <w:rsid w:val="3BBBA69F"/>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D006F5"/>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CA1C69"/>
    <w:rsid w:val="3FFA025B"/>
    <w:rsid w:val="4019356B"/>
    <w:rsid w:val="40592157"/>
    <w:rsid w:val="406E1CAE"/>
    <w:rsid w:val="40A0133A"/>
    <w:rsid w:val="40C31A53"/>
    <w:rsid w:val="40FF545D"/>
    <w:rsid w:val="410067C8"/>
    <w:rsid w:val="413B4AA4"/>
    <w:rsid w:val="418F0D2A"/>
    <w:rsid w:val="41D01505"/>
    <w:rsid w:val="42360234"/>
    <w:rsid w:val="42474939"/>
    <w:rsid w:val="424C3C57"/>
    <w:rsid w:val="42613FF3"/>
    <w:rsid w:val="42660D96"/>
    <w:rsid w:val="428667D2"/>
    <w:rsid w:val="42CD1CE0"/>
    <w:rsid w:val="42DA5063"/>
    <w:rsid w:val="42E1381E"/>
    <w:rsid w:val="42ED6459"/>
    <w:rsid w:val="42FE58DD"/>
    <w:rsid w:val="43106CD7"/>
    <w:rsid w:val="43174B3D"/>
    <w:rsid w:val="434B790E"/>
    <w:rsid w:val="4360274F"/>
    <w:rsid w:val="436D0919"/>
    <w:rsid w:val="43977AB6"/>
    <w:rsid w:val="43A3342B"/>
    <w:rsid w:val="43B27D8E"/>
    <w:rsid w:val="43C77C27"/>
    <w:rsid w:val="43DE09EE"/>
    <w:rsid w:val="44002FAD"/>
    <w:rsid w:val="449101DD"/>
    <w:rsid w:val="44A91191"/>
    <w:rsid w:val="44DE1391"/>
    <w:rsid w:val="44E623E5"/>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F45FA"/>
    <w:rsid w:val="46C4686E"/>
    <w:rsid w:val="46DC75FC"/>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175734"/>
    <w:rsid w:val="4C245A30"/>
    <w:rsid w:val="4C79769B"/>
    <w:rsid w:val="4CB6685F"/>
    <w:rsid w:val="4CC367FE"/>
    <w:rsid w:val="4D077F3C"/>
    <w:rsid w:val="4D123355"/>
    <w:rsid w:val="4D2A3B31"/>
    <w:rsid w:val="4D312C52"/>
    <w:rsid w:val="4D905305"/>
    <w:rsid w:val="4D93478D"/>
    <w:rsid w:val="4D964A72"/>
    <w:rsid w:val="4D9C1254"/>
    <w:rsid w:val="4E793892"/>
    <w:rsid w:val="4E800872"/>
    <w:rsid w:val="4EC569ED"/>
    <w:rsid w:val="4ED50EA1"/>
    <w:rsid w:val="4EEC050C"/>
    <w:rsid w:val="4EED2B62"/>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1A291E"/>
    <w:rsid w:val="5142540C"/>
    <w:rsid w:val="518832C8"/>
    <w:rsid w:val="519D3C50"/>
    <w:rsid w:val="51A0432A"/>
    <w:rsid w:val="51A86090"/>
    <w:rsid w:val="51B7396D"/>
    <w:rsid w:val="522726DC"/>
    <w:rsid w:val="522E4CC3"/>
    <w:rsid w:val="5244713B"/>
    <w:rsid w:val="52615633"/>
    <w:rsid w:val="526F4DE4"/>
    <w:rsid w:val="52977FD4"/>
    <w:rsid w:val="52A25790"/>
    <w:rsid w:val="52A96B6F"/>
    <w:rsid w:val="52B45975"/>
    <w:rsid w:val="52B86552"/>
    <w:rsid w:val="52C207C8"/>
    <w:rsid w:val="52D94AA4"/>
    <w:rsid w:val="52EA3A62"/>
    <w:rsid w:val="52F50BB8"/>
    <w:rsid w:val="53097272"/>
    <w:rsid w:val="53544462"/>
    <w:rsid w:val="5397158E"/>
    <w:rsid w:val="54013861"/>
    <w:rsid w:val="54352A4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82C5A"/>
    <w:rsid w:val="566B6D1E"/>
    <w:rsid w:val="566E38A2"/>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3C2F"/>
    <w:rsid w:val="57D95FDD"/>
    <w:rsid w:val="58917D2F"/>
    <w:rsid w:val="5894085C"/>
    <w:rsid w:val="589E3B49"/>
    <w:rsid w:val="58AE4F0C"/>
    <w:rsid w:val="58B85899"/>
    <w:rsid w:val="58E363A9"/>
    <w:rsid w:val="595E1678"/>
    <w:rsid w:val="596D5BD4"/>
    <w:rsid w:val="597E3DD8"/>
    <w:rsid w:val="59A26483"/>
    <w:rsid w:val="59F80043"/>
    <w:rsid w:val="5A09252F"/>
    <w:rsid w:val="5A0B2778"/>
    <w:rsid w:val="5A2A7C7B"/>
    <w:rsid w:val="5A3E2560"/>
    <w:rsid w:val="5A5D3B6E"/>
    <w:rsid w:val="5A637A76"/>
    <w:rsid w:val="5A6D33BA"/>
    <w:rsid w:val="5A792B1F"/>
    <w:rsid w:val="5A874767"/>
    <w:rsid w:val="5AA85BE2"/>
    <w:rsid w:val="5AAD6F28"/>
    <w:rsid w:val="5AD63A24"/>
    <w:rsid w:val="5B144C0A"/>
    <w:rsid w:val="5B2E1A1D"/>
    <w:rsid w:val="5B5639C9"/>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09741C"/>
    <w:rsid w:val="5E1834A1"/>
    <w:rsid w:val="5E261785"/>
    <w:rsid w:val="5E4A7017"/>
    <w:rsid w:val="5E552BBA"/>
    <w:rsid w:val="5E611C10"/>
    <w:rsid w:val="5E7A0F3F"/>
    <w:rsid w:val="5EFC7377"/>
    <w:rsid w:val="5F06174D"/>
    <w:rsid w:val="5F3A3602"/>
    <w:rsid w:val="5F45733B"/>
    <w:rsid w:val="5F6277C6"/>
    <w:rsid w:val="5F6D0B1D"/>
    <w:rsid w:val="5F8D0B82"/>
    <w:rsid w:val="5F968556"/>
    <w:rsid w:val="5F9F5213"/>
    <w:rsid w:val="5FBF4155"/>
    <w:rsid w:val="5FCC5339"/>
    <w:rsid w:val="5FE34A5B"/>
    <w:rsid w:val="5FFE1E36"/>
    <w:rsid w:val="60232584"/>
    <w:rsid w:val="60545F6A"/>
    <w:rsid w:val="607330CE"/>
    <w:rsid w:val="60825176"/>
    <w:rsid w:val="60921B4C"/>
    <w:rsid w:val="609F2AC4"/>
    <w:rsid w:val="60FA2EE8"/>
    <w:rsid w:val="60FC0DF8"/>
    <w:rsid w:val="61054A27"/>
    <w:rsid w:val="610A52BC"/>
    <w:rsid w:val="611D2366"/>
    <w:rsid w:val="611E6EDF"/>
    <w:rsid w:val="61421856"/>
    <w:rsid w:val="615227C4"/>
    <w:rsid w:val="61654E3F"/>
    <w:rsid w:val="6182292A"/>
    <w:rsid w:val="619F7F92"/>
    <w:rsid w:val="61F94C26"/>
    <w:rsid w:val="62000E56"/>
    <w:rsid w:val="62055E54"/>
    <w:rsid w:val="624F3E49"/>
    <w:rsid w:val="62632286"/>
    <w:rsid w:val="62885958"/>
    <w:rsid w:val="629D3C8C"/>
    <w:rsid w:val="62F40B65"/>
    <w:rsid w:val="62FC2CFE"/>
    <w:rsid w:val="63024505"/>
    <w:rsid w:val="635600A5"/>
    <w:rsid w:val="635B1DB5"/>
    <w:rsid w:val="6362529D"/>
    <w:rsid w:val="63711FED"/>
    <w:rsid w:val="63880DDC"/>
    <w:rsid w:val="638D750D"/>
    <w:rsid w:val="63AC6CC0"/>
    <w:rsid w:val="64055776"/>
    <w:rsid w:val="64240056"/>
    <w:rsid w:val="64252B61"/>
    <w:rsid w:val="643E143A"/>
    <w:rsid w:val="64491666"/>
    <w:rsid w:val="648B6EEF"/>
    <w:rsid w:val="64C158BF"/>
    <w:rsid w:val="64CE2EAA"/>
    <w:rsid w:val="653C3090"/>
    <w:rsid w:val="65854376"/>
    <w:rsid w:val="658767BE"/>
    <w:rsid w:val="65892531"/>
    <w:rsid w:val="65DE3244"/>
    <w:rsid w:val="66016B80"/>
    <w:rsid w:val="66195831"/>
    <w:rsid w:val="662E75B1"/>
    <w:rsid w:val="66342C2E"/>
    <w:rsid w:val="663E784C"/>
    <w:rsid w:val="668B6A45"/>
    <w:rsid w:val="67011F07"/>
    <w:rsid w:val="672F3F24"/>
    <w:rsid w:val="673E055F"/>
    <w:rsid w:val="67551CE3"/>
    <w:rsid w:val="67A22552"/>
    <w:rsid w:val="67B22DCC"/>
    <w:rsid w:val="67BE71AA"/>
    <w:rsid w:val="67D90273"/>
    <w:rsid w:val="67DE5875"/>
    <w:rsid w:val="67DF4D46"/>
    <w:rsid w:val="67E55852"/>
    <w:rsid w:val="67EB1AB4"/>
    <w:rsid w:val="67FA1285"/>
    <w:rsid w:val="67FF2CF3"/>
    <w:rsid w:val="683A2B28"/>
    <w:rsid w:val="68551F4F"/>
    <w:rsid w:val="687C10C9"/>
    <w:rsid w:val="68840C16"/>
    <w:rsid w:val="68872541"/>
    <w:rsid w:val="68876EFB"/>
    <w:rsid w:val="68884654"/>
    <w:rsid w:val="689F444F"/>
    <w:rsid w:val="68B96DBB"/>
    <w:rsid w:val="68CA2805"/>
    <w:rsid w:val="68E937A3"/>
    <w:rsid w:val="691664E5"/>
    <w:rsid w:val="693E15D3"/>
    <w:rsid w:val="69561038"/>
    <w:rsid w:val="69627681"/>
    <w:rsid w:val="6977531D"/>
    <w:rsid w:val="69CC2BFF"/>
    <w:rsid w:val="69FD55B8"/>
    <w:rsid w:val="6A0B1C62"/>
    <w:rsid w:val="6A2406C8"/>
    <w:rsid w:val="6ADE0BD1"/>
    <w:rsid w:val="6AE96859"/>
    <w:rsid w:val="6AF40B0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5B47A9"/>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6FDD181C"/>
    <w:rsid w:val="704B4683"/>
    <w:rsid w:val="70565D7A"/>
    <w:rsid w:val="707723D0"/>
    <w:rsid w:val="709643FC"/>
    <w:rsid w:val="70F5661B"/>
    <w:rsid w:val="71360107"/>
    <w:rsid w:val="713B688E"/>
    <w:rsid w:val="71743F62"/>
    <w:rsid w:val="71CF1988"/>
    <w:rsid w:val="71D43752"/>
    <w:rsid w:val="71F1796A"/>
    <w:rsid w:val="72154626"/>
    <w:rsid w:val="721E646B"/>
    <w:rsid w:val="72262B5D"/>
    <w:rsid w:val="72283FF7"/>
    <w:rsid w:val="722E7212"/>
    <w:rsid w:val="723A0474"/>
    <w:rsid w:val="725923E4"/>
    <w:rsid w:val="72864BF7"/>
    <w:rsid w:val="729023FC"/>
    <w:rsid w:val="7366631C"/>
    <w:rsid w:val="73BB6668"/>
    <w:rsid w:val="73C0646E"/>
    <w:rsid w:val="7419513C"/>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935205"/>
    <w:rsid w:val="77D1700D"/>
    <w:rsid w:val="77EC04CC"/>
    <w:rsid w:val="78775729"/>
    <w:rsid w:val="78A42DB0"/>
    <w:rsid w:val="78A656AB"/>
    <w:rsid w:val="78B2245C"/>
    <w:rsid w:val="78E172CC"/>
    <w:rsid w:val="78EA1D1F"/>
    <w:rsid w:val="78FD502C"/>
    <w:rsid w:val="7904172F"/>
    <w:rsid w:val="790F7E27"/>
    <w:rsid w:val="7927654D"/>
    <w:rsid w:val="792A231A"/>
    <w:rsid w:val="79316829"/>
    <w:rsid w:val="797E66A9"/>
    <w:rsid w:val="798518A4"/>
    <w:rsid w:val="79A97383"/>
    <w:rsid w:val="79E27E8B"/>
    <w:rsid w:val="79F850CE"/>
    <w:rsid w:val="79FD443C"/>
    <w:rsid w:val="7A1D1975"/>
    <w:rsid w:val="7A1D3524"/>
    <w:rsid w:val="7A3E5150"/>
    <w:rsid w:val="7A4670D6"/>
    <w:rsid w:val="7A534B63"/>
    <w:rsid w:val="7A615382"/>
    <w:rsid w:val="7A67303B"/>
    <w:rsid w:val="7AAB1D04"/>
    <w:rsid w:val="7ABA4368"/>
    <w:rsid w:val="7AD05746"/>
    <w:rsid w:val="7B257FFD"/>
    <w:rsid w:val="7B273D20"/>
    <w:rsid w:val="7B2A40D3"/>
    <w:rsid w:val="7B343476"/>
    <w:rsid w:val="7B5A2978"/>
    <w:rsid w:val="7B5A7E4C"/>
    <w:rsid w:val="7B667AF9"/>
    <w:rsid w:val="7B7468F8"/>
    <w:rsid w:val="7B7610C6"/>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DFB58B2"/>
    <w:rsid w:val="7E1E5218"/>
    <w:rsid w:val="7E9A4E1F"/>
    <w:rsid w:val="7EA7723A"/>
    <w:rsid w:val="7EF56FBB"/>
    <w:rsid w:val="7F0768EB"/>
    <w:rsid w:val="7F143BEC"/>
    <w:rsid w:val="7F5D4081"/>
    <w:rsid w:val="7F715AF2"/>
    <w:rsid w:val="7F886E69"/>
    <w:rsid w:val="9CBF4418"/>
    <w:rsid w:val="9FBF0B8A"/>
    <w:rsid w:val="AC1F4E35"/>
    <w:rsid w:val="B3DD2E1E"/>
    <w:rsid w:val="B7E6E635"/>
    <w:rsid w:val="BB7FA927"/>
    <w:rsid w:val="F5FFD31F"/>
    <w:rsid w:val="F79C7C0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272"/>
    <w:qFormat/>
    <w:uiPriority w:val="0"/>
    <w:pPr>
      <w:spacing w:line="480" w:lineRule="exact"/>
      <w:ind w:firstLine="480" w:firstLineChars="200"/>
    </w:pPr>
    <w:rPr>
      <w:rFonts w:ascii="宋体" w:hAnsi="宋体"/>
      <w:sz w:val="24"/>
    </w:rPr>
  </w:style>
  <w:style w:type="paragraph" w:styleId="6">
    <w:name w:val="Normal Indent"/>
    <w:basedOn w:val="1"/>
    <w:next w:val="1"/>
    <w:link w:val="20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11"/>
    <w:qFormat/>
    <w:uiPriority w:val="0"/>
    <w:pPr>
      <w:shd w:val="clear" w:color="auto" w:fill="000080"/>
    </w:pPr>
  </w:style>
  <w:style w:type="paragraph" w:styleId="20">
    <w:name w:val="annotation text"/>
    <w:basedOn w:val="1"/>
    <w:link w:val="348"/>
    <w:qFormat/>
    <w:uiPriority w:val="99"/>
    <w:pPr>
      <w:jc w:val="left"/>
    </w:pPr>
  </w:style>
  <w:style w:type="paragraph" w:styleId="21">
    <w:name w:val="Salutation"/>
    <w:basedOn w:val="1"/>
    <w:next w:val="1"/>
    <w:link w:val="304"/>
    <w:qFormat/>
    <w:uiPriority w:val="0"/>
    <w:rPr>
      <w:rFonts w:ascii="仿宋_GB2312" w:eastAsia="仿宋_GB2312"/>
      <w:sz w:val="28"/>
      <w:szCs w:val="20"/>
    </w:rPr>
  </w:style>
  <w:style w:type="paragraph" w:styleId="22">
    <w:name w:val="Body Text 3"/>
    <w:basedOn w:val="1"/>
    <w:link w:val="334"/>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32"/>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3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90"/>
    <w:qFormat/>
    <w:uiPriority w:val="0"/>
    <w:pPr>
      <w:ind w:left="100" w:leftChars="2500"/>
    </w:pPr>
    <w:rPr>
      <w:rFonts w:ascii="宋体"/>
      <w:sz w:val="24"/>
      <w:szCs w:val="21"/>
      <w:lang w:val="zh-CN"/>
    </w:rPr>
  </w:style>
  <w:style w:type="paragraph" w:styleId="36">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7">
    <w:name w:val="endnote text"/>
    <w:basedOn w:val="1"/>
    <w:link w:val="933"/>
    <w:qFormat/>
    <w:uiPriority w:val="0"/>
    <w:rPr>
      <w:lang w:val="zh-CN"/>
    </w:rPr>
  </w:style>
  <w:style w:type="paragraph" w:styleId="38">
    <w:name w:val="Balloon Text"/>
    <w:basedOn w:val="1"/>
    <w:link w:val="197"/>
    <w:qFormat/>
    <w:uiPriority w:val="0"/>
    <w:rPr>
      <w:sz w:val="18"/>
      <w:szCs w:val="18"/>
    </w:rPr>
  </w:style>
  <w:style w:type="paragraph" w:styleId="39">
    <w:name w:val="footer"/>
    <w:basedOn w:val="1"/>
    <w:link w:val="385"/>
    <w:qFormat/>
    <w:uiPriority w:val="99"/>
    <w:pPr>
      <w:tabs>
        <w:tab w:val="center" w:pos="4153"/>
        <w:tab w:val="right" w:pos="8306"/>
      </w:tabs>
      <w:snapToGrid w:val="0"/>
      <w:jc w:val="left"/>
    </w:pPr>
    <w:rPr>
      <w:sz w:val="18"/>
      <w:szCs w:val="18"/>
    </w:rPr>
  </w:style>
  <w:style w:type="paragraph" w:styleId="40">
    <w:name w:val="envelope return"/>
    <w:basedOn w:val="1"/>
    <w:qFormat/>
    <w:uiPriority w:val="0"/>
    <w:pPr>
      <w:snapToGrid w:val="0"/>
    </w:pPr>
    <w:rPr>
      <w:rFonts w:ascii="Arial" w:hAnsi="Arial"/>
    </w:rPr>
  </w:style>
  <w:style w:type="paragraph" w:styleId="41">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4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14"/>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7"/>
    <w:qFormat/>
    <w:uiPriority w:val="0"/>
    <w:pPr>
      <w:spacing w:after="120" w:line="480" w:lineRule="auto"/>
    </w:pPr>
  </w:style>
  <w:style w:type="paragraph" w:styleId="57">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9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107"/>
    <w:qFormat/>
    <w:uiPriority w:val="0"/>
    <w:rPr>
      <w:b/>
      <w:bCs/>
    </w:rPr>
  </w:style>
  <w:style w:type="paragraph" w:styleId="61">
    <w:name w:val="Body Text First Indent"/>
    <w:basedOn w:val="24"/>
    <w:next w:val="1"/>
    <w:link w:val="325"/>
    <w:qFormat/>
    <w:uiPriority w:val="0"/>
    <w:pPr>
      <w:ind w:firstLine="420"/>
    </w:pPr>
    <w:rPr>
      <w:rFonts w:hAnsi="Calibri" w:cs="Times New Roman"/>
      <w:snapToGrid/>
      <w:szCs w:val="20"/>
    </w:rPr>
  </w:style>
  <w:style w:type="paragraph" w:styleId="62">
    <w:name w:val="Body Text First Indent 2"/>
    <w:basedOn w:val="2"/>
    <w:next w:val="61"/>
    <w:link w:val="13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styleId="80">
    <w:name w:val="List Paragraph"/>
    <w:basedOn w:val="1"/>
    <w:qFormat/>
    <w:uiPriority w:val="34"/>
    <w:pPr>
      <w:spacing w:line="360" w:lineRule="auto"/>
      <w:ind w:firstLine="200" w:firstLineChars="200"/>
    </w:pPr>
    <w:rPr>
      <w:rFonts w:eastAsia="楷体_GB2312" w:cs="Lucida Sans"/>
      <w:sz w:val="24"/>
    </w:rPr>
  </w:style>
  <w:style w:type="character" w:customStyle="1" w:styleId="81">
    <w:name w:val="标题 4 字符"/>
    <w:qFormat/>
    <w:uiPriority w:val="9"/>
    <w:rPr>
      <w:rFonts w:ascii="等线 Light" w:hAnsi="等线 Light" w:eastAsia="等线 Light" w:cs="Times New Roman"/>
      <w:b/>
      <w:bCs/>
      <w:snapToGrid w:val="0"/>
      <w:kern w:val="0"/>
      <w:sz w:val="28"/>
      <w:szCs w:val="28"/>
    </w:rPr>
  </w:style>
  <w:style w:type="character" w:customStyle="1" w:styleId="82">
    <w:name w:val="标题 5 字符"/>
    <w:link w:val="8"/>
    <w:qFormat/>
    <w:uiPriority w:val="9"/>
    <w:rPr>
      <w:b/>
      <w:bCs/>
      <w:kern w:val="2"/>
      <w:sz w:val="28"/>
      <w:szCs w:val="28"/>
    </w:rPr>
  </w:style>
  <w:style w:type="character" w:customStyle="1" w:styleId="83">
    <w:name w:val="标题 3 字符"/>
    <w:qFormat/>
    <w:uiPriority w:val="9"/>
    <w:rPr>
      <w:b/>
      <w:bCs/>
      <w:kern w:val="2"/>
      <w:sz w:val="32"/>
      <w:szCs w:val="32"/>
    </w:rPr>
  </w:style>
  <w:style w:type="character" w:customStyle="1" w:styleId="84">
    <w:name w:val="标题 2 字符"/>
    <w:qFormat/>
    <w:uiPriority w:val="1"/>
    <w:rPr>
      <w:rFonts w:ascii="仿宋_GB2312" w:hAnsi="Times New Roman" w:eastAsia="仿宋_GB2312" w:cs="Times New Roman"/>
      <w:b/>
      <w:kern w:val="2"/>
      <w:sz w:val="24"/>
      <w:lang w:val="zh-CN"/>
    </w:rPr>
  </w:style>
  <w:style w:type="paragraph" w:customStyle="1" w:styleId="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character" w:customStyle="1" w:styleId="86">
    <w:name w:val="标题 7 字符"/>
    <w:link w:val="10"/>
    <w:qFormat/>
    <w:uiPriority w:val="0"/>
    <w:rPr>
      <w:b/>
      <w:bCs/>
      <w:kern w:val="2"/>
      <w:sz w:val="24"/>
      <w:szCs w:val="24"/>
    </w:rPr>
  </w:style>
  <w:style w:type="character" w:customStyle="1" w:styleId="87">
    <w:name w:val="正文缩进 字符"/>
    <w:qFormat/>
    <w:uiPriority w:val="0"/>
    <w:rPr>
      <w:rFonts w:ascii="宋体" w:eastAsia="宋体"/>
      <w:snapToGrid w:val="0"/>
      <w:color w:val="000000"/>
      <w:kern w:val="28"/>
      <w:sz w:val="28"/>
      <w:lang w:val="en-US" w:eastAsia="zh-CN" w:bidi="ar-SA"/>
    </w:rPr>
  </w:style>
  <w:style w:type="character" w:customStyle="1" w:styleId="88">
    <w:name w:val="正文文本 Char"/>
    <w:qFormat/>
    <w:uiPriority w:val="0"/>
    <w:rPr>
      <w:rFonts w:eastAsia="宋体"/>
      <w:kern w:val="2"/>
      <w:sz w:val="24"/>
      <w:szCs w:val="24"/>
      <w:lang w:val="en-US" w:eastAsia="zh-CN" w:bidi="ar-SA"/>
    </w:rPr>
  </w:style>
  <w:style w:type="paragraph" w:customStyle="1" w:styleId="8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0">
    <w:name w:val="Default"/>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1">
    <w:name w:val="正文空2字"/>
    <w:basedOn w:val="9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2">
    <w:name w:val="左对齐正文"/>
    <w:qFormat/>
    <w:uiPriority w:val="99"/>
    <w:rPr>
      <w:rFonts w:ascii="Calibri" w:hAnsi="Calibri" w:eastAsia="仿宋_GB2312" w:cs="Calibri"/>
      <w:kern w:val="2"/>
      <w:sz w:val="32"/>
      <w:szCs w:val="32"/>
      <w:lang w:val="en-US" w:eastAsia="zh-CN" w:bidi="ar-SA"/>
    </w:rPr>
  </w:style>
  <w:style w:type="character" w:customStyle="1" w:styleId="93">
    <w:name w:val="表格非标题文字 Char"/>
    <w:link w:val="94"/>
    <w:qFormat/>
    <w:uiPriority w:val="0"/>
    <w:rPr>
      <w:rFonts w:ascii="Futura Bk" w:hAnsi="Futura Bk"/>
      <w:kern w:val="2"/>
      <w:sz w:val="18"/>
      <w:szCs w:val="21"/>
      <w:lang w:val="en-US" w:eastAsia="zh-CN" w:bidi="ar-SA"/>
    </w:rPr>
  </w:style>
  <w:style w:type="paragraph" w:customStyle="1" w:styleId="94">
    <w:name w:val="表格非标题文字"/>
    <w:link w:val="9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5">
    <w:name w:val="*正文 Char"/>
    <w:link w:val="96"/>
    <w:qFormat/>
    <w:locked/>
    <w:uiPriority w:val="0"/>
    <w:rPr>
      <w:rFonts w:ascii="宋体" w:hAnsi="宋体"/>
      <w:sz w:val="24"/>
    </w:rPr>
  </w:style>
  <w:style w:type="paragraph" w:customStyle="1" w:styleId="96">
    <w:name w:val="*正文"/>
    <w:basedOn w:val="1"/>
    <w:link w:val="95"/>
    <w:qFormat/>
    <w:uiPriority w:val="0"/>
    <w:pPr>
      <w:snapToGrid w:val="0"/>
      <w:spacing w:line="360" w:lineRule="auto"/>
      <w:ind w:firstLine="482"/>
      <w:jc w:val="left"/>
    </w:pPr>
    <w:rPr>
      <w:rFonts w:ascii="宋体" w:hAnsi="宋体"/>
      <w:kern w:val="0"/>
      <w:sz w:val="24"/>
      <w:szCs w:val="20"/>
    </w:rPr>
  </w:style>
  <w:style w:type="character" w:customStyle="1" w:styleId="97">
    <w:name w:val="Char Char71"/>
    <w:semiHidden/>
    <w:qFormat/>
    <w:uiPriority w:val="0"/>
    <w:rPr>
      <w:rFonts w:eastAsia="宋体"/>
      <w:kern w:val="2"/>
      <w:sz w:val="21"/>
      <w:szCs w:val="24"/>
      <w:lang w:val="en-US" w:eastAsia="zh-CN" w:bidi="ar-SA"/>
    </w:rPr>
  </w:style>
  <w:style w:type="character" w:customStyle="1" w:styleId="98">
    <w:name w:val="Char Char6"/>
    <w:qFormat/>
    <w:uiPriority w:val="0"/>
    <w:rPr>
      <w:rFonts w:eastAsia="宋体"/>
      <w:kern w:val="2"/>
      <w:sz w:val="21"/>
      <w:szCs w:val="24"/>
      <w:lang w:val="en-US" w:eastAsia="zh-CN" w:bidi="ar-SA"/>
    </w:rPr>
  </w:style>
  <w:style w:type="character" w:customStyle="1" w:styleId="99">
    <w:name w:val="正文缩进 Char"/>
    <w:qFormat/>
    <w:uiPriority w:val="0"/>
    <w:rPr>
      <w:rFonts w:eastAsia="宋体"/>
      <w:kern w:val="2"/>
      <w:sz w:val="21"/>
      <w:lang w:val="en-US" w:eastAsia="zh-CN"/>
    </w:rPr>
  </w:style>
  <w:style w:type="character" w:customStyle="1" w:styleId="100">
    <w:name w:val="正文首行缩进 Char1"/>
    <w:qFormat/>
    <w:uiPriority w:val="0"/>
    <w:rPr>
      <w:rFonts w:ascii="宋体" w:hAnsi="Times New Roman" w:eastAsia="宋体" w:cs="Times New Roman"/>
      <w:snapToGrid w:val="0"/>
      <w:kern w:val="2"/>
      <w:sz w:val="24"/>
      <w:szCs w:val="21"/>
      <w:lang w:val="zh-CN"/>
    </w:rPr>
  </w:style>
  <w:style w:type="character" w:customStyle="1" w:styleId="101">
    <w:name w:val="Char Char28"/>
    <w:qFormat/>
    <w:uiPriority w:val="6"/>
    <w:rPr>
      <w:rFonts w:ascii="仿宋_GB2312" w:hAnsi="仿宋_GB2312" w:eastAsia="仿宋_GB2312"/>
      <w:kern w:val="1"/>
      <w:sz w:val="28"/>
    </w:rPr>
  </w:style>
  <w:style w:type="character" w:customStyle="1" w:styleId="10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3">
    <w:name w:val="Heading 1 Char"/>
    <w:qFormat/>
    <w:uiPriority w:val="6"/>
    <w:rPr>
      <w:rFonts w:ascii="Times New Roman" w:hAnsi="Times New Roman" w:eastAsia="黑体" w:cs="Times New Roman"/>
      <w:b/>
      <w:kern w:val="0"/>
      <w:sz w:val="24"/>
      <w:szCs w:val="24"/>
    </w:rPr>
  </w:style>
  <w:style w:type="character" w:customStyle="1" w:styleId="104">
    <w:name w:val="U_正文 Char"/>
    <w:link w:val="105"/>
    <w:qFormat/>
    <w:uiPriority w:val="0"/>
    <w:rPr>
      <w:sz w:val="24"/>
      <w:szCs w:val="24"/>
    </w:rPr>
  </w:style>
  <w:style w:type="paragraph" w:customStyle="1" w:styleId="105">
    <w:name w:val="U_正文"/>
    <w:basedOn w:val="1"/>
    <w:link w:val="104"/>
    <w:qFormat/>
    <w:uiPriority w:val="0"/>
    <w:pPr>
      <w:adjustRightInd/>
      <w:spacing w:beforeLines="20" w:afterLines="20" w:line="300" w:lineRule="auto"/>
      <w:ind w:firstLine="200" w:firstLineChars="200"/>
    </w:pPr>
    <w:rPr>
      <w:kern w:val="0"/>
      <w:sz w:val="24"/>
    </w:rPr>
  </w:style>
  <w:style w:type="character" w:customStyle="1" w:styleId="106">
    <w:name w:val="HTML 地址 Char1"/>
    <w:qFormat/>
    <w:uiPriority w:val="0"/>
    <w:rPr>
      <w:rFonts w:ascii="Times New Roman" w:hAnsi="Times New Roman" w:eastAsia="宋体" w:cs="Times New Roman"/>
      <w:i/>
      <w:iCs/>
      <w:szCs w:val="24"/>
    </w:rPr>
  </w:style>
  <w:style w:type="character" w:customStyle="1" w:styleId="107">
    <w:name w:val="批注主题 字符"/>
    <w:link w:val="60"/>
    <w:qFormat/>
    <w:uiPriority w:val="0"/>
    <w:rPr>
      <w:b/>
      <w:bCs/>
      <w:kern w:val="2"/>
      <w:sz w:val="21"/>
      <w:szCs w:val="24"/>
    </w:rPr>
  </w:style>
  <w:style w:type="character" w:customStyle="1" w:styleId="108">
    <w:name w:val="Char Char51"/>
    <w:qFormat/>
    <w:uiPriority w:val="0"/>
    <w:rPr>
      <w:rFonts w:ascii="宋体" w:hAnsi="Courier New" w:eastAsia="宋体"/>
      <w:kern w:val="2"/>
      <w:sz w:val="21"/>
      <w:lang w:val="en-US" w:eastAsia="zh-CN"/>
    </w:rPr>
  </w:style>
  <w:style w:type="character" w:customStyle="1" w:styleId="109">
    <w:name w:val="表正文 Char"/>
    <w:qFormat/>
    <w:uiPriority w:val="0"/>
    <w:rPr>
      <w:rFonts w:ascii="宋体" w:eastAsia="宋体"/>
      <w:snapToGrid w:val="0"/>
      <w:color w:val="000000"/>
      <w:kern w:val="28"/>
      <w:sz w:val="28"/>
      <w:lang w:val="en-US" w:eastAsia="zh-CN" w:bidi="ar-SA"/>
    </w:rPr>
  </w:style>
  <w:style w:type="character" w:customStyle="1" w:styleId="110">
    <w:name w:val="Char Char34"/>
    <w:qFormat/>
    <w:uiPriority w:val="6"/>
    <w:rPr>
      <w:b/>
      <w:kern w:val="1"/>
      <w:sz w:val="28"/>
      <w:szCs w:val="28"/>
    </w:rPr>
  </w:style>
  <w:style w:type="character" w:customStyle="1" w:styleId="11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2">
    <w:name w:val="哈哈正文 Char"/>
    <w:link w:val="113"/>
    <w:qFormat/>
    <w:uiPriority w:val="0"/>
    <w:rPr>
      <w:rFonts w:ascii="宋体" w:hAnsi="宋体" w:eastAsia="宋体"/>
      <w:kern w:val="2"/>
      <w:sz w:val="24"/>
      <w:lang w:bidi="ar-SA"/>
    </w:rPr>
  </w:style>
  <w:style w:type="paragraph" w:customStyle="1" w:styleId="113">
    <w:name w:val="哈哈正文"/>
    <w:basedOn w:val="1"/>
    <w:link w:val="112"/>
    <w:qFormat/>
    <w:uiPriority w:val="0"/>
    <w:pPr>
      <w:adjustRightInd/>
      <w:spacing w:line="360" w:lineRule="auto"/>
      <w:ind w:firstLine="200" w:firstLineChars="200"/>
    </w:pPr>
    <w:rPr>
      <w:rFonts w:ascii="宋体" w:hAnsi="宋体"/>
      <w:sz w:val="24"/>
      <w:szCs w:val="20"/>
    </w:rPr>
  </w:style>
  <w:style w:type="character" w:customStyle="1" w:styleId="114">
    <w:name w:val="未处理的提及1"/>
    <w:qFormat/>
    <w:uiPriority w:val="0"/>
    <w:rPr>
      <w:color w:val="808080"/>
      <w:shd w:val="clear" w:color="auto" w:fill="E6E6E6"/>
    </w:rPr>
  </w:style>
  <w:style w:type="character" w:customStyle="1" w:styleId="115">
    <w:name w:val="txt"/>
    <w:qFormat/>
    <w:uiPriority w:val="0"/>
    <w:rPr>
      <w:rFonts w:ascii="仿宋_GB2312" w:eastAsia="微软雅黑"/>
      <w:b/>
      <w:kern w:val="2"/>
      <w:sz w:val="32"/>
      <w:szCs w:val="32"/>
      <w:lang w:val="en-US" w:eastAsia="zh-CN" w:bidi="ar-SA"/>
    </w:rPr>
  </w:style>
  <w:style w:type="character" w:customStyle="1" w:styleId="116">
    <w:name w:val="二级标题 Char Char"/>
    <w:qFormat/>
    <w:uiPriority w:val="0"/>
    <w:rPr>
      <w:rFonts w:ascii="宋体" w:hAnsi="宋体" w:eastAsia="宋体"/>
      <w:b/>
      <w:snapToGrid w:val="0"/>
      <w:kern w:val="2"/>
      <w:sz w:val="24"/>
      <w:szCs w:val="24"/>
      <w:lang w:val="en-US" w:eastAsia="zh-CN" w:bidi="ar-SA"/>
    </w:rPr>
  </w:style>
  <w:style w:type="character" w:customStyle="1" w:styleId="117">
    <w:name w:val="Char Char32"/>
    <w:qFormat/>
    <w:uiPriority w:val="6"/>
    <w:rPr>
      <w:b/>
      <w:kern w:val="1"/>
      <w:sz w:val="24"/>
      <w:szCs w:val="24"/>
    </w:rPr>
  </w:style>
  <w:style w:type="character" w:customStyle="1" w:styleId="118">
    <w:name w:val="PI Char1"/>
    <w:qFormat/>
    <w:uiPriority w:val="0"/>
    <w:rPr>
      <w:rFonts w:ascii="宋体" w:hAnsi="宋体"/>
      <w:kern w:val="2"/>
      <w:sz w:val="24"/>
      <w:szCs w:val="24"/>
    </w:rPr>
  </w:style>
  <w:style w:type="character" w:customStyle="1" w:styleId="119">
    <w:name w:val="tw4winTerm"/>
    <w:qFormat/>
    <w:uiPriority w:val="0"/>
    <w:rPr>
      <w:color w:val="0000FF"/>
    </w:rPr>
  </w:style>
  <w:style w:type="character" w:customStyle="1" w:styleId="120">
    <w:name w:val="Footer Char"/>
    <w:qFormat/>
    <w:locked/>
    <w:uiPriority w:val="0"/>
    <w:rPr>
      <w:rFonts w:eastAsia="宋体"/>
      <w:kern w:val="2"/>
      <w:sz w:val="18"/>
      <w:lang w:val="en-US" w:eastAsia="zh-CN" w:bidi="ar-SA"/>
    </w:rPr>
  </w:style>
  <w:style w:type="character" w:customStyle="1" w:styleId="121">
    <w:name w:val="普通文字 Char Char1"/>
    <w:qFormat/>
    <w:uiPriority w:val="0"/>
    <w:rPr>
      <w:rFonts w:ascii="宋体" w:hAnsi="Courier New"/>
      <w:kern w:val="2"/>
      <w:sz w:val="21"/>
    </w:rPr>
  </w:style>
  <w:style w:type="character" w:customStyle="1" w:styleId="122">
    <w:name w:val="Char Char101"/>
    <w:qFormat/>
    <w:uiPriority w:val="6"/>
    <w:rPr>
      <w:rFonts w:ascii="宋体" w:hAnsi="宋体"/>
      <w:kern w:val="2"/>
      <w:sz w:val="21"/>
      <w:szCs w:val="24"/>
      <w:lang w:val="en-US" w:eastAsia="zh-CN"/>
    </w:rPr>
  </w:style>
  <w:style w:type="character" w:customStyle="1" w:styleId="123">
    <w:name w:val="标题 4 Char"/>
    <w:qFormat/>
    <w:uiPriority w:val="0"/>
    <w:rPr>
      <w:rFonts w:ascii="Arial" w:hAnsi="Arial" w:eastAsia="黑体"/>
      <w:b/>
      <w:kern w:val="2"/>
      <w:sz w:val="28"/>
    </w:rPr>
  </w:style>
  <w:style w:type="character" w:customStyle="1" w:styleId="124">
    <w:name w:val="链接"/>
    <w:qFormat/>
    <w:uiPriority w:val="0"/>
    <w:rPr>
      <w:color w:val="0000FF"/>
      <w:sz w:val="21"/>
      <w:szCs w:val="21"/>
      <w:u w:val="single"/>
    </w:rPr>
  </w:style>
  <w:style w:type="character" w:customStyle="1" w:styleId="125">
    <w:name w:val="h4 Char"/>
    <w:qFormat/>
    <w:uiPriority w:val="0"/>
    <w:rPr>
      <w:rFonts w:ascii="Arial" w:hAnsi="Arial" w:eastAsia="黑体"/>
      <w:b/>
      <w:bCs/>
      <w:kern w:val="2"/>
      <w:sz w:val="28"/>
      <w:szCs w:val="28"/>
      <w:lang w:val="zh-CN" w:eastAsia="zh-CN" w:bidi="ar-SA"/>
    </w:rPr>
  </w:style>
  <w:style w:type="character" w:customStyle="1" w:styleId="126">
    <w:name w:val="5正文 Char"/>
    <w:link w:val="127"/>
    <w:qFormat/>
    <w:uiPriority w:val="0"/>
    <w:rPr>
      <w:rFonts w:ascii="仿宋_GB2312" w:hAnsi="微软雅黑" w:eastAsia="仿宋_GB2312"/>
      <w:sz w:val="28"/>
      <w:szCs w:val="21"/>
    </w:rPr>
  </w:style>
  <w:style w:type="paragraph" w:customStyle="1" w:styleId="127">
    <w:name w:val="5正文"/>
    <w:basedOn w:val="1"/>
    <w:link w:val="12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8">
    <w:name w:val="样式6 Char"/>
    <w:qFormat/>
    <w:uiPriority w:val="0"/>
    <w:rPr>
      <w:rFonts w:ascii="仿宋_GB2312" w:hAnsi="宋体" w:eastAsia="仿宋_GB2312"/>
      <w:b/>
      <w:bCs/>
      <w:kern w:val="2"/>
      <w:sz w:val="24"/>
      <w:szCs w:val="24"/>
      <w:lang w:val="en-US" w:eastAsia="zh-CN" w:bidi="ar-SA"/>
    </w:rPr>
  </w:style>
  <w:style w:type="character" w:customStyle="1" w:styleId="129">
    <w:name w:val="Char Char14"/>
    <w:qFormat/>
    <w:uiPriority w:val="6"/>
    <w:rPr>
      <w:rFonts w:ascii="黑体" w:hAnsi="黑体" w:eastAsia="黑体"/>
    </w:rPr>
  </w:style>
  <w:style w:type="character" w:customStyle="1" w:styleId="130">
    <w:name w:val="Heading 2 Hidden Char"/>
    <w:qFormat/>
    <w:uiPriority w:val="0"/>
    <w:rPr>
      <w:rFonts w:ascii="仿宋_GB2312" w:eastAsia="仿宋_GB2312"/>
      <w:b/>
      <w:bCs/>
      <w:kern w:val="2"/>
      <w:sz w:val="24"/>
      <w:szCs w:val="24"/>
      <w:lang w:val="zh-CN" w:eastAsia="zh-CN" w:bidi="ar-SA"/>
    </w:rPr>
  </w:style>
  <w:style w:type="character" w:customStyle="1" w:styleId="131">
    <w:name w:val="正文文本首行缩进 2 字符"/>
    <w:link w:val="62"/>
    <w:qFormat/>
    <w:uiPriority w:val="0"/>
    <w:rPr>
      <w:rFonts w:ascii="宋体" w:hAnsi="宋体"/>
      <w:kern w:val="2"/>
      <w:sz w:val="21"/>
      <w:szCs w:val="24"/>
    </w:rPr>
  </w:style>
  <w:style w:type="character" w:customStyle="1" w:styleId="132">
    <w:name w:val="font11"/>
    <w:qFormat/>
    <w:uiPriority w:val="0"/>
    <w:rPr>
      <w:rFonts w:hint="default" w:ascii="Times New Roman" w:hAnsi="Times New Roman" w:cs="Times New Roman"/>
      <w:color w:val="000000"/>
      <w:sz w:val="22"/>
      <w:szCs w:val="22"/>
      <w:u w:val="none"/>
    </w:rPr>
  </w:style>
  <w:style w:type="character" w:customStyle="1" w:styleId="133">
    <w:name w:val="表正文 Char1"/>
    <w:qFormat/>
    <w:uiPriority w:val="0"/>
    <w:rPr>
      <w:rFonts w:ascii="宋体" w:eastAsia="宋体"/>
      <w:snapToGrid w:val="0"/>
      <w:color w:val="000000"/>
      <w:kern w:val="28"/>
      <w:sz w:val="28"/>
    </w:rPr>
  </w:style>
  <w:style w:type="character" w:customStyle="1" w:styleId="134">
    <w:name w:val="blue1"/>
    <w:basedOn w:val="70"/>
    <w:qFormat/>
    <w:uiPriority w:val="0"/>
    <w:rPr>
      <w:rFonts w:ascii="Arial" w:hAnsi="Arial" w:eastAsia="黑体" w:cs="Arial"/>
      <w:snapToGrid w:val="0"/>
      <w:kern w:val="0"/>
      <w:szCs w:val="21"/>
    </w:rPr>
  </w:style>
  <w:style w:type="character" w:customStyle="1" w:styleId="135">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36">
    <w:name w:val="标书1 Char"/>
    <w:qFormat/>
    <w:uiPriority w:val="0"/>
    <w:rPr>
      <w:rFonts w:eastAsia="宋体"/>
      <w:b/>
      <w:bCs/>
      <w:kern w:val="44"/>
      <w:sz w:val="44"/>
      <w:szCs w:val="44"/>
      <w:lang w:val="en-US" w:eastAsia="zh-CN" w:bidi="ar-SA"/>
    </w:rPr>
  </w:style>
  <w:style w:type="character" w:customStyle="1" w:styleId="137">
    <w:name w:val="样式5 Char"/>
    <w:qFormat/>
    <w:uiPriority w:val="0"/>
    <w:rPr>
      <w:rFonts w:ascii="仿宋_GB2312" w:hAnsi="仿宋" w:eastAsia="仿宋_GB2312"/>
      <w:kern w:val="2"/>
      <w:sz w:val="24"/>
      <w:szCs w:val="24"/>
    </w:rPr>
  </w:style>
  <w:style w:type="character" w:customStyle="1" w:styleId="138">
    <w:name w:val="样式4 Char"/>
    <w:qFormat/>
    <w:uiPriority w:val="0"/>
    <w:rPr>
      <w:rFonts w:ascii="仿宋_GB2312" w:hAnsi="仿宋" w:eastAsia="仿宋_GB2312"/>
      <w:b/>
      <w:kern w:val="2"/>
      <w:sz w:val="32"/>
      <w:szCs w:val="32"/>
      <w:lang w:bidi="ar-SA"/>
    </w:rPr>
  </w:style>
  <w:style w:type="character" w:customStyle="1" w:styleId="139">
    <w:name w:val="插图说明 Char"/>
    <w:qFormat/>
    <w:uiPriority w:val="0"/>
    <w:rPr>
      <w:rFonts w:eastAsia="黑体"/>
      <w:sz w:val="24"/>
      <w:lang w:val="en-US" w:eastAsia="zh-CN"/>
    </w:rPr>
  </w:style>
  <w:style w:type="character" w:customStyle="1" w:styleId="140">
    <w:name w:val="正文2 Char Char"/>
    <w:link w:val="141"/>
    <w:qFormat/>
    <w:uiPriority w:val="0"/>
    <w:rPr>
      <w:rFonts w:eastAsia="宋体"/>
      <w:kern w:val="2"/>
      <w:sz w:val="24"/>
      <w:lang w:val="en-US" w:eastAsia="zh-CN" w:bidi="ar-SA"/>
    </w:rPr>
  </w:style>
  <w:style w:type="paragraph" w:customStyle="1" w:styleId="141">
    <w:name w:val="正文2"/>
    <w:basedOn w:val="1"/>
    <w:link w:val="140"/>
    <w:qFormat/>
    <w:uiPriority w:val="0"/>
    <w:pPr>
      <w:spacing w:before="156" w:line="360" w:lineRule="auto"/>
      <w:ind w:firstLine="510" w:firstLineChars="200"/>
    </w:pPr>
    <w:rPr>
      <w:sz w:val="24"/>
      <w:szCs w:val="20"/>
    </w:rPr>
  </w:style>
  <w:style w:type="character" w:customStyle="1" w:styleId="142">
    <w:name w:val="Char Char24"/>
    <w:qFormat/>
    <w:uiPriority w:val="6"/>
    <w:rPr>
      <w:kern w:val="1"/>
      <w:sz w:val="21"/>
    </w:rPr>
  </w:style>
  <w:style w:type="character" w:customStyle="1" w:styleId="143">
    <w:name w:val="副标题 字符"/>
    <w:link w:val="47"/>
    <w:qFormat/>
    <w:uiPriority w:val="0"/>
    <w:rPr>
      <w:rFonts w:ascii="Arial" w:hAnsi="Arial" w:eastAsia="隶书"/>
      <w:b/>
      <w:bCs/>
      <w:kern w:val="28"/>
      <w:sz w:val="44"/>
      <w:szCs w:val="32"/>
      <w:lang w:val="en-US" w:eastAsia="zh-CN" w:bidi="ar-SA"/>
    </w:rPr>
  </w:style>
  <w:style w:type="character" w:customStyle="1" w:styleId="144">
    <w:name w:val="普通文字 Char1 Char"/>
    <w:qFormat/>
    <w:uiPriority w:val="0"/>
    <w:rPr>
      <w:rFonts w:ascii="宋体" w:hAnsi="Courier New" w:eastAsia="宋体"/>
      <w:kern w:val="2"/>
      <w:sz w:val="21"/>
      <w:szCs w:val="24"/>
      <w:lang w:val="en-US" w:eastAsia="zh-CN" w:bidi="ar-SA"/>
    </w:rPr>
  </w:style>
  <w:style w:type="character" w:customStyle="1" w:styleId="145">
    <w:name w:val="h3 Char1"/>
    <w:qFormat/>
    <w:uiPriority w:val="0"/>
    <w:rPr>
      <w:rFonts w:eastAsia="宋体"/>
      <w:b/>
      <w:bCs/>
      <w:kern w:val="2"/>
      <w:sz w:val="32"/>
      <w:szCs w:val="32"/>
      <w:lang w:bidi="ar-SA"/>
    </w:rPr>
  </w:style>
  <w:style w:type="character" w:customStyle="1" w:styleId="146">
    <w:name w:val="标题 Char1"/>
    <w:qFormat/>
    <w:uiPriority w:val="0"/>
    <w:rPr>
      <w:rFonts w:ascii="Cambria" w:hAnsi="Cambria" w:eastAsia="宋体" w:cs="Times New Roman"/>
      <w:b/>
      <w:bCs/>
      <w:sz w:val="32"/>
      <w:szCs w:val="32"/>
      <w:lang w:bidi="ar-SA"/>
    </w:rPr>
  </w:style>
  <w:style w:type="character" w:customStyle="1" w:styleId="147">
    <w:name w:val="gf正文1 Char"/>
    <w:qFormat/>
    <w:uiPriority w:val="0"/>
    <w:rPr>
      <w:rFonts w:ascii="宋体" w:hAnsi="宋体" w:eastAsia="宋体" w:cs="宋体"/>
      <w:kern w:val="2"/>
      <w:sz w:val="24"/>
      <w:szCs w:val="24"/>
      <w:lang w:val="en-US" w:eastAsia="zh-CN" w:bidi="ar-SA"/>
    </w:rPr>
  </w:style>
  <w:style w:type="character" w:customStyle="1" w:styleId="148">
    <w:name w:val="正文文本缩进 Char1"/>
    <w:qFormat/>
    <w:uiPriority w:val="0"/>
    <w:rPr>
      <w:rFonts w:ascii="Calibri" w:hAnsi="Calibri"/>
      <w:sz w:val="28"/>
    </w:rPr>
  </w:style>
  <w:style w:type="character" w:customStyle="1" w:styleId="149">
    <w:name w:val="No Spacing Char"/>
    <w:link w:val="150"/>
    <w:qFormat/>
    <w:uiPriority w:val="1"/>
    <w:rPr>
      <w:sz w:val="22"/>
      <w:szCs w:val="22"/>
      <w:lang w:val="en-US" w:eastAsia="zh-CN" w:bidi="ar-SA"/>
    </w:rPr>
  </w:style>
  <w:style w:type="paragraph" w:customStyle="1" w:styleId="150">
    <w:name w:val="无间隔1"/>
    <w:link w:val="149"/>
    <w:qFormat/>
    <w:uiPriority w:val="1"/>
    <w:rPr>
      <w:rFonts w:ascii="Times New Roman" w:hAnsi="Times New Roman" w:eastAsia="宋体" w:cs="Times New Roman"/>
      <w:sz w:val="22"/>
      <w:szCs w:val="22"/>
      <w:lang w:val="en-US" w:eastAsia="zh-CN" w:bidi="ar-SA"/>
    </w:rPr>
  </w:style>
  <w:style w:type="character" w:customStyle="1" w:styleId="151">
    <w:name w:val="样式7 Char"/>
    <w:qFormat/>
    <w:uiPriority w:val="0"/>
    <w:rPr>
      <w:rFonts w:ascii="仿宋_GB2312" w:hAnsi="仿宋" w:eastAsia="仿宋_GB2312"/>
      <w:b/>
      <w:kern w:val="2"/>
      <w:sz w:val="24"/>
      <w:szCs w:val="24"/>
    </w:rPr>
  </w:style>
  <w:style w:type="character" w:customStyle="1" w:styleId="152">
    <w:name w:val="font12gray1"/>
    <w:qFormat/>
    <w:uiPriority w:val="0"/>
    <w:rPr>
      <w:rFonts w:ascii="仿宋_GB2312" w:eastAsia="微软雅黑"/>
      <w:b/>
      <w:spacing w:val="300"/>
      <w:kern w:val="2"/>
      <w:sz w:val="18"/>
      <w:szCs w:val="18"/>
      <w:lang w:val="en-US" w:eastAsia="zh-CN" w:bidi="ar-SA"/>
    </w:rPr>
  </w:style>
  <w:style w:type="character" w:customStyle="1" w:styleId="153">
    <w:name w:val="Char Char7"/>
    <w:semiHidden/>
    <w:qFormat/>
    <w:uiPriority w:val="0"/>
    <w:rPr>
      <w:rFonts w:eastAsia="宋体"/>
      <w:kern w:val="2"/>
      <w:sz w:val="21"/>
      <w:szCs w:val="24"/>
      <w:lang w:val="en-US" w:eastAsia="zh-CN" w:bidi="ar-SA"/>
    </w:rPr>
  </w:style>
  <w:style w:type="character" w:customStyle="1" w:styleId="154">
    <w:name w:val="表名 Char"/>
    <w:qFormat/>
    <w:uiPriority w:val="0"/>
    <w:rPr>
      <w:rFonts w:eastAsia="宋体"/>
      <w:b/>
      <w:bCs/>
      <w:kern w:val="2"/>
      <w:sz w:val="24"/>
      <w:szCs w:val="24"/>
      <w:lang w:val="en-US" w:eastAsia="zh-CN" w:bidi="ar-SA"/>
    </w:rPr>
  </w:style>
  <w:style w:type="character" w:customStyle="1" w:styleId="155">
    <w:name w:val="Document Map Char"/>
    <w:qFormat/>
    <w:locked/>
    <w:uiPriority w:val="0"/>
    <w:rPr>
      <w:rFonts w:eastAsia="宋体"/>
      <w:kern w:val="2"/>
      <w:sz w:val="21"/>
      <w:szCs w:val="24"/>
      <w:lang w:val="en-US" w:eastAsia="zh-CN" w:bidi="ar-SA"/>
    </w:rPr>
  </w:style>
  <w:style w:type="character" w:customStyle="1" w:styleId="156">
    <w:name w:val="font41"/>
    <w:qFormat/>
    <w:uiPriority w:val="0"/>
    <w:rPr>
      <w:rFonts w:hint="eastAsia" w:ascii="仿宋_GB2312" w:eastAsia="仿宋_GB2312" w:cs="仿宋_GB2312"/>
      <w:color w:val="000000"/>
      <w:sz w:val="22"/>
      <w:szCs w:val="22"/>
      <w:u w:val="none"/>
    </w:rPr>
  </w:style>
  <w:style w:type="character" w:customStyle="1" w:styleId="157">
    <w:name w:val="标题 6 字符"/>
    <w:link w:val="9"/>
    <w:qFormat/>
    <w:uiPriority w:val="0"/>
    <w:rPr>
      <w:rFonts w:ascii="Arial" w:hAnsi="Arial" w:eastAsia="黑体"/>
      <w:b/>
      <w:bCs/>
      <w:kern w:val="2"/>
      <w:sz w:val="24"/>
      <w:szCs w:val="24"/>
    </w:rPr>
  </w:style>
  <w:style w:type="character" w:customStyle="1" w:styleId="158">
    <w:name w:val="纯文本 Char_0"/>
    <w:link w:val="159"/>
    <w:qFormat/>
    <w:uiPriority w:val="0"/>
    <w:rPr>
      <w:rFonts w:ascii="宋体" w:hAnsi="Courier New"/>
      <w:kern w:val="2"/>
      <w:sz w:val="21"/>
      <w:szCs w:val="21"/>
      <w:lang w:val="en-US" w:eastAsia="zh-CN"/>
    </w:rPr>
  </w:style>
  <w:style w:type="paragraph" w:customStyle="1" w:styleId="159">
    <w:name w:val="纯文本_0_0"/>
    <w:basedOn w:val="160"/>
    <w:link w:val="158"/>
    <w:qFormat/>
    <w:uiPriority w:val="0"/>
    <w:rPr>
      <w:rFonts w:ascii="宋体" w:hAnsi="Courier New"/>
      <w:szCs w:val="21"/>
    </w:rPr>
  </w:style>
  <w:style w:type="paragraph" w:customStyle="1" w:styleId="16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Balloon Text Char"/>
    <w:qFormat/>
    <w:locked/>
    <w:uiPriority w:val="0"/>
    <w:rPr>
      <w:rFonts w:eastAsia="宋体"/>
      <w:kern w:val="2"/>
      <w:sz w:val="18"/>
      <w:szCs w:val="18"/>
      <w:lang w:val="en-US" w:eastAsia="zh-CN" w:bidi="ar-SA"/>
    </w:rPr>
  </w:style>
  <w:style w:type="character" w:customStyle="1" w:styleId="162">
    <w:name w:val="正文 项目2 Char"/>
    <w:basedOn w:val="163"/>
    <w:qFormat/>
    <w:uiPriority w:val="0"/>
    <w:rPr>
      <w:rFonts w:ascii="仿宋_GB2312" w:hAnsi="仿宋_GB2312" w:eastAsia="仿宋_GB2312"/>
      <w:kern w:val="2"/>
      <w:sz w:val="24"/>
      <w:lang w:bidi="ar-SA"/>
    </w:rPr>
  </w:style>
  <w:style w:type="character" w:customStyle="1" w:styleId="163">
    <w:name w:val="正文 项目 Char"/>
    <w:qFormat/>
    <w:uiPriority w:val="0"/>
    <w:rPr>
      <w:rFonts w:ascii="仿宋_GB2312" w:hAnsi="仿宋_GB2312" w:eastAsia="仿宋_GB2312"/>
      <w:kern w:val="2"/>
      <w:sz w:val="24"/>
      <w:lang w:bidi="ar-SA"/>
    </w:rPr>
  </w:style>
  <w:style w:type="character" w:customStyle="1" w:styleId="164">
    <w:name w:val="h Char Char1"/>
    <w:qFormat/>
    <w:uiPriority w:val="0"/>
    <w:rPr>
      <w:rFonts w:eastAsia="宋体"/>
      <w:kern w:val="2"/>
      <w:sz w:val="18"/>
      <w:szCs w:val="18"/>
      <w:lang w:val="en-US" w:eastAsia="zh-CN" w:bidi="ar-SA"/>
    </w:rPr>
  </w:style>
  <w:style w:type="character" w:customStyle="1" w:styleId="165">
    <w:name w:val="Char Char27"/>
    <w:qFormat/>
    <w:uiPriority w:val="6"/>
    <w:rPr>
      <w:rFonts w:ascii="宋体" w:hAnsi="宋体" w:eastAsia="宋体"/>
      <w:color w:val="000000"/>
      <w:kern w:val="1"/>
      <w:sz w:val="28"/>
      <w:lang w:val="en-US" w:eastAsia="zh-CN" w:bidi="ar-SA"/>
    </w:rPr>
  </w:style>
  <w:style w:type="character" w:customStyle="1" w:styleId="166">
    <w:name w:val="px14"/>
    <w:qFormat/>
    <w:uiPriority w:val="0"/>
    <w:rPr>
      <w:rFonts w:ascii="仿宋_GB2312" w:eastAsia="微软雅黑" w:cs="Times New Roman"/>
      <w:b/>
      <w:kern w:val="2"/>
      <w:sz w:val="32"/>
      <w:szCs w:val="32"/>
      <w:lang w:val="en-US" w:eastAsia="zh-CN" w:bidi="ar-SA"/>
    </w:rPr>
  </w:style>
  <w:style w:type="character" w:customStyle="1" w:styleId="167">
    <w:name w:val="HTML 预设格式 Char1"/>
    <w:qFormat/>
    <w:uiPriority w:val="0"/>
    <w:rPr>
      <w:rFonts w:ascii="Courier New" w:hAnsi="Courier New" w:eastAsia="宋体" w:cs="Courier New"/>
      <w:sz w:val="20"/>
      <w:szCs w:val="20"/>
    </w:rPr>
  </w:style>
  <w:style w:type="character" w:customStyle="1" w:styleId="168">
    <w:name w:val="普通文字 Char1"/>
    <w:qFormat/>
    <w:uiPriority w:val="0"/>
    <w:rPr>
      <w:rFonts w:ascii="宋体" w:hAnsi="Courier New" w:eastAsia="宋体"/>
      <w:kern w:val="2"/>
      <w:sz w:val="21"/>
      <w:lang w:val="en-US" w:eastAsia="zh-CN"/>
    </w:rPr>
  </w:style>
  <w:style w:type="character" w:customStyle="1" w:styleId="169">
    <w:name w:val="hei16b1"/>
    <w:qFormat/>
    <w:uiPriority w:val="0"/>
    <w:rPr>
      <w:rFonts w:hint="default" w:ascii="Arial" w:hAnsi="Arial" w:cs="Arial"/>
      <w:b/>
      <w:bCs/>
      <w:color w:val="000000"/>
      <w:sz w:val="24"/>
      <w:szCs w:val="24"/>
    </w:rPr>
  </w:style>
  <w:style w:type="character" w:customStyle="1" w:styleId="170">
    <w:name w:val="正文（绿盟科技） Char"/>
    <w:link w:val="171"/>
    <w:qFormat/>
    <w:uiPriority w:val="0"/>
    <w:rPr>
      <w:rFonts w:ascii="Arial" w:hAnsi="Arial"/>
      <w:sz w:val="21"/>
      <w:szCs w:val="21"/>
    </w:rPr>
  </w:style>
  <w:style w:type="paragraph" w:customStyle="1" w:styleId="171">
    <w:name w:val="正文（绿盟科技）"/>
    <w:link w:val="170"/>
    <w:qFormat/>
    <w:uiPriority w:val="0"/>
    <w:pPr>
      <w:spacing w:line="300" w:lineRule="auto"/>
    </w:pPr>
    <w:rPr>
      <w:rFonts w:ascii="Arial" w:hAnsi="Arial" w:eastAsia="宋体" w:cs="Times New Roman"/>
      <w:sz w:val="21"/>
      <w:szCs w:val="21"/>
      <w:lang w:val="en-US" w:eastAsia="zh-CN" w:bidi="ar-SA"/>
    </w:rPr>
  </w:style>
  <w:style w:type="character" w:customStyle="1" w:styleId="172">
    <w:name w:val="Char Char19"/>
    <w:qFormat/>
    <w:uiPriority w:val="6"/>
    <w:rPr>
      <w:rFonts w:ascii="宋体" w:hAnsi="宋体"/>
      <w:i/>
      <w:sz w:val="24"/>
      <w:szCs w:val="24"/>
    </w:rPr>
  </w:style>
  <w:style w:type="character" w:customStyle="1" w:styleId="173">
    <w:name w:val="页脚 Char"/>
    <w:qFormat/>
    <w:uiPriority w:val="0"/>
    <w:rPr>
      <w:rFonts w:eastAsia="仿宋_GB2312"/>
      <w:kern w:val="2"/>
      <w:sz w:val="18"/>
      <w:lang w:val="en-US" w:eastAsia="zh-CN"/>
    </w:rPr>
  </w:style>
  <w:style w:type="character" w:customStyle="1" w:styleId="174">
    <w:name w:val="批注主题 Char"/>
    <w:qFormat/>
    <w:uiPriority w:val="0"/>
    <w:rPr>
      <w:rFonts w:eastAsia="宋体"/>
      <w:b/>
      <w:bCs/>
      <w:kern w:val="2"/>
      <w:sz w:val="21"/>
      <w:szCs w:val="24"/>
      <w:lang w:val="en-US" w:eastAsia="zh-CN" w:bidi="ar-SA"/>
    </w:rPr>
  </w:style>
  <w:style w:type="character" w:customStyle="1" w:styleId="175">
    <w:name w:val="Comment Text Char"/>
    <w:qFormat/>
    <w:locked/>
    <w:uiPriority w:val="0"/>
    <w:rPr>
      <w:rFonts w:ascii="宋体" w:hAnsi="宋体" w:eastAsia="宋体"/>
      <w:kern w:val="2"/>
      <w:sz w:val="24"/>
      <w:lang w:val="en-US" w:eastAsia="zh-CN" w:bidi="ar-SA"/>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4"/>
    <w:link w:val="17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semiHidden/>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semiHidden/>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字符"/>
    <w:link w:val="35"/>
    <w:qFormat/>
    <w:uiPriority w:val="0"/>
    <w:rPr>
      <w:rFonts w:ascii="宋体"/>
      <w:kern w:val="2"/>
      <w:sz w:val="24"/>
      <w:szCs w:val="21"/>
      <w:lang w:val="zh-CN"/>
    </w:rPr>
  </w:style>
  <w:style w:type="character" w:customStyle="1" w:styleId="191">
    <w:name w:val="标题 9 字符"/>
    <w:link w:val="12"/>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semiHidden/>
    <w:qFormat/>
    <w:uiPriority w:val="99"/>
    <w:rPr>
      <w:rFonts w:ascii="Times New Roman" w:hAnsi="Times New Roman" w:eastAsia="宋体" w:cs="Times New Roman"/>
      <w:szCs w:val="24"/>
    </w:rPr>
  </w:style>
  <w:style w:type="character" w:customStyle="1" w:styleId="197">
    <w:name w:val="批注框文本 字符1"/>
    <w:link w:val="38"/>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locked/>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字符2"/>
    <w:link w:val="6"/>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字符"/>
    <w:link w:val="19"/>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semiHidden/>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0"/>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字符"/>
    <w:link w:val="29"/>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7"/>
    <w:link w:val="23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
    <w:qFormat/>
    <w:locked/>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字符"/>
    <w:link w:val="17"/>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90"/>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0"/>
    <w:link w:val="26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3"/>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59"/>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1"/>
    <w:qFormat/>
    <w:uiPriority w:val="0"/>
    <w:rPr>
      <w:rFonts w:ascii="仿宋_GB2312" w:eastAsia="仿宋_GB2312"/>
      <w:kern w:val="2"/>
      <w:sz w:val="28"/>
    </w:rPr>
  </w:style>
  <w:style w:type="character" w:customStyle="1" w:styleId="305">
    <w:name w:val="文本正文 Char Char"/>
    <w:qFormat/>
    <w:locked/>
    <w:uiPriority w:val="0"/>
    <w:rPr>
      <w:sz w:val="24"/>
      <w:lang w:bidi="ar-SA"/>
    </w:rPr>
  </w:style>
  <w:style w:type="character" w:customStyle="1" w:styleId="306">
    <w:name w:val="HTML 预设格式 字符"/>
    <w:link w:val="57"/>
    <w:qFormat/>
    <w:uiPriority w:val="0"/>
    <w:rPr>
      <w:rFonts w:ascii="黑体" w:hAnsi="Courier New" w:eastAsia="黑体"/>
    </w:rPr>
  </w:style>
  <w:style w:type="character" w:customStyle="1" w:styleId="307">
    <w:name w:val="正文文本 2 字符1"/>
    <w:link w:val="56"/>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7"/>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正文文本缩进 2 字符"/>
    <w:link w:val="36"/>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字符"/>
    <w:link w:val="50"/>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文本首行缩进 字符"/>
    <w:link w:val="61"/>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字符1"/>
    <w:link w:val="7"/>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字符"/>
    <w:link w:val="22"/>
    <w:qFormat/>
    <w:uiPriority w:val="0"/>
    <w:rPr>
      <w:kern w:val="2"/>
      <w:sz w:val="21"/>
    </w:rPr>
  </w:style>
  <w:style w:type="character" w:customStyle="1" w:styleId="335">
    <w:name w:val="font31"/>
    <w:basedOn w:val="70"/>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字符1"/>
    <w:link w:val="20"/>
    <w:qFormat/>
    <w:uiPriority w:val="99"/>
    <w:rPr>
      <w:kern w:val="2"/>
      <w:sz w:val="21"/>
      <w:szCs w:val="24"/>
    </w:rPr>
  </w:style>
  <w:style w:type="character" w:customStyle="1" w:styleId="349">
    <w:name w:val="签名 字符"/>
    <w:link w:val="42"/>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1"/>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basedOn w:val="70"/>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字符"/>
    <w:link w:val="53"/>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字符2"/>
    <w:link w:val="39"/>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字符2"/>
    <w:link w:val="41"/>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0"/>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6"/>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5"/>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8"/>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41"/>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7"/>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90"/>
    <w:next w:val="90"/>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90"/>
    <w:next w:val="90"/>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3"/>
    <w:qFormat/>
    <w:uiPriority w:val="0"/>
    <w:pPr>
      <w:tabs>
        <w:tab w:val="left" w:pos="840"/>
      </w:tabs>
      <w:adjustRightInd/>
      <w:ind w:left="840" w:hanging="420"/>
    </w:pPr>
  </w:style>
  <w:style w:type="paragraph" w:customStyle="1" w:styleId="62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7"/>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6"/>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2"/>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6"/>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0"/>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7"/>
    <w:qFormat/>
    <w:uiPriority w:val="0"/>
    <w:rPr>
      <w:kern w:val="2"/>
      <w:sz w:val="21"/>
      <w:szCs w:val="24"/>
      <w:lang w:val="zh-CN"/>
    </w:rPr>
  </w:style>
  <w:style w:type="character" w:customStyle="1" w:styleId="934">
    <w:name w:val="无间隔 字符"/>
    <w:link w:val="485"/>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8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basedOn w:val="70"/>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L正文"/>
    <w:basedOn w:val="1"/>
    <w:qFormat/>
    <w:uiPriority w:val="0"/>
    <w:pPr>
      <w:widowControl/>
      <w:ind w:firstLine="200" w:firstLineChars="200"/>
      <w:jc w:val="left"/>
    </w:pPr>
  </w:style>
  <w:style w:type="paragraph" w:customStyle="1" w:styleId="967">
    <w:name w:val="正文缩进(ALT+Z)"/>
    <w:basedOn w:val="1"/>
    <w:qFormat/>
    <w:uiPriority w:val="0"/>
    <w:pPr>
      <w:widowControl/>
      <w:spacing w:after="200"/>
      <w:jc w:val="left"/>
    </w:pPr>
    <w:rPr>
      <w:rFonts w:ascii="Calibri" w:hAnsi="Calibri"/>
      <w:kern w:val="0"/>
    </w:rPr>
  </w:style>
  <w:style w:type="paragraph" w:customStyle="1" w:styleId="968">
    <w:name w:val="Proposals body"/>
    <w:basedOn w:val="1"/>
    <w:next w:val="1"/>
    <w:qFormat/>
    <w:uiPriority w:val="0"/>
    <w:pPr>
      <w:widowControl/>
      <w:snapToGrid w:val="0"/>
      <w:spacing w:after="120" w:line="460" w:lineRule="exact"/>
      <w:jc w:val="center"/>
    </w:pPr>
    <w:rPr>
      <w:rFonts w:ascii="宋体"/>
      <w:color w:val="000000"/>
      <w:kern w:val="0"/>
      <w:sz w:val="24"/>
      <w:szCs w:val="20"/>
    </w:rPr>
  </w:style>
  <w:style w:type="paragraph" w:customStyle="1" w:styleId="969">
    <w:name w:val="A_正文"/>
    <w:basedOn w:val="32"/>
    <w:qFormat/>
    <w:uiPriority w:val="0"/>
    <w:pPr>
      <w:topLinePunct/>
      <w:snapToGrid w:val="0"/>
      <w:spacing w:before="120" w:beforeLines="50" w:after="120" w:afterLines="50" w:line="600" w:lineRule="exact"/>
      <w:ind w:firstLine="600" w:firstLineChars="200"/>
    </w:pPr>
    <w:rPr>
      <w:rFonts w:ascii="Times New Roman" w:hAnsi="Times New Roman" w:eastAsia="仿宋" w:cs="仿宋"/>
      <w:sz w:val="30"/>
      <w:szCs w:val="30"/>
    </w:rPr>
  </w:style>
  <w:style w:type="paragraph" w:customStyle="1" w:styleId="970">
    <w:name w:val="A_正文标题"/>
    <w:basedOn w:val="32"/>
    <w:qFormat/>
    <w:uiPriority w:val="0"/>
    <w:pPr>
      <w:numPr>
        <w:ilvl w:val="0"/>
        <w:numId w:val="1"/>
      </w:numPr>
      <w:tabs>
        <w:tab w:val="left" w:pos="1276"/>
        <w:tab w:val="left" w:pos="1560"/>
      </w:tabs>
      <w:snapToGrid w:val="0"/>
      <w:spacing w:before="120" w:beforeLines="50" w:after="120" w:afterLines="50" w:line="600" w:lineRule="exact"/>
      <w:jc w:val="left"/>
    </w:pPr>
    <w:rPr>
      <w:rFonts w:ascii="Times New Roman" w:hAnsi="Times New Roman" w:eastAsia="仿宋" w:cs="仿宋"/>
      <w:b/>
      <w:sz w:val="30"/>
      <w:szCs w:val="30"/>
    </w:rPr>
  </w:style>
  <w:style w:type="paragraph" w:customStyle="1" w:styleId="971">
    <w:name w:val="正文首行缩进 21"/>
    <w:qFormat/>
    <w:uiPriority w:val="0"/>
    <w:pPr>
      <w:widowControl w:val="0"/>
      <w:spacing w:after="120" w:line="360" w:lineRule="auto"/>
      <w:ind w:left="420" w:leftChars="200" w:firstLine="200" w:firstLineChars="200"/>
      <w:jc w:val="both"/>
    </w:pPr>
    <w:rPr>
      <w:rFonts w:ascii="Times New Roman" w:hAnsi="Times New Roman" w:eastAsia="宋体" w:cs="Times New Roman"/>
      <w:color w:val="000000"/>
      <w:kern w:val="2"/>
      <w:sz w:val="30"/>
      <w:szCs w:val="22"/>
      <w:lang w:val="en-US" w:eastAsia="zh-CN" w:bidi="ar-SA"/>
    </w:rPr>
  </w:style>
  <w:style w:type="paragraph" w:customStyle="1" w:styleId="972">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73">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96</Pages>
  <Words>4910</Words>
  <Characters>5350</Characters>
  <Lines>1</Lines>
  <Paragraphs>1</Paragraphs>
  <TotalTime>61</TotalTime>
  <ScaleCrop>false</ScaleCrop>
  <LinksUpToDate>false</LinksUpToDate>
  <CharactersWithSpaces>5616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阿葛</cp:lastModifiedBy>
  <cp:lastPrinted>2024-11-27T17:37:00Z</cp:lastPrinted>
  <dcterms:modified xsi:type="dcterms:W3CDTF">2025-03-28T08:46:40Z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C02EBFEF660848CEAB975FEBA7ECA8ED_13</vt:lpwstr>
  </property>
  <property fmtid="{D5CDD505-2E9C-101B-9397-08002B2CF9AE}" pid="5" name="KSOTemplateDocerSaveRecord">
    <vt:lpwstr>eyJoZGlkIjoiYTcxZDNhOWE2YmI1NzhmNDhiOTY3NzA1ZmExNmMzODEiLCJ1c2VySWQiOiIyNDc0MzI0ODAifQ==</vt:lpwstr>
  </property>
</Properties>
</file>