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2320749">
      <w:pPr>
        <w:spacing w:line="360" w:lineRule="auto"/>
        <w:jc w:val="center"/>
        <w:rPr>
          <w:rFonts w:ascii="宋体" w:hAnsi="宋体" w:cs="宋体"/>
          <w:b/>
          <w:color w:val="auto"/>
          <w:sz w:val="24"/>
          <w:highlight w:val="none"/>
        </w:rPr>
      </w:pPr>
    </w:p>
    <w:p w14:paraId="6232074A">
      <w:pPr>
        <w:spacing w:line="360" w:lineRule="auto"/>
        <w:jc w:val="center"/>
        <w:rPr>
          <w:rFonts w:ascii="宋体" w:hAnsi="宋体" w:cs="宋体"/>
          <w:b/>
          <w:color w:val="auto"/>
          <w:sz w:val="24"/>
          <w:highlight w:val="none"/>
        </w:rPr>
      </w:pPr>
    </w:p>
    <w:p w14:paraId="6232074B">
      <w:pPr>
        <w:adjustRightInd/>
        <w:spacing w:line="360" w:lineRule="auto"/>
        <w:jc w:val="center"/>
        <w:rPr>
          <w:rFonts w:ascii="宋体" w:hAnsi="宋体" w:cs="宋体"/>
          <w:b/>
          <w:color w:val="auto"/>
          <w:sz w:val="44"/>
          <w:szCs w:val="44"/>
          <w:highlight w:val="none"/>
        </w:rPr>
      </w:pPr>
    </w:p>
    <w:p w14:paraId="6232074C">
      <w:pPr>
        <w:adjustRightInd/>
        <w:spacing w:line="360" w:lineRule="auto"/>
        <w:jc w:val="center"/>
        <w:rPr>
          <w:rFonts w:hint="eastAsia" w:ascii="宋体" w:hAnsi="宋体" w:eastAsia="宋体" w:cs="宋体"/>
          <w:color w:val="auto"/>
          <w:sz w:val="48"/>
          <w:szCs w:val="48"/>
          <w:highlight w:val="none"/>
          <w:lang w:eastAsia="zh-CN"/>
        </w:rPr>
      </w:pPr>
      <w:r>
        <w:rPr>
          <w:rFonts w:hint="eastAsia" w:ascii="宋体" w:hAnsi="宋体" w:cs="宋体"/>
          <w:color w:val="auto"/>
          <w:sz w:val="48"/>
          <w:szCs w:val="48"/>
          <w:highlight w:val="none"/>
          <w:lang w:eastAsia="zh-CN"/>
        </w:rPr>
        <w:t>浙江省县乡合法性审查法律法规库建设项目和县乡合法性审查应用建设项目</w:t>
      </w:r>
    </w:p>
    <w:p w14:paraId="6232074D">
      <w:pPr>
        <w:pStyle w:val="90"/>
        <w:rPr>
          <w:rFonts w:ascii="宋体" w:hAnsi="宋体" w:eastAsia="宋体" w:cs="宋体"/>
          <w:color w:val="auto"/>
          <w:highlight w:val="none"/>
        </w:rPr>
      </w:pPr>
    </w:p>
    <w:p w14:paraId="6232074E">
      <w:pPr>
        <w:adjustRightInd/>
        <w:spacing w:line="360" w:lineRule="auto"/>
        <w:jc w:val="center"/>
        <w:rPr>
          <w:rFonts w:ascii="宋体" w:hAnsi="宋体" w:cs="宋体"/>
          <w:color w:val="auto"/>
          <w:sz w:val="84"/>
          <w:szCs w:val="84"/>
          <w:highlight w:val="none"/>
        </w:rPr>
      </w:pPr>
    </w:p>
    <w:p w14:paraId="6232074F">
      <w:pPr>
        <w:adjustRightInd/>
        <w:spacing w:line="360" w:lineRule="auto"/>
        <w:jc w:val="center"/>
        <w:rPr>
          <w:rFonts w:ascii="宋体" w:hAnsi="宋体" w:cs="宋体"/>
          <w:color w:val="auto"/>
          <w:sz w:val="84"/>
          <w:szCs w:val="84"/>
          <w:highlight w:val="none"/>
        </w:rPr>
      </w:pPr>
      <w:r>
        <w:rPr>
          <w:rFonts w:hint="eastAsia" w:ascii="宋体" w:hAnsi="宋体" w:cs="宋体"/>
          <w:color w:val="auto"/>
          <w:sz w:val="84"/>
          <w:szCs w:val="84"/>
          <w:highlight w:val="none"/>
        </w:rPr>
        <w:t xml:space="preserve">招标文件 </w:t>
      </w:r>
    </w:p>
    <w:p w14:paraId="62320750">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62320751">
      <w:pPr>
        <w:snapToGrid w:val="0"/>
        <w:spacing w:line="360" w:lineRule="auto"/>
        <w:jc w:val="center"/>
        <w:rPr>
          <w:rFonts w:hint="eastAsia" w:ascii="宋体" w:hAnsi="宋体" w:eastAsia="宋体" w:cs="宋体"/>
          <w:color w:val="auto"/>
          <w:sz w:val="30"/>
          <w:szCs w:val="30"/>
          <w:highlight w:val="none"/>
          <w:lang w:eastAsia="zh-CN"/>
        </w:rPr>
      </w:pPr>
      <w:r>
        <w:rPr>
          <w:rFonts w:hint="eastAsia" w:ascii="宋体" w:hAnsi="宋体" w:cs="宋体"/>
          <w:color w:val="auto"/>
          <w:sz w:val="30"/>
          <w:szCs w:val="30"/>
          <w:highlight w:val="none"/>
          <w:lang w:val="en-US" w:eastAsia="zh-CN"/>
        </w:rPr>
        <w:t>项目</w:t>
      </w:r>
      <w:r>
        <w:rPr>
          <w:rFonts w:hint="eastAsia" w:ascii="宋体" w:hAnsi="宋体" w:cs="宋体"/>
          <w:color w:val="auto"/>
          <w:sz w:val="30"/>
          <w:szCs w:val="30"/>
          <w:highlight w:val="none"/>
        </w:rPr>
        <w:t>编号：</w:t>
      </w:r>
      <w:r>
        <w:rPr>
          <w:rFonts w:hint="eastAsia" w:ascii="宋体" w:hAnsi="宋体" w:cs="宋体"/>
          <w:color w:val="auto"/>
          <w:sz w:val="30"/>
          <w:szCs w:val="30"/>
          <w:highlight w:val="none"/>
          <w:lang w:eastAsia="zh-CN"/>
        </w:rPr>
        <w:t>ZJ-2580230-02</w:t>
      </w:r>
    </w:p>
    <w:p w14:paraId="62320752">
      <w:pPr>
        <w:adjustRightInd/>
        <w:spacing w:line="360" w:lineRule="auto"/>
        <w:rPr>
          <w:rFonts w:ascii="宋体" w:hAnsi="宋体" w:cs="宋体"/>
          <w:color w:val="auto"/>
          <w:sz w:val="28"/>
          <w:szCs w:val="20"/>
          <w:highlight w:val="none"/>
        </w:rPr>
      </w:pPr>
    </w:p>
    <w:p w14:paraId="62320753">
      <w:pPr>
        <w:spacing w:line="360" w:lineRule="auto"/>
        <w:jc w:val="center"/>
        <w:rPr>
          <w:rFonts w:ascii="宋体" w:hAnsi="宋体" w:cs="宋体"/>
          <w:b/>
          <w:color w:val="auto"/>
          <w:sz w:val="44"/>
          <w:szCs w:val="44"/>
          <w:highlight w:val="none"/>
        </w:rPr>
      </w:pPr>
    </w:p>
    <w:p w14:paraId="62320754">
      <w:pPr>
        <w:spacing w:line="360" w:lineRule="auto"/>
        <w:rPr>
          <w:rFonts w:ascii="宋体" w:hAnsi="宋体" w:cs="宋体"/>
          <w:color w:val="auto"/>
          <w:sz w:val="32"/>
          <w:szCs w:val="32"/>
          <w:highlight w:val="none"/>
        </w:rPr>
      </w:pPr>
    </w:p>
    <w:p w14:paraId="62320755">
      <w:pPr>
        <w:snapToGrid w:val="0"/>
        <w:spacing w:line="360" w:lineRule="auto"/>
        <w:jc w:val="center"/>
        <w:rPr>
          <w:rFonts w:ascii="宋体" w:hAnsi="宋体" w:cs="宋体"/>
          <w:color w:val="auto"/>
          <w:sz w:val="32"/>
          <w:szCs w:val="32"/>
          <w:highlight w:val="none"/>
        </w:rPr>
      </w:pPr>
      <w:r>
        <w:rPr>
          <w:rFonts w:hint="eastAsia" w:ascii="宋体" w:hAnsi="宋体" w:cs="宋体"/>
          <w:color w:val="auto"/>
          <w:sz w:val="32"/>
          <w:szCs w:val="32"/>
          <w:highlight w:val="none"/>
        </w:rPr>
        <w:t>浙江省司法厅</w:t>
      </w:r>
    </w:p>
    <w:p w14:paraId="62320756">
      <w:pPr>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浙江国际招投标有限公司</w:t>
      </w:r>
    </w:p>
    <w:p w14:paraId="62320757">
      <w:pPr>
        <w:snapToGrid w:val="0"/>
        <w:spacing w:line="360" w:lineRule="auto"/>
        <w:jc w:val="center"/>
        <w:rPr>
          <w:rFonts w:hint="eastAsia" w:ascii="宋体" w:hAnsi="宋体" w:eastAsia="宋体" w:cs="宋体"/>
          <w:bCs/>
          <w:color w:val="auto"/>
          <w:sz w:val="32"/>
          <w:szCs w:val="32"/>
          <w:highlight w:val="none"/>
          <w:lang w:eastAsia="zh-CN"/>
        </w:rPr>
      </w:pPr>
      <w:r>
        <w:rPr>
          <w:rFonts w:hint="eastAsia" w:ascii="宋体" w:hAnsi="宋体" w:cs="宋体"/>
          <w:bCs/>
          <w:color w:val="auto"/>
          <w:sz w:val="32"/>
          <w:szCs w:val="32"/>
          <w:highlight w:val="none"/>
        </w:rPr>
        <w:t>二〇</w:t>
      </w:r>
      <w:r>
        <w:rPr>
          <w:rFonts w:hint="eastAsia" w:ascii="宋体" w:hAnsi="宋体" w:cs="宋体"/>
          <w:bCs/>
          <w:color w:val="auto"/>
          <w:sz w:val="32"/>
          <w:szCs w:val="32"/>
          <w:highlight w:val="none"/>
          <w:lang w:eastAsia="zh-CN"/>
        </w:rPr>
        <w:t>二五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三</w:t>
      </w:r>
      <w:r>
        <w:rPr>
          <w:rFonts w:hint="eastAsia" w:ascii="宋体" w:hAnsi="宋体" w:cs="宋体"/>
          <w:bCs/>
          <w:color w:val="auto"/>
          <w:sz w:val="32"/>
          <w:szCs w:val="32"/>
          <w:highlight w:val="none"/>
          <w:lang w:eastAsia="zh-CN"/>
        </w:rPr>
        <w:t>月</w:t>
      </w:r>
    </w:p>
    <w:p w14:paraId="7A27D1EC">
      <w:pPr>
        <w:pStyle w:val="639"/>
        <w:rPr>
          <w:rFonts w:ascii="宋体" w:hAnsi="宋体" w:eastAsia="宋体" w:cs="宋体"/>
          <w:color w:val="auto"/>
          <w:highlight w:val="none"/>
        </w:rPr>
        <w:sectPr>
          <w:headerReference r:id="rId4" w:type="first"/>
          <w:headerReference r:id="rId3" w:type="default"/>
          <w:footerReference r:id="rId5" w:type="even"/>
          <w:pgSz w:w="11906" w:h="16838"/>
          <w:pgMar w:top="680" w:right="1418" w:bottom="468" w:left="1418" w:header="851" w:footer="352" w:gutter="0"/>
          <w:cols w:space="720" w:num="1"/>
          <w:titlePg/>
          <w:docGrid w:linePitch="312" w:charSpace="0"/>
        </w:sectPr>
      </w:pPr>
    </w:p>
    <w:p w14:paraId="62320759">
      <w:pPr>
        <w:pStyle w:val="639"/>
        <w:rPr>
          <w:rFonts w:ascii="宋体" w:hAnsi="宋体" w:eastAsia="宋体" w:cs="宋体"/>
          <w:color w:val="auto"/>
          <w:highlight w:val="none"/>
        </w:rPr>
      </w:pPr>
    </w:p>
    <w:p w14:paraId="6232075A">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6232075B">
      <w:pPr>
        <w:spacing w:line="360" w:lineRule="auto"/>
        <w:rPr>
          <w:rFonts w:ascii="宋体" w:hAnsi="宋体" w:cs="宋体"/>
          <w:color w:val="auto"/>
          <w:sz w:val="32"/>
          <w:szCs w:val="32"/>
          <w:highlight w:val="none"/>
        </w:rPr>
      </w:pPr>
    </w:p>
    <w:p w14:paraId="6232075C">
      <w:pPr>
        <w:spacing w:line="360" w:lineRule="auto"/>
        <w:rPr>
          <w:rFonts w:ascii="宋体" w:hAnsi="宋体" w:cs="宋体"/>
          <w:color w:val="auto"/>
          <w:sz w:val="32"/>
          <w:szCs w:val="32"/>
          <w:highlight w:val="none"/>
        </w:rPr>
      </w:pPr>
    </w:p>
    <w:p w14:paraId="6232075D">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6232075E">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6232075F">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62320760">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62320761">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62320762">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62320763">
      <w:pPr>
        <w:spacing w:line="360" w:lineRule="auto"/>
        <w:ind w:firstLine="549" w:firstLineChars="229"/>
        <w:rPr>
          <w:rFonts w:ascii="宋体" w:hAnsi="宋体" w:cs="宋体"/>
          <w:color w:val="auto"/>
          <w:sz w:val="24"/>
          <w:highlight w:val="none"/>
        </w:rPr>
      </w:pPr>
      <w:bookmarkStart w:id="0" w:name="_Hlt91233176"/>
      <w:bookmarkEnd w:id="0"/>
      <w:bookmarkStart w:id="1" w:name="_Toc91899869"/>
    </w:p>
    <w:p w14:paraId="62320764">
      <w:pPr>
        <w:spacing w:line="360" w:lineRule="auto"/>
        <w:ind w:firstLine="549" w:firstLineChars="229"/>
        <w:rPr>
          <w:rFonts w:ascii="宋体" w:hAnsi="宋体" w:cs="宋体"/>
          <w:color w:val="auto"/>
          <w:sz w:val="24"/>
          <w:highlight w:val="none"/>
        </w:rPr>
      </w:pPr>
    </w:p>
    <w:p w14:paraId="62320765">
      <w:pPr>
        <w:spacing w:line="360" w:lineRule="auto"/>
        <w:ind w:firstLine="549" w:firstLineChars="229"/>
        <w:rPr>
          <w:rFonts w:ascii="宋体" w:hAnsi="宋体" w:cs="宋体"/>
          <w:color w:val="auto"/>
          <w:sz w:val="24"/>
          <w:highlight w:val="none"/>
        </w:rPr>
      </w:pPr>
    </w:p>
    <w:p w14:paraId="62320766">
      <w:pPr>
        <w:spacing w:line="360" w:lineRule="auto"/>
        <w:ind w:firstLine="549" w:firstLineChars="229"/>
        <w:rPr>
          <w:rFonts w:ascii="宋体" w:hAnsi="宋体" w:cs="宋体"/>
          <w:color w:val="auto"/>
          <w:sz w:val="24"/>
          <w:highlight w:val="none"/>
        </w:rPr>
      </w:pPr>
    </w:p>
    <w:p w14:paraId="62320767">
      <w:pPr>
        <w:spacing w:line="360" w:lineRule="auto"/>
        <w:ind w:firstLine="549" w:firstLineChars="229"/>
        <w:rPr>
          <w:rFonts w:ascii="宋体" w:hAnsi="宋体" w:cs="宋体"/>
          <w:color w:val="auto"/>
          <w:sz w:val="24"/>
          <w:highlight w:val="none"/>
        </w:rPr>
      </w:pPr>
    </w:p>
    <w:p w14:paraId="62320768">
      <w:pPr>
        <w:spacing w:line="360" w:lineRule="auto"/>
        <w:ind w:firstLine="549" w:firstLineChars="229"/>
        <w:rPr>
          <w:rFonts w:ascii="宋体" w:hAnsi="宋体" w:cs="宋体"/>
          <w:color w:val="auto"/>
          <w:sz w:val="24"/>
          <w:highlight w:val="none"/>
        </w:rPr>
      </w:pPr>
    </w:p>
    <w:p w14:paraId="62320769">
      <w:pPr>
        <w:spacing w:line="360" w:lineRule="auto"/>
        <w:ind w:firstLine="549" w:firstLineChars="229"/>
        <w:rPr>
          <w:rFonts w:ascii="宋体" w:hAnsi="宋体" w:cs="宋体"/>
          <w:color w:val="auto"/>
          <w:sz w:val="24"/>
          <w:highlight w:val="none"/>
        </w:rPr>
      </w:pPr>
    </w:p>
    <w:p w14:paraId="6232076A">
      <w:pPr>
        <w:spacing w:line="360" w:lineRule="auto"/>
        <w:ind w:firstLine="549" w:firstLineChars="229"/>
        <w:rPr>
          <w:rFonts w:ascii="宋体" w:hAnsi="宋体" w:cs="宋体"/>
          <w:color w:val="auto"/>
          <w:sz w:val="24"/>
          <w:highlight w:val="none"/>
        </w:rPr>
      </w:pPr>
    </w:p>
    <w:p w14:paraId="6232076B">
      <w:pPr>
        <w:spacing w:line="360" w:lineRule="auto"/>
        <w:ind w:firstLine="549" w:firstLineChars="229"/>
        <w:rPr>
          <w:rFonts w:ascii="宋体" w:hAnsi="宋体" w:cs="宋体"/>
          <w:color w:val="auto"/>
          <w:sz w:val="24"/>
          <w:highlight w:val="none"/>
        </w:rPr>
      </w:pPr>
    </w:p>
    <w:p w14:paraId="6232076C">
      <w:pPr>
        <w:spacing w:line="360" w:lineRule="auto"/>
        <w:ind w:firstLine="549" w:firstLineChars="229"/>
        <w:rPr>
          <w:rFonts w:ascii="宋体" w:hAnsi="宋体" w:cs="宋体"/>
          <w:color w:val="auto"/>
          <w:sz w:val="24"/>
          <w:highlight w:val="none"/>
        </w:rPr>
      </w:pPr>
    </w:p>
    <w:p w14:paraId="6232076D">
      <w:pPr>
        <w:spacing w:line="360" w:lineRule="auto"/>
        <w:ind w:firstLine="549" w:firstLineChars="229"/>
        <w:rPr>
          <w:rFonts w:ascii="宋体" w:hAnsi="宋体" w:cs="宋体"/>
          <w:color w:val="auto"/>
          <w:sz w:val="24"/>
          <w:highlight w:val="none"/>
        </w:rPr>
      </w:pPr>
    </w:p>
    <w:p w14:paraId="6232076E">
      <w:pPr>
        <w:spacing w:line="360" w:lineRule="auto"/>
        <w:ind w:firstLine="549" w:firstLineChars="229"/>
        <w:rPr>
          <w:rFonts w:ascii="宋体" w:hAnsi="宋体" w:cs="宋体"/>
          <w:color w:val="auto"/>
          <w:sz w:val="24"/>
          <w:highlight w:val="none"/>
        </w:rPr>
      </w:pPr>
    </w:p>
    <w:p w14:paraId="6232076F">
      <w:pPr>
        <w:spacing w:line="360" w:lineRule="auto"/>
        <w:ind w:firstLine="549" w:firstLineChars="229"/>
        <w:rPr>
          <w:rFonts w:ascii="宋体" w:hAnsi="宋体" w:cs="宋体"/>
          <w:color w:val="auto"/>
          <w:sz w:val="24"/>
          <w:highlight w:val="none"/>
        </w:rPr>
      </w:pPr>
    </w:p>
    <w:p w14:paraId="62320770">
      <w:pPr>
        <w:spacing w:line="360" w:lineRule="auto"/>
        <w:rPr>
          <w:rFonts w:ascii="宋体" w:hAnsi="宋体" w:cs="宋体"/>
          <w:color w:val="auto"/>
          <w:sz w:val="24"/>
          <w:highlight w:val="none"/>
        </w:rPr>
      </w:pPr>
    </w:p>
    <w:p w14:paraId="62320771">
      <w:pPr>
        <w:adjustRightInd/>
        <w:spacing w:line="360" w:lineRule="auto"/>
        <w:jc w:val="center"/>
        <w:outlineLvl w:val="0"/>
        <w:rPr>
          <w:rFonts w:ascii="宋体" w:hAnsi="宋体" w:cs="宋体"/>
          <w:b/>
          <w:color w:val="auto"/>
          <w:sz w:val="36"/>
          <w:szCs w:val="20"/>
          <w:highlight w:val="none"/>
        </w:rPr>
      </w:pPr>
      <w:bookmarkStart w:id="2" w:name="第一部分"/>
      <w:r>
        <w:rPr>
          <w:rFonts w:hint="eastAsia" w:ascii="宋体" w:hAnsi="宋体" w:cs="宋体"/>
          <w:b/>
          <w:color w:val="auto"/>
          <w:sz w:val="36"/>
          <w:szCs w:val="36"/>
          <w:highlight w:val="none"/>
        </w:rPr>
        <w:br w:type="page"/>
      </w:r>
      <w:bookmarkEnd w:id="1"/>
      <w:bookmarkEnd w:id="2"/>
      <w:bookmarkStart w:id="3" w:name="_Hlt74649545"/>
      <w:bookmarkEnd w:id="3"/>
      <w:bookmarkStart w:id="4" w:name="_Hlt74707423"/>
      <w:bookmarkEnd w:id="4"/>
      <w:bookmarkStart w:id="5" w:name="_Hlt74728647"/>
      <w:bookmarkEnd w:id="5"/>
      <w:bookmarkStart w:id="6" w:name="_Hlt74729822"/>
      <w:bookmarkEnd w:id="6"/>
      <w:bookmarkStart w:id="7" w:name="第二部分"/>
      <w:bookmarkStart w:id="8" w:name="_Toc91899870"/>
      <w:bookmarkStart w:id="9" w:name="_Toc91899871"/>
      <w:r>
        <w:rPr>
          <w:rFonts w:hint="eastAsia" w:ascii="宋体" w:hAnsi="宋体" w:cs="宋体"/>
          <w:b/>
          <w:color w:val="auto"/>
          <w:sz w:val="36"/>
          <w:szCs w:val="20"/>
          <w:highlight w:val="none"/>
        </w:rPr>
        <w:t>第一部分 招标公告</w:t>
      </w:r>
    </w:p>
    <w:p w14:paraId="62320772">
      <w:pPr>
        <w:pBdr>
          <w:top w:val="single" w:color="auto" w:sz="4" w:space="1"/>
          <w:left w:val="single" w:color="auto" w:sz="4" w:space="4"/>
          <w:bottom w:val="single" w:color="auto" w:sz="4" w:space="1"/>
          <w:right w:val="single" w:color="auto" w:sz="4" w:space="4"/>
        </w:pBdr>
        <w:spacing w:line="360" w:lineRule="auto"/>
        <w:rPr>
          <w:rFonts w:ascii="宋体" w:hAnsi="宋体" w:cs="宋体"/>
          <w:color w:val="auto"/>
          <w:sz w:val="24"/>
          <w:highlight w:val="none"/>
        </w:rPr>
      </w:pPr>
      <w:r>
        <w:rPr>
          <w:rFonts w:hint="eastAsia" w:ascii="宋体" w:hAnsi="宋体" w:cs="宋体"/>
          <w:color w:val="auto"/>
          <w:sz w:val="24"/>
          <w:highlight w:val="none"/>
        </w:rPr>
        <w:t>项目概况</w:t>
      </w:r>
    </w:p>
    <w:p w14:paraId="62320773">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u w:val="single"/>
          <w:lang w:eastAsia="zh-CN"/>
        </w:rPr>
        <w:t>浙江省县乡合法性审查法律法规库建设项目和县乡合法性审查应用建设项目</w:t>
      </w:r>
      <w:r>
        <w:rPr>
          <w:rFonts w:hint="eastAsia" w:ascii="宋体" w:hAnsi="宋体" w:cs="宋体"/>
          <w:color w:val="auto"/>
          <w:sz w:val="24"/>
          <w:highlight w:val="none"/>
        </w:rPr>
        <w:t>招标项目的潜在投标人应在政采云平台</w:t>
      </w:r>
      <w:r>
        <w:rPr>
          <w:rFonts w:hint="eastAsia" w:ascii="宋体" w:hAnsi="宋体" w:cs="宋体"/>
          <w:color w:val="auto"/>
          <w:sz w:val="24"/>
          <w:highlight w:val="none"/>
          <w:lang w:val="en-US" w:eastAsia="zh-CN"/>
        </w:rPr>
        <w:t>线上</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7"/>
          <w:rFonts w:hint="eastAsia" w:ascii="宋体" w:hAnsi="宋体" w:eastAsia="宋体" w:cs="宋体"/>
          <w:snapToGrid/>
          <w:color w:val="auto"/>
          <w:kern w:val="2"/>
          <w:sz w:val="24"/>
          <w:szCs w:val="24"/>
          <w:highlight w:val="none"/>
        </w:rPr>
        <w:t>获取</w:t>
      </w:r>
      <w:r>
        <w:rPr>
          <w:rStyle w:val="77"/>
          <w:rFonts w:hint="eastAsia" w:ascii="宋体" w:hAnsi="宋体" w:cs="宋体"/>
          <w:snapToGrid/>
          <w:color w:val="auto"/>
          <w:kern w:val="2"/>
          <w:sz w:val="24"/>
          <w:szCs w:val="24"/>
          <w:highlight w:val="none"/>
          <w:lang w:eastAsia="zh-CN"/>
        </w:rPr>
        <w:t>（</w:t>
      </w:r>
      <w:r>
        <w:rPr>
          <w:rStyle w:val="77"/>
          <w:rFonts w:hint="eastAsia" w:ascii="宋体" w:hAnsi="宋体" w:eastAsia="宋体" w:cs="宋体"/>
          <w:snapToGrid/>
          <w:color w:val="auto"/>
          <w:kern w:val="2"/>
          <w:sz w:val="24"/>
          <w:szCs w:val="24"/>
          <w:highlight w:val="none"/>
        </w:rPr>
        <w:t>下载）招标文件，并于</w:t>
      </w:r>
      <w:r>
        <w:rPr>
          <w:rStyle w:val="77"/>
          <w:rFonts w:hint="eastAsia" w:ascii="宋体" w:hAnsi="宋体" w:eastAsia="宋体" w:cs="宋体"/>
          <w:snapToGrid/>
          <w:color w:val="auto"/>
          <w:kern w:val="2"/>
          <w:sz w:val="24"/>
          <w:szCs w:val="24"/>
          <w:highlight w:val="none"/>
          <w:lang w:eastAsia="zh-CN"/>
        </w:rPr>
        <w:t>2025年</w:t>
      </w:r>
      <w:r>
        <w:rPr>
          <w:rStyle w:val="77"/>
          <w:rFonts w:hint="eastAsia" w:ascii="宋体" w:hAnsi="宋体" w:eastAsia="宋体" w:cs="宋体"/>
          <w:snapToGrid/>
          <w:color w:val="auto"/>
          <w:kern w:val="2"/>
          <w:sz w:val="24"/>
          <w:szCs w:val="24"/>
          <w:highlight w:val="none"/>
          <w:lang w:eastAsia="zh-CN"/>
        </w:rPr>
        <w:t>4月18日</w:t>
      </w:r>
      <w:r>
        <w:rPr>
          <w:rStyle w:val="77"/>
          <w:rFonts w:hint="eastAsia" w:ascii="宋体" w:hAnsi="宋体" w:eastAsia="宋体" w:cs="宋体"/>
          <w:bCs/>
          <w:snapToGrid/>
          <w:color w:val="auto"/>
          <w:kern w:val="2"/>
          <w:sz w:val="24"/>
          <w:szCs w:val="24"/>
          <w:highlight w:val="none"/>
        </w:rPr>
        <w:fldChar w:fldCharType="end"/>
      </w:r>
      <w:r>
        <w:rPr>
          <w:rStyle w:val="77"/>
          <w:rFonts w:hint="eastAsia" w:ascii="宋体" w:hAnsi="宋体" w:cs="宋体"/>
          <w:snapToGrid/>
          <w:color w:val="auto"/>
          <w:kern w:val="2"/>
          <w:sz w:val="24"/>
          <w:szCs w:val="24"/>
          <w:highlight w:val="none"/>
          <w:lang w:val="en-US" w:eastAsia="zh-CN"/>
        </w:rPr>
        <w:t>09：00</w:t>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递交（上传）投标文件。</w:t>
      </w:r>
    </w:p>
    <w:p w14:paraId="62320774">
      <w:pPr>
        <w:spacing w:line="360" w:lineRule="auto"/>
        <w:rPr>
          <w:rFonts w:ascii="宋体" w:hAnsi="宋体" w:cs="宋体"/>
          <w:b/>
          <w:color w:val="auto"/>
          <w:sz w:val="24"/>
          <w:highlight w:val="none"/>
        </w:rPr>
      </w:pPr>
    </w:p>
    <w:p w14:paraId="62320775">
      <w:pPr>
        <w:spacing w:line="360" w:lineRule="auto"/>
        <w:rPr>
          <w:rFonts w:ascii="宋体" w:hAnsi="宋体" w:cs="宋体"/>
          <w:b/>
          <w:color w:val="auto"/>
          <w:sz w:val="24"/>
          <w:highlight w:val="none"/>
        </w:rPr>
      </w:pPr>
      <w:r>
        <w:rPr>
          <w:rFonts w:hint="eastAsia" w:ascii="宋体" w:hAnsi="宋体" w:cs="宋体"/>
          <w:b/>
          <w:color w:val="auto"/>
          <w:sz w:val="24"/>
          <w:highlight w:val="none"/>
        </w:rPr>
        <w:t>一、项目基本情况</w:t>
      </w:r>
    </w:p>
    <w:p w14:paraId="62320776">
      <w:pPr>
        <w:spacing w:line="360" w:lineRule="auto"/>
        <w:ind w:firstLine="422" w:firstLineChars="175"/>
        <w:rPr>
          <w:rFonts w:hint="eastAsia" w:ascii="宋体" w:hAnsi="宋体" w:eastAsia="宋体" w:cs="宋体"/>
          <w:color w:val="auto"/>
          <w:sz w:val="24"/>
          <w:highlight w:val="none"/>
          <w:lang w:eastAsia="zh-CN"/>
        </w:rPr>
      </w:pPr>
      <w:r>
        <w:rPr>
          <w:rFonts w:hint="eastAsia" w:ascii="宋体" w:hAnsi="宋体" w:cs="宋体"/>
          <w:b/>
          <w:color w:val="auto"/>
          <w:sz w:val="24"/>
          <w:highlight w:val="none"/>
        </w:rPr>
        <w:t>项目编号：</w:t>
      </w:r>
      <w:r>
        <w:rPr>
          <w:rFonts w:hint="eastAsia" w:ascii="宋体" w:hAnsi="宋体" w:cs="宋体"/>
          <w:bCs/>
          <w:color w:val="auto"/>
          <w:sz w:val="24"/>
          <w:highlight w:val="none"/>
          <w:lang w:eastAsia="zh-CN"/>
        </w:rPr>
        <w:t>ZJ-2580230-02</w:t>
      </w:r>
    </w:p>
    <w:p w14:paraId="62320777">
      <w:pPr>
        <w:spacing w:line="360" w:lineRule="auto"/>
        <w:ind w:firstLine="422" w:firstLineChars="175"/>
        <w:rPr>
          <w:rFonts w:hint="eastAsia" w:ascii="宋体" w:hAnsi="宋体" w:eastAsia="宋体" w:cs="宋体"/>
          <w:color w:val="auto"/>
          <w:sz w:val="24"/>
          <w:highlight w:val="none"/>
          <w:lang w:eastAsia="zh-CN"/>
        </w:rPr>
      </w:pPr>
      <w:r>
        <w:rPr>
          <w:rFonts w:hint="eastAsia" w:ascii="宋体" w:hAnsi="宋体" w:cs="宋体"/>
          <w:b/>
          <w:color w:val="auto"/>
          <w:sz w:val="24"/>
          <w:highlight w:val="none"/>
        </w:rPr>
        <w:t>项目名称：</w:t>
      </w:r>
      <w:r>
        <w:rPr>
          <w:rFonts w:hint="eastAsia" w:ascii="宋体" w:hAnsi="宋体" w:cs="宋体"/>
          <w:b w:val="0"/>
          <w:bCs/>
          <w:color w:val="auto"/>
          <w:sz w:val="24"/>
          <w:highlight w:val="none"/>
          <w:lang w:eastAsia="zh-CN"/>
        </w:rPr>
        <w:t>浙江省县乡合法性审查法律法规库建设项目和县乡合法性审查应用建设项目</w:t>
      </w:r>
    </w:p>
    <w:p w14:paraId="62320778">
      <w:pPr>
        <w:spacing w:line="360" w:lineRule="auto"/>
        <w:ind w:firstLine="422" w:firstLineChars="175"/>
        <w:rPr>
          <w:rFonts w:ascii="宋体" w:hAnsi="宋体" w:cs="宋体"/>
          <w:color w:val="auto"/>
          <w:sz w:val="24"/>
          <w:highlight w:val="none"/>
        </w:rPr>
      </w:pPr>
      <w:r>
        <w:rPr>
          <w:rFonts w:hint="eastAsia" w:ascii="宋体" w:hAnsi="宋体" w:cs="宋体"/>
          <w:b/>
          <w:color w:val="auto"/>
          <w:sz w:val="24"/>
          <w:highlight w:val="none"/>
        </w:rPr>
        <w:t>预算金额（元）：</w:t>
      </w:r>
      <w:r>
        <w:rPr>
          <w:rFonts w:hint="eastAsia" w:ascii="宋体" w:hAnsi="宋体" w:cs="宋体"/>
          <w:b w:val="0"/>
          <w:bCs/>
          <w:color w:val="auto"/>
          <w:sz w:val="24"/>
          <w:highlight w:val="none"/>
          <w:lang w:val="en-US" w:eastAsia="zh-CN"/>
        </w:rPr>
        <w:t>318</w:t>
      </w:r>
      <w:r>
        <w:rPr>
          <w:rFonts w:hint="eastAsia" w:ascii="宋体" w:hAnsi="宋体" w:cs="宋体"/>
          <w:bCs/>
          <w:color w:val="auto"/>
          <w:sz w:val="24"/>
          <w:highlight w:val="none"/>
        </w:rPr>
        <w:t>0000</w:t>
      </w:r>
    </w:p>
    <w:p w14:paraId="62320779">
      <w:pPr>
        <w:spacing w:line="360" w:lineRule="auto"/>
        <w:ind w:firstLine="422" w:firstLineChars="175"/>
        <w:rPr>
          <w:rFonts w:hint="default" w:ascii="宋体" w:hAnsi="宋体" w:eastAsia="宋体" w:cs="宋体"/>
          <w:color w:val="auto"/>
          <w:sz w:val="24"/>
          <w:highlight w:val="none"/>
          <w:lang w:val="en-US" w:eastAsia="zh-CN"/>
        </w:rPr>
      </w:pPr>
      <w:r>
        <w:rPr>
          <w:rFonts w:hint="eastAsia" w:ascii="宋体" w:hAnsi="宋体" w:cs="宋体"/>
          <w:b/>
          <w:color w:val="auto"/>
          <w:sz w:val="24"/>
          <w:highlight w:val="none"/>
        </w:rPr>
        <w:t>最高限价（元）：</w:t>
      </w:r>
      <w:r>
        <w:rPr>
          <w:rFonts w:hint="eastAsia" w:ascii="宋体" w:hAnsi="宋体" w:cs="宋体"/>
          <w:bCs/>
          <w:color w:val="auto"/>
          <w:sz w:val="24"/>
          <w:highlight w:val="none"/>
          <w:lang w:val="en-US" w:eastAsia="zh-CN"/>
        </w:rPr>
        <w:t>2350000，830000</w:t>
      </w:r>
    </w:p>
    <w:p w14:paraId="6232077A">
      <w:pPr>
        <w:pStyle w:val="6"/>
        <w:spacing w:line="360" w:lineRule="auto"/>
        <w:ind w:firstLine="422" w:firstLineChars="175"/>
        <w:rPr>
          <w:rFonts w:hAnsi="宋体" w:cs="宋体"/>
          <w:b/>
          <w:color w:val="auto"/>
          <w:sz w:val="24"/>
          <w:highlight w:val="none"/>
        </w:rPr>
      </w:pPr>
      <w:r>
        <w:rPr>
          <w:rFonts w:hint="eastAsia" w:hAnsi="宋体" w:cs="宋体"/>
          <w:b/>
          <w:color w:val="auto"/>
          <w:sz w:val="24"/>
          <w:highlight w:val="none"/>
        </w:rPr>
        <w:t>采购需求：</w:t>
      </w:r>
    </w:p>
    <w:p w14:paraId="2B8F82BF">
      <w:pPr>
        <w:pStyle w:val="6"/>
        <w:spacing w:line="360" w:lineRule="auto"/>
        <w:ind w:left="420" w:leftChars="200" w:firstLine="422" w:firstLineChars="175"/>
        <w:rPr>
          <w:rFonts w:hint="eastAsia" w:hAnsi="宋体" w:cs="宋体"/>
          <w:b/>
          <w:color w:val="auto"/>
          <w:sz w:val="24"/>
          <w:highlight w:val="none"/>
          <w:lang w:val="en-US" w:eastAsia="zh-CN"/>
        </w:rPr>
      </w:pPr>
    </w:p>
    <w:p w14:paraId="647B9CA2">
      <w:pPr>
        <w:pStyle w:val="6"/>
        <w:spacing w:line="360" w:lineRule="auto"/>
        <w:ind w:left="420" w:leftChars="200" w:firstLine="422" w:firstLineChars="175"/>
        <w:rPr>
          <w:rFonts w:hint="default" w:ascii="宋体" w:hAnsi="宋体" w:eastAsia="宋体" w:cs="宋体"/>
          <w:b/>
          <w:color w:val="auto"/>
          <w:sz w:val="24"/>
          <w:highlight w:val="none"/>
          <w:lang w:val="en-US" w:eastAsia="zh-CN"/>
        </w:rPr>
      </w:pPr>
      <w:r>
        <w:rPr>
          <w:rFonts w:hint="eastAsia" w:hAnsi="宋体" w:cs="宋体"/>
          <w:b/>
          <w:color w:val="auto"/>
          <w:sz w:val="24"/>
          <w:highlight w:val="none"/>
          <w:lang w:val="en-US" w:eastAsia="zh-CN"/>
        </w:rPr>
        <w:t>标项一</w:t>
      </w:r>
    </w:p>
    <w:p w14:paraId="38D892BF">
      <w:pPr>
        <w:pStyle w:val="6"/>
        <w:spacing w:line="360" w:lineRule="auto"/>
        <w:ind w:left="420" w:leftChars="200" w:firstLine="422" w:firstLineChars="175"/>
        <w:rPr>
          <w:rFonts w:hint="default" w:ascii="宋体" w:hAnsi="宋体" w:eastAsia="宋体" w:cs="宋体"/>
          <w:b/>
          <w:color w:val="auto"/>
          <w:sz w:val="24"/>
          <w:highlight w:val="none"/>
          <w:lang w:val="en-US" w:eastAsia="zh-CN"/>
        </w:rPr>
      </w:pPr>
      <w:r>
        <w:rPr>
          <w:rFonts w:hint="eastAsia" w:ascii="宋体" w:hAnsi="宋体" w:eastAsia="宋体" w:cs="宋体"/>
          <w:b/>
          <w:color w:val="auto"/>
          <w:sz w:val="24"/>
          <w:highlight w:val="none"/>
        </w:rPr>
        <w:t>标项名称：</w:t>
      </w:r>
      <w:r>
        <w:rPr>
          <w:rFonts w:hint="eastAsia" w:ascii="宋体" w:hAnsi="宋体" w:eastAsia="宋体" w:cs="宋体"/>
          <w:b/>
          <w:color w:val="auto"/>
          <w:sz w:val="24"/>
          <w:highlight w:val="none"/>
          <w:lang w:eastAsia="zh-CN"/>
        </w:rPr>
        <w:t>浙江省县乡合法性审查法律法规库建设</w:t>
      </w:r>
      <w:r>
        <w:rPr>
          <w:rFonts w:hint="eastAsia" w:hAnsi="宋体" w:cs="宋体"/>
          <w:b/>
          <w:color w:val="auto"/>
          <w:sz w:val="24"/>
          <w:highlight w:val="none"/>
          <w:lang w:val="en-US" w:eastAsia="zh-CN"/>
        </w:rPr>
        <w:t>项目</w:t>
      </w:r>
    </w:p>
    <w:p w14:paraId="118CE7B9">
      <w:pPr>
        <w:pStyle w:val="6"/>
        <w:spacing w:line="360" w:lineRule="auto"/>
        <w:ind w:left="420" w:leftChars="200" w:firstLine="422" w:firstLineChars="175"/>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数量：</w:t>
      </w:r>
      <w:r>
        <w:rPr>
          <w:rFonts w:hint="eastAsia" w:ascii="宋体" w:hAnsi="宋体" w:eastAsia="宋体" w:cs="宋体"/>
          <w:b w:val="0"/>
          <w:bCs/>
          <w:color w:val="auto"/>
          <w:sz w:val="24"/>
          <w:highlight w:val="none"/>
        </w:rPr>
        <w:t xml:space="preserve">1 </w:t>
      </w:r>
      <w:r>
        <w:rPr>
          <w:rFonts w:hint="eastAsia" w:ascii="宋体" w:hAnsi="宋体" w:eastAsia="宋体" w:cs="宋体"/>
          <w:b/>
          <w:color w:val="auto"/>
          <w:sz w:val="24"/>
          <w:highlight w:val="none"/>
        </w:rPr>
        <w:t xml:space="preserve">             </w:t>
      </w:r>
    </w:p>
    <w:p w14:paraId="4E40778C">
      <w:pPr>
        <w:pStyle w:val="6"/>
        <w:spacing w:line="360" w:lineRule="auto"/>
        <w:ind w:left="420" w:leftChars="200" w:firstLine="422" w:firstLineChars="175"/>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预算金额（元）：</w:t>
      </w:r>
      <w:r>
        <w:rPr>
          <w:rFonts w:hint="eastAsia" w:hAnsi="宋体" w:cs="宋体"/>
          <w:b w:val="0"/>
          <w:bCs/>
          <w:color w:val="auto"/>
          <w:sz w:val="24"/>
          <w:highlight w:val="none"/>
          <w:lang w:val="en-US" w:eastAsia="zh-CN"/>
        </w:rPr>
        <w:t>2350000</w:t>
      </w:r>
      <w:r>
        <w:rPr>
          <w:rFonts w:hint="eastAsia" w:ascii="宋体" w:hAnsi="宋体" w:eastAsia="宋体" w:cs="宋体"/>
          <w:b/>
          <w:color w:val="auto"/>
          <w:sz w:val="24"/>
          <w:highlight w:val="none"/>
        </w:rPr>
        <w:t xml:space="preserve">          </w:t>
      </w:r>
    </w:p>
    <w:p w14:paraId="2087B8BA">
      <w:pPr>
        <w:pStyle w:val="6"/>
        <w:spacing w:line="360" w:lineRule="auto"/>
        <w:ind w:left="420" w:leftChars="200" w:firstLine="422" w:firstLineChars="175"/>
        <w:rPr>
          <w:rFonts w:hint="eastAsia" w:ascii="宋体" w:hAnsi="宋体" w:eastAsia="宋体" w:cs="宋体"/>
          <w:bCs/>
          <w:snapToGrid/>
          <w:color w:val="auto"/>
          <w:kern w:val="2"/>
          <w:sz w:val="24"/>
          <w:szCs w:val="24"/>
          <w:highlight w:val="none"/>
        </w:rPr>
      </w:pPr>
      <w:r>
        <w:rPr>
          <w:rFonts w:hint="eastAsia" w:ascii="宋体" w:hAnsi="宋体" w:eastAsia="宋体" w:cs="宋体"/>
          <w:b/>
          <w:color w:val="auto"/>
          <w:sz w:val="24"/>
          <w:highlight w:val="none"/>
        </w:rPr>
        <w:t>简要规格描述或项目基本概况介绍、用途：</w:t>
      </w:r>
      <w:r>
        <w:rPr>
          <w:rFonts w:hint="eastAsia" w:ascii="宋体" w:hAnsi="宋体" w:eastAsia="宋体" w:cs="宋体"/>
          <w:snapToGrid/>
          <w:color w:val="auto"/>
          <w:kern w:val="2"/>
          <w:sz w:val="24"/>
          <w:szCs w:val="24"/>
          <w:highlight w:val="none"/>
          <w:lang w:val="en-US" w:eastAsia="zh-CN"/>
        </w:rPr>
        <w:t>本</w:t>
      </w:r>
      <w:r>
        <w:rPr>
          <w:rFonts w:hint="eastAsia" w:hAnsi="宋体" w:cs="宋体"/>
          <w:snapToGrid/>
          <w:color w:val="auto"/>
          <w:kern w:val="2"/>
          <w:sz w:val="24"/>
          <w:szCs w:val="24"/>
          <w:highlight w:val="none"/>
          <w:lang w:val="en-US" w:eastAsia="zh-CN"/>
        </w:rPr>
        <w:t>标项</w:t>
      </w:r>
      <w:r>
        <w:rPr>
          <w:rFonts w:hint="eastAsia" w:ascii="宋体" w:hAnsi="宋体" w:eastAsia="宋体" w:cs="宋体"/>
          <w:snapToGrid/>
          <w:color w:val="auto"/>
          <w:kern w:val="2"/>
          <w:sz w:val="24"/>
          <w:szCs w:val="24"/>
          <w:highlight w:val="none"/>
          <w:lang w:val="en-US" w:eastAsia="zh-CN"/>
        </w:rPr>
        <w:t>为浙江省县乡合法性审查法律法规库建设</w:t>
      </w:r>
      <w:r>
        <w:rPr>
          <w:rFonts w:hint="eastAsia" w:hAnsi="宋体" w:cs="宋体"/>
          <w:color w:val="auto"/>
          <w:sz w:val="24"/>
          <w:highlight w:val="none"/>
          <w:lang w:eastAsia="zh-CN"/>
        </w:rPr>
        <w:t>，</w:t>
      </w:r>
      <w:r>
        <w:rPr>
          <w:rFonts w:hint="eastAsia" w:ascii="宋体" w:hAnsi="宋体" w:eastAsia="宋体" w:cs="宋体"/>
          <w:snapToGrid/>
          <w:color w:val="auto"/>
          <w:kern w:val="2"/>
          <w:sz w:val="24"/>
          <w:szCs w:val="24"/>
          <w:highlight w:val="none"/>
        </w:rPr>
        <w:t>具体以招标文件第三部分采购需求为准</w:t>
      </w:r>
      <w:r>
        <w:rPr>
          <w:rFonts w:hint="eastAsia" w:hAnsi="宋体" w:cs="宋体"/>
          <w:snapToGrid/>
          <w:color w:val="auto"/>
          <w:kern w:val="2"/>
          <w:sz w:val="24"/>
          <w:szCs w:val="24"/>
          <w:highlight w:val="none"/>
          <w:lang w:eastAsia="zh-CN"/>
        </w:rPr>
        <w:t>。</w:t>
      </w:r>
      <w:r>
        <w:rPr>
          <w:rFonts w:hint="eastAsia" w:ascii="宋体" w:hAnsi="宋体" w:eastAsia="宋体" w:cs="宋体"/>
          <w:snapToGrid/>
          <w:color w:val="auto"/>
          <w:kern w:val="2"/>
          <w:sz w:val="24"/>
          <w:szCs w:val="24"/>
          <w:highlight w:val="none"/>
        </w:rPr>
        <w:t>供应商可点击本公告下方“浏览采购文件”查看采购需求。</w:t>
      </w:r>
    </w:p>
    <w:p w14:paraId="153EFC1A">
      <w:pPr>
        <w:pStyle w:val="141"/>
        <w:keepNext w:val="0"/>
        <w:keepLines w:val="0"/>
        <w:pageBreakBefore w:val="0"/>
        <w:widowControl w:val="0"/>
        <w:kinsoku/>
        <w:wordWrap/>
        <w:overflowPunct/>
        <w:topLinePunct w:val="0"/>
        <w:autoSpaceDE/>
        <w:autoSpaceDN/>
        <w:bidi w:val="0"/>
        <w:adjustRightInd w:val="0"/>
        <w:snapToGrid/>
        <w:spacing w:before="0"/>
        <w:ind w:left="420" w:leftChars="200" w:firstLine="422" w:firstLineChars="175"/>
        <w:textAlignment w:val="auto"/>
        <w:outlineLvl w:val="2"/>
        <w:rPr>
          <w:rFonts w:hint="eastAsia" w:ascii="宋体" w:hAnsi="宋体" w:eastAsia="宋体" w:cs="宋体"/>
          <w:b/>
          <w:color w:val="auto"/>
          <w:highlight w:val="none"/>
          <w:lang w:val="en-US" w:eastAsia="zh-CN"/>
        </w:rPr>
      </w:pPr>
      <w:r>
        <w:rPr>
          <w:rFonts w:hint="eastAsia" w:ascii="宋体" w:hAnsi="宋体" w:eastAsia="宋体" w:cs="宋体"/>
          <w:b/>
          <w:color w:val="auto"/>
          <w:highlight w:val="none"/>
          <w:lang w:val="en-US" w:eastAsia="zh-CN"/>
        </w:rPr>
        <w:t>备注：/</w:t>
      </w:r>
    </w:p>
    <w:p w14:paraId="50CD9A52">
      <w:pPr>
        <w:pStyle w:val="141"/>
        <w:keepNext w:val="0"/>
        <w:keepLines w:val="0"/>
        <w:pageBreakBefore w:val="0"/>
        <w:widowControl w:val="0"/>
        <w:kinsoku/>
        <w:wordWrap/>
        <w:overflowPunct/>
        <w:topLinePunct w:val="0"/>
        <w:autoSpaceDE/>
        <w:autoSpaceDN/>
        <w:bidi w:val="0"/>
        <w:adjustRightInd w:val="0"/>
        <w:snapToGrid/>
        <w:spacing w:before="0"/>
        <w:ind w:firstLine="482"/>
        <w:textAlignment w:val="auto"/>
        <w:outlineLvl w:val="2"/>
        <w:rPr>
          <w:rFonts w:hint="eastAsia" w:ascii="宋体" w:hAnsi="宋体" w:eastAsia="宋体" w:cs="宋体"/>
          <w:b/>
          <w:color w:val="auto"/>
          <w:highlight w:val="none"/>
        </w:rPr>
      </w:pPr>
    </w:p>
    <w:p w14:paraId="44C5810F">
      <w:pPr>
        <w:pStyle w:val="6"/>
        <w:spacing w:line="360" w:lineRule="auto"/>
        <w:ind w:left="420" w:leftChars="200" w:firstLine="422" w:firstLineChars="175"/>
        <w:rPr>
          <w:rFonts w:hint="default" w:ascii="宋体" w:hAnsi="宋体" w:eastAsia="宋体" w:cs="宋体"/>
          <w:b/>
          <w:color w:val="auto"/>
          <w:sz w:val="24"/>
          <w:highlight w:val="none"/>
          <w:lang w:val="en-US" w:eastAsia="zh-CN"/>
        </w:rPr>
      </w:pPr>
      <w:r>
        <w:rPr>
          <w:rFonts w:hint="eastAsia" w:hAnsi="宋体" w:cs="宋体"/>
          <w:b/>
          <w:color w:val="auto"/>
          <w:sz w:val="24"/>
          <w:highlight w:val="none"/>
          <w:lang w:val="en-US" w:eastAsia="zh-CN"/>
        </w:rPr>
        <w:t>标项二</w:t>
      </w:r>
    </w:p>
    <w:p w14:paraId="7F620A83">
      <w:pPr>
        <w:pStyle w:val="6"/>
        <w:spacing w:line="360" w:lineRule="auto"/>
        <w:ind w:left="420" w:leftChars="200" w:firstLine="422" w:firstLineChars="175"/>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标项名称：</w:t>
      </w:r>
      <w:r>
        <w:rPr>
          <w:rFonts w:hint="eastAsia" w:ascii="宋体" w:hAnsi="宋体" w:eastAsia="宋体" w:cs="宋体"/>
          <w:b/>
          <w:color w:val="auto"/>
          <w:sz w:val="24"/>
          <w:highlight w:val="none"/>
          <w:lang w:val="en-US" w:eastAsia="zh-CN"/>
        </w:rPr>
        <w:t>浙江省</w:t>
      </w:r>
      <w:r>
        <w:rPr>
          <w:rFonts w:hint="eastAsia" w:ascii="宋体" w:hAnsi="宋体" w:eastAsia="宋体" w:cs="宋体"/>
          <w:b/>
          <w:color w:val="auto"/>
          <w:sz w:val="24"/>
          <w:highlight w:val="none"/>
        </w:rPr>
        <w:t>县乡合法性审查应用建设项目</w:t>
      </w:r>
    </w:p>
    <w:p w14:paraId="5A1EB876">
      <w:pPr>
        <w:pStyle w:val="6"/>
        <w:spacing w:line="360" w:lineRule="auto"/>
        <w:ind w:left="420" w:leftChars="200" w:firstLine="422" w:firstLineChars="175"/>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数量：</w:t>
      </w:r>
      <w:r>
        <w:rPr>
          <w:rFonts w:hint="eastAsia" w:ascii="宋体" w:hAnsi="宋体" w:eastAsia="宋体" w:cs="宋体"/>
          <w:b w:val="0"/>
          <w:bCs/>
          <w:color w:val="auto"/>
          <w:sz w:val="24"/>
          <w:highlight w:val="none"/>
        </w:rPr>
        <w:t xml:space="preserve">1 </w:t>
      </w:r>
      <w:r>
        <w:rPr>
          <w:rFonts w:hint="eastAsia" w:ascii="宋体" w:hAnsi="宋体" w:eastAsia="宋体" w:cs="宋体"/>
          <w:b/>
          <w:color w:val="auto"/>
          <w:sz w:val="24"/>
          <w:highlight w:val="none"/>
        </w:rPr>
        <w:t xml:space="preserve">             </w:t>
      </w:r>
    </w:p>
    <w:p w14:paraId="750D9930">
      <w:pPr>
        <w:pStyle w:val="6"/>
        <w:spacing w:line="360" w:lineRule="auto"/>
        <w:ind w:left="420" w:leftChars="200" w:firstLine="422" w:firstLineChars="175"/>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预算金额（元）：</w:t>
      </w:r>
      <w:r>
        <w:rPr>
          <w:rFonts w:hint="eastAsia" w:hAnsi="宋体" w:cs="宋体"/>
          <w:b w:val="0"/>
          <w:bCs/>
          <w:color w:val="auto"/>
          <w:sz w:val="24"/>
          <w:highlight w:val="none"/>
          <w:lang w:val="en-US" w:eastAsia="zh-CN"/>
        </w:rPr>
        <w:t>830000</w:t>
      </w:r>
      <w:r>
        <w:rPr>
          <w:rFonts w:hint="eastAsia" w:ascii="宋体" w:hAnsi="宋体" w:eastAsia="宋体" w:cs="宋体"/>
          <w:b/>
          <w:color w:val="auto"/>
          <w:sz w:val="24"/>
          <w:highlight w:val="none"/>
        </w:rPr>
        <w:t xml:space="preserve">          </w:t>
      </w:r>
    </w:p>
    <w:p w14:paraId="07B96BE2">
      <w:pPr>
        <w:pStyle w:val="6"/>
        <w:spacing w:line="360" w:lineRule="auto"/>
        <w:ind w:left="420" w:leftChars="200" w:firstLine="422" w:firstLineChars="175"/>
        <w:rPr>
          <w:rFonts w:hint="eastAsia" w:ascii="宋体" w:hAnsi="宋体" w:eastAsia="宋体" w:cs="宋体"/>
          <w:bCs/>
          <w:snapToGrid/>
          <w:color w:val="auto"/>
          <w:kern w:val="2"/>
          <w:sz w:val="24"/>
          <w:szCs w:val="24"/>
          <w:highlight w:val="none"/>
        </w:rPr>
      </w:pPr>
      <w:r>
        <w:rPr>
          <w:rFonts w:hint="eastAsia" w:ascii="宋体" w:hAnsi="宋体" w:eastAsia="宋体" w:cs="宋体"/>
          <w:b/>
          <w:color w:val="auto"/>
          <w:sz w:val="24"/>
          <w:highlight w:val="none"/>
        </w:rPr>
        <w:t>简要规格描述或项目基本概况介绍、用途：</w:t>
      </w:r>
      <w:r>
        <w:rPr>
          <w:rFonts w:hint="eastAsia" w:ascii="宋体" w:hAnsi="宋体" w:eastAsia="宋体" w:cs="宋体"/>
          <w:snapToGrid/>
          <w:color w:val="auto"/>
          <w:kern w:val="2"/>
          <w:sz w:val="24"/>
          <w:szCs w:val="24"/>
          <w:highlight w:val="none"/>
          <w:lang w:val="en-US" w:eastAsia="zh-CN"/>
        </w:rPr>
        <w:t>本项目为浙江省县乡合法性审查应用建设项目</w:t>
      </w:r>
      <w:r>
        <w:rPr>
          <w:rFonts w:hint="eastAsia" w:hAnsi="宋体" w:cs="宋体"/>
          <w:color w:val="auto"/>
          <w:sz w:val="24"/>
          <w:highlight w:val="none"/>
          <w:lang w:eastAsia="zh-CN"/>
        </w:rPr>
        <w:t>，</w:t>
      </w:r>
      <w:r>
        <w:rPr>
          <w:rFonts w:hint="eastAsia" w:ascii="宋体" w:hAnsi="宋体" w:eastAsia="宋体" w:cs="宋体"/>
          <w:snapToGrid/>
          <w:color w:val="auto"/>
          <w:kern w:val="2"/>
          <w:sz w:val="24"/>
          <w:szCs w:val="24"/>
          <w:highlight w:val="none"/>
        </w:rPr>
        <w:t>具体以招标文件第三部分采购需求为准</w:t>
      </w:r>
      <w:r>
        <w:rPr>
          <w:rFonts w:hint="eastAsia" w:hAnsi="宋体" w:cs="宋体"/>
          <w:snapToGrid/>
          <w:color w:val="auto"/>
          <w:kern w:val="2"/>
          <w:sz w:val="24"/>
          <w:szCs w:val="24"/>
          <w:highlight w:val="none"/>
          <w:lang w:eastAsia="zh-CN"/>
        </w:rPr>
        <w:t>。</w:t>
      </w:r>
      <w:r>
        <w:rPr>
          <w:rFonts w:hint="eastAsia" w:ascii="宋体" w:hAnsi="宋体" w:eastAsia="宋体" w:cs="宋体"/>
          <w:snapToGrid/>
          <w:color w:val="auto"/>
          <w:kern w:val="2"/>
          <w:sz w:val="24"/>
          <w:szCs w:val="24"/>
          <w:highlight w:val="none"/>
        </w:rPr>
        <w:t>供应商可点击本公告下方“浏览采购文件”查看采购需求。</w:t>
      </w:r>
    </w:p>
    <w:p w14:paraId="3F30EB68">
      <w:pPr>
        <w:pStyle w:val="141"/>
        <w:keepNext w:val="0"/>
        <w:keepLines w:val="0"/>
        <w:pageBreakBefore w:val="0"/>
        <w:widowControl w:val="0"/>
        <w:kinsoku/>
        <w:wordWrap/>
        <w:overflowPunct/>
        <w:topLinePunct w:val="0"/>
        <w:autoSpaceDE/>
        <w:autoSpaceDN/>
        <w:bidi w:val="0"/>
        <w:adjustRightInd w:val="0"/>
        <w:snapToGrid/>
        <w:spacing w:before="0"/>
        <w:ind w:left="420" w:leftChars="200" w:firstLine="422" w:firstLineChars="175"/>
        <w:textAlignment w:val="auto"/>
        <w:outlineLvl w:val="2"/>
        <w:rPr>
          <w:rFonts w:hint="eastAsia" w:ascii="宋体" w:hAnsi="宋体" w:eastAsia="宋体" w:cs="宋体"/>
          <w:b/>
          <w:color w:val="auto"/>
          <w:highlight w:val="none"/>
          <w:lang w:val="en-US" w:eastAsia="zh-CN"/>
        </w:rPr>
      </w:pPr>
      <w:r>
        <w:rPr>
          <w:rFonts w:hint="eastAsia" w:ascii="宋体" w:hAnsi="宋体" w:eastAsia="宋体" w:cs="宋体"/>
          <w:b/>
          <w:color w:val="auto"/>
          <w:highlight w:val="none"/>
          <w:lang w:val="en-US" w:eastAsia="zh-CN"/>
        </w:rPr>
        <w:t>备注：/</w:t>
      </w:r>
    </w:p>
    <w:p w14:paraId="67CFF387">
      <w:pPr>
        <w:pStyle w:val="141"/>
        <w:keepNext w:val="0"/>
        <w:keepLines w:val="0"/>
        <w:pageBreakBefore w:val="0"/>
        <w:widowControl w:val="0"/>
        <w:kinsoku/>
        <w:wordWrap/>
        <w:overflowPunct/>
        <w:topLinePunct w:val="0"/>
        <w:autoSpaceDE/>
        <w:autoSpaceDN/>
        <w:bidi w:val="0"/>
        <w:adjustRightInd w:val="0"/>
        <w:snapToGrid/>
        <w:spacing w:before="0"/>
        <w:ind w:firstLine="482"/>
        <w:textAlignment w:val="auto"/>
        <w:outlineLvl w:val="2"/>
        <w:rPr>
          <w:rFonts w:hint="eastAsia" w:ascii="宋体" w:hAnsi="宋体" w:eastAsia="宋体" w:cs="宋体"/>
          <w:b/>
          <w:color w:val="auto"/>
          <w:highlight w:val="none"/>
        </w:rPr>
      </w:pPr>
    </w:p>
    <w:p w14:paraId="030243F3">
      <w:pPr>
        <w:pStyle w:val="141"/>
        <w:keepNext w:val="0"/>
        <w:keepLines w:val="0"/>
        <w:pageBreakBefore w:val="0"/>
        <w:widowControl w:val="0"/>
        <w:kinsoku/>
        <w:wordWrap/>
        <w:overflowPunct/>
        <w:topLinePunct w:val="0"/>
        <w:autoSpaceDE/>
        <w:autoSpaceDN/>
        <w:bidi w:val="0"/>
        <w:adjustRightInd w:val="0"/>
        <w:snapToGrid/>
        <w:spacing w:before="0"/>
        <w:ind w:firstLine="482"/>
        <w:textAlignment w:val="auto"/>
        <w:outlineLvl w:val="2"/>
        <w:rPr>
          <w:rFonts w:hint="eastAsia" w:ascii="宋体" w:hAnsi="宋体" w:eastAsia="宋体" w:cs="宋体"/>
          <w:color w:val="auto"/>
          <w:highlight w:val="none"/>
        </w:rPr>
      </w:pPr>
      <w:r>
        <w:rPr>
          <w:rFonts w:hint="eastAsia" w:ascii="宋体" w:hAnsi="宋体" w:eastAsia="宋体" w:cs="宋体"/>
          <w:b/>
          <w:color w:val="auto"/>
          <w:highlight w:val="none"/>
        </w:rPr>
        <w:t>合同履约期限：</w:t>
      </w:r>
      <w:r>
        <w:rPr>
          <w:rFonts w:hint="eastAsia" w:ascii="宋体" w:hAnsi="宋体" w:eastAsia="宋体" w:cs="宋体"/>
          <w:b w:val="0"/>
          <w:bCs w:val="0"/>
          <w:color w:val="auto"/>
          <w:highlight w:val="none"/>
          <w:lang w:val="en-US" w:eastAsia="zh-CN"/>
        </w:rPr>
        <w:t>标项1</w:t>
      </w:r>
      <w:r>
        <w:rPr>
          <w:rFonts w:hint="eastAsia" w:ascii="宋体" w:hAnsi="宋体" w:cs="宋体"/>
          <w:b w:val="0"/>
          <w:bCs w:val="0"/>
          <w:color w:val="auto"/>
          <w:highlight w:val="none"/>
          <w:lang w:val="en-US" w:eastAsia="zh-CN"/>
        </w:rPr>
        <w:t>、2</w:t>
      </w:r>
      <w:r>
        <w:rPr>
          <w:rFonts w:hint="eastAsia" w:ascii="宋体" w:hAnsi="宋体" w:eastAsia="宋体" w:cs="宋体"/>
          <w:b w:val="0"/>
          <w:bCs w:val="0"/>
          <w:color w:val="auto"/>
          <w:highlight w:val="none"/>
          <w:lang w:val="en-US" w:eastAsia="zh-CN"/>
        </w:rPr>
        <w:t>，</w:t>
      </w:r>
      <w:r>
        <w:rPr>
          <w:rFonts w:hint="eastAsia" w:ascii="宋体" w:hAnsi="宋体" w:cs="宋体"/>
          <w:b w:val="0"/>
          <w:bCs w:val="0"/>
          <w:color w:val="auto"/>
          <w:highlight w:val="none"/>
          <w:lang w:val="en-US" w:eastAsia="zh-CN"/>
        </w:rPr>
        <w:t>详见采购文件</w:t>
      </w:r>
      <w:r>
        <w:rPr>
          <w:rFonts w:hint="eastAsia" w:ascii="宋体" w:hAnsi="宋体" w:eastAsia="宋体" w:cs="宋体"/>
          <w:b w:val="0"/>
          <w:bCs w:val="0"/>
          <w:color w:val="auto"/>
          <w:highlight w:val="none"/>
          <w:lang w:eastAsia="zh-CN"/>
        </w:rPr>
        <w:t>。</w:t>
      </w:r>
    </w:p>
    <w:p w14:paraId="62320782">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本项目（是）接受联合体投标。</w:t>
      </w:r>
    </w:p>
    <w:p w14:paraId="62320783">
      <w:pPr>
        <w:spacing w:line="360" w:lineRule="auto"/>
        <w:rPr>
          <w:rFonts w:ascii="宋体" w:hAnsi="宋体" w:cs="宋体"/>
          <w:b/>
          <w:color w:val="auto"/>
          <w:sz w:val="24"/>
          <w:highlight w:val="none"/>
        </w:rPr>
      </w:pPr>
      <w:r>
        <w:rPr>
          <w:rFonts w:hint="eastAsia" w:ascii="宋体" w:hAnsi="宋体" w:cs="宋体"/>
          <w:b/>
          <w:color w:val="auto"/>
          <w:sz w:val="24"/>
          <w:highlight w:val="none"/>
        </w:rPr>
        <w:t>二、申请人的资格要求：</w:t>
      </w:r>
    </w:p>
    <w:p w14:paraId="62320784">
      <w:pP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62320785">
      <w:pPr>
        <w:spacing w:line="360" w:lineRule="auto"/>
        <w:ind w:firstLine="480" w:firstLineChars="20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2.落实政府采购政策需满足的资格要求：标项1</w:t>
      </w:r>
      <w:r>
        <w:rPr>
          <w:rFonts w:hint="eastAsia" w:ascii="宋体" w:hAnsi="宋体" w:cs="宋体"/>
          <w:snapToGrid w:val="0"/>
          <w:color w:val="auto"/>
          <w:kern w:val="28"/>
          <w:sz w:val="24"/>
          <w:szCs w:val="20"/>
          <w:highlight w:val="none"/>
          <w:lang w:eastAsia="zh-CN"/>
        </w:rPr>
        <w:t>，</w:t>
      </w:r>
      <w:r>
        <w:rPr>
          <w:rFonts w:hint="eastAsia" w:ascii="宋体" w:hAnsi="宋体" w:cs="宋体"/>
          <w:snapToGrid w:val="0"/>
          <w:color w:val="auto"/>
          <w:kern w:val="28"/>
          <w:sz w:val="24"/>
          <w:szCs w:val="20"/>
          <w:highlight w:val="none"/>
          <w:lang w:val="en-US" w:eastAsia="zh-CN"/>
        </w:rPr>
        <w:t>2</w:t>
      </w:r>
      <w:r>
        <w:rPr>
          <w:rFonts w:hint="eastAsia" w:ascii="宋体" w:hAnsi="宋体" w:cs="宋体"/>
          <w:snapToGrid w:val="0"/>
          <w:color w:val="auto"/>
          <w:kern w:val="28"/>
          <w:sz w:val="24"/>
          <w:szCs w:val="20"/>
          <w:highlight w:val="none"/>
        </w:rPr>
        <w:t>：</w:t>
      </w:r>
      <w:r>
        <w:rPr>
          <w:rFonts w:hint="eastAsia" w:ascii="宋体" w:hAnsi="宋体" w:cs="宋体"/>
          <w:snapToGrid w:val="0"/>
          <w:color w:val="auto"/>
          <w:kern w:val="28"/>
          <w:sz w:val="24"/>
          <w:szCs w:val="20"/>
          <w:highlight w:val="none"/>
          <w:lang w:val="en-US" w:eastAsia="zh-CN"/>
        </w:rPr>
        <w:t>无</w:t>
      </w:r>
      <w:r>
        <w:rPr>
          <w:rFonts w:hint="eastAsia" w:ascii="宋体" w:hAnsi="宋体" w:cs="宋体"/>
          <w:snapToGrid w:val="0"/>
          <w:color w:val="auto"/>
          <w:kern w:val="28"/>
          <w:sz w:val="24"/>
          <w:szCs w:val="20"/>
          <w:highlight w:val="none"/>
        </w:rPr>
        <w:t>。</w:t>
      </w:r>
    </w:p>
    <w:p w14:paraId="6232078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3.本项目的特定资格要求：无。</w:t>
      </w:r>
    </w:p>
    <w:p w14:paraId="62320787">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62320788">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lang w:eastAsia="zh-CN"/>
        </w:rPr>
        <w:t>2025年4月18日</w:t>
      </w:r>
      <w:r>
        <w:rPr>
          <w:rFonts w:hint="eastAsia" w:ascii="宋体" w:hAnsi="宋体" w:cs="宋体"/>
          <w:color w:val="auto"/>
          <w:sz w:val="24"/>
          <w:highlight w:val="none"/>
        </w:rPr>
        <w:t>，每天上午00:00至12:00 ，下午12:00至23:59（北京时间，线上获取法定节假日均可，线下获取文件法定节假日除外）</w:t>
      </w:r>
    </w:p>
    <w:p w14:paraId="6232078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6232078A">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bCs/>
          <w:color w:val="auto"/>
          <w:sz w:val="24"/>
          <w:highlight w:val="none"/>
        </w:rPr>
        <w:t>供应商通过“浙江政府采购网”在线获取（招标公告下方选取“潜在供应商”处“获取采购文件”），不提供纸质版采购文件；供应商只有在“浙江政府采购网”完成获取采购文件申请并下载了采购文件后才视作依法获取采购文件（法律法规所指的供应商获取采购文件时间以供应商完成获取采购文件申请后下载采购文件的时间为准）。</w:t>
      </w:r>
    </w:p>
    <w:p w14:paraId="6232078B">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6232078C">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2025年4月18日09:</w:t>
      </w:r>
      <w:r>
        <w:rPr>
          <w:rFonts w:hint="eastAsia" w:ascii="宋体" w:hAnsi="宋体" w:cs="宋体"/>
          <w:color w:val="auto"/>
          <w:sz w:val="24"/>
          <w:highlight w:val="none"/>
          <w:u w:val="single"/>
        </w:rPr>
        <w:t>00</w:t>
      </w:r>
      <w:r>
        <w:rPr>
          <w:rFonts w:hint="eastAsia" w:ascii="宋体" w:hAnsi="宋体" w:cs="宋体"/>
          <w:bCs/>
          <w:color w:val="auto"/>
          <w:sz w:val="24"/>
          <w:highlight w:val="none"/>
          <w:u w:val="single"/>
        </w:rPr>
        <w:t xml:space="preserve"> </w:t>
      </w:r>
      <w:r>
        <w:rPr>
          <w:rFonts w:hint="eastAsia" w:ascii="宋体" w:hAnsi="宋体" w:cs="宋体"/>
          <w:color w:val="auto"/>
          <w:sz w:val="24"/>
          <w:highlight w:val="none"/>
        </w:rPr>
        <w:t>（北京时间）</w:t>
      </w:r>
    </w:p>
    <w:p w14:paraId="6232078D">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6232078E">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lang w:eastAsia="zh-CN"/>
        </w:rPr>
        <w:t>2025年4月18日09:</w:t>
      </w:r>
      <w:r>
        <w:rPr>
          <w:rFonts w:hint="eastAsia" w:ascii="宋体" w:hAnsi="宋体" w:cs="宋体"/>
          <w:color w:val="auto"/>
          <w:sz w:val="24"/>
          <w:highlight w:val="none"/>
          <w:u w:val="single"/>
        </w:rPr>
        <w:t>00</w:t>
      </w:r>
      <w:r>
        <w:rPr>
          <w:rFonts w:hint="eastAsia" w:ascii="宋体" w:hAnsi="宋体" w:cs="宋体"/>
          <w:bCs/>
          <w:color w:val="auto"/>
          <w:sz w:val="24"/>
          <w:highlight w:val="none"/>
          <w:u w:val="single"/>
        </w:rPr>
        <w:t xml:space="preserve">  </w:t>
      </w:r>
    </w:p>
    <w:p w14:paraId="6232078F">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14:paraId="62320790">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6232079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62320792">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14:paraId="6232079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6232079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w:t>
      </w:r>
      <w:r>
        <w:rPr>
          <w:rFonts w:hint="eastAsia" w:ascii="宋体" w:hAnsi="宋体" w:cs="宋体"/>
          <w:color w:val="auto"/>
          <w:sz w:val="24"/>
          <w:highlight w:val="none"/>
          <w:lang w:eastAsia="zh-CN"/>
        </w:rPr>
        <w:t>－</w:t>
      </w:r>
      <w:r>
        <w:rPr>
          <w:rFonts w:hint="eastAsia" w:ascii="宋体" w:hAnsi="宋体" w:cs="宋体"/>
          <w:color w:val="auto"/>
          <w:sz w:val="24"/>
          <w:highlight w:val="none"/>
        </w:rPr>
        <w:t>项目采购</w:t>
      </w:r>
      <w:r>
        <w:rPr>
          <w:rFonts w:hint="eastAsia" w:ascii="宋体" w:hAnsi="宋体" w:cs="宋体"/>
          <w:color w:val="auto"/>
          <w:sz w:val="24"/>
          <w:highlight w:val="none"/>
          <w:lang w:eastAsia="zh-CN"/>
        </w:rPr>
        <w:t>－</w:t>
      </w:r>
      <w:r>
        <w:rPr>
          <w:rFonts w:hint="eastAsia" w:ascii="宋体" w:hAnsi="宋体" w:cs="宋体"/>
          <w:color w:val="auto"/>
          <w:sz w:val="24"/>
          <w:highlight w:val="none"/>
        </w:rPr>
        <w:t>询问质疑投诉</w:t>
      </w:r>
      <w:r>
        <w:rPr>
          <w:rFonts w:hint="eastAsia" w:ascii="宋体" w:hAnsi="宋体" w:cs="宋体"/>
          <w:color w:val="auto"/>
          <w:sz w:val="24"/>
          <w:highlight w:val="none"/>
          <w:lang w:eastAsia="zh-CN"/>
        </w:rPr>
        <w:t>－</w:t>
      </w:r>
      <w:r>
        <w:rPr>
          <w:rFonts w:hint="eastAsia" w:ascii="宋体" w:hAnsi="宋体" w:cs="宋体"/>
          <w:color w:val="auto"/>
          <w:sz w:val="24"/>
          <w:highlight w:val="none"/>
        </w:rPr>
        <w:t>询问列表：鼓励供应商在线提起质疑，路径为：政采云</w:t>
      </w:r>
      <w:r>
        <w:rPr>
          <w:rFonts w:hint="eastAsia" w:ascii="宋体" w:hAnsi="宋体" w:cs="宋体"/>
          <w:color w:val="auto"/>
          <w:sz w:val="24"/>
          <w:highlight w:val="none"/>
          <w:lang w:eastAsia="zh-CN"/>
        </w:rPr>
        <w:t>－</w:t>
      </w:r>
      <w:r>
        <w:rPr>
          <w:rFonts w:hint="eastAsia" w:ascii="宋体" w:hAnsi="宋体" w:cs="宋体"/>
          <w:color w:val="auto"/>
          <w:sz w:val="24"/>
          <w:highlight w:val="none"/>
        </w:rPr>
        <w:t>项目采购</w:t>
      </w:r>
      <w:r>
        <w:rPr>
          <w:rFonts w:hint="eastAsia" w:ascii="宋体" w:hAnsi="宋体" w:cs="宋体"/>
          <w:color w:val="auto"/>
          <w:sz w:val="24"/>
          <w:highlight w:val="none"/>
          <w:lang w:eastAsia="zh-CN"/>
        </w:rPr>
        <w:t>－</w:t>
      </w:r>
      <w:r>
        <w:rPr>
          <w:rFonts w:hint="eastAsia" w:ascii="宋体" w:hAnsi="宋体" w:cs="宋体"/>
          <w:color w:val="auto"/>
          <w:sz w:val="24"/>
          <w:highlight w:val="none"/>
        </w:rPr>
        <w:t>询问质疑投诉</w:t>
      </w:r>
      <w:r>
        <w:rPr>
          <w:rFonts w:hint="eastAsia" w:ascii="宋体" w:hAnsi="宋体" w:cs="宋体"/>
          <w:color w:val="auto"/>
          <w:sz w:val="24"/>
          <w:highlight w:val="none"/>
          <w:lang w:eastAsia="zh-CN"/>
        </w:rPr>
        <w:t>－</w:t>
      </w:r>
      <w:r>
        <w:rPr>
          <w:rFonts w:hint="eastAsia" w:ascii="宋体" w:hAnsi="宋体" w:cs="宋体"/>
          <w:color w:val="auto"/>
          <w:sz w:val="24"/>
          <w:highlight w:val="none"/>
        </w:rPr>
        <w:t>质疑列表。质疑供应商对在线质疑答复不满意的，可在线提起投诉，路径为：浙江政府服务网</w:t>
      </w:r>
      <w:r>
        <w:rPr>
          <w:rFonts w:hint="eastAsia" w:ascii="宋体" w:hAnsi="宋体" w:cs="宋体"/>
          <w:color w:val="auto"/>
          <w:sz w:val="24"/>
          <w:highlight w:val="none"/>
          <w:lang w:eastAsia="zh-CN"/>
        </w:rPr>
        <w:t>－</w:t>
      </w:r>
      <w:r>
        <w:rPr>
          <w:rFonts w:hint="eastAsia" w:ascii="宋体" w:hAnsi="宋体" w:cs="宋体"/>
          <w:color w:val="auto"/>
          <w:sz w:val="24"/>
          <w:highlight w:val="none"/>
        </w:rPr>
        <w:t>政府采购投诉处理</w:t>
      </w:r>
      <w:r>
        <w:rPr>
          <w:rFonts w:hint="eastAsia" w:ascii="宋体" w:hAnsi="宋体" w:cs="宋体"/>
          <w:color w:val="auto"/>
          <w:sz w:val="24"/>
          <w:highlight w:val="none"/>
          <w:lang w:eastAsia="zh-CN"/>
        </w:rPr>
        <w:t>－</w:t>
      </w:r>
      <w:r>
        <w:rPr>
          <w:rFonts w:hint="eastAsia" w:ascii="宋体" w:hAnsi="宋体" w:cs="宋体"/>
          <w:color w:val="auto"/>
          <w:sz w:val="24"/>
          <w:highlight w:val="none"/>
        </w:rPr>
        <w:t>在线办理。</w:t>
      </w:r>
    </w:p>
    <w:p w14:paraId="6232079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w:t>
      </w:r>
      <w:r>
        <w:rPr>
          <w:rFonts w:hint="eastAsia" w:ascii="宋体" w:hAnsi="宋体" w:cs="宋体"/>
          <w:color w:val="auto"/>
          <w:sz w:val="24"/>
          <w:highlight w:val="none"/>
          <w:lang w:val="en-US" w:eastAsia="zh-CN"/>
        </w:rPr>
        <w:t>对</w:t>
      </w:r>
      <w:r>
        <w:rPr>
          <w:rFonts w:hint="eastAsia" w:ascii="宋体" w:hAnsi="宋体" w:cs="宋体"/>
          <w:color w:val="auto"/>
          <w:sz w:val="24"/>
          <w:highlight w:val="none"/>
        </w:rPr>
        <w:t>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232079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w:t>
      </w:r>
      <w:r>
        <w:rPr>
          <w:rFonts w:hint="eastAsia" w:ascii="宋体" w:hAnsi="宋体" w:cs="宋体"/>
          <w:color w:val="auto"/>
          <w:sz w:val="24"/>
          <w:highlight w:val="none"/>
          <w:lang w:eastAsia="zh-CN"/>
        </w:rPr>
        <w:t>－</w:t>
      </w:r>
      <w:r>
        <w:rPr>
          <w:rFonts w:hint="eastAsia" w:ascii="宋体" w:hAnsi="宋体" w:cs="宋体"/>
          <w:color w:val="auto"/>
          <w:sz w:val="24"/>
          <w:highlight w:val="none"/>
        </w:rPr>
        <w:t>电子交易客户端-CA驱动和申领流程”；安装“政采云电子交易客户端”----前往“浙江政府采购网-下载专区</w:t>
      </w:r>
      <w:r>
        <w:rPr>
          <w:rFonts w:hint="eastAsia" w:ascii="宋体" w:hAnsi="宋体" w:cs="宋体"/>
          <w:color w:val="auto"/>
          <w:sz w:val="24"/>
          <w:highlight w:val="none"/>
          <w:lang w:eastAsia="zh-CN"/>
        </w:rPr>
        <w:t>－</w:t>
      </w:r>
      <w:r>
        <w:rPr>
          <w:rFonts w:hint="eastAsia" w:ascii="宋体" w:hAnsi="宋体" w:cs="宋体"/>
          <w:color w:val="auto"/>
          <w:sz w:val="24"/>
          <w:highlight w:val="none"/>
        </w:rPr>
        <w:t>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w:t>
      </w:r>
      <w:r>
        <w:rPr>
          <w:rFonts w:hint="eastAsia" w:ascii="宋体" w:hAnsi="宋体" w:cs="宋体"/>
          <w:color w:val="auto"/>
          <w:sz w:val="24"/>
          <w:highlight w:val="none"/>
          <w:lang w:eastAsia="zh-CN"/>
        </w:rPr>
        <w:t>－</w:t>
      </w:r>
      <w:r>
        <w:rPr>
          <w:rFonts w:hint="eastAsia" w:ascii="宋体" w:hAnsi="宋体" w:cs="宋体"/>
          <w:color w:val="auto"/>
          <w:sz w:val="24"/>
          <w:highlight w:val="none"/>
        </w:rPr>
        <w:t>帮助文档</w:t>
      </w:r>
      <w:r>
        <w:rPr>
          <w:rFonts w:hint="eastAsia" w:ascii="宋体" w:hAnsi="宋体" w:cs="宋体"/>
          <w:color w:val="auto"/>
          <w:sz w:val="24"/>
          <w:highlight w:val="none"/>
          <w:lang w:eastAsia="zh-CN"/>
        </w:rPr>
        <w:t>－</w:t>
      </w:r>
      <w:r>
        <w:rPr>
          <w:rFonts w:hint="eastAsia" w:ascii="宋体" w:hAnsi="宋体" w:cs="宋体"/>
          <w:color w:val="auto"/>
          <w:sz w:val="24"/>
          <w:highlight w:val="none"/>
        </w:rPr>
        <w:t>项目采购</w:t>
      </w:r>
      <w:r>
        <w:rPr>
          <w:rFonts w:hint="eastAsia" w:ascii="宋体" w:hAnsi="宋体" w:cs="宋体"/>
          <w:color w:val="auto"/>
          <w:sz w:val="24"/>
          <w:highlight w:val="none"/>
          <w:lang w:eastAsia="zh-CN"/>
        </w:rPr>
        <w:t>－</w:t>
      </w:r>
      <w:r>
        <w:rPr>
          <w:rFonts w:hint="eastAsia" w:ascii="宋体" w:hAnsi="宋体" w:cs="宋体"/>
          <w:color w:val="auto"/>
          <w:sz w:val="24"/>
          <w:highlight w:val="none"/>
        </w:rPr>
        <w:t>操作流程</w:t>
      </w:r>
      <w:r>
        <w:rPr>
          <w:rFonts w:hint="eastAsia" w:ascii="宋体" w:hAnsi="宋体" w:cs="宋体"/>
          <w:color w:val="auto"/>
          <w:sz w:val="24"/>
          <w:highlight w:val="none"/>
          <w:lang w:eastAsia="zh-CN"/>
        </w:rPr>
        <w:t>－</w:t>
      </w:r>
      <w:r>
        <w:rPr>
          <w:rFonts w:hint="eastAsia" w:ascii="宋体" w:hAnsi="宋体" w:cs="宋体"/>
          <w:color w:val="auto"/>
          <w:sz w:val="24"/>
          <w:highlight w:val="none"/>
        </w:rPr>
        <w:t>电子招投标</w:t>
      </w:r>
      <w:r>
        <w:rPr>
          <w:rFonts w:hint="eastAsia" w:ascii="宋体" w:hAnsi="宋体" w:cs="宋体"/>
          <w:color w:val="auto"/>
          <w:sz w:val="24"/>
          <w:highlight w:val="none"/>
          <w:lang w:eastAsia="zh-CN"/>
        </w:rPr>
        <w:t>－</w:t>
      </w:r>
      <w:r>
        <w:rPr>
          <w:rFonts w:hint="eastAsia" w:ascii="宋体" w:hAnsi="宋体" w:cs="宋体"/>
          <w:color w:val="auto"/>
          <w:sz w:val="24"/>
          <w:highlight w:val="none"/>
        </w:rPr>
        <w:t>政府采购项目电子交易管理操作指南</w:t>
      </w:r>
      <w:r>
        <w:rPr>
          <w:rFonts w:hint="eastAsia" w:ascii="宋体" w:hAnsi="宋体" w:cs="宋体"/>
          <w:color w:val="auto"/>
          <w:sz w:val="24"/>
          <w:highlight w:val="none"/>
          <w:lang w:eastAsia="zh-CN"/>
        </w:rPr>
        <w:t>－</w:t>
      </w:r>
      <w:r>
        <w:rPr>
          <w:rFonts w:hint="eastAsia" w:ascii="宋体" w:hAnsi="宋体" w:cs="宋体"/>
          <w:color w:val="auto"/>
          <w:sz w:val="24"/>
          <w:highlight w:val="none"/>
        </w:rPr>
        <w:t>供应商”。（3）招标文件公告期限与招标公告的公告期限一致。</w:t>
      </w:r>
    </w:p>
    <w:p w14:paraId="62320797">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62320798">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1.采购人信息</w:t>
      </w:r>
    </w:p>
    <w:p w14:paraId="62320799">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名    称：浙江省司法厅</w:t>
      </w:r>
    </w:p>
    <w:p w14:paraId="6232079A">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地址：杭州市西湖区省府路8号省政府十号楼</w:t>
      </w:r>
    </w:p>
    <w:p w14:paraId="6232079B">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传真：/</w:t>
      </w:r>
    </w:p>
    <w:p w14:paraId="6232079C">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项目联系人（询问）：张先生</w:t>
      </w:r>
    </w:p>
    <w:p w14:paraId="6232079D">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项目联系方式（询问）：0571-87054435</w:t>
      </w:r>
    </w:p>
    <w:p w14:paraId="6232079E">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质疑联系人：郭女士</w:t>
      </w:r>
    </w:p>
    <w:p w14:paraId="6232079F">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质疑联系方式：0571-87052477</w:t>
      </w:r>
    </w:p>
    <w:p w14:paraId="623207A0">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2.采购代理机构信息</w:t>
      </w:r>
    </w:p>
    <w:p w14:paraId="623207A1">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名    称：浙江国际招投标有限公司</w:t>
      </w:r>
    </w:p>
    <w:p w14:paraId="623207A2">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地址：杭州市西湖区文三路90号东部软件园1号楼3楼</w:t>
      </w:r>
    </w:p>
    <w:p w14:paraId="623207A3">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传真：0571-88473430</w:t>
      </w:r>
    </w:p>
    <w:p w14:paraId="623207A4">
      <w:pPr>
        <w:spacing w:line="360" w:lineRule="auto"/>
        <w:ind w:firstLine="420" w:firstLineChars="175"/>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项目联系人（询问）：周群峰、</w:t>
      </w:r>
      <w:r>
        <w:rPr>
          <w:rFonts w:hint="eastAsia" w:ascii="宋体" w:hAnsi="宋体" w:cs="宋体"/>
          <w:color w:val="auto"/>
          <w:sz w:val="24"/>
          <w:highlight w:val="none"/>
          <w:lang w:val="en-US" w:eastAsia="zh-CN"/>
        </w:rPr>
        <w:t>易芳明、夏逸云</w:t>
      </w:r>
    </w:p>
    <w:p w14:paraId="623207A5">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项目联系方式（询问）：0571-81061804、</w:t>
      </w:r>
      <w:r>
        <w:rPr>
          <w:rFonts w:hint="eastAsia" w:ascii="宋体" w:hAnsi="宋体" w:eastAsia="宋体" w:cs="宋体"/>
          <w:color w:val="auto"/>
          <w:sz w:val="24"/>
          <w:highlight w:val="none"/>
        </w:rPr>
        <w:t>0571-</w:t>
      </w:r>
      <w:r>
        <w:rPr>
          <w:rFonts w:hint="eastAsia" w:ascii="宋体" w:hAnsi="宋体" w:cs="宋体"/>
          <w:color w:val="auto"/>
          <w:sz w:val="24"/>
          <w:highlight w:val="none"/>
          <w:lang w:val="en-US" w:eastAsia="zh-CN"/>
        </w:rPr>
        <w:t>81061820</w:t>
      </w:r>
    </w:p>
    <w:p w14:paraId="623207A6">
      <w:pPr>
        <w:spacing w:line="360" w:lineRule="auto"/>
        <w:ind w:firstLine="420" w:firstLineChars="175"/>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质疑联系人：</w:t>
      </w:r>
      <w:r>
        <w:rPr>
          <w:rFonts w:hint="eastAsia" w:ascii="宋体" w:hAnsi="宋体" w:cs="宋体"/>
          <w:color w:val="auto"/>
          <w:sz w:val="24"/>
          <w:highlight w:val="none"/>
          <w:lang w:val="en-US" w:eastAsia="zh-CN"/>
        </w:rPr>
        <w:t>葛珍妮</w:t>
      </w:r>
    </w:p>
    <w:p w14:paraId="623207A7">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质疑联系方式：0571-81061821</w:t>
      </w:r>
    </w:p>
    <w:p w14:paraId="623207A8">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3.同级政府采购监督管理部门</w:t>
      </w:r>
    </w:p>
    <w:p w14:paraId="623207A9">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名称：浙江省政府采购行政裁决服务中心（杭州市上城区清泰街549号城建综合大楼11楼）</w:t>
      </w:r>
    </w:p>
    <w:p w14:paraId="623207AA">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地址：杭州市上城区清泰街549号城建综合大楼11楼</w:t>
      </w:r>
    </w:p>
    <w:p w14:paraId="623207AB">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传真：/</w:t>
      </w:r>
    </w:p>
    <w:p w14:paraId="623207AC">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联系人：朱老师、王老师、匡老师</w:t>
      </w:r>
    </w:p>
    <w:p w14:paraId="623207AD">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监督投诉电话：0571-87800218，0571-87227671</w:t>
      </w:r>
    </w:p>
    <w:p w14:paraId="623207AE">
      <w:pPr>
        <w:spacing w:line="360" w:lineRule="auto"/>
        <w:ind w:firstLine="420" w:firstLineChars="175"/>
        <w:rPr>
          <w:rFonts w:ascii="宋体" w:hAnsi="宋体" w:cs="宋体"/>
          <w:color w:val="auto"/>
          <w:sz w:val="24"/>
          <w:highlight w:val="none"/>
        </w:rPr>
      </w:pPr>
    </w:p>
    <w:p w14:paraId="623207AF">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政策咨询：何一平、冯华，0571-87058424、87055741</w:t>
      </w:r>
    </w:p>
    <w:p w14:paraId="623207B0">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预算金额未达100万元的采购项目，由采购人处理采购争议。</w:t>
      </w:r>
    </w:p>
    <w:p w14:paraId="623207B1">
      <w:pPr>
        <w:spacing w:line="360" w:lineRule="auto"/>
        <w:ind w:firstLine="420" w:firstLineChars="175"/>
        <w:rPr>
          <w:rFonts w:ascii="宋体" w:hAnsi="宋体" w:cs="宋体"/>
          <w:color w:val="auto"/>
          <w:sz w:val="24"/>
          <w:highlight w:val="none"/>
        </w:rPr>
      </w:pPr>
    </w:p>
    <w:p w14:paraId="623207B2">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623207B3">
      <w:pPr>
        <w:spacing w:line="360" w:lineRule="auto"/>
        <w:ind w:firstLine="420" w:firstLineChars="175"/>
        <w:rPr>
          <w:rFonts w:ascii="宋体" w:hAnsi="宋体" w:cs="宋体"/>
          <w:b/>
          <w:color w:val="auto"/>
          <w:sz w:val="36"/>
          <w:szCs w:val="20"/>
          <w:highlight w:val="none"/>
        </w:rPr>
      </w:pPr>
      <w:r>
        <w:rPr>
          <w:rFonts w:hint="eastAsia" w:ascii="宋体" w:hAnsi="宋体" w:cs="宋体"/>
          <w:color w:val="auto"/>
          <w:sz w:val="24"/>
          <w:highlight w:val="none"/>
        </w:rPr>
        <w:t>CA问题联系电话（人工）：汇信CA 400-888-4636；天谷CA 400-087-8198。</w:t>
      </w:r>
      <w:r>
        <w:rPr>
          <w:rFonts w:hint="eastAsia" w:ascii="宋体" w:hAnsi="宋体" w:cs="宋体"/>
          <w:b/>
          <w:color w:val="auto"/>
          <w:sz w:val="36"/>
          <w:szCs w:val="20"/>
          <w:highlight w:val="none"/>
        </w:rPr>
        <w:br w:type="page"/>
      </w:r>
    </w:p>
    <w:p w14:paraId="623207B4">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7"/>
      <w:r>
        <w:rPr>
          <w:rFonts w:hint="eastAsia" w:ascii="宋体" w:hAnsi="宋体" w:cs="宋体"/>
          <w:b/>
          <w:color w:val="auto"/>
          <w:sz w:val="36"/>
          <w:szCs w:val="20"/>
          <w:highlight w:val="none"/>
        </w:rPr>
        <w:t xml:space="preserve"> 投标人须知</w:t>
      </w:r>
      <w:bookmarkEnd w:id="8"/>
    </w:p>
    <w:p w14:paraId="623207B5">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3"/>
        <w:tblW w:w="9302" w:type="dxa"/>
        <w:tblInd w:w="-136"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473"/>
        <w:gridCol w:w="7200"/>
      </w:tblGrid>
      <w:tr w14:paraId="623207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66" w:hRule="atLeast"/>
          <w:tblHeader/>
        </w:trPr>
        <w:tc>
          <w:tcPr>
            <w:tcW w:w="629" w:type="dxa"/>
            <w:tcBorders>
              <w:top w:val="single" w:color="auto" w:sz="4" w:space="0"/>
              <w:left w:val="single" w:color="auto" w:sz="4" w:space="0"/>
              <w:bottom w:val="single" w:color="auto" w:sz="4" w:space="0"/>
              <w:right w:val="single" w:color="auto" w:sz="4" w:space="0"/>
            </w:tcBorders>
          </w:tcPr>
          <w:p w14:paraId="623207B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473" w:type="dxa"/>
            <w:tcBorders>
              <w:top w:val="single" w:color="000000" w:sz="8" w:space="0"/>
              <w:left w:val="single" w:color="auto" w:sz="4" w:space="0"/>
              <w:bottom w:val="single" w:color="000000" w:sz="8" w:space="0"/>
              <w:right w:val="single" w:color="000000" w:sz="8" w:space="0"/>
            </w:tcBorders>
            <w:vAlign w:val="center"/>
          </w:tcPr>
          <w:p w14:paraId="623207B7">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7200" w:type="dxa"/>
            <w:tcBorders>
              <w:top w:val="single" w:color="000000" w:sz="8" w:space="0"/>
              <w:left w:val="single" w:color="000000" w:sz="2" w:space="0"/>
              <w:bottom w:val="single" w:color="000000" w:sz="8" w:space="0"/>
              <w:right w:val="single" w:color="000000" w:sz="8" w:space="0"/>
            </w:tcBorders>
            <w:vAlign w:val="center"/>
          </w:tcPr>
          <w:p w14:paraId="623207B8">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623207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23207B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473" w:type="dxa"/>
            <w:tcBorders>
              <w:top w:val="single" w:color="000000" w:sz="8" w:space="0"/>
              <w:left w:val="single" w:color="auto" w:sz="4" w:space="0"/>
              <w:bottom w:val="single" w:color="000000" w:sz="8" w:space="0"/>
              <w:right w:val="single" w:color="000000" w:sz="8" w:space="0"/>
            </w:tcBorders>
            <w:vAlign w:val="center"/>
          </w:tcPr>
          <w:p w14:paraId="623207BB">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项目属性</w:t>
            </w:r>
          </w:p>
        </w:tc>
        <w:tc>
          <w:tcPr>
            <w:tcW w:w="7200" w:type="dxa"/>
            <w:tcBorders>
              <w:top w:val="single" w:color="000000" w:sz="8" w:space="0"/>
              <w:left w:val="single" w:color="000000" w:sz="2" w:space="0"/>
              <w:bottom w:val="single" w:color="000000" w:sz="8" w:space="0"/>
              <w:right w:val="single" w:color="000000" w:sz="8" w:space="0"/>
            </w:tcBorders>
            <w:vAlign w:val="center"/>
          </w:tcPr>
          <w:p w14:paraId="623207BC">
            <w:pPr>
              <w:spacing w:line="360" w:lineRule="auto"/>
              <w:rPr>
                <w:rFonts w:ascii="宋体" w:hAnsi="宋体" w:cs="宋体"/>
                <w:color w:val="auto"/>
                <w:sz w:val="24"/>
                <w:highlight w:val="none"/>
              </w:rPr>
            </w:pPr>
            <w:r>
              <w:rPr>
                <w:rFonts w:hint="eastAsia" w:ascii="宋体" w:hAnsi="宋体" w:cs="宋体"/>
                <w:color w:val="auto"/>
                <w:sz w:val="24"/>
                <w:highlight w:val="none"/>
              </w:rPr>
              <w:t>服务类。</w:t>
            </w:r>
          </w:p>
        </w:tc>
      </w:tr>
      <w:tr w14:paraId="623207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902"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23207BE">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473" w:type="dxa"/>
            <w:tcBorders>
              <w:top w:val="single" w:color="000000" w:sz="8" w:space="0"/>
              <w:left w:val="single" w:color="auto" w:sz="4" w:space="0"/>
              <w:bottom w:val="single" w:color="000000" w:sz="8" w:space="0"/>
              <w:right w:val="single" w:color="000000" w:sz="8" w:space="0"/>
            </w:tcBorders>
            <w:vAlign w:val="center"/>
          </w:tcPr>
          <w:p w14:paraId="623207BF">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7200" w:type="dxa"/>
            <w:tcBorders>
              <w:top w:val="single" w:color="000000" w:sz="8" w:space="0"/>
              <w:left w:val="single" w:color="000000" w:sz="2" w:space="0"/>
              <w:bottom w:val="single" w:color="000000" w:sz="8" w:space="0"/>
              <w:right w:val="single" w:color="000000" w:sz="8" w:space="0"/>
            </w:tcBorders>
            <w:vAlign w:val="center"/>
          </w:tcPr>
          <w:p w14:paraId="623207C0">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（1）标的：</w:t>
            </w:r>
            <w:r>
              <w:rPr>
                <w:rFonts w:hint="eastAsia" w:ascii="宋体" w:hAnsi="宋体" w:cs="宋体"/>
                <w:color w:val="auto"/>
                <w:kern w:val="0"/>
                <w:sz w:val="24"/>
                <w:highlight w:val="none"/>
                <w:u w:val="single"/>
                <w:lang w:val="en-US" w:eastAsia="zh-CN"/>
              </w:rPr>
              <w:t>标项1为</w:t>
            </w:r>
            <w:r>
              <w:rPr>
                <w:rFonts w:hint="eastAsia" w:ascii="宋体" w:hAnsi="宋体" w:cs="宋体"/>
                <w:color w:val="auto"/>
                <w:kern w:val="0"/>
                <w:sz w:val="24"/>
                <w:highlight w:val="none"/>
                <w:u w:val="single"/>
                <w:lang w:eastAsia="zh-CN"/>
              </w:rPr>
              <w:t>浙江省县乡合法性审查法律法规库建设项目，</w:t>
            </w:r>
            <w:r>
              <w:rPr>
                <w:rFonts w:hint="eastAsia" w:ascii="宋体" w:hAnsi="宋体" w:cs="宋体"/>
                <w:color w:val="auto"/>
                <w:kern w:val="0"/>
                <w:sz w:val="24"/>
                <w:highlight w:val="none"/>
                <w:u w:val="single"/>
                <w:lang w:val="en-US" w:eastAsia="zh-CN"/>
              </w:rPr>
              <w:t>标项2为</w:t>
            </w:r>
            <w:r>
              <w:rPr>
                <w:rFonts w:hint="eastAsia" w:ascii="宋体" w:hAnsi="宋体" w:cs="宋体"/>
                <w:color w:val="auto"/>
                <w:kern w:val="0"/>
                <w:sz w:val="24"/>
                <w:highlight w:val="none"/>
                <w:u w:val="single"/>
                <w:lang w:eastAsia="zh-CN"/>
              </w:rPr>
              <w:t>县乡合法性审查应用建设项目</w:t>
            </w:r>
            <w:r>
              <w:rPr>
                <w:rFonts w:hint="eastAsia" w:ascii="宋体" w:hAnsi="宋体" w:cs="宋体"/>
                <w:color w:val="auto"/>
                <w:kern w:val="0"/>
                <w:sz w:val="24"/>
                <w:highlight w:val="none"/>
              </w:rPr>
              <w:t>，属于</w:t>
            </w:r>
            <w:r>
              <w:rPr>
                <w:rFonts w:hint="eastAsia" w:ascii="宋体" w:hAnsi="宋体" w:cs="宋体"/>
                <w:color w:val="auto"/>
                <w:kern w:val="0"/>
                <w:sz w:val="24"/>
                <w:highlight w:val="none"/>
                <w:u w:val="single"/>
              </w:rPr>
              <w:t xml:space="preserve">软件和信息技术服务业 </w:t>
            </w:r>
            <w:r>
              <w:rPr>
                <w:rFonts w:hint="eastAsia" w:ascii="宋体" w:hAnsi="宋体" w:cs="宋体"/>
                <w:color w:val="auto"/>
                <w:kern w:val="0"/>
                <w:sz w:val="24"/>
                <w:highlight w:val="none"/>
              </w:rPr>
              <w:t>行业；</w:t>
            </w:r>
          </w:p>
          <w:p w14:paraId="623207C1">
            <w:pPr>
              <w:pStyle w:val="4"/>
              <w:ind w:left="0" w:firstLine="0"/>
              <w:rPr>
                <w:rFonts w:ascii="宋体" w:hAnsi="宋体" w:eastAsia="宋体" w:cs="宋体"/>
                <w:color w:val="auto"/>
                <w:sz w:val="24"/>
                <w:szCs w:val="24"/>
                <w:highlight w:val="none"/>
                <w:lang w:val="en-US"/>
              </w:rPr>
            </w:pPr>
            <w:r>
              <w:rPr>
                <w:rFonts w:hint="eastAsia" w:ascii="宋体" w:hAnsi="宋体" w:eastAsia="宋体" w:cs="宋体"/>
                <w:b w:val="0"/>
                <w:bCs w:val="0"/>
                <w:color w:val="auto"/>
                <w:kern w:val="0"/>
                <w:sz w:val="24"/>
                <w:szCs w:val="24"/>
                <w:highlight w:val="none"/>
                <w:lang w:val="en-US"/>
              </w:rPr>
              <w:t>（2）根据《关于印发中小企业划型标准规定的通知》（工信部联企业〔2011〕300）第四条第（二）项规定：软件和信息技术服务业行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tc>
      </w:tr>
      <w:tr w14:paraId="623207C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66"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23207C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473" w:type="dxa"/>
            <w:tcBorders>
              <w:top w:val="single" w:color="000000" w:sz="8" w:space="0"/>
              <w:left w:val="single" w:color="auto" w:sz="4" w:space="0"/>
              <w:bottom w:val="single" w:color="000000" w:sz="8" w:space="0"/>
              <w:right w:val="single" w:color="000000" w:sz="8" w:space="0"/>
            </w:tcBorders>
            <w:vAlign w:val="center"/>
          </w:tcPr>
          <w:p w14:paraId="623207C4">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7200" w:type="dxa"/>
            <w:tcBorders>
              <w:top w:val="single" w:color="000000" w:sz="8" w:space="0"/>
              <w:left w:val="single" w:color="000000" w:sz="2" w:space="0"/>
              <w:bottom w:val="single" w:color="000000" w:sz="8" w:space="0"/>
              <w:right w:val="single" w:color="000000" w:sz="8" w:space="0"/>
            </w:tcBorders>
            <w:vAlign w:val="center"/>
          </w:tcPr>
          <w:p w14:paraId="623207C5">
            <w:pPr>
              <w:spacing w:line="360" w:lineRule="auto"/>
              <w:rPr>
                <w:rFonts w:ascii="宋体" w:hAnsi="宋体" w:cs="宋体"/>
                <w:color w:val="auto"/>
                <w:kern w:val="0"/>
                <w:sz w:val="24"/>
                <w:highlight w:val="none"/>
              </w:rPr>
            </w:pPr>
            <w:r>
              <w:rPr>
                <w:rFonts w:hint="eastAsia" w:ascii="宋体" w:hAnsi="宋体" w:cs="宋体"/>
                <w:b/>
                <w:bCs/>
                <w:snapToGrid w:val="0"/>
                <w:color w:val="auto"/>
                <w:kern w:val="28"/>
                <w:sz w:val="24"/>
                <w:highlight w:val="none"/>
              </w:rPr>
              <w:t xml:space="preserve">√ </w:t>
            </w:r>
            <w:r>
              <w:rPr>
                <w:rFonts w:hint="eastAsia" w:ascii="宋体" w:hAnsi="宋体" w:cs="宋体"/>
                <w:b/>
                <w:bCs/>
                <w:color w:val="auto"/>
                <w:kern w:val="0"/>
                <w:sz w:val="24"/>
                <w:highlight w:val="none"/>
              </w:rPr>
              <w:t>本项目不允许采购进口产品。</w:t>
            </w:r>
          </w:p>
          <w:p w14:paraId="623207C6">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47471470"/>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14:paraId="623207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2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23207C8">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473" w:type="dxa"/>
            <w:tcBorders>
              <w:top w:val="single" w:color="000000" w:sz="8" w:space="0"/>
              <w:left w:val="single" w:color="auto" w:sz="4" w:space="0"/>
              <w:bottom w:val="single" w:color="000000" w:sz="8" w:space="0"/>
              <w:right w:val="single" w:color="000000" w:sz="8" w:space="0"/>
            </w:tcBorders>
            <w:vAlign w:val="center"/>
          </w:tcPr>
          <w:p w14:paraId="623207C9">
            <w:pP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7200" w:type="dxa"/>
            <w:tcBorders>
              <w:top w:val="single" w:color="000000" w:sz="8" w:space="0"/>
              <w:left w:val="single" w:color="000000" w:sz="2" w:space="0"/>
              <w:bottom w:val="single" w:color="000000" w:sz="8" w:space="0"/>
              <w:right w:val="single" w:color="000000" w:sz="8" w:space="0"/>
            </w:tcBorders>
            <w:vAlign w:val="center"/>
          </w:tcPr>
          <w:p w14:paraId="623207CA">
            <w:pPr>
              <w:spacing w:line="360" w:lineRule="auto"/>
              <w:rPr>
                <w:rFonts w:ascii="宋体" w:hAnsi="宋体" w:cs="宋体"/>
                <w:color w:val="auto"/>
                <w:sz w:val="24"/>
                <w:highlight w:val="none"/>
              </w:rPr>
            </w:pPr>
            <w:r>
              <w:rPr>
                <w:rFonts w:hint="eastAsia" w:ascii="宋体" w:hAnsi="宋体" w:cs="宋体"/>
                <w:b/>
                <w:bCs/>
                <w:snapToGrid w:val="0"/>
                <w:color w:val="auto"/>
                <w:kern w:val="28"/>
                <w:sz w:val="24"/>
                <w:highlight w:val="none"/>
              </w:rPr>
              <w:t>√</w:t>
            </w:r>
            <w:r>
              <w:rPr>
                <w:rFonts w:hint="eastAsia" w:ascii="宋体" w:hAnsi="宋体" w:cs="宋体"/>
                <w:color w:val="auto"/>
                <w:kern w:val="0"/>
                <w:sz w:val="24"/>
                <w:highlight w:val="none"/>
              </w:rPr>
              <w:t xml:space="preserve"> </w:t>
            </w:r>
            <w:r>
              <w:rPr>
                <w:rFonts w:hint="eastAsia" w:ascii="宋体" w:hAnsi="宋体" w:cs="宋体"/>
                <w:b/>
                <w:bCs/>
                <w:color w:val="auto"/>
                <w:kern w:val="0"/>
                <w:sz w:val="24"/>
                <w:highlight w:val="none"/>
              </w:rPr>
              <w:t xml:space="preserve">A同意除 </w:t>
            </w:r>
            <w:r>
              <w:rPr>
                <w:rFonts w:hint="eastAsia" w:ascii="宋体" w:hAnsi="宋体" w:cs="宋体"/>
                <w:b/>
                <w:bCs/>
                <w:color w:val="auto"/>
                <w:kern w:val="0"/>
                <w:sz w:val="24"/>
                <w:highlight w:val="none"/>
                <w:u w:val="single"/>
              </w:rPr>
              <w:t>软件开发</w:t>
            </w:r>
            <w:r>
              <w:rPr>
                <w:rFonts w:hint="eastAsia" w:ascii="宋体" w:hAnsi="宋体" w:cs="宋体"/>
                <w:b/>
                <w:bCs/>
                <w:color w:val="auto"/>
                <w:kern w:val="0"/>
                <w:sz w:val="24"/>
                <w:highlight w:val="none"/>
                <w:u w:val="single"/>
              </w:rPr>
              <w:t xml:space="preserve"> </w:t>
            </w:r>
            <w:r>
              <w:rPr>
                <w:rFonts w:hint="eastAsia" w:ascii="宋体" w:hAnsi="宋体" w:cs="宋体"/>
                <w:b/>
                <w:bCs/>
                <w:color w:val="auto"/>
                <w:kern w:val="0"/>
                <w:sz w:val="24"/>
                <w:highlight w:val="none"/>
              </w:rPr>
              <w:t>外的</w:t>
            </w:r>
            <w:r>
              <w:rPr>
                <w:rFonts w:hint="eastAsia" w:ascii="宋体" w:hAnsi="宋体" w:cs="宋体"/>
                <w:b/>
                <w:bCs/>
                <w:color w:val="auto"/>
                <w:sz w:val="24"/>
                <w:highlight w:val="none"/>
              </w:rPr>
              <w:t>非主体、非关键性的工作分包。</w:t>
            </w:r>
          </w:p>
          <w:p w14:paraId="623207CB">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4747437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14:paraId="623207CC">
            <w:pPr>
              <w:spacing w:line="360" w:lineRule="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623207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051"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23207CE">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473" w:type="dxa"/>
            <w:tcBorders>
              <w:top w:val="single" w:color="000000" w:sz="8" w:space="0"/>
              <w:left w:val="single" w:color="auto" w:sz="4" w:space="0"/>
              <w:bottom w:val="single" w:color="000000" w:sz="8" w:space="0"/>
              <w:right w:val="single" w:color="000000" w:sz="8" w:space="0"/>
            </w:tcBorders>
            <w:vAlign w:val="center"/>
          </w:tcPr>
          <w:p w14:paraId="623207CF">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7200" w:type="dxa"/>
            <w:tcBorders>
              <w:top w:val="single" w:color="000000" w:sz="8" w:space="0"/>
              <w:left w:val="single" w:color="000000" w:sz="2" w:space="0"/>
              <w:bottom w:val="single" w:color="000000" w:sz="8" w:space="0"/>
              <w:right w:val="single" w:color="000000" w:sz="8" w:space="0"/>
            </w:tcBorders>
            <w:vAlign w:val="center"/>
          </w:tcPr>
          <w:p w14:paraId="623207D0">
            <w:pPr>
              <w:spacing w:line="360" w:lineRule="auto"/>
              <w:rPr>
                <w:rFonts w:ascii="宋体" w:hAnsi="宋体" w:cs="宋体"/>
                <w:color w:val="auto"/>
                <w:sz w:val="24"/>
                <w:highlight w:val="none"/>
              </w:rPr>
            </w:pPr>
            <w:r>
              <w:rPr>
                <w:rFonts w:hint="eastAsia" w:ascii="宋体" w:hAnsi="宋体" w:eastAsia="宋体" w:cs="宋体"/>
                <w:b/>
                <w:bCs/>
                <w:snapToGrid w:val="0"/>
                <w:color w:val="auto"/>
                <w:kern w:val="28"/>
                <w:highlight w:val="none"/>
              </w:rPr>
              <w:t>√</w:t>
            </w:r>
            <w:r>
              <w:rPr>
                <w:rFonts w:hint="eastAsia" w:ascii="宋体" w:hAnsi="宋体" w:cs="宋体"/>
                <w:b/>
                <w:bCs/>
                <w:color w:val="auto"/>
                <w:kern w:val="0"/>
                <w:sz w:val="24"/>
                <w:highlight w:val="none"/>
              </w:rPr>
              <w:t>A</w:t>
            </w:r>
            <w:r>
              <w:rPr>
                <w:rFonts w:hint="eastAsia" w:ascii="宋体" w:hAnsi="宋体" w:cs="宋体"/>
                <w:b/>
                <w:bCs/>
                <w:color w:val="auto"/>
                <w:kern w:val="0"/>
                <w:sz w:val="24"/>
                <w:highlight w:val="none"/>
                <w:lang w:val="en-US" w:eastAsia="zh-CN"/>
              </w:rPr>
              <w:t>标项1</w:t>
            </w:r>
            <w:r>
              <w:rPr>
                <w:rFonts w:hint="eastAsia" w:ascii="宋体" w:hAnsi="宋体" w:cs="宋体"/>
                <w:b/>
                <w:bCs/>
                <w:color w:val="auto"/>
                <w:sz w:val="24"/>
                <w:highlight w:val="none"/>
              </w:rPr>
              <w:t>不组织。</w:t>
            </w:r>
          </w:p>
          <w:p w14:paraId="623207D1">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47480652"/>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623207D2">
            <w:pPr>
              <w:pStyle w:val="90"/>
              <w:spacing w:line="360" w:lineRule="auto"/>
              <w:rPr>
                <w:rFonts w:ascii="宋体" w:hAnsi="宋体" w:eastAsia="宋体" w:cs="宋体"/>
                <w:color w:val="auto"/>
                <w:highlight w:val="none"/>
              </w:rPr>
            </w:pPr>
            <w:r>
              <w:rPr>
                <w:rFonts w:hint="eastAsia" w:ascii="宋体" w:hAnsi="宋体" w:eastAsia="宋体" w:cs="宋体"/>
                <w:b/>
                <w:bCs/>
                <w:snapToGrid w:val="0"/>
                <w:color w:val="auto"/>
                <w:kern w:val="28"/>
                <w:highlight w:val="none"/>
              </w:rPr>
              <w:t>√</w:t>
            </w:r>
            <w:r>
              <w:rPr>
                <w:rFonts w:hint="eastAsia" w:ascii="宋体" w:hAnsi="宋体" w:cs="宋体"/>
                <w:b/>
                <w:bCs/>
                <w:color w:val="auto"/>
                <w:kern w:val="0"/>
                <w:sz w:val="24"/>
                <w:highlight w:val="none"/>
                <w:lang w:val="en-US" w:eastAsia="zh-CN"/>
              </w:rPr>
              <w:t>C</w:t>
            </w:r>
            <w:r>
              <w:rPr>
                <w:rFonts w:hint="eastAsia" w:ascii="宋体" w:hAnsi="宋体" w:eastAsia="宋体" w:cs="宋体"/>
                <w:b/>
                <w:bCs/>
                <w:color w:val="auto"/>
                <w:highlight w:val="none"/>
                <w:lang w:val="en-US" w:eastAsia="zh-CN"/>
              </w:rPr>
              <w:t>标项2</w:t>
            </w:r>
            <w:r>
              <w:rPr>
                <w:rFonts w:hint="eastAsia" w:ascii="宋体" w:hAnsi="宋体" w:eastAsia="宋体" w:cs="宋体"/>
                <w:b/>
                <w:bCs/>
                <w:color w:val="auto"/>
                <w:highlight w:val="none"/>
              </w:rPr>
              <w:t>不统一组织，供应商在获取采购文件后，自行至项目现场考察。地点：</w:t>
            </w:r>
            <w:r>
              <w:rPr>
                <w:rFonts w:hint="eastAsia" w:ascii="宋体" w:hAnsi="宋体" w:eastAsia="宋体" w:cs="宋体"/>
                <w:b/>
                <w:bCs/>
                <w:color w:val="auto"/>
                <w:highlight w:val="none"/>
                <w:u w:val="single"/>
              </w:rPr>
              <w:t>杭州市西湖区省府路8号省政府十号楼</w:t>
            </w:r>
            <w:r>
              <w:rPr>
                <w:rFonts w:hint="eastAsia" w:ascii="宋体" w:hAnsi="宋体" w:eastAsia="宋体" w:cs="宋体"/>
                <w:b/>
                <w:bCs/>
                <w:color w:val="auto"/>
                <w:highlight w:val="none"/>
              </w:rPr>
              <w:t>，联系人：</w:t>
            </w:r>
            <w:r>
              <w:rPr>
                <w:rFonts w:hint="eastAsia" w:ascii="宋体" w:hAnsi="宋体" w:eastAsia="宋体" w:cs="宋体"/>
                <w:b/>
                <w:bCs/>
                <w:color w:val="auto"/>
                <w:highlight w:val="none"/>
                <w:u w:val="single"/>
              </w:rPr>
              <w:t xml:space="preserve">见招标公告 </w:t>
            </w:r>
            <w:r>
              <w:rPr>
                <w:rFonts w:hint="eastAsia" w:ascii="宋体" w:hAnsi="宋体" w:eastAsia="宋体" w:cs="宋体"/>
                <w:b/>
                <w:bCs/>
                <w:color w:val="auto"/>
                <w:highlight w:val="none"/>
              </w:rPr>
              <w:t>，联系方式：</w:t>
            </w:r>
            <w:r>
              <w:rPr>
                <w:rFonts w:hint="eastAsia" w:ascii="宋体" w:hAnsi="宋体" w:eastAsia="宋体" w:cs="宋体"/>
                <w:b/>
                <w:bCs/>
                <w:color w:val="auto"/>
                <w:highlight w:val="none"/>
                <w:u w:val="single"/>
              </w:rPr>
              <w:t xml:space="preserve"> 见招标公告 </w:t>
            </w:r>
            <w:r>
              <w:rPr>
                <w:rFonts w:hint="eastAsia" w:ascii="宋体" w:hAnsi="宋体" w:eastAsia="宋体" w:cs="宋体"/>
                <w:b/>
                <w:bCs/>
                <w:color w:val="auto"/>
                <w:highlight w:val="none"/>
              </w:rPr>
              <w:t>。</w:t>
            </w:r>
          </w:p>
        </w:tc>
      </w:tr>
      <w:tr w14:paraId="623207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5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23207D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473" w:type="dxa"/>
            <w:tcBorders>
              <w:top w:val="single" w:color="000000" w:sz="8" w:space="0"/>
              <w:left w:val="single" w:color="auto" w:sz="4" w:space="0"/>
              <w:bottom w:val="single" w:color="000000" w:sz="8" w:space="0"/>
              <w:right w:val="single" w:color="000000" w:sz="8" w:space="0"/>
            </w:tcBorders>
            <w:vAlign w:val="center"/>
          </w:tcPr>
          <w:p w14:paraId="623207D5">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7200" w:type="dxa"/>
            <w:tcBorders>
              <w:top w:val="single" w:color="000000" w:sz="8" w:space="0"/>
              <w:left w:val="single" w:color="000000" w:sz="2" w:space="0"/>
              <w:bottom w:val="single" w:color="000000" w:sz="8" w:space="0"/>
              <w:right w:val="single" w:color="000000" w:sz="8" w:space="0"/>
            </w:tcBorders>
            <w:vAlign w:val="center"/>
          </w:tcPr>
          <w:p w14:paraId="623207D6">
            <w:pPr>
              <w:spacing w:line="420" w:lineRule="exact"/>
              <w:rPr>
                <w:rFonts w:ascii="宋体" w:hAnsi="宋体" w:cs="宋体"/>
                <w:color w:val="auto"/>
                <w:sz w:val="24"/>
                <w:highlight w:val="none"/>
              </w:rPr>
            </w:pPr>
            <w:r>
              <w:rPr>
                <w:rFonts w:hint="eastAsia" w:ascii="宋体" w:hAnsi="宋体" w:cs="宋体"/>
                <w:b/>
                <w:bCs/>
                <w:snapToGrid w:val="0"/>
                <w:color w:val="auto"/>
                <w:kern w:val="28"/>
                <w:sz w:val="24"/>
                <w:highlight w:val="none"/>
              </w:rPr>
              <w:t>√</w:t>
            </w:r>
            <w:r>
              <w:rPr>
                <w:rFonts w:hint="eastAsia" w:ascii="宋体" w:hAnsi="宋体" w:cs="宋体"/>
                <w:color w:val="auto"/>
                <w:kern w:val="0"/>
                <w:sz w:val="24"/>
                <w:highlight w:val="none"/>
              </w:rPr>
              <w:t xml:space="preserve"> </w:t>
            </w:r>
            <w:r>
              <w:rPr>
                <w:rFonts w:hint="eastAsia" w:ascii="宋体" w:hAnsi="宋体" w:cs="宋体"/>
                <w:b/>
                <w:bCs/>
                <w:color w:val="auto"/>
                <w:kern w:val="0"/>
                <w:sz w:val="24"/>
                <w:highlight w:val="none"/>
              </w:rPr>
              <w:t>A</w:t>
            </w:r>
            <w:r>
              <w:rPr>
                <w:rFonts w:hint="eastAsia" w:ascii="宋体" w:hAnsi="宋体" w:cs="宋体"/>
                <w:b/>
                <w:bCs/>
                <w:color w:val="auto"/>
                <w:sz w:val="24"/>
                <w:highlight w:val="none"/>
              </w:rPr>
              <w:t>不要求提供。</w:t>
            </w:r>
          </w:p>
          <w:p w14:paraId="623207D7">
            <w:pPr>
              <w:spacing w:line="420" w:lineRule="exact"/>
              <w:rPr>
                <w:rFonts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 xml:space="preserve"> B要求提供，</w:t>
            </w:r>
          </w:p>
          <w:p w14:paraId="623207D8">
            <w:pPr>
              <w:spacing w:line="420" w:lineRule="exact"/>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623207D9">
            <w:pPr>
              <w:spacing w:line="420" w:lineRule="exac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）提供样品的时间：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14:paraId="623207DA">
            <w:pPr>
              <w:spacing w:line="420" w:lineRule="exact"/>
              <w:rPr>
                <w:rFonts w:ascii="宋体" w:hAnsi="宋体" w:cs="宋体"/>
                <w:b/>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7）制作、运输、安装和保管样品所发生的一切费用由投标人自理。</w:t>
            </w:r>
          </w:p>
        </w:tc>
      </w:tr>
      <w:tr w14:paraId="623207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23207DC">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473" w:type="dxa"/>
            <w:tcBorders>
              <w:top w:val="single" w:color="000000" w:sz="8" w:space="0"/>
              <w:left w:val="single" w:color="auto" w:sz="4" w:space="0"/>
              <w:bottom w:val="single" w:color="000000" w:sz="8" w:space="0"/>
              <w:right w:val="single" w:color="000000" w:sz="8" w:space="0"/>
            </w:tcBorders>
            <w:vAlign w:val="center"/>
          </w:tcPr>
          <w:p w14:paraId="623207DD">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系统演示</w:t>
            </w:r>
          </w:p>
        </w:tc>
        <w:tc>
          <w:tcPr>
            <w:tcW w:w="7200" w:type="dxa"/>
            <w:tcBorders>
              <w:top w:val="single" w:color="000000" w:sz="8" w:space="0"/>
              <w:left w:val="single" w:color="000000" w:sz="2" w:space="0"/>
              <w:bottom w:val="single" w:color="000000" w:sz="8" w:space="0"/>
              <w:right w:val="single" w:color="000000" w:sz="8" w:space="0"/>
            </w:tcBorders>
            <w:vAlign w:val="center"/>
          </w:tcPr>
          <w:p w14:paraId="623207DE">
            <w:pPr>
              <w:snapToGrid w:val="0"/>
              <w:spacing w:line="360" w:lineRule="auto"/>
              <w:contextualSpacing/>
              <w:rPr>
                <w:rFonts w:ascii="宋体" w:hAnsi="宋体" w:cs="宋体"/>
                <w:color w:val="auto"/>
                <w:sz w:val="24"/>
                <w:highlight w:val="none"/>
              </w:rPr>
            </w:pPr>
            <w:r>
              <w:rPr>
                <w:rFonts w:hint="eastAsia" w:ascii="宋体" w:hAnsi="宋体" w:cs="宋体"/>
                <w:color w:val="auto"/>
                <w:kern w:val="0"/>
                <w:sz w:val="24"/>
                <w:highlight w:val="none"/>
              </w:rPr>
              <w:t>☐ A</w:t>
            </w:r>
            <w:r>
              <w:rPr>
                <w:rFonts w:hint="eastAsia" w:ascii="宋体" w:hAnsi="宋体" w:cs="宋体"/>
                <w:color w:val="auto"/>
                <w:sz w:val="24"/>
                <w:highlight w:val="none"/>
              </w:rPr>
              <w:t>不组织。</w:t>
            </w:r>
          </w:p>
          <w:p w14:paraId="623207DF">
            <w:pPr>
              <w:snapToGrid w:val="0"/>
              <w:spacing w:line="360" w:lineRule="auto"/>
              <w:contextualSpacing/>
              <w:rPr>
                <w:rFonts w:ascii="宋体" w:hAnsi="宋体" w:cs="宋体"/>
                <w:b/>
                <w:bCs/>
                <w:color w:val="auto"/>
                <w:kern w:val="0"/>
                <w:sz w:val="24"/>
                <w:highlight w:val="none"/>
              </w:rPr>
            </w:pPr>
            <w:r>
              <w:rPr>
                <w:rFonts w:hint="eastAsia" w:ascii="宋体" w:hAnsi="宋体" w:cs="宋体"/>
                <w:b/>
                <w:bCs/>
                <w:snapToGrid w:val="0"/>
                <w:color w:val="auto"/>
                <w:kern w:val="28"/>
                <w:sz w:val="24"/>
                <w:highlight w:val="none"/>
              </w:rPr>
              <w:t xml:space="preserve">√ </w:t>
            </w:r>
            <w:r>
              <w:rPr>
                <w:rFonts w:hint="eastAsia" w:ascii="宋体" w:hAnsi="宋体" w:cs="宋体"/>
                <w:b/>
                <w:bCs/>
                <w:color w:val="auto"/>
                <w:kern w:val="0"/>
                <w:sz w:val="24"/>
                <w:highlight w:val="none"/>
              </w:rPr>
              <w:t>B组织。</w:t>
            </w:r>
          </w:p>
          <w:p w14:paraId="623207E0">
            <w:pPr>
              <w:snapToGrid w:val="0"/>
              <w:spacing w:line="360" w:lineRule="auto"/>
              <w:contextualSpacing/>
              <w:rPr>
                <w:rFonts w:ascii="宋体" w:hAnsi="宋体" w:cs="宋体"/>
                <w:color w:val="auto"/>
                <w:kern w:val="0"/>
                <w:sz w:val="24"/>
                <w:highlight w:val="none"/>
              </w:rPr>
            </w:pPr>
            <w:r>
              <w:rPr>
                <w:rFonts w:hint="eastAsia" w:ascii="宋体" w:hAnsi="宋体" w:cs="宋体"/>
                <w:color w:val="auto"/>
                <w:kern w:val="0"/>
                <w:sz w:val="24"/>
                <w:highlight w:val="none"/>
              </w:rPr>
              <w:t>（1）在评标时安排每个投标人进行系统演示。每个投标人时间不超过</w:t>
            </w:r>
            <w:r>
              <w:rPr>
                <w:rFonts w:hint="eastAsia" w:ascii="宋体" w:hAnsi="宋体" w:cs="宋体"/>
                <w:color w:val="auto"/>
                <w:kern w:val="0"/>
                <w:sz w:val="24"/>
                <w:highlight w:val="none"/>
                <w:u w:val="single"/>
              </w:rPr>
              <w:t xml:space="preserve"> 15 </w:t>
            </w:r>
            <w:r>
              <w:rPr>
                <w:rFonts w:hint="eastAsia" w:ascii="宋体" w:hAnsi="宋体" w:cs="宋体"/>
                <w:color w:val="auto"/>
                <w:kern w:val="0"/>
                <w:sz w:val="24"/>
                <w:highlight w:val="none"/>
              </w:rPr>
              <w:t>分钟（不含现场评标委员会提问时间），演示次序以投标文件解密时间先后次序为准，演示人员需为拟派项目组成员之一。演示结束后按要求解答评标委员会提问。</w:t>
            </w:r>
          </w:p>
          <w:p w14:paraId="623207E1">
            <w:pPr>
              <w:snapToGrid w:val="0"/>
              <w:spacing w:line="360" w:lineRule="auto"/>
              <w:contextualSpacing/>
              <w:rPr>
                <w:rFonts w:ascii="宋体" w:hAnsi="宋体" w:cs="宋体"/>
                <w:color w:val="auto"/>
                <w:kern w:val="0"/>
                <w:sz w:val="24"/>
                <w:highlight w:val="none"/>
              </w:rPr>
            </w:pPr>
            <w:r>
              <w:rPr>
                <w:rFonts w:hint="eastAsia" w:ascii="宋体" w:hAnsi="宋体" w:cs="宋体"/>
                <w:color w:val="auto"/>
                <w:kern w:val="0"/>
                <w:sz w:val="24"/>
                <w:highlight w:val="none"/>
              </w:rPr>
              <w:t>（2）系统演示选择采用</w:t>
            </w:r>
            <w:r>
              <w:rPr>
                <w:rFonts w:hint="eastAsia" w:ascii="宋体" w:hAnsi="宋体" w:cs="宋体"/>
                <w:color w:val="auto"/>
                <w:kern w:val="0"/>
                <w:sz w:val="24"/>
                <w:highlight w:val="none"/>
                <w:u w:val="none"/>
              </w:rPr>
              <w:t>现场系统演示</w:t>
            </w:r>
            <w:r>
              <w:rPr>
                <w:rFonts w:hint="eastAsia" w:ascii="宋体" w:hAnsi="宋体" w:cs="宋体"/>
                <w:color w:val="auto"/>
                <w:kern w:val="0"/>
                <w:sz w:val="24"/>
                <w:highlight w:val="none"/>
              </w:rPr>
              <w:t>：</w:t>
            </w:r>
          </w:p>
          <w:p w14:paraId="623207E2">
            <w:pPr>
              <w:snapToGrid w:val="0"/>
              <w:spacing w:line="360" w:lineRule="auto"/>
              <w:contextualSpacing/>
              <w:rPr>
                <w:rFonts w:ascii="宋体" w:hAnsi="宋体" w:cs="宋体"/>
                <w:color w:val="auto"/>
                <w:kern w:val="0"/>
                <w:sz w:val="24"/>
                <w:highlight w:val="none"/>
              </w:rPr>
            </w:pPr>
            <w:r>
              <w:rPr>
                <w:rFonts w:hint="eastAsia" w:ascii="宋体" w:hAnsi="宋体" w:cs="宋体"/>
                <w:color w:val="auto"/>
                <w:kern w:val="0"/>
                <w:sz w:val="24"/>
                <w:highlight w:val="none"/>
                <w:u w:val="single"/>
              </w:rPr>
              <w:t>现场演示签到地点为</w:t>
            </w:r>
            <w:r>
              <w:rPr>
                <w:rFonts w:hint="eastAsia" w:ascii="宋体" w:hAnsi="宋体" w:cs="宋体"/>
                <w:color w:val="auto"/>
                <w:sz w:val="24"/>
                <w:highlight w:val="none"/>
                <w:u w:val="single"/>
              </w:rPr>
              <w:t>杭州市西湖区文三路90号东部软件园1号楼3楼301开标室</w:t>
            </w:r>
            <w:r>
              <w:rPr>
                <w:rFonts w:hint="eastAsia" w:ascii="宋体" w:hAnsi="宋体" w:cs="宋体"/>
                <w:color w:val="auto"/>
                <w:kern w:val="0"/>
                <w:sz w:val="24"/>
                <w:highlight w:val="none"/>
                <w:u w:val="single"/>
              </w:rPr>
              <w:t>，现场演示签到截止时间同提交投标文件截止时间</w:t>
            </w:r>
            <w:r>
              <w:rPr>
                <w:rFonts w:hint="eastAsia" w:ascii="宋体" w:hAnsi="宋体" w:cs="宋体"/>
                <w:color w:val="auto"/>
                <w:kern w:val="0"/>
                <w:sz w:val="24"/>
                <w:highlight w:val="none"/>
              </w:rPr>
              <w:t>，未按时签到视为自动放弃系统演示。</w:t>
            </w:r>
          </w:p>
          <w:p w14:paraId="623207E3">
            <w:pPr>
              <w:snapToGrid w:val="0"/>
              <w:spacing w:line="360" w:lineRule="auto"/>
              <w:contextualSpacing/>
              <w:rPr>
                <w:rFonts w:ascii="宋体" w:hAnsi="宋体" w:cs="宋体"/>
                <w:color w:val="auto"/>
                <w:kern w:val="0"/>
                <w:sz w:val="24"/>
                <w:highlight w:val="none"/>
              </w:rPr>
            </w:pPr>
            <w:r>
              <w:rPr>
                <w:rFonts w:hint="eastAsia" w:ascii="宋体" w:hAnsi="宋体" w:cs="宋体"/>
                <w:color w:val="auto"/>
                <w:kern w:val="0"/>
                <w:sz w:val="24"/>
                <w:highlight w:val="none"/>
              </w:rPr>
              <w:t>演示人员开始演示前须提供身份证明并与投标文件项目组相应成员一致，否则演示不得</w:t>
            </w:r>
            <w:r>
              <w:rPr>
                <w:rFonts w:hint="eastAsia" w:ascii="宋体" w:hAnsi="宋体" w:cs="宋体"/>
                <w:color w:val="auto"/>
                <w:kern w:val="0"/>
                <w:sz w:val="24"/>
                <w:highlight w:val="none"/>
                <w:lang w:val="en-US" w:eastAsia="zh-CN"/>
              </w:rPr>
              <w:t>分</w:t>
            </w:r>
            <w:r>
              <w:rPr>
                <w:rFonts w:hint="eastAsia" w:ascii="宋体" w:hAnsi="宋体" w:cs="宋体"/>
                <w:color w:val="auto"/>
                <w:kern w:val="0"/>
                <w:sz w:val="24"/>
                <w:highlight w:val="none"/>
              </w:rPr>
              <w:t>。</w:t>
            </w:r>
          </w:p>
          <w:p w14:paraId="623207E4">
            <w:pPr>
              <w:snapToGrid w:val="0"/>
              <w:spacing w:line="360" w:lineRule="auto"/>
              <w:contextualSpacing/>
              <w:rPr>
                <w:rFonts w:ascii="宋体" w:hAnsi="宋体" w:cs="宋体"/>
                <w:color w:val="auto"/>
                <w:kern w:val="0"/>
                <w:sz w:val="24"/>
                <w:highlight w:val="none"/>
              </w:rPr>
            </w:pPr>
            <w:r>
              <w:rPr>
                <w:rFonts w:hint="eastAsia" w:ascii="宋体" w:hAnsi="宋体" w:cs="宋体"/>
                <w:color w:val="auto"/>
                <w:kern w:val="0"/>
                <w:sz w:val="24"/>
                <w:highlight w:val="none"/>
              </w:rPr>
              <w:t>演示现场提供投影仪及无线网络环境，演示所用电脑等其他演示相关设备由投标人自备。</w:t>
            </w:r>
          </w:p>
          <w:p w14:paraId="623207E5">
            <w:pPr>
              <w:snapToGrid w:val="0"/>
              <w:spacing w:line="360" w:lineRule="auto"/>
              <w:contextualSpacing/>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注：因投标人自身原因导致无法演示或者演示效果不理想的，责任自负。因平台原因导致本项目演示环节无法顺利开展，按照《浙江省政府采购项目电子交易管理暂行办法》相关规定执行。</w:t>
            </w:r>
          </w:p>
        </w:tc>
      </w:tr>
      <w:tr w14:paraId="623207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623207E9">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473" w:type="dxa"/>
            <w:vMerge w:val="restart"/>
            <w:tcBorders>
              <w:top w:val="single" w:color="000000" w:sz="8" w:space="0"/>
              <w:left w:val="single" w:color="auto" w:sz="4" w:space="0"/>
              <w:right w:val="single" w:color="000000" w:sz="8" w:space="0"/>
            </w:tcBorders>
            <w:vAlign w:val="center"/>
          </w:tcPr>
          <w:p w14:paraId="623207E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7200" w:type="dxa"/>
            <w:tcBorders>
              <w:top w:val="single" w:color="000000" w:sz="8" w:space="0"/>
              <w:left w:val="single" w:color="000000" w:sz="2" w:space="0"/>
              <w:bottom w:val="single" w:color="auto" w:sz="4" w:space="0"/>
              <w:right w:val="single" w:color="000000" w:sz="8" w:space="0"/>
            </w:tcBorders>
            <w:vAlign w:val="center"/>
          </w:tcPr>
          <w:p w14:paraId="623207EB">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623207EC">
            <w:pPr>
              <w:spacing w:line="360" w:lineRule="auto"/>
              <w:rPr>
                <w:rFonts w:ascii="宋体" w:hAnsi="宋体" w:cs="宋体"/>
                <w:snapToGrid w:val="0"/>
                <w:color w:val="auto"/>
                <w:kern w:val="0"/>
                <w:sz w:val="24"/>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623207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98" w:hRule="atLeast"/>
          <w:tblHeader/>
        </w:trPr>
        <w:tc>
          <w:tcPr>
            <w:tcW w:w="629" w:type="dxa"/>
            <w:vMerge w:val="continue"/>
            <w:tcBorders>
              <w:left w:val="single" w:color="auto" w:sz="4" w:space="0"/>
              <w:bottom w:val="single" w:color="auto" w:sz="4" w:space="0"/>
              <w:right w:val="single" w:color="auto" w:sz="4" w:space="0"/>
            </w:tcBorders>
            <w:vAlign w:val="center"/>
          </w:tcPr>
          <w:p w14:paraId="623207EE">
            <w:pPr>
              <w:snapToGrid w:val="0"/>
              <w:spacing w:line="360" w:lineRule="auto"/>
              <w:jc w:val="center"/>
              <w:rPr>
                <w:rFonts w:ascii="宋体" w:hAnsi="宋体" w:cs="宋体"/>
                <w:color w:val="auto"/>
                <w:sz w:val="24"/>
                <w:highlight w:val="none"/>
              </w:rPr>
            </w:pPr>
          </w:p>
        </w:tc>
        <w:tc>
          <w:tcPr>
            <w:tcW w:w="1473" w:type="dxa"/>
            <w:vMerge w:val="continue"/>
            <w:tcBorders>
              <w:left w:val="single" w:color="auto" w:sz="4" w:space="0"/>
              <w:bottom w:val="single" w:color="000000" w:sz="8" w:space="0"/>
              <w:right w:val="single" w:color="000000" w:sz="8" w:space="0"/>
            </w:tcBorders>
            <w:vAlign w:val="center"/>
          </w:tcPr>
          <w:p w14:paraId="623207EF">
            <w:pPr>
              <w:snapToGrid w:val="0"/>
              <w:spacing w:line="360" w:lineRule="auto"/>
              <w:jc w:val="center"/>
              <w:rPr>
                <w:rFonts w:ascii="宋体" w:hAnsi="宋体" w:cs="宋体"/>
                <w:b/>
                <w:color w:val="auto"/>
                <w:sz w:val="24"/>
                <w:highlight w:val="none"/>
              </w:rPr>
            </w:pPr>
          </w:p>
        </w:tc>
        <w:tc>
          <w:tcPr>
            <w:tcW w:w="7200" w:type="dxa"/>
            <w:tcBorders>
              <w:top w:val="single" w:color="auto" w:sz="4" w:space="0"/>
              <w:left w:val="single" w:color="000000" w:sz="2" w:space="0"/>
              <w:bottom w:val="single" w:color="000000" w:sz="8" w:space="0"/>
              <w:right w:val="single" w:color="000000" w:sz="8" w:space="0"/>
            </w:tcBorders>
            <w:vAlign w:val="center"/>
          </w:tcPr>
          <w:p w14:paraId="623207F0">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623207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623207F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9</w:t>
            </w:r>
          </w:p>
        </w:tc>
        <w:tc>
          <w:tcPr>
            <w:tcW w:w="1473" w:type="dxa"/>
            <w:tcBorders>
              <w:top w:val="single" w:color="000000" w:sz="8" w:space="0"/>
              <w:left w:val="single" w:color="000000" w:sz="2" w:space="0"/>
              <w:bottom w:val="single" w:color="000000" w:sz="8" w:space="0"/>
              <w:right w:val="single" w:color="000000" w:sz="8" w:space="0"/>
            </w:tcBorders>
            <w:vAlign w:val="center"/>
          </w:tcPr>
          <w:p w14:paraId="623207F5">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7200" w:type="dxa"/>
            <w:tcBorders>
              <w:top w:val="single" w:color="000000" w:sz="8" w:space="0"/>
              <w:left w:val="single" w:color="000000" w:sz="2" w:space="0"/>
              <w:bottom w:val="single" w:color="000000" w:sz="8" w:space="0"/>
              <w:right w:val="single" w:color="000000" w:sz="8" w:space="0"/>
            </w:tcBorders>
            <w:vAlign w:val="center"/>
          </w:tcPr>
          <w:p w14:paraId="623207F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623207F7">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☐强制采购。产品：    </w:t>
            </w:r>
          </w:p>
          <w:p w14:paraId="623207F8">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□优先采购节能产品。产品：   </w:t>
            </w:r>
          </w:p>
          <w:p w14:paraId="623207F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□优先采购环保产品。产品：    </w:t>
            </w:r>
          </w:p>
          <w:p w14:paraId="623207FA">
            <w:pPr>
              <w:snapToGrid w:val="0"/>
              <w:spacing w:line="360" w:lineRule="auto"/>
              <w:rPr>
                <w:rFonts w:ascii="宋体" w:hAnsi="宋体" w:cs="宋体"/>
                <w:color w:val="auto"/>
                <w:sz w:val="24"/>
                <w:highlight w:val="none"/>
              </w:rPr>
            </w:pPr>
            <w:r>
              <w:rPr>
                <w:rFonts w:hint="eastAsia" w:ascii="宋体" w:hAnsi="宋体" w:cs="宋体"/>
                <w:b/>
                <w:bCs/>
                <w:snapToGrid w:val="0"/>
                <w:color w:val="auto"/>
                <w:kern w:val="28"/>
                <w:sz w:val="24"/>
                <w:highlight w:val="none"/>
              </w:rPr>
              <w:t xml:space="preserve">√ </w:t>
            </w:r>
            <w:r>
              <w:rPr>
                <w:rFonts w:hint="eastAsia" w:ascii="宋体" w:hAnsi="宋体" w:cs="宋体"/>
                <w:b/>
                <w:bCs/>
                <w:color w:val="auto"/>
                <w:sz w:val="24"/>
                <w:highlight w:val="none"/>
              </w:rPr>
              <w:t>无</w:t>
            </w:r>
          </w:p>
        </w:tc>
      </w:tr>
      <w:tr w14:paraId="623208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62320801">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473" w:type="dxa"/>
            <w:tcBorders>
              <w:top w:val="single" w:color="000000" w:sz="8" w:space="0"/>
              <w:left w:val="single" w:color="000000" w:sz="2" w:space="0"/>
              <w:bottom w:val="single" w:color="000000" w:sz="8" w:space="0"/>
              <w:right w:val="single" w:color="000000" w:sz="8" w:space="0"/>
            </w:tcBorders>
            <w:vAlign w:val="center"/>
          </w:tcPr>
          <w:p w14:paraId="6232080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7200" w:type="dxa"/>
            <w:tcBorders>
              <w:top w:val="single" w:color="000000" w:sz="8" w:space="0"/>
              <w:left w:val="single" w:color="000000" w:sz="2" w:space="0"/>
              <w:bottom w:val="single" w:color="000000" w:sz="8" w:space="0"/>
              <w:right w:val="single" w:color="000000" w:sz="8" w:space="0"/>
            </w:tcBorders>
            <w:vAlign w:val="center"/>
          </w:tcPr>
          <w:p w14:paraId="7F684EC1">
            <w:pPr>
              <w:pageBreakBefore w:val="0"/>
              <w:widowControl w:val="0"/>
              <w:kinsoku/>
              <w:wordWrap/>
              <w:overflowPunct/>
              <w:topLinePunct w:val="0"/>
              <w:bidi w:val="0"/>
              <w:snapToGrid w:val="0"/>
              <w:spacing w:line="360" w:lineRule="auto"/>
              <w:jc w:val="left"/>
              <w:textAlignment w:val="auto"/>
              <w:rPr>
                <w:rFonts w:hint="eastAsia" w:ascii="宋体" w:hAnsi="宋体" w:eastAsia="宋体" w:cs="宋体"/>
                <w:b/>
                <w:bCs/>
                <w:color w:val="auto"/>
                <w:kern w:val="0"/>
                <w:sz w:val="24"/>
                <w:szCs w:val="24"/>
                <w:highlight w:val="none"/>
                <w:lang w:val="en-US" w:eastAsia="zh-CN"/>
              </w:rPr>
            </w:pPr>
            <w:r>
              <w:rPr>
                <w:rFonts w:hint="eastAsia" w:ascii="宋体" w:hAnsi="宋体" w:eastAsia="宋体" w:cs="宋体"/>
                <w:b/>
                <w:bCs/>
                <w:color w:val="auto"/>
                <w:kern w:val="0"/>
                <w:sz w:val="24"/>
                <w:szCs w:val="24"/>
                <w:highlight w:val="none"/>
                <w:lang w:val="en-US" w:eastAsia="zh-CN"/>
              </w:rPr>
              <w:t>A 报价方式：</w:t>
            </w:r>
          </w:p>
          <w:p w14:paraId="34FD8F22">
            <w:pPr>
              <w:pageBreakBefore w:val="0"/>
              <w:widowControl w:val="0"/>
              <w:kinsoku/>
              <w:wordWrap/>
              <w:overflowPunct/>
              <w:topLinePunct w:val="0"/>
              <w:bidi w:val="0"/>
              <w:snapToGrid w:val="0"/>
              <w:spacing w:line="360" w:lineRule="auto"/>
              <w:contextualSpacing/>
              <w:textAlignment w:val="auto"/>
              <w:rPr>
                <w:rFonts w:hint="eastAsia" w:ascii="宋体" w:hAnsi="宋体" w:eastAsia="宋体" w:cs="宋体"/>
                <w:b/>
                <w:bCs/>
                <w:color w:val="auto"/>
                <w:sz w:val="24"/>
                <w:szCs w:val="24"/>
                <w:highlight w:val="none"/>
              </w:rPr>
            </w:pPr>
            <w:r>
              <w:rPr>
                <w:rFonts w:hint="eastAsia" w:ascii="宋体" w:hAnsi="宋体" w:eastAsia="宋体" w:cs="宋体"/>
                <w:b/>
                <w:bCs/>
                <w:snapToGrid w:val="0"/>
                <w:color w:val="auto"/>
                <w:kern w:val="28"/>
                <w:sz w:val="24"/>
                <w:szCs w:val="24"/>
                <w:highlight w:val="none"/>
              </w:rPr>
              <w:t>√</w:t>
            </w:r>
            <w:r>
              <w:rPr>
                <w:rFonts w:hint="eastAsia" w:ascii="宋体" w:hAnsi="宋体" w:eastAsia="宋体" w:cs="宋体"/>
                <w:b/>
                <w:bCs/>
                <w:snapToGrid w:val="0"/>
                <w:color w:val="auto"/>
                <w:kern w:val="28"/>
                <w:sz w:val="24"/>
                <w:szCs w:val="24"/>
                <w:highlight w:val="none"/>
                <w:lang w:val="en-US" w:eastAsia="zh-CN"/>
              </w:rPr>
              <w:t xml:space="preserve"> </w:t>
            </w:r>
            <w:r>
              <w:rPr>
                <w:rFonts w:hint="eastAsia" w:ascii="宋体" w:hAnsi="宋体" w:eastAsia="宋体" w:cs="宋体"/>
                <w:b/>
                <w:bCs/>
                <w:color w:val="auto"/>
                <w:kern w:val="0"/>
                <w:sz w:val="24"/>
                <w:szCs w:val="24"/>
                <w:highlight w:val="none"/>
                <w:lang w:val="en-US" w:eastAsia="zh-CN"/>
              </w:rPr>
              <w:t xml:space="preserve"> 固定总价</w:t>
            </w:r>
            <w:r>
              <w:rPr>
                <w:rFonts w:hint="eastAsia" w:ascii="宋体" w:hAnsi="宋体" w:eastAsia="宋体" w:cs="宋体"/>
                <w:b/>
                <w:bCs/>
                <w:color w:val="auto"/>
                <w:sz w:val="24"/>
                <w:szCs w:val="24"/>
                <w:highlight w:val="none"/>
              </w:rPr>
              <w:t>。</w:t>
            </w:r>
          </w:p>
          <w:p w14:paraId="37FED4DF">
            <w:pPr>
              <w:pageBreakBefore w:val="0"/>
              <w:widowControl w:val="0"/>
              <w:kinsoku/>
              <w:wordWrap/>
              <w:overflowPunct/>
              <w:topLinePunct w:val="0"/>
              <w:bidi w:val="0"/>
              <w:snapToGrid w:val="0"/>
              <w:spacing w:line="360" w:lineRule="auto"/>
              <w:contextualSpacing/>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w:t>
            </w:r>
            <w:r>
              <w:rPr>
                <w:rFonts w:hint="eastAsia" w:ascii="宋体" w:hAnsi="宋体" w:eastAsia="宋体" w:cs="宋体"/>
                <w:b w:val="0"/>
                <w:bCs w:val="0"/>
                <w:color w:val="auto"/>
                <w:kern w:val="0"/>
                <w:sz w:val="24"/>
                <w:szCs w:val="24"/>
                <w:highlight w:val="none"/>
                <w:lang w:val="en-US" w:eastAsia="zh-CN"/>
              </w:rPr>
              <w:t xml:space="preserve">  固定单价</w:t>
            </w:r>
            <w:r>
              <w:rPr>
                <w:rFonts w:hint="eastAsia" w:ascii="宋体" w:hAnsi="宋体" w:eastAsia="宋体" w:cs="宋体"/>
                <w:b w:val="0"/>
                <w:bCs w:val="0"/>
                <w:color w:val="auto"/>
                <w:kern w:val="0"/>
                <w:sz w:val="24"/>
                <w:szCs w:val="24"/>
                <w:highlight w:val="none"/>
              </w:rPr>
              <w:t>。</w:t>
            </w:r>
          </w:p>
          <w:p w14:paraId="22754758">
            <w:pPr>
              <w:pageBreakBefore w:val="0"/>
              <w:widowControl w:val="0"/>
              <w:kinsoku/>
              <w:wordWrap/>
              <w:overflowPunct/>
              <w:topLinePunct w:val="0"/>
              <w:bidi w:val="0"/>
              <w:snapToGrid w:val="0"/>
              <w:spacing w:line="360" w:lineRule="auto"/>
              <w:jc w:val="left"/>
              <w:textAlignment w:val="auto"/>
              <w:rPr>
                <w:rFonts w:hint="eastAsia" w:ascii="宋体" w:hAnsi="宋体" w:eastAsia="宋体" w:cs="宋体"/>
                <w:b/>
                <w:bCs/>
                <w:color w:val="auto"/>
                <w:kern w:val="0"/>
                <w:sz w:val="24"/>
                <w:szCs w:val="24"/>
                <w:highlight w:val="none"/>
                <w:lang w:val="en-US" w:eastAsia="zh-CN"/>
              </w:rPr>
            </w:pPr>
            <w:r>
              <w:rPr>
                <w:rFonts w:hint="eastAsia" w:ascii="宋体" w:hAnsi="宋体" w:eastAsia="宋体" w:cs="宋体"/>
                <w:b/>
                <w:bCs/>
                <w:color w:val="auto"/>
                <w:kern w:val="0"/>
                <w:sz w:val="24"/>
                <w:szCs w:val="24"/>
                <w:highlight w:val="none"/>
                <w:lang w:val="en-US" w:eastAsia="zh-CN"/>
              </w:rPr>
              <w:t>B报价相关要求：</w:t>
            </w:r>
          </w:p>
          <w:p w14:paraId="62320803">
            <w:pPr>
              <w:snapToGrid w:val="0"/>
              <w:spacing w:line="360" w:lineRule="auto"/>
              <w:jc w:val="left"/>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p>
          <w:p w14:paraId="62320804">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62320805">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62320806">
            <w:pPr>
              <w:snapToGrid w:val="0"/>
              <w:spacing w:line="360" w:lineRule="auto"/>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62320807">
            <w:pPr>
              <w:spacing w:line="36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highlight w:val="none"/>
              </w:rPr>
              <w:t>；</w:t>
            </w:r>
          </w:p>
          <w:p w14:paraId="62320808">
            <w:pP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623208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74" w:hRule="atLeast"/>
          <w:tblHeader/>
        </w:trPr>
        <w:tc>
          <w:tcPr>
            <w:tcW w:w="629" w:type="dxa"/>
            <w:tcBorders>
              <w:top w:val="single" w:color="auto" w:sz="4" w:space="0"/>
              <w:left w:val="single" w:color="000000" w:sz="8" w:space="0"/>
              <w:right w:val="single" w:color="000000" w:sz="2" w:space="0"/>
            </w:tcBorders>
            <w:vAlign w:val="center"/>
          </w:tcPr>
          <w:p w14:paraId="6232080B">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1473" w:type="dxa"/>
            <w:tcBorders>
              <w:top w:val="single" w:color="000000" w:sz="8" w:space="0"/>
              <w:left w:val="single" w:color="000000" w:sz="2" w:space="0"/>
              <w:right w:val="single" w:color="000000" w:sz="8" w:space="0"/>
            </w:tcBorders>
            <w:vAlign w:val="center"/>
          </w:tcPr>
          <w:p w14:paraId="6232080C">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7200" w:type="dxa"/>
            <w:tcBorders>
              <w:top w:val="single" w:color="000000" w:sz="8" w:space="0"/>
              <w:left w:val="single" w:color="000000" w:sz="2" w:space="0"/>
              <w:right w:val="single" w:color="000000" w:sz="8" w:space="0"/>
            </w:tcBorders>
            <w:vAlign w:val="center"/>
          </w:tcPr>
          <w:p w14:paraId="6232080D">
            <w:pPr>
              <w:spacing w:line="360" w:lineRule="auto"/>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623208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6232080F">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473" w:type="dxa"/>
            <w:tcBorders>
              <w:top w:val="single" w:color="000000" w:sz="8" w:space="0"/>
              <w:left w:val="single" w:color="000000" w:sz="2" w:space="0"/>
              <w:bottom w:val="single" w:color="000000" w:sz="8" w:space="0"/>
              <w:right w:val="single" w:color="000000" w:sz="8" w:space="0"/>
            </w:tcBorders>
            <w:vAlign w:val="center"/>
          </w:tcPr>
          <w:p w14:paraId="62320810">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7200" w:type="dxa"/>
            <w:tcBorders>
              <w:top w:val="single" w:color="000000" w:sz="8" w:space="0"/>
              <w:left w:val="single" w:color="000000" w:sz="2" w:space="0"/>
              <w:bottom w:val="single" w:color="000000" w:sz="8" w:space="0"/>
              <w:right w:val="single" w:color="000000" w:sz="8" w:space="0"/>
            </w:tcBorders>
            <w:vAlign w:val="center"/>
          </w:tcPr>
          <w:p w14:paraId="62320811">
            <w:pPr>
              <w:pStyle w:val="34"/>
              <w:spacing w:line="360" w:lineRule="auto"/>
              <w:rPr>
                <w:rFonts w:hAnsi="宋体" w:cs="宋体"/>
                <w:color w:val="auto"/>
                <w:kern w:val="28"/>
                <w:sz w:val="24"/>
                <w:szCs w:val="24"/>
                <w:highlight w:val="none"/>
              </w:rPr>
            </w:pPr>
            <w:r>
              <w:rPr>
                <w:rFonts w:hint="eastAsia" w:hAnsi="宋体" w:cs="宋体"/>
                <w:color w:val="auto"/>
                <w:kern w:val="28"/>
                <w:sz w:val="24"/>
                <w:szCs w:val="24"/>
                <w:highlight w:val="none"/>
              </w:rPr>
              <w:t>备份投标文件送达地点：</w:t>
            </w:r>
            <w:r>
              <w:rPr>
                <w:rFonts w:hint="eastAsia" w:hAnsi="宋体" w:cs="宋体"/>
                <w:color w:val="auto"/>
                <w:sz w:val="24"/>
                <w:szCs w:val="24"/>
                <w:highlight w:val="none"/>
                <w:u w:val="single"/>
              </w:rPr>
              <w:t>杭州市西湖区文三路90号东部软件园1号楼3楼</w:t>
            </w:r>
            <w:r>
              <w:rPr>
                <w:rFonts w:hint="eastAsia" w:hAnsi="宋体" w:cs="宋体"/>
                <w:color w:val="auto"/>
                <w:sz w:val="24"/>
                <w:szCs w:val="24"/>
                <w:highlight w:val="none"/>
                <w:u w:val="single"/>
                <w:lang w:val="en-US" w:eastAsia="zh-CN"/>
              </w:rPr>
              <w:t>321室</w:t>
            </w:r>
            <w:r>
              <w:rPr>
                <w:rFonts w:hint="eastAsia" w:hAnsi="宋体" w:cs="宋体"/>
                <w:color w:val="auto"/>
                <w:kern w:val="28"/>
                <w:sz w:val="24"/>
                <w:szCs w:val="24"/>
                <w:highlight w:val="none"/>
              </w:rPr>
              <w:t>；备份投标文件签收人员联系电话：</w:t>
            </w:r>
            <w:r>
              <w:rPr>
                <w:rFonts w:hint="eastAsia" w:hAnsi="宋体" w:cs="宋体"/>
                <w:color w:val="auto"/>
                <w:sz w:val="24"/>
                <w:szCs w:val="24"/>
                <w:highlight w:val="none"/>
                <w:u w:val="single"/>
              </w:rPr>
              <w:t>葛珍妮，0571-810618</w:t>
            </w:r>
            <w:r>
              <w:rPr>
                <w:rFonts w:hint="eastAsia" w:hAnsi="宋体" w:cs="宋体"/>
                <w:color w:val="auto"/>
                <w:sz w:val="24"/>
                <w:szCs w:val="24"/>
                <w:highlight w:val="none"/>
                <w:u w:val="single"/>
                <w:lang w:val="en-US" w:eastAsia="zh-CN"/>
              </w:rPr>
              <w:t>21</w:t>
            </w:r>
            <w:r>
              <w:rPr>
                <w:rFonts w:hint="eastAsia" w:hAnsi="宋体" w:cs="宋体"/>
                <w:color w:val="auto"/>
                <w:sz w:val="24"/>
                <w:szCs w:val="24"/>
                <w:highlight w:val="none"/>
              </w:rPr>
              <w:t>。</w:t>
            </w:r>
            <w:r>
              <w:rPr>
                <w:rFonts w:hint="eastAsia" w:hAnsi="宋体" w:cs="宋体"/>
                <w:b/>
                <w:color w:val="auto"/>
                <w:sz w:val="24"/>
                <w:szCs w:val="24"/>
                <w:highlight w:val="none"/>
              </w:rPr>
              <w:t>采购人、采购代理机构不强制或变相强制投标人提交备份投标文件。</w:t>
            </w:r>
          </w:p>
        </w:tc>
      </w:tr>
      <w:tr w14:paraId="623208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6232081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13</w:t>
            </w:r>
          </w:p>
        </w:tc>
        <w:tc>
          <w:tcPr>
            <w:tcW w:w="1473" w:type="dxa"/>
            <w:tcBorders>
              <w:top w:val="single" w:color="000000" w:sz="8" w:space="0"/>
              <w:left w:val="single" w:color="000000" w:sz="2" w:space="0"/>
              <w:bottom w:val="single" w:color="000000" w:sz="8" w:space="0"/>
              <w:right w:val="single" w:color="000000" w:sz="8" w:space="0"/>
            </w:tcBorders>
            <w:vAlign w:val="center"/>
          </w:tcPr>
          <w:p w14:paraId="62320814">
            <w:pPr>
              <w:snapToGrid w:val="0"/>
              <w:spacing w:line="360" w:lineRule="auto"/>
              <w:jc w:val="center"/>
              <w:rPr>
                <w:rFonts w:ascii="宋体" w:hAnsi="宋体" w:cs="宋体"/>
                <w:b/>
                <w:color w:val="auto"/>
                <w:sz w:val="24"/>
                <w:highlight w:val="none"/>
              </w:rPr>
            </w:pPr>
            <w:r>
              <w:rPr>
                <w:rFonts w:hint="eastAsia" w:ascii="宋体" w:hAnsi="宋体" w:cs="宋体"/>
                <w:color w:val="auto"/>
                <w:sz w:val="24"/>
                <w:highlight w:val="none"/>
              </w:rPr>
              <w:t>采购代理服务费</w:t>
            </w:r>
          </w:p>
        </w:tc>
        <w:tc>
          <w:tcPr>
            <w:tcW w:w="7200" w:type="dxa"/>
            <w:tcBorders>
              <w:top w:val="single" w:color="000000" w:sz="8" w:space="0"/>
              <w:left w:val="single" w:color="000000" w:sz="2" w:space="0"/>
              <w:bottom w:val="single" w:color="000000" w:sz="8" w:space="0"/>
              <w:right w:val="single" w:color="000000" w:sz="8" w:space="0"/>
            </w:tcBorders>
            <w:vAlign w:val="center"/>
          </w:tcPr>
          <w:p w14:paraId="62320815">
            <w:pPr>
              <w:spacing w:line="360" w:lineRule="auto"/>
              <w:rPr>
                <w:rFonts w:ascii="宋体" w:hAnsi="宋体" w:cs="宋体"/>
                <w:bCs/>
                <w:color w:val="auto"/>
                <w:sz w:val="24"/>
                <w:highlight w:val="none"/>
              </w:rPr>
            </w:pPr>
            <w:r>
              <w:rPr>
                <w:rFonts w:hint="eastAsia" w:ascii="宋体" w:hAnsi="宋体" w:cs="宋体"/>
                <w:bCs/>
                <w:color w:val="auto"/>
                <w:sz w:val="24"/>
                <w:highlight w:val="none"/>
              </w:rPr>
              <w:t>（1）收取方式：本项目代理服务费由中标供应商在本项目合同签订前支付。</w:t>
            </w:r>
          </w:p>
          <w:p w14:paraId="62320816">
            <w:pPr>
              <w:spacing w:line="360" w:lineRule="auto"/>
              <w:rPr>
                <w:rFonts w:ascii="宋体" w:hAnsi="宋体" w:cs="宋体"/>
                <w:color w:val="auto"/>
                <w:sz w:val="24"/>
                <w:highlight w:val="none"/>
              </w:rPr>
            </w:pPr>
            <w:r>
              <w:rPr>
                <w:rFonts w:hint="eastAsia" w:ascii="宋体" w:hAnsi="宋体" w:cs="宋体"/>
                <w:bCs/>
                <w:color w:val="auto"/>
                <w:sz w:val="24"/>
                <w:highlight w:val="none"/>
              </w:rPr>
              <w:t>（2）收取标准</w:t>
            </w:r>
            <w:r>
              <w:rPr>
                <w:rFonts w:hint="eastAsia" w:ascii="宋体" w:hAnsi="宋体" w:cs="宋体"/>
                <w:color w:val="auto"/>
                <w:sz w:val="24"/>
                <w:highlight w:val="none"/>
              </w:rPr>
              <w:t>：本项目</w:t>
            </w:r>
            <w:r>
              <w:rPr>
                <w:rFonts w:hint="eastAsia" w:ascii="宋体" w:hAnsi="宋体" w:cs="宋体"/>
                <w:bCs/>
                <w:color w:val="auto"/>
                <w:sz w:val="24"/>
                <w:highlight w:val="none"/>
              </w:rPr>
              <w:t>代理服务</w:t>
            </w:r>
            <w:r>
              <w:rPr>
                <w:rFonts w:hint="eastAsia" w:ascii="宋体" w:hAnsi="宋体" w:cs="宋体"/>
                <w:color w:val="auto"/>
                <w:sz w:val="24"/>
                <w:highlight w:val="none"/>
              </w:rPr>
              <w:t>费用参照</w:t>
            </w:r>
            <w:r>
              <w:rPr>
                <w:rFonts w:hint="eastAsia" w:ascii="宋体" w:hAnsi="宋体" w:cs="宋体"/>
                <w:bCs/>
                <w:color w:val="auto"/>
                <w:sz w:val="24"/>
                <w:highlight w:val="none"/>
              </w:rPr>
              <w:t>《招标代理服务收费管理暂行办法》</w:t>
            </w:r>
            <w:r>
              <w:rPr>
                <w:rFonts w:hint="eastAsia" w:ascii="宋体" w:hAnsi="宋体" w:cs="宋体"/>
                <w:bCs/>
                <w:color w:val="auto"/>
                <w:sz w:val="24"/>
                <w:highlight w:val="none"/>
                <w:lang w:eastAsia="zh-CN"/>
              </w:rPr>
              <w:t>（</w:t>
            </w:r>
            <w:r>
              <w:rPr>
                <w:rFonts w:hint="eastAsia" w:ascii="宋体" w:hAnsi="宋体" w:cs="宋体"/>
                <w:color w:val="auto"/>
                <w:sz w:val="24"/>
                <w:highlight w:val="none"/>
              </w:rPr>
              <w:t>计价格〔2002〕1980号）的规定，以</w:t>
            </w:r>
            <w:r>
              <w:rPr>
                <w:rFonts w:hint="eastAsia" w:ascii="宋体" w:hAnsi="宋体" w:cs="宋体"/>
                <w:bCs/>
                <w:color w:val="auto"/>
                <w:sz w:val="24"/>
                <w:highlight w:val="none"/>
              </w:rPr>
              <w:t>中标</w:t>
            </w:r>
            <w:r>
              <w:rPr>
                <w:rFonts w:hint="eastAsia" w:ascii="宋体" w:hAnsi="宋体" w:cs="宋体"/>
                <w:color w:val="auto"/>
                <w:sz w:val="24"/>
                <w:highlight w:val="none"/>
              </w:rPr>
              <w:t>金额为计费基数，按分段按优惠后的费率差额定率计算（分段按优惠后的费率如下）：</w:t>
            </w:r>
          </w:p>
          <w:tbl>
            <w:tblPr>
              <w:tblStyle w:val="63"/>
              <w:tblW w:w="0" w:type="auto"/>
              <w:tblInd w:w="355"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0" w:type="dxa"/>
                <w:bottom w:w="0" w:type="dxa"/>
                <w:right w:w="0" w:type="dxa"/>
              </w:tblCellMar>
            </w:tblPr>
            <w:tblGrid>
              <w:gridCol w:w="2482"/>
              <w:gridCol w:w="3271"/>
            </w:tblGrid>
            <w:tr w14:paraId="6232081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cantSplit/>
                <w:trHeight w:val="468" w:hRule="atLeast"/>
              </w:trPr>
              <w:tc>
                <w:tcPr>
                  <w:tcW w:w="2482" w:type="dxa"/>
                  <w:vMerge w:val="restart"/>
                  <w:tcMar>
                    <w:top w:w="0" w:type="dxa"/>
                    <w:left w:w="108" w:type="dxa"/>
                    <w:bottom w:w="0" w:type="dxa"/>
                    <w:right w:w="108" w:type="dxa"/>
                  </w:tcMar>
                  <w:vAlign w:val="center"/>
                </w:tcPr>
                <w:p w14:paraId="62320817">
                  <w:pPr>
                    <w:spacing w:line="360" w:lineRule="auto"/>
                    <w:jc w:val="center"/>
                    <w:rPr>
                      <w:rFonts w:ascii="宋体" w:hAnsi="宋体" w:cs="宋体"/>
                      <w:color w:val="auto"/>
                      <w:sz w:val="24"/>
                      <w:highlight w:val="none"/>
                    </w:rPr>
                  </w:pPr>
                  <w:r>
                    <w:rPr>
                      <w:rFonts w:hint="eastAsia" w:ascii="宋体" w:hAnsi="宋体" w:cs="宋体"/>
                      <w:color w:val="auto"/>
                      <w:sz w:val="24"/>
                      <w:highlight w:val="none"/>
                    </w:rPr>
                    <w:t>中标金额（万元）</w:t>
                  </w:r>
                </w:p>
              </w:tc>
              <w:tc>
                <w:tcPr>
                  <w:tcW w:w="3271" w:type="dxa"/>
                  <w:vMerge w:val="restart"/>
                  <w:vAlign w:val="center"/>
                </w:tcPr>
                <w:p w14:paraId="62320818">
                  <w:pPr>
                    <w:spacing w:line="360" w:lineRule="auto"/>
                    <w:jc w:val="center"/>
                    <w:rPr>
                      <w:rFonts w:ascii="宋体" w:hAnsi="宋体" w:cs="宋体"/>
                      <w:bCs/>
                      <w:color w:val="auto"/>
                      <w:sz w:val="24"/>
                      <w:highlight w:val="none"/>
                    </w:rPr>
                  </w:pPr>
                  <w:r>
                    <w:rPr>
                      <w:rFonts w:hint="eastAsia" w:ascii="宋体" w:hAnsi="宋体" w:cs="宋体"/>
                      <w:bCs/>
                      <w:color w:val="auto"/>
                      <w:sz w:val="24"/>
                      <w:highlight w:val="none"/>
                    </w:rPr>
                    <w:t>本协议约定的优惠后的费率</w:t>
                  </w:r>
                </w:p>
              </w:tc>
            </w:tr>
            <w:tr w14:paraId="6232081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cantSplit/>
                <w:trHeight w:val="467" w:hRule="atLeast"/>
              </w:trPr>
              <w:tc>
                <w:tcPr>
                  <w:tcW w:w="2482" w:type="dxa"/>
                  <w:vMerge w:val="continue"/>
                  <w:vAlign w:val="center"/>
                </w:tcPr>
                <w:p w14:paraId="6232081A">
                  <w:pPr>
                    <w:spacing w:line="360" w:lineRule="auto"/>
                    <w:jc w:val="center"/>
                    <w:rPr>
                      <w:rFonts w:ascii="宋体" w:hAnsi="宋体" w:cs="宋体"/>
                      <w:color w:val="auto"/>
                      <w:sz w:val="24"/>
                      <w:highlight w:val="none"/>
                    </w:rPr>
                  </w:pPr>
                </w:p>
              </w:tc>
              <w:tc>
                <w:tcPr>
                  <w:tcW w:w="3271" w:type="dxa"/>
                  <w:vMerge w:val="continue"/>
                  <w:vAlign w:val="center"/>
                </w:tcPr>
                <w:p w14:paraId="6232081B">
                  <w:pPr>
                    <w:spacing w:line="360" w:lineRule="auto"/>
                    <w:jc w:val="center"/>
                    <w:rPr>
                      <w:rFonts w:ascii="宋体" w:hAnsi="宋体" w:cs="宋体"/>
                      <w:color w:val="auto"/>
                      <w:sz w:val="24"/>
                      <w:highlight w:val="none"/>
                    </w:rPr>
                  </w:pPr>
                </w:p>
              </w:tc>
            </w:tr>
            <w:tr w14:paraId="6232081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c>
                <w:tcPr>
                  <w:tcW w:w="2482" w:type="dxa"/>
                  <w:tcMar>
                    <w:top w:w="0" w:type="dxa"/>
                    <w:left w:w="108" w:type="dxa"/>
                    <w:bottom w:w="0" w:type="dxa"/>
                    <w:right w:w="108" w:type="dxa"/>
                  </w:tcMar>
                  <w:vAlign w:val="center"/>
                </w:tcPr>
                <w:p w14:paraId="6232081D">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100以下</w:t>
                  </w:r>
                </w:p>
              </w:tc>
              <w:tc>
                <w:tcPr>
                  <w:tcW w:w="3271" w:type="dxa"/>
                  <w:vAlign w:val="center"/>
                </w:tcPr>
                <w:p w14:paraId="6232081E">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按标准费率计取</w:t>
                  </w:r>
                </w:p>
              </w:tc>
            </w:tr>
            <w:tr w14:paraId="6232082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c>
                <w:tcPr>
                  <w:tcW w:w="2482" w:type="dxa"/>
                  <w:tcMar>
                    <w:top w:w="0" w:type="dxa"/>
                    <w:left w:w="108" w:type="dxa"/>
                    <w:bottom w:w="0" w:type="dxa"/>
                    <w:right w:w="108" w:type="dxa"/>
                  </w:tcMar>
                  <w:vAlign w:val="center"/>
                </w:tcPr>
                <w:p w14:paraId="62320820">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100（含）-500</w:t>
                  </w:r>
                </w:p>
              </w:tc>
              <w:tc>
                <w:tcPr>
                  <w:tcW w:w="3271" w:type="dxa"/>
                  <w:vAlign w:val="center"/>
                </w:tcPr>
                <w:p w14:paraId="62320821">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按标准费率的90%计取</w:t>
                  </w:r>
                </w:p>
              </w:tc>
            </w:tr>
            <w:tr w14:paraId="6232082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c>
                <w:tcPr>
                  <w:tcW w:w="2482" w:type="dxa"/>
                  <w:tcMar>
                    <w:top w:w="0" w:type="dxa"/>
                    <w:left w:w="108" w:type="dxa"/>
                    <w:bottom w:w="0" w:type="dxa"/>
                    <w:right w:w="108" w:type="dxa"/>
                  </w:tcMar>
                  <w:vAlign w:val="center"/>
                </w:tcPr>
                <w:p w14:paraId="62320823">
                  <w:pPr>
                    <w:spacing w:line="360" w:lineRule="auto"/>
                    <w:jc w:val="center"/>
                    <w:rPr>
                      <w:rFonts w:ascii="宋体" w:hAnsi="宋体" w:cs="宋体"/>
                      <w:color w:val="auto"/>
                      <w:sz w:val="24"/>
                      <w:highlight w:val="none"/>
                    </w:rPr>
                  </w:pPr>
                  <w:r>
                    <w:rPr>
                      <w:rFonts w:hint="eastAsia" w:ascii="宋体" w:hAnsi="宋体" w:cs="宋体"/>
                      <w:color w:val="auto"/>
                      <w:sz w:val="24"/>
                      <w:highlight w:val="none"/>
                    </w:rPr>
                    <w:t>500（含）-1000</w:t>
                  </w:r>
                </w:p>
              </w:tc>
              <w:tc>
                <w:tcPr>
                  <w:tcW w:w="3271" w:type="dxa"/>
                  <w:vAlign w:val="center"/>
                </w:tcPr>
                <w:p w14:paraId="62320824">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按标准费率的85%折计取</w:t>
                  </w:r>
                </w:p>
              </w:tc>
            </w:tr>
            <w:tr w14:paraId="6232082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c>
                <w:tcPr>
                  <w:tcW w:w="2482" w:type="dxa"/>
                  <w:tcMar>
                    <w:top w:w="0" w:type="dxa"/>
                    <w:left w:w="108" w:type="dxa"/>
                    <w:bottom w:w="0" w:type="dxa"/>
                    <w:right w:w="108" w:type="dxa"/>
                  </w:tcMar>
                  <w:vAlign w:val="center"/>
                </w:tcPr>
                <w:p w14:paraId="6232082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1000（含）以上</w:t>
                  </w:r>
                </w:p>
              </w:tc>
              <w:tc>
                <w:tcPr>
                  <w:tcW w:w="3271" w:type="dxa"/>
                  <w:vAlign w:val="center"/>
                </w:tcPr>
                <w:p w14:paraId="62320827">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按标准费率的80%计取</w:t>
                  </w:r>
                </w:p>
              </w:tc>
            </w:tr>
          </w:tbl>
          <w:p w14:paraId="62320829">
            <w:pPr>
              <w:spacing w:line="360" w:lineRule="auto"/>
              <w:rPr>
                <w:rFonts w:ascii="宋体" w:hAnsi="宋体" w:cs="宋体"/>
                <w:color w:val="auto"/>
                <w:sz w:val="24"/>
                <w:highlight w:val="none"/>
              </w:rPr>
            </w:pPr>
            <w:r>
              <w:rPr>
                <w:rFonts w:hint="eastAsia" w:ascii="宋体" w:hAnsi="宋体" w:cs="宋体"/>
                <w:bCs/>
                <w:color w:val="auto"/>
                <w:sz w:val="24"/>
                <w:highlight w:val="none"/>
              </w:rPr>
              <w:t>（3）</w:t>
            </w:r>
            <w:r>
              <w:rPr>
                <w:rFonts w:hint="eastAsia" w:ascii="宋体" w:hAnsi="宋体" w:cs="宋体"/>
                <w:color w:val="auto"/>
                <w:sz w:val="24"/>
                <w:highlight w:val="none"/>
              </w:rPr>
              <w:t>代理服务费其他约定：单个项目按以上约定的优惠收费标准计算代理服务费不足人民币5000元时，按人民币5000元计取。</w:t>
            </w:r>
          </w:p>
          <w:p w14:paraId="6232082A">
            <w:pPr>
              <w:snapToGrid w:val="0"/>
              <w:spacing w:line="360" w:lineRule="auto"/>
              <w:rPr>
                <w:rFonts w:ascii="宋体" w:hAnsi="宋体" w:cs="宋体"/>
                <w:color w:val="auto"/>
                <w:sz w:val="24"/>
                <w:highlight w:val="none"/>
              </w:rPr>
            </w:pPr>
            <w:r>
              <w:rPr>
                <w:rFonts w:hint="eastAsia" w:ascii="宋体" w:hAnsi="宋体" w:cs="宋体"/>
                <w:bCs/>
                <w:color w:val="auto"/>
                <w:sz w:val="24"/>
                <w:highlight w:val="none"/>
              </w:rPr>
              <w:t>（4）</w:t>
            </w:r>
            <w:r>
              <w:rPr>
                <w:rFonts w:hint="eastAsia" w:ascii="宋体" w:hAnsi="宋体" w:cs="宋体"/>
                <w:color w:val="auto"/>
                <w:sz w:val="24"/>
                <w:highlight w:val="none"/>
              </w:rPr>
              <w:t>代理服务费支付：</w:t>
            </w:r>
          </w:p>
          <w:p w14:paraId="6232082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① 代理服务费缴纳形式：汇票/支票/电汇/现金</w:t>
            </w:r>
          </w:p>
          <w:p w14:paraId="6232082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② 代理服务费汇入以下账户 ：</w:t>
            </w:r>
          </w:p>
          <w:p w14:paraId="6232082D">
            <w:pPr>
              <w:pStyle w:val="2"/>
              <w:spacing w:line="360" w:lineRule="auto"/>
              <w:rPr>
                <w:rFonts w:cs="宋体"/>
                <w:color w:val="auto"/>
                <w:highlight w:val="none"/>
              </w:rPr>
            </w:pPr>
            <w:r>
              <w:rPr>
                <w:rFonts w:hint="eastAsia" w:cs="宋体"/>
                <w:color w:val="auto"/>
                <w:highlight w:val="none"/>
              </w:rPr>
              <w:t>收款单位（户名）：浙江国际招投标有限公司</w:t>
            </w:r>
          </w:p>
          <w:p w14:paraId="6232082E">
            <w:pPr>
              <w:pStyle w:val="2"/>
              <w:spacing w:line="360" w:lineRule="auto"/>
              <w:rPr>
                <w:rFonts w:cs="宋体"/>
                <w:color w:val="auto"/>
                <w:highlight w:val="none"/>
              </w:rPr>
            </w:pPr>
            <w:r>
              <w:rPr>
                <w:rFonts w:hint="eastAsia" w:cs="宋体"/>
                <w:color w:val="auto"/>
                <w:highlight w:val="none"/>
              </w:rPr>
              <w:t>开  户：中国工商银行杭州市武林支行</w:t>
            </w:r>
          </w:p>
          <w:p w14:paraId="6232082F">
            <w:pPr>
              <w:pStyle w:val="2"/>
              <w:spacing w:line="360" w:lineRule="auto"/>
              <w:rPr>
                <w:rFonts w:cs="宋体"/>
                <w:color w:val="auto"/>
                <w:highlight w:val="none"/>
              </w:rPr>
            </w:pPr>
            <w:r>
              <w:rPr>
                <w:rFonts w:hint="eastAsia" w:cs="宋体"/>
                <w:color w:val="auto"/>
                <w:highlight w:val="none"/>
              </w:rPr>
              <w:t>账  号：1202021209906782015</w:t>
            </w:r>
          </w:p>
          <w:p w14:paraId="62320830">
            <w:pPr>
              <w:pStyle w:val="2"/>
              <w:spacing w:line="360" w:lineRule="auto"/>
              <w:ind w:firstLine="0" w:firstLineChars="0"/>
              <w:rPr>
                <w:rFonts w:cs="宋体"/>
                <w:color w:val="auto"/>
                <w:kern w:val="28"/>
                <w:highlight w:val="none"/>
              </w:rPr>
            </w:pPr>
            <w:r>
              <w:rPr>
                <w:rFonts w:hint="eastAsia" w:cs="宋体"/>
                <w:bCs/>
                <w:color w:val="auto"/>
                <w:highlight w:val="none"/>
              </w:rPr>
              <w:t>（5）</w:t>
            </w:r>
            <w:r>
              <w:rPr>
                <w:rFonts w:hint="eastAsia" w:cs="宋体"/>
                <w:color w:val="auto"/>
                <w:highlight w:val="none"/>
              </w:rPr>
              <w:t>收取流程：中标供应商按照中标结果公告确定金额支付后将汇款底单、开票信息和</w:t>
            </w:r>
            <w:r>
              <w:rPr>
                <w:rFonts w:hint="eastAsia" w:cs="宋体"/>
                <w:color w:val="auto"/>
                <w:highlight w:val="none"/>
                <w:lang w:val="en-US" w:eastAsia="zh-CN"/>
              </w:rPr>
              <w:t>电子发票收件邮箱</w:t>
            </w:r>
            <w:r>
              <w:rPr>
                <w:rFonts w:hint="eastAsia" w:cs="宋体"/>
                <w:color w:val="auto"/>
                <w:highlight w:val="none"/>
              </w:rPr>
              <w:t>发送至zq017@163.com，采购代理机构在收到邮件后开具发票并及时给中标供应商。</w:t>
            </w:r>
          </w:p>
        </w:tc>
      </w:tr>
      <w:tr w14:paraId="6232083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62320832">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14</w:t>
            </w:r>
          </w:p>
        </w:tc>
        <w:tc>
          <w:tcPr>
            <w:tcW w:w="1473" w:type="dxa"/>
            <w:vMerge w:val="restart"/>
            <w:tcBorders>
              <w:top w:val="single" w:color="000000" w:sz="8" w:space="0"/>
              <w:left w:val="single" w:color="000000" w:sz="2" w:space="0"/>
              <w:right w:val="single" w:color="000000" w:sz="8" w:space="0"/>
            </w:tcBorders>
            <w:vAlign w:val="center"/>
          </w:tcPr>
          <w:p w14:paraId="62320833">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特别说明</w:t>
            </w:r>
          </w:p>
        </w:tc>
        <w:tc>
          <w:tcPr>
            <w:tcW w:w="7200" w:type="dxa"/>
            <w:tcBorders>
              <w:top w:val="single" w:color="000000" w:sz="8" w:space="0"/>
              <w:left w:val="single" w:color="000000" w:sz="2" w:space="0"/>
              <w:bottom w:val="single" w:color="000000" w:sz="8" w:space="0"/>
              <w:right w:val="single" w:color="000000" w:sz="8" w:space="0"/>
            </w:tcBorders>
            <w:vAlign w:val="center"/>
          </w:tcPr>
          <w:p w14:paraId="62320834">
            <w:pPr>
              <w:pStyle w:val="34"/>
              <w:snapToGrid w:val="0"/>
              <w:spacing w:line="360" w:lineRule="auto"/>
              <w:rPr>
                <w:rFonts w:hAnsi="宋体" w:cs="宋体"/>
                <w:b/>
                <w:bCs/>
                <w:color w:val="auto"/>
                <w:kern w:val="28"/>
                <w:sz w:val="24"/>
                <w:szCs w:val="24"/>
                <w:highlight w:val="none"/>
              </w:rPr>
            </w:pPr>
            <w:r>
              <w:rPr>
                <w:rFonts w:hint="eastAsia" w:hAnsi="宋体" w:cs="宋体"/>
                <w:b/>
                <w:bCs/>
                <w:color w:val="auto"/>
                <w:kern w:val="28"/>
                <w:sz w:val="24"/>
                <w:szCs w:val="24"/>
                <w:highlight w:val="none"/>
              </w:rPr>
              <w:t>业绩证明材料</w:t>
            </w:r>
          </w:p>
          <w:p w14:paraId="62320835">
            <w:pPr>
              <w:pStyle w:val="34"/>
              <w:snapToGrid w:val="0"/>
              <w:spacing w:line="360" w:lineRule="auto"/>
              <w:rPr>
                <w:rFonts w:hAnsi="宋体" w:cs="宋体"/>
                <w:color w:val="auto"/>
                <w:kern w:val="28"/>
                <w:sz w:val="24"/>
                <w:szCs w:val="24"/>
                <w:highlight w:val="none"/>
              </w:rPr>
            </w:pPr>
            <w:r>
              <w:rPr>
                <w:rFonts w:hint="eastAsia" w:hAnsi="宋体" w:cs="宋体"/>
                <w:color w:val="auto"/>
                <w:kern w:val="28"/>
                <w:sz w:val="24"/>
                <w:szCs w:val="24"/>
                <w:highlight w:val="none"/>
              </w:rPr>
              <w:t>☐</w:t>
            </w:r>
            <w:r>
              <w:rPr>
                <w:rFonts w:hint="eastAsia" w:hAnsi="宋体" w:cs="宋体"/>
                <w:b/>
                <w:bCs/>
                <w:color w:val="auto"/>
                <w:sz w:val="24"/>
                <w:szCs w:val="24"/>
                <w:highlight w:val="none"/>
              </w:rPr>
              <w:t xml:space="preserve"> </w:t>
            </w:r>
            <w:r>
              <w:rPr>
                <w:rFonts w:hint="eastAsia" w:hAnsi="宋体" w:cs="宋体"/>
                <w:color w:val="auto"/>
                <w:kern w:val="28"/>
                <w:sz w:val="24"/>
                <w:szCs w:val="24"/>
                <w:highlight w:val="none"/>
              </w:rPr>
              <w:t>联合体投标的，按联合体协议约定的分工内容出具相应的业绩证明材料。承担相同工作的各方或工作内容存在部分相同的，业绩数量以提供材料较少的一方为准。</w:t>
            </w:r>
          </w:p>
          <w:p w14:paraId="62320836">
            <w:pPr>
              <w:pStyle w:val="34"/>
              <w:snapToGrid w:val="0"/>
              <w:spacing w:line="360" w:lineRule="auto"/>
              <w:rPr>
                <w:rFonts w:hAnsi="宋体" w:cs="宋体"/>
                <w:b/>
                <w:bCs/>
                <w:color w:val="auto"/>
                <w:kern w:val="28"/>
                <w:sz w:val="24"/>
                <w:szCs w:val="24"/>
                <w:highlight w:val="none"/>
              </w:rPr>
            </w:pPr>
            <w:r>
              <w:rPr>
                <w:rFonts w:hint="eastAsia" w:hAnsi="宋体" w:cs="宋体"/>
                <w:b/>
                <w:bCs/>
                <w:color w:val="auto"/>
                <w:sz w:val="24"/>
                <w:szCs w:val="24"/>
                <w:highlight w:val="none"/>
              </w:rPr>
              <w:t xml:space="preserve">√ </w:t>
            </w:r>
            <w:r>
              <w:rPr>
                <w:rFonts w:hint="eastAsia" w:hAnsi="宋体" w:cs="宋体"/>
                <w:b/>
                <w:bCs/>
                <w:color w:val="auto"/>
                <w:kern w:val="28"/>
                <w:sz w:val="24"/>
                <w:szCs w:val="24"/>
                <w:highlight w:val="none"/>
              </w:rPr>
              <w:t>联合体投标的，由联合体牵头方出具相应的业绩证明材料。</w:t>
            </w:r>
          </w:p>
          <w:p w14:paraId="62320837">
            <w:pPr>
              <w:spacing w:line="360" w:lineRule="auto"/>
              <w:rPr>
                <w:rFonts w:ascii="宋体" w:hAnsi="宋体" w:cs="宋体"/>
                <w:snapToGrid w:val="0"/>
                <w:color w:val="auto"/>
                <w:kern w:val="28"/>
                <w:sz w:val="24"/>
                <w:highlight w:val="none"/>
              </w:rPr>
            </w:pPr>
            <w:r>
              <w:rPr>
                <w:rFonts w:hint="eastAsia" w:ascii="宋体" w:hAnsi="宋体" w:cs="宋体"/>
                <w:color w:val="auto"/>
                <w:kern w:val="28"/>
                <w:sz w:val="24"/>
                <w:highlight w:val="none"/>
              </w:rPr>
              <w:t>☐ 其他规定：/</w:t>
            </w:r>
          </w:p>
        </w:tc>
      </w:tr>
      <w:tr w14:paraId="623208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tcPr>
          <w:p w14:paraId="62320839">
            <w:pPr>
              <w:snapToGrid w:val="0"/>
              <w:spacing w:line="360" w:lineRule="auto"/>
              <w:jc w:val="center"/>
              <w:rPr>
                <w:rFonts w:ascii="宋体" w:hAnsi="宋体" w:cs="宋体"/>
                <w:color w:val="auto"/>
                <w:sz w:val="24"/>
                <w:highlight w:val="none"/>
              </w:rPr>
            </w:pPr>
          </w:p>
        </w:tc>
        <w:tc>
          <w:tcPr>
            <w:tcW w:w="1473" w:type="dxa"/>
            <w:vMerge w:val="continue"/>
            <w:tcBorders>
              <w:left w:val="single" w:color="000000" w:sz="2" w:space="0"/>
              <w:right w:val="single" w:color="000000" w:sz="8" w:space="0"/>
            </w:tcBorders>
            <w:vAlign w:val="center"/>
          </w:tcPr>
          <w:p w14:paraId="6232083A">
            <w:pPr>
              <w:snapToGrid w:val="0"/>
              <w:spacing w:line="360" w:lineRule="auto"/>
              <w:jc w:val="center"/>
              <w:rPr>
                <w:rFonts w:ascii="宋体" w:hAnsi="宋体" w:cs="宋体"/>
                <w:b/>
                <w:color w:val="auto"/>
                <w:sz w:val="24"/>
                <w:highlight w:val="none"/>
              </w:rPr>
            </w:pPr>
          </w:p>
        </w:tc>
        <w:tc>
          <w:tcPr>
            <w:tcW w:w="7200" w:type="dxa"/>
            <w:tcBorders>
              <w:top w:val="single" w:color="000000" w:sz="8" w:space="0"/>
              <w:left w:val="single" w:color="000000" w:sz="2" w:space="0"/>
              <w:bottom w:val="single" w:color="000000" w:sz="8" w:space="0"/>
              <w:right w:val="single" w:color="000000" w:sz="8" w:space="0"/>
            </w:tcBorders>
            <w:vAlign w:val="center"/>
          </w:tcPr>
          <w:p w14:paraId="6232083B">
            <w:pPr>
              <w:spacing w:line="360" w:lineRule="auto"/>
              <w:rPr>
                <w:rFonts w:ascii="宋体" w:hAnsi="宋体" w:cs="宋体"/>
                <w:b/>
                <w:bCs/>
                <w:color w:val="auto"/>
                <w:kern w:val="28"/>
                <w:sz w:val="24"/>
                <w:highlight w:val="none"/>
              </w:rPr>
            </w:pPr>
            <w:r>
              <w:rPr>
                <w:rFonts w:hint="eastAsia" w:ascii="宋体" w:hAnsi="宋体" w:cs="宋体"/>
                <w:b/>
                <w:bCs/>
                <w:color w:val="auto"/>
                <w:kern w:val="28"/>
                <w:sz w:val="24"/>
                <w:highlight w:val="none"/>
              </w:rPr>
              <w:t xml:space="preserve">其他资信证明材料 </w:t>
            </w:r>
          </w:p>
          <w:p w14:paraId="6232083C">
            <w:pPr>
              <w:spacing w:line="360" w:lineRule="auto"/>
              <w:rPr>
                <w:rFonts w:ascii="宋体" w:hAnsi="宋体" w:cs="宋体"/>
                <w:b/>
                <w:bCs/>
                <w:snapToGrid w:val="0"/>
                <w:color w:val="auto"/>
                <w:kern w:val="28"/>
                <w:sz w:val="24"/>
                <w:highlight w:val="none"/>
              </w:rPr>
            </w:pPr>
            <w:r>
              <w:rPr>
                <w:rFonts w:hint="eastAsia" w:ascii="宋体" w:hAnsi="宋体" w:cs="宋体"/>
                <w:b/>
                <w:bCs/>
                <w:snapToGrid w:val="0"/>
                <w:color w:val="auto"/>
                <w:kern w:val="28"/>
                <w:sz w:val="24"/>
                <w:highlight w:val="none"/>
              </w:rPr>
              <w:t>√ 联合体投标的，联合体各方均需按招标文件第四部分评标标准要求提供资信证明文件，否则视为不符合相关要求。</w:t>
            </w:r>
          </w:p>
          <w:p w14:paraId="6232083D">
            <w:pPr>
              <w:spacing w:line="360" w:lineRule="auto"/>
              <w:rPr>
                <w:rFonts w:ascii="宋体" w:hAnsi="宋体" w:cs="宋体"/>
                <w:snapToGrid w:val="0"/>
                <w:color w:val="auto"/>
                <w:kern w:val="28"/>
                <w:sz w:val="24"/>
                <w:highlight w:val="none"/>
              </w:rPr>
            </w:pPr>
            <w:sdt>
              <w:sdtPr>
                <w:rPr>
                  <w:rFonts w:hint="eastAsia" w:ascii="宋体" w:hAnsi="宋体" w:cs="宋体"/>
                  <w:color w:val="auto"/>
                  <w:kern w:val="0"/>
                  <w:sz w:val="24"/>
                  <w:highlight w:val="none"/>
                </w:rPr>
                <w:id w:val="147455436"/>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623208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40" w:hRule="atLeast"/>
          <w:tblHeader/>
        </w:trPr>
        <w:tc>
          <w:tcPr>
            <w:tcW w:w="629" w:type="dxa"/>
            <w:vMerge w:val="continue"/>
            <w:tcBorders>
              <w:left w:val="single" w:color="000000" w:sz="8" w:space="0"/>
              <w:bottom w:val="single" w:color="auto" w:sz="4" w:space="0"/>
              <w:right w:val="single" w:color="000000" w:sz="2" w:space="0"/>
            </w:tcBorders>
          </w:tcPr>
          <w:p w14:paraId="6232083F">
            <w:pPr>
              <w:snapToGrid w:val="0"/>
              <w:spacing w:line="360" w:lineRule="auto"/>
              <w:jc w:val="center"/>
              <w:rPr>
                <w:rFonts w:ascii="宋体" w:hAnsi="宋体" w:cs="宋体"/>
                <w:color w:val="auto"/>
                <w:sz w:val="24"/>
                <w:highlight w:val="none"/>
              </w:rPr>
            </w:pPr>
          </w:p>
        </w:tc>
        <w:tc>
          <w:tcPr>
            <w:tcW w:w="1473" w:type="dxa"/>
            <w:vMerge w:val="continue"/>
            <w:tcBorders>
              <w:left w:val="single" w:color="000000" w:sz="2" w:space="0"/>
              <w:bottom w:val="single" w:color="000000" w:sz="8" w:space="0"/>
              <w:right w:val="single" w:color="000000" w:sz="8" w:space="0"/>
            </w:tcBorders>
            <w:vAlign w:val="center"/>
          </w:tcPr>
          <w:p w14:paraId="62320840">
            <w:pPr>
              <w:snapToGrid w:val="0"/>
              <w:spacing w:line="360" w:lineRule="auto"/>
              <w:jc w:val="center"/>
              <w:rPr>
                <w:rFonts w:ascii="宋体" w:hAnsi="宋体" w:cs="宋体"/>
                <w:b/>
                <w:color w:val="auto"/>
                <w:sz w:val="24"/>
                <w:highlight w:val="none"/>
              </w:rPr>
            </w:pPr>
          </w:p>
        </w:tc>
        <w:tc>
          <w:tcPr>
            <w:tcW w:w="7200" w:type="dxa"/>
            <w:tcBorders>
              <w:top w:val="single" w:color="000000" w:sz="8" w:space="0"/>
              <w:left w:val="single" w:color="000000" w:sz="2" w:space="0"/>
              <w:bottom w:val="single" w:color="000000" w:sz="8" w:space="0"/>
              <w:right w:val="single" w:color="000000" w:sz="8" w:space="0"/>
            </w:tcBorders>
            <w:vAlign w:val="center"/>
          </w:tcPr>
          <w:p w14:paraId="62320841">
            <w:pPr>
              <w:spacing w:line="360" w:lineRule="auto"/>
              <w:rPr>
                <w:rFonts w:ascii="宋体" w:hAnsi="宋体" w:cs="宋体"/>
                <w:snapToGrid w:val="0"/>
                <w:color w:val="auto"/>
                <w:kern w:val="28"/>
                <w:sz w:val="24"/>
                <w:highlight w:val="none"/>
              </w:rPr>
            </w:pPr>
            <w:r>
              <w:rPr>
                <w:rFonts w:hint="eastAsia" w:ascii="宋体" w:hAnsi="宋体" w:cs="宋体"/>
                <w:b/>
                <w:bCs/>
                <w:color w:val="auto"/>
                <w:kern w:val="0"/>
                <w:sz w:val="24"/>
                <w:highlight w:val="none"/>
                <w:lang w:val="en"/>
              </w:rPr>
              <w:t>本项目</w:t>
            </w:r>
            <w:r>
              <w:rPr>
                <w:rFonts w:hint="eastAsia" w:ascii="宋体" w:hAnsi="宋体" w:cs="宋体"/>
                <w:b/>
                <w:bCs/>
                <w:color w:val="auto"/>
                <w:kern w:val="0"/>
                <w:sz w:val="24"/>
                <w:highlight w:val="none"/>
                <w:lang w:val="en-US" w:eastAsia="zh-CN"/>
              </w:rPr>
              <w:t>各标项</w:t>
            </w:r>
            <w:r>
              <w:rPr>
                <w:rFonts w:hint="eastAsia" w:ascii="宋体" w:hAnsi="宋体" w:cs="宋体"/>
                <w:b/>
                <w:bCs/>
                <w:color w:val="auto"/>
                <w:kern w:val="0"/>
                <w:sz w:val="24"/>
                <w:highlight w:val="none"/>
                <w:lang w:val="en"/>
              </w:rPr>
              <w:t>推荐的中标候选人数量：</w:t>
            </w:r>
            <w:r>
              <w:rPr>
                <w:rFonts w:hint="eastAsia" w:ascii="宋体" w:hAnsi="宋体" w:cs="宋体"/>
                <w:b/>
                <w:bCs/>
                <w:color w:val="auto"/>
                <w:kern w:val="0"/>
                <w:sz w:val="24"/>
                <w:highlight w:val="none"/>
                <w:u w:val="single"/>
              </w:rPr>
              <w:t xml:space="preserve"> 1家  </w:t>
            </w:r>
            <w:r>
              <w:rPr>
                <w:rFonts w:hint="eastAsia" w:ascii="宋体" w:hAnsi="宋体" w:cs="宋体"/>
                <w:b/>
                <w:bCs/>
                <w:color w:val="auto"/>
                <w:kern w:val="0"/>
                <w:sz w:val="24"/>
                <w:highlight w:val="none"/>
                <w:lang w:val="en"/>
              </w:rPr>
              <w:t>。</w:t>
            </w:r>
          </w:p>
        </w:tc>
      </w:tr>
    </w:tbl>
    <w:p w14:paraId="62320843">
      <w:pPr>
        <w:snapToGrid w:val="0"/>
        <w:spacing w:line="360" w:lineRule="auto"/>
        <w:jc w:val="center"/>
        <w:rPr>
          <w:rFonts w:ascii="宋体" w:hAnsi="宋体" w:cs="宋体"/>
          <w:b/>
          <w:color w:val="auto"/>
          <w:sz w:val="32"/>
          <w:szCs w:val="20"/>
          <w:highlight w:val="none"/>
        </w:rPr>
      </w:pPr>
    </w:p>
    <w:bookmarkEnd w:id="9"/>
    <w:p w14:paraId="62320844">
      <w:pPr>
        <w:rPr>
          <w:rFonts w:ascii="宋体" w:hAnsi="宋体" w:cs="宋体"/>
          <w:b/>
          <w:color w:val="auto"/>
          <w:sz w:val="32"/>
          <w:szCs w:val="20"/>
          <w:highlight w:val="none"/>
        </w:rPr>
      </w:pPr>
      <w:bookmarkStart w:id="10" w:name="_Toc164416483"/>
      <w:bookmarkStart w:id="11" w:name="第三部分"/>
      <w:r>
        <w:rPr>
          <w:rFonts w:hint="eastAsia" w:ascii="宋体" w:hAnsi="宋体" w:cs="宋体"/>
          <w:b/>
          <w:color w:val="auto"/>
          <w:sz w:val="32"/>
          <w:szCs w:val="20"/>
          <w:highlight w:val="none"/>
        </w:rPr>
        <w:br w:type="page"/>
      </w:r>
    </w:p>
    <w:p w14:paraId="62320845">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一、总则</w:t>
      </w:r>
    </w:p>
    <w:p w14:paraId="62320846">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62320847">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62320848">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14:paraId="6232084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6232084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“采购代理机构”系指招标公告中载明的本项目的采购代理机构。</w:t>
      </w:r>
    </w:p>
    <w:p w14:paraId="6232084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“投标人”系指响应招标、参加投标竞争的法人、其他组织或者自然人。</w:t>
      </w:r>
    </w:p>
    <w:p w14:paraId="6232084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6232084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6232084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2.6“电子交易平台”系指本项目政府采购活动所依托的政府采购云平台（https://www.zcygov.cn）。</w:t>
      </w:r>
    </w:p>
    <w:p w14:paraId="6232084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62320850">
      <w:pP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62320851">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62320852">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14:paraId="62320853">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6232085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修缮、装修类项目采购建材的，采购人应将绿色建筑和绿色建材性能、指标等作为实质性条件纳入招标文件和合同。</w:t>
      </w:r>
    </w:p>
    <w:p w14:paraId="6232085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6232085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3.2.4 鼓励供应商在参加政府采购过程中开展绿色设计、选择绿色材料、打造绿色制造工艺、开展绿色运输、做好废弃产品回收处理，实现产品全周期的绿色环保。鼓励采购单位对其提高预付款比例、免收履约保证金。</w:t>
      </w:r>
    </w:p>
    <w:p w14:paraId="62320857">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14:paraId="6232085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6232085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6232085A">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6232085B">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6232085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服务项目，以及预留份额政府采购服务项目中的非预留部分标项，对小型和微型企业的投标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14:paraId="6232085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6232085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6232085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w:t>
      </w:r>
      <w:r>
        <w:rPr>
          <w:rFonts w:hint="eastAsia" w:ascii="宋体" w:hAnsi="宋体" w:eastAsia="宋体" w:cs="宋体"/>
          <w:color w:val="auto"/>
          <w:sz w:val="24"/>
          <w:highlight w:val="none"/>
        </w:rPr>
        <w:t>可享受中小企业扶持政策的投标人应按照招标文件格式要求提供《中小企业声明函》，《中小企业声明函》填写企业类型错误，导致该企业享受本不能享受的中小企业扶持政策，投标无效并依法承担法律责任。</w:t>
      </w:r>
    </w:p>
    <w:p w14:paraId="6232086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6232086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6232086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3.4.1 </w:t>
      </w:r>
      <w:r>
        <w:rPr>
          <w:rFonts w:hint="eastAsia" w:ascii="宋体" w:hAnsi="宋体" w:eastAsia="宋体" w:cs="宋体"/>
          <w:color w:val="auto"/>
          <w:sz w:val="24"/>
          <w:highlight w:val="none"/>
        </w:rPr>
        <w:t>首台套、“制造精品”、“专精特新”等创新产品按规定享受政府采购支持政策。</w:t>
      </w:r>
    </w:p>
    <w:p w14:paraId="62320864">
      <w:pPr>
        <w:pStyle w:val="4"/>
        <w:adjustRightInd w:val="0"/>
        <w:ind w:left="0" w:firstLine="482" w:firstLineChars="200"/>
        <w:rPr>
          <w:rFonts w:ascii="宋体" w:hAnsi="宋体" w:eastAsia="宋体" w:cs="宋体"/>
          <w:color w:val="auto"/>
          <w:highlight w:val="none"/>
        </w:rPr>
      </w:pPr>
      <w:r>
        <w:rPr>
          <w:rFonts w:hint="eastAsia" w:ascii="宋体" w:hAnsi="宋体" w:cs="宋体"/>
          <w:color w:val="auto"/>
          <w:sz w:val="24"/>
          <w:highlight w:val="none"/>
        </w:rPr>
        <w:t>3.4.2</w:t>
      </w:r>
      <w:r>
        <w:rPr>
          <w:rFonts w:hint="eastAsia" w:ascii="宋体" w:hAnsi="宋体" w:eastAsia="宋体" w:cs="宋体"/>
          <w:b w:val="0"/>
          <w:bCs w:val="0"/>
          <w:color w:val="auto"/>
          <w:sz w:val="24"/>
          <w:szCs w:val="24"/>
          <w:highlight w:val="none"/>
          <w:lang w:val="en-US"/>
        </w:rPr>
        <w:t>采购人应当贯彻落实知识产权保护相关法律法规，应当采购使用正版软件。</w:t>
      </w:r>
    </w:p>
    <w:p w14:paraId="6232086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62320866">
      <w:pPr>
        <w:spacing w:line="360" w:lineRule="auto"/>
        <w:ind w:firstLine="240" w:firstLineChars="100"/>
        <w:rPr>
          <w:rFonts w:ascii="宋体" w:hAnsi="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询问、质疑、投诉、补偿救济</w:t>
      </w:r>
    </w:p>
    <w:p w14:paraId="62320867">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2320868">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62320869">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6232086A">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6232086B">
      <w:pPr>
        <w:pStyle w:val="34"/>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6232086C">
      <w:pPr>
        <w:pStyle w:val="34"/>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6232086D">
      <w:pPr>
        <w:pStyle w:val="6"/>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6232086E">
      <w:pPr>
        <w:pStyle w:val="34"/>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6232086F">
      <w:pPr>
        <w:pStyle w:val="34"/>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62320870">
      <w:pPr>
        <w:pStyle w:val="34"/>
        <w:spacing w:line="360" w:lineRule="auto"/>
        <w:ind w:firstLine="840" w:firstLineChars="350"/>
        <w:rPr>
          <w:rFonts w:hAnsi="宋体" w:cs="宋体"/>
          <w:color w:val="auto"/>
          <w:kern w:val="0"/>
          <w:sz w:val="24"/>
          <w:highlight w:val="none"/>
          <w:lang w:val="zh-CN"/>
        </w:rPr>
      </w:pPr>
      <w:r>
        <w:rPr>
          <w:rFonts w:hint="eastAsia" w:hAnsi="宋体" w:cs="宋体"/>
          <w:color w:val="auto"/>
          <w:kern w:val="0"/>
          <w:sz w:val="24"/>
          <w:highlight w:val="none"/>
          <w:lang w:val="zh-CN"/>
        </w:rPr>
        <w:t>4.3.3.1供应商的姓名或者名称、地址、邮编、联系人及联系电话；</w:t>
      </w:r>
    </w:p>
    <w:p w14:paraId="62320871">
      <w:pPr>
        <w:pStyle w:val="34"/>
        <w:spacing w:line="360" w:lineRule="auto"/>
        <w:ind w:firstLine="840" w:firstLineChars="350"/>
        <w:rPr>
          <w:rFonts w:hAnsi="宋体" w:cs="宋体"/>
          <w:color w:val="auto"/>
          <w:kern w:val="0"/>
          <w:sz w:val="24"/>
          <w:highlight w:val="none"/>
          <w:lang w:val="zh-CN"/>
        </w:rPr>
      </w:pPr>
      <w:r>
        <w:rPr>
          <w:rFonts w:hint="eastAsia" w:hAnsi="宋体" w:cs="宋体"/>
          <w:color w:val="auto"/>
          <w:kern w:val="0"/>
          <w:sz w:val="24"/>
          <w:highlight w:val="none"/>
          <w:lang w:val="zh-CN"/>
        </w:rPr>
        <w:t>4.3.3.2质疑项目的名称、编号；</w:t>
      </w:r>
    </w:p>
    <w:p w14:paraId="62320872">
      <w:pPr>
        <w:pStyle w:val="34"/>
        <w:spacing w:line="360" w:lineRule="auto"/>
        <w:ind w:firstLine="840" w:firstLineChars="350"/>
        <w:rPr>
          <w:rFonts w:hAnsi="宋体" w:cs="宋体"/>
          <w:color w:val="auto"/>
          <w:kern w:val="0"/>
          <w:sz w:val="24"/>
          <w:highlight w:val="none"/>
          <w:lang w:val="zh-CN"/>
        </w:rPr>
      </w:pPr>
      <w:r>
        <w:rPr>
          <w:rFonts w:hint="eastAsia" w:hAnsi="宋体" w:cs="宋体"/>
          <w:color w:val="auto"/>
          <w:kern w:val="0"/>
          <w:sz w:val="24"/>
          <w:highlight w:val="none"/>
          <w:lang w:val="zh-CN"/>
        </w:rPr>
        <w:t>4.3.3.3具体、明确的质疑事项和与质疑事项相关的请求；</w:t>
      </w:r>
    </w:p>
    <w:p w14:paraId="62320873">
      <w:pPr>
        <w:pStyle w:val="34"/>
        <w:spacing w:line="360" w:lineRule="auto"/>
        <w:ind w:firstLine="840" w:firstLineChars="350"/>
        <w:rPr>
          <w:rFonts w:hAnsi="宋体" w:cs="宋体"/>
          <w:color w:val="auto"/>
          <w:kern w:val="0"/>
          <w:sz w:val="24"/>
          <w:highlight w:val="none"/>
          <w:lang w:val="zh-CN"/>
        </w:rPr>
      </w:pPr>
      <w:r>
        <w:rPr>
          <w:rFonts w:hint="eastAsia" w:hAnsi="宋体" w:cs="宋体"/>
          <w:color w:val="auto"/>
          <w:kern w:val="0"/>
          <w:sz w:val="24"/>
          <w:highlight w:val="none"/>
          <w:lang w:val="zh-CN"/>
        </w:rPr>
        <w:t>4.3.3.4事实依据；</w:t>
      </w:r>
    </w:p>
    <w:p w14:paraId="62320874">
      <w:pPr>
        <w:pStyle w:val="34"/>
        <w:spacing w:line="360" w:lineRule="auto"/>
        <w:ind w:firstLine="840" w:firstLineChars="350"/>
        <w:rPr>
          <w:rFonts w:hAnsi="宋体" w:cs="宋体"/>
          <w:color w:val="auto"/>
          <w:kern w:val="0"/>
          <w:sz w:val="24"/>
          <w:highlight w:val="none"/>
          <w:lang w:val="zh-CN"/>
        </w:rPr>
      </w:pPr>
      <w:r>
        <w:rPr>
          <w:rFonts w:hint="eastAsia" w:hAnsi="宋体" w:cs="宋体"/>
          <w:color w:val="auto"/>
          <w:kern w:val="0"/>
          <w:sz w:val="24"/>
          <w:highlight w:val="none"/>
          <w:lang w:val="zh-CN"/>
        </w:rPr>
        <w:t>4.3.3.5必要的法律依据；</w:t>
      </w:r>
    </w:p>
    <w:p w14:paraId="62320875">
      <w:pPr>
        <w:pStyle w:val="34"/>
        <w:spacing w:line="360" w:lineRule="auto"/>
        <w:ind w:firstLine="840" w:firstLineChars="35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62320876">
      <w:pPr>
        <w:pStyle w:val="890"/>
        <w:shd w:val="clear" w:color="auto" w:fill="FFFFFF"/>
        <w:snapToGrid w:val="0"/>
        <w:spacing w:before="0" w:beforeAutospacing="0" w:after="0" w:afterAutospacing="0" w:line="360" w:lineRule="auto"/>
        <w:ind w:firstLine="403"/>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62320877">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14:paraId="62320878">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14:paraId="62320879">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.5采购人或者采购代理机构应当在收到供应商的书面质疑后七个工作日内作出答复，并以书面形式通知质疑供应商和其他与质疑处理结果有利害关系的政府采购当事人，但答复的内容不得涉及商业秘密。</w:t>
      </w:r>
    </w:p>
    <w:p w14:paraId="6232087A">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6232087B">
      <w:pPr>
        <w:pStyle w:val="890"/>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14:paraId="6232087C">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4.4.1质疑供应商对采购人、采购代理机构的答复不满意或者采购人、采购代理机构未在规定的时间内作出答复的，可以在答复期满后十五个工作日内向同级政府采购监督管理部门提出投诉。</w:t>
      </w:r>
    </w:p>
    <w:p w14:paraId="6232087D">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6232087E">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14:paraId="6232087F">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4.4.4以联合体形式参加政府采购活动的，其投诉应当由组成联合体的所有供应商共同提出。</w:t>
      </w:r>
    </w:p>
    <w:p w14:paraId="62320880">
      <w:pPr>
        <w:pStyle w:val="890"/>
        <w:shd w:val="clear" w:color="auto" w:fill="FFFFFF"/>
        <w:spacing w:before="0" w:beforeAutospacing="0" w:after="0" w:afterAutospacing="0" w:line="360" w:lineRule="auto"/>
        <w:ind w:firstLine="480" w:firstLineChars="200"/>
        <w:contextualSpacing/>
        <w:rPr>
          <w:color w:val="auto"/>
          <w:highlight w:val="none"/>
          <w:lang w:val="zh-CN"/>
        </w:rPr>
      </w:pPr>
      <w:r>
        <w:rPr>
          <w:rFonts w:hint="eastAsia"/>
          <w:color w:val="auto"/>
          <w:highlight w:val="none"/>
          <w:lang w:val="zh-CN"/>
        </w:rPr>
        <w:t>4.5 补偿救济</w:t>
      </w:r>
    </w:p>
    <w:p w14:paraId="6232088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采购人（行政机关）因政策变化、规划调整而不履行政府采购合同的，供应商可向采购人（行政机关）提起补偿申请。</w:t>
      </w:r>
    </w:p>
    <w:p w14:paraId="62320882">
      <w:pPr>
        <w:pStyle w:val="890"/>
        <w:shd w:val="clear" w:color="auto" w:fill="FFFFFF"/>
        <w:snapToGrid w:val="0"/>
        <w:spacing w:before="0" w:beforeAutospacing="0" w:after="0" w:afterAutospacing="0" w:line="360" w:lineRule="auto"/>
        <w:ind w:firstLine="403"/>
        <w:contextualSpacing/>
        <w:rPr>
          <w:color w:val="auto"/>
          <w:highlight w:val="none"/>
        </w:rPr>
      </w:pPr>
      <w:r>
        <w:rPr>
          <w:rFonts w:hint="eastAsia"/>
          <w:color w:val="auto"/>
          <w:highlight w:val="none"/>
        </w:rPr>
        <w:t>投诉书范本及制作说明详见附件3。</w:t>
      </w:r>
    </w:p>
    <w:p w14:paraId="62320883">
      <w:pPr>
        <w:pStyle w:val="141"/>
        <w:snapToGrid w:val="0"/>
        <w:spacing w:before="0"/>
        <w:ind w:firstLine="360"/>
        <w:rPr>
          <w:rFonts w:ascii="宋体" w:hAnsi="宋体" w:cs="宋体"/>
          <w:color w:val="auto"/>
          <w:sz w:val="18"/>
          <w:szCs w:val="18"/>
          <w:highlight w:val="none"/>
        </w:rPr>
      </w:pPr>
    </w:p>
    <w:p w14:paraId="62320884">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62320885">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14:paraId="62320886">
      <w:pPr>
        <w:pStyle w:val="34"/>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62320887">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14:paraId="62320888">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14:paraId="62320889">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6232088A">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14:paraId="6232088B">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6232088C">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6232088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6232088E">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6232088F">
      <w:pPr>
        <w:pStyle w:val="141"/>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6.1已获取招标文件的潜在投标人，若有问题需要澄清，应于投标截止时间前，以书面形式向采购代理机构提出。</w:t>
      </w:r>
    </w:p>
    <w:p w14:paraId="62320890">
      <w:pPr>
        <w:pStyle w:val="141"/>
        <w:snapToGrid w:val="0"/>
        <w:spacing w:before="0"/>
        <w:ind w:firstLine="480"/>
        <w:rPr>
          <w:rFonts w:ascii="宋体" w:hAnsi="宋体" w:cs="宋体"/>
          <w:color w:val="auto"/>
          <w:highlight w:val="none"/>
        </w:rPr>
      </w:pPr>
      <w:r>
        <w:rPr>
          <w:rFonts w:hint="eastAsia" w:ascii="宋体" w:hAnsi="宋体" w:cs="宋体"/>
          <w:color w:val="auto"/>
          <w:highlight w:val="none"/>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62320891">
      <w:pPr>
        <w:pStyle w:val="24"/>
        <w:rPr>
          <w:rFonts w:hAnsi="宋体" w:cs="宋体"/>
          <w:color w:val="auto"/>
          <w:sz w:val="18"/>
          <w:szCs w:val="18"/>
          <w:highlight w:val="none"/>
          <w:lang w:val="en-US"/>
        </w:rPr>
      </w:pPr>
      <w:r>
        <w:rPr>
          <w:rFonts w:hint="eastAsia" w:hAnsi="宋体" w:cs="宋体"/>
          <w:color w:val="auto"/>
          <w:szCs w:val="24"/>
          <w:highlight w:val="none"/>
          <w:lang w:val="en-US"/>
        </w:rPr>
        <w:t xml:space="preserve">    </w:t>
      </w:r>
    </w:p>
    <w:p w14:paraId="62320892">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14:paraId="62320893">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14:paraId="62320894">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62320895">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14:paraId="62320896">
      <w:pPr>
        <w:pStyle w:val="34"/>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62320897">
      <w:pPr>
        <w:pStyle w:val="34"/>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14:paraId="62320898">
      <w:pPr>
        <w:pStyle w:val="6"/>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62320899">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14:paraId="6232089A">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6232089B">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14:paraId="6232089C">
      <w:pPr>
        <w:snapToGrid w:val="0"/>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11.1资格文件</w:t>
      </w:r>
    </w:p>
    <w:p w14:paraId="6232089D">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6232089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11.1.2</w:t>
      </w:r>
      <w:r>
        <w:rPr>
          <w:rFonts w:hint="eastAsia" w:ascii="宋体" w:hAnsi="宋体" w:cs="宋体"/>
          <w:snapToGrid w:val="0"/>
          <w:color w:val="auto"/>
          <w:kern w:val="28"/>
          <w:sz w:val="24"/>
          <w:szCs w:val="20"/>
          <w:highlight w:val="none"/>
        </w:rPr>
        <w:t>联合协议（如果有）；</w:t>
      </w:r>
    </w:p>
    <w:p w14:paraId="6232089F">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11.1.3落实政府采购政策需满足的资格要求</w:t>
      </w:r>
      <w:r>
        <w:rPr>
          <w:rFonts w:hint="eastAsia" w:ascii="宋体" w:hAnsi="宋体" w:cs="宋体"/>
          <w:snapToGrid w:val="0"/>
          <w:color w:val="auto"/>
          <w:kern w:val="28"/>
          <w:sz w:val="24"/>
          <w:szCs w:val="20"/>
          <w:highlight w:val="none"/>
        </w:rPr>
        <w:t>：</w:t>
      </w:r>
      <w:r>
        <w:rPr>
          <w:rFonts w:hint="eastAsia" w:ascii="宋体" w:hAnsi="宋体" w:cs="宋体"/>
          <w:snapToGrid w:val="0"/>
          <w:color w:val="auto"/>
          <w:kern w:val="28"/>
          <w:sz w:val="24"/>
          <w:szCs w:val="20"/>
          <w:highlight w:val="none"/>
          <w:lang w:val="en-US" w:eastAsia="zh-CN"/>
        </w:rPr>
        <w:t>无</w:t>
      </w:r>
      <w:r>
        <w:rPr>
          <w:rFonts w:hint="eastAsia" w:ascii="宋体" w:hAnsi="宋体" w:cs="宋体"/>
          <w:color w:val="auto"/>
          <w:sz w:val="24"/>
          <w:highlight w:val="none"/>
        </w:rPr>
        <w:t>；</w:t>
      </w:r>
    </w:p>
    <w:p w14:paraId="623208A0">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11.1.4本项目的特定资格要求</w:t>
      </w:r>
      <w:r>
        <w:rPr>
          <w:rFonts w:hint="eastAsia" w:ascii="宋体" w:hAnsi="宋体" w:cs="宋体"/>
          <w:snapToGrid w:val="0"/>
          <w:color w:val="auto"/>
          <w:kern w:val="28"/>
          <w:sz w:val="24"/>
          <w:szCs w:val="20"/>
          <w:highlight w:val="none"/>
        </w:rPr>
        <w:t>：无</w:t>
      </w:r>
      <w:r>
        <w:rPr>
          <w:rFonts w:hint="eastAsia" w:ascii="宋体" w:hAnsi="宋体" w:cs="宋体"/>
          <w:color w:val="auto"/>
          <w:sz w:val="24"/>
          <w:highlight w:val="none"/>
        </w:rPr>
        <w:t>；</w:t>
      </w:r>
    </w:p>
    <w:p w14:paraId="623208A1">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11.1.5分包意向协议</w:t>
      </w:r>
      <w:r>
        <w:rPr>
          <w:rFonts w:hint="eastAsia" w:ascii="宋体" w:hAnsi="宋体" w:cs="宋体"/>
          <w:snapToGrid w:val="0"/>
          <w:color w:val="auto"/>
          <w:kern w:val="28"/>
          <w:sz w:val="24"/>
          <w:szCs w:val="20"/>
          <w:highlight w:val="none"/>
        </w:rPr>
        <w:t>（如果有）。</w:t>
      </w:r>
    </w:p>
    <w:p w14:paraId="623208A2">
      <w:pPr>
        <w:snapToGrid w:val="0"/>
        <w:spacing w:line="360" w:lineRule="auto"/>
        <w:ind w:firstLine="482" w:firstLineChars="200"/>
        <w:rPr>
          <w:rFonts w:ascii="宋体" w:hAnsi="宋体" w:cs="宋体"/>
          <w:b/>
          <w:bCs/>
          <w:color w:val="auto"/>
          <w:sz w:val="24"/>
          <w:highlight w:val="none"/>
          <w:lang w:val="zh-CN"/>
        </w:rPr>
      </w:pPr>
      <w:r>
        <w:rPr>
          <w:rFonts w:hint="eastAsia" w:ascii="宋体" w:hAnsi="宋体" w:cs="宋体"/>
          <w:b/>
          <w:bCs/>
          <w:color w:val="auto"/>
          <w:sz w:val="24"/>
          <w:highlight w:val="none"/>
          <w:lang w:val="zh-CN"/>
        </w:rPr>
        <w:t>11.</w:t>
      </w:r>
      <w:r>
        <w:rPr>
          <w:rFonts w:hint="eastAsia" w:ascii="宋体" w:hAnsi="宋体" w:cs="宋体"/>
          <w:b/>
          <w:bCs/>
          <w:color w:val="auto"/>
          <w:sz w:val="24"/>
          <w:highlight w:val="none"/>
        </w:rPr>
        <w:t>2</w:t>
      </w:r>
      <w:r>
        <w:rPr>
          <w:rFonts w:hint="eastAsia" w:ascii="宋体" w:hAnsi="宋体" w:cs="宋体"/>
          <w:b/>
          <w:bCs/>
          <w:color w:val="auto"/>
          <w:sz w:val="24"/>
          <w:highlight w:val="none"/>
          <w:lang w:val="zh-CN"/>
        </w:rPr>
        <w:t xml:space="preserve">  </w:t>
      </w:r>
      <w:r>
        <w:rPr>
          <w:rFonts w:hint="eastAsia" w:ascii="宋体" w:hAnsi="宋体" w:cs="宋体"/>
          <w:b/>
          <w:bCs/>
          <w:color w:val="auto"/>
          <w:sz w:val="24"/>
          <w:highlight w:val="none"/>
        </w:rPr>
        <w:t>商务技术</w:t>
      </w:r>
      <w:r>
        <w:rPr>
          <w:rFonts w:hint="eastAsia" w:ascii="宋体" w:hAnsi="宋体" w:cs="宋体"/>
          <w:b/>
          <w:bCs/>
          <w:color w:val="auto"/>
          <w:sz w:val="24"/>
          <w:highlight w:val="none"/>
          <w:lang w:val="zh-CN"/>
        </w:rPr>
        <w:t>文件</w:t>
      </w:r>
    </w:p>
    <w:p w14:paraId="623208A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623208A4">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623208A5">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11.2.3符合性审查资料；</w:t>
      </w:r>
    </w:p>
    <w:p w14:paraId="623208A6">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11.2.4评标标准相应的商务技术资料；</w:t>
      </w:r>
    </w:p>
    <w:p w14:paraId="623208A7">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11.2.5投标标的清单；</w:t>
      </w:r>
    </w:p>
    <w:p w14:paraId="623208A8">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11.2.6商务技术偏离表；</w:t>
      </w:r>
    </w:p>
    <w:p w14:paraId="623208A9">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7</w:t>
      </w:r>
      <w:r>
        <w:rPr>
          <w:rFonts w:hint="eastAsia" w:ascii="宋体" w:hAnsi="宋体" w:cs="宋体"/>
          <w:color w:val="auto"/>
          <w:sz w:val="24"/>
          <w:highlight w:val="none"/>
          <w:lang w:val="zh-CN"/>
        </w:rPr>
        <w:t>政府采购供应商廉洁自律承诺书</w:t>
      </w:r>
      <w:r>
        <w:rPr>
          <w:rFonts w:hint="eastAsia" w:ascii="宋体" w:hAnsi="宋体" w:cs="宋体"/>
          <w:color w:val="auto"/>
          <w:sz w:val="24"/>
          <w:highlight w:val="none"/>
        </w:rPr>
        <w:t>。</w:t>
      </w:r>
    </w:p>
    <w:p w14:paraId="623208AA">
      <w:pPr>
        <w:snapToGrid w:val="0"/>
        <w:spacing w:line="360" w:lineRule="auto"/>
        <w:ind w:firstLine="482" w:firstLineChars="200"/>
        <w:rPr>
          <w:rFonts w:ascii="宋体" w:hAnsi="宋体" w:cs="宋体"/>
          <w:b/>
          <w:bCs/>
          <w:color w:val="auto"/>
          <w:sz w:val="24"/>
          <w:highlight w:val="none"/>
          <w:u w:val="single"/>
          <w:lang w:val="zh-CN"/>
        </w:rPr>
      </w:pPr>
      <w:r>
        <w:rPr>
          <w:rFonts w:hint="eastAsia" w:ascii="宋体" w:hAnsi="宋体" w:cs="宋体"/>
          <w:b/>
          <w:bCs/>
          <w:color w:val="auto"/>
          <w:kern w:val="0"/>
          <w:sz w:val="24"/>
          <w:highlight w:val="none"/>
          <w:lang w:val="zh-CN"/>
        </w:rPr>
        <w:t>11.</w:t>
      </w:r>
      <w:r>
        <w:rPr>
          <w:rFonts w:hint="eastAsia" w:ascii="宋体" w:hAnsi="宋体" w:cs="宋体"/>
          <w:b/>
          <w:bCs/>
          <w:color w:val="auto"/>
          <w:kern w:val="0"/>
          <w:sz w:val="24"/>
          <w:highlight w:val="none"/>
        </w:rPr>
        <w:t>3</w:t>
      </w:r>
      <w:r>
        <w:rPr>
          <w:rFonts w:hint="eastAsia" w:ascii="宋体" w:hAnsi="宋体" w:cs="宋体"/>
          <w:b/>
          <w:bCs/>
          <w:color w:val="auto"/>
          <w:sz w:val="24"/>
          <w:highlight w:val="none"/>
        </w:rPr>
        <w:t>报价文件</w:t>
      </w:r>
    </w:p>
    <w:p w14:paraId="623208AB">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11.3.1开标一览表（报价表）；</w:t>
      </w:r>
    </w:p>
    <w:p w14:paraId="623208AC">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11.3.2</w:t>
      </w:r>
      <w:r>
        <w:rPr>
          <w:rFonts w:hint="eastAsia" w:ascii="宋体" w:hAnsi="宋体" w:cs="宋体"/>
          <w:color w:val="auto"/>
          <w:sz w:val="24"/>
          <w:highlight w:val="none"/>
          <w:lang w:val="en-US" w:eastAsia="zh-CN"/>
        </w:rPr>
        <w:t xml:space="preserve"> 中小企业声明函（</w:t>
      </w:r>
      <w:r>
        <w:rPr>
          <w:rFonts w:hint="eastAsia" w:ascii="宋体" w:hAnsi="宋体" w:cs="宋体"/>
          <w:snapToGrid w:val="0"/>
          <w:color w:val="auto"/>
          <w:kern w:val="28"/>
          <w:sz w:val="24"/>
          <w:szCs w:val="20"/>
          <w:highlight w:val="none"/>
        </w:rPr>
        <w:t>如果</w:t>
      </w:r>
      <w:r>
        <w:rPr>
          <w:rFonts w:hint="eastAsia" w:ascii="宋体" w:hAnsi="宋体" w:cs="宋体"/>
          <w:color w:val="auto"/>
          <w:sz w:val="24"/>
          <w:highlight w:val="none"/>
          <w:lang w:val="en-US" w:eastAsia="zh-CN"/>
        </w:rPr>
        <w:t>有）</w:t>
      </w:r>
      <w:r>
        <w:rPr>
          <w:rFonts w:hint="eastAsia" w:ascii="宋体" w:hAnsi="宋体" w:cs="宋体"/>
          <w:color w:val="auto"/>
          <w:sz w:val="24"/>
          <w:highlight w:val="none"/>
        </w:rPr>
        <w:t>。</w:t>
      </w:r>
    </w:p>
    <w:p w14:paraId="623208AD">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623208AE">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10115460">
      <w:pPr>
        <w:spacing w:line="360" w:lineRule="auto"/>
        <w:ind w:left="0" w:leftChars="0" w:firstLine="420" w:firstLineChars="175"/>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en-US" w:eastAsia="zh-CN"/>
        </w:rPr>
        <w:t>投标人可事先在公开官网查询、核对相关证书和报告内容，确保投标（响应）文件资料准确无误。投标人应对投标文件中材料的真实性、合法性负责。</w:t>
      </w:r>
    </w:p>
    <w:p w14:paraId="623208B0">
      <w:pPr>
        <w:pStyle w:val="141"/>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623208B1">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w:t>
      </w:r>
      <w:r>
        <w:rPr>
          <w:rFonts w:hint="eastAsia" w:ascii="宋体" w:hAnsi="宋体" w:cs="宋体"/>
          <w:color w:val="auto"/>
          <w:kern w:val="0"/>
          <w:sz w:val="24"/>
          <w:highlight w:val="none"/>
          <w:lang w:val="en-US" w:eastAsia="zh-CN"/>
        </w:rPr>
        <w:t>投标人如参加多个标项投标，投标文件应按标项分别编制递交。</w:t>
      </w:r>
      <w:r>
        <w:rPr>
          <w:rFonts w:hint="eastAsia" w:ascii="宋体" w:hAnsi="宋体" w:cs="宋体"/>
          <w:color w:val="auto"/>
          <w:kern w:val="0"/>
          <w:sz w:val="24"/>
          <w:highlight w:val="none"/>
          <w:lang w:val="zh-CN"/>
        </w:rPr>
        <w:t>各投标人在编制投标文件时请按照招标文件第六部分规定的格式进行，混乱的编排导致投标文件被误读或评标委员会查找不到有效文件是投标人的风险。</w:t>
      </w:r>
    </w:p>
    <w:p w14:paraId="623208B2">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623208B3">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623208B4">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623208B5">
      <w:pPr>
        <w:pStyle w:val="141"/>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623208B6">
      <w:pPr>
        <w:pStyle w:val="141"/>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623208B7">
      <w:pPr>
        <w:pStyle w:val="141"/>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623208B8">
      <w:pPr>
        <w:pStyle w:val="14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623208B9">
      <w:pPr>
        <w:pStyle w:val="141"/>
        <w:spacing w:before="0"/>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623208BA">
      <w:pPr>
        <w:pStyle w:val="141"/>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623208BB">
      <w:pPr>
        <w:pStyle w:val="141"/>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14.3采购人、采购代理机构可以视情况延长投标文件提交的截止时间。在上述情况下，采购代理机构与投标人以前在投标截止期方面的全部权利、责任和义务，将适用于延长至新的投标截止期。</w:t>
      </w:r>
    </w:p>
    <w:p w14:paraId="623208BC">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14:paraId="623208BD">
      <w:pPr>
        <w:pStyle w:val="34"/>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但采购人、采购代理机构不强制或变相强制投标人提交备份投标文件。</w:t>
      </w:r>
    </w:p>
    <w:p w14:paraId="623208BE">
      <w:pPr>
        <w:pStyle w:val="34"/>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DVD光盘等存储介质</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623208BF">
      <w:pPr>
        <w:pStyle w:val="34"/>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15.3直接提交备份投标文件的，投标人应于投标截止时间前在招标公告中载明的开标地点将备份投标文件提交给采购代理机构，采购代理机构将拒绝接受逾期送达的备份投标文件。</w:t>
      </w:r>
    </w:p>
    <w:p w14:paraId="623208C0">
      <w:pPr>
        <w:pStyle w:val="34"/>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送达时间以签收人签收时间为准。采购代理机构将拒绝接受逾期送达的备份投标文件。邮寄过程中，电子备份投标文件发生泄露、遗失、损坏或延期送达等情况的，由投标人自行负责。</w:t>
      </w:r>
    </w:p>
    <w:p w14:paraId="623208C1">
      <w:pPr>
        <w:pStyle w:val="34"/>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623208C2">
      <w:pPr>
        <w:pStyle w:val="14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623208C3">
      <w:pPr>
        <w:pStyle w:val="2"/>
        <w:spacing w:line="360" w:lineRule="auto"/>
        <w:ind w:firstLine="360" w:firstLineChars="150"/>
        <w:rPr>
          <w:rFonts w:hint="eastAsia" w:eastAsia="宋体" w:cs="宋体"/>
          <w:color w:val="auto"/>
          <w:szCs w:val="21"/>
          <w:highlight w:val="none"/>
          <w:lang w:eastAsia="zh-CN"/>
        </w:rPr>
      </w:pPr>
      <w:r>
        <w:rPr>
          <w:rFonts w:hint="eastAsia" w:cs="宋体"/>
          <w:color w:val="auto"/>
          <w:szCs w:val="21"/>
          <w:highlight w:val="none"/>
        </w:rPr>
        <w:t>有招标文件第四部分4.2规定的情形之一的，投标无效</w:t>
      </w:r>
      <w:r>
        <w:rPr>
          <w:rFonts w:hint="eastAsia" w:cs="宋体"/>
          <w:color w:val="auto"/>
          <w:szCs w:val="21"/>
          <w:highlight w:val="none"/>
          <w:lang w:eastAsia="zh-CN"/>
        </w:rPr>
        <w:t>。</w:t>
      </w:r>
    </w:p>
    <w:p w14:paraId="623208C4">
      <w:pPr>
        <w:pStyle w:val="14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14:paraId="623208C5">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623208C6">
      <w:pPr>
        <w:pStyle w:val="141"/>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623208C7">
      <w:pPr>
        <w:pStyle w:val="141"/>
        <w:spacing w:before="0"/>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17.3在原定投标有效期满之前，如果出现特殊情况，采购代理机构可以以书面形式通知投标人延长投标有效期。投标人同意延长的，不得要求或被允许修改其投标文件，投标人拒绝延长的，其投标无效。</w:t>
      </w:r>
    </w:p>
    <w:p w14:paraId="623208C8">
      <w:pPr>
        <w:pStyle w:val="141"/>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623208C9">
      <w:pPr>
        <w:pStyle w:val="559"/>
        <w:spacing w:before="0" w:line="360" w:lineRule="auto"/>
        <w:ind w:left="0" w:firstLine="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623208CA">
      <w:pPr>
        <w:pStyle w:val="559"/>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18.1采购代理机构按照招标文件规定的时间通过电子交易平台组织开标，所有投标人均应当准时在线参加。投标人不足3家的，不得开标。</w:t>
      </w:r>
    </w:p>
    <w:p w14:paraId="623208CB">
      <w:pPr>
        <w:pStyle w:val="559"/>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18.2开标时，电子交易平台按开标时间自动提取所有投标文件。采购代理机构依托电子交易平台发起开始解密指令，投标人按照平台提示和招标文件的规定在半小时内完成在线解密。</w:t>
      </w:r>
    </w:p>
    <w:p w14:paraId="623208CC">
      <w:pPr>
        <w:pStyle w:val="559"/>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623208CD">
      <w:pPr>
        <w:pStyle w:val="559"/>
        <w:spacing w:before="0" w:line="360" w:lineRule="auto"/>
        <w:ind w:left="0" w:firstLine="0"/>
        <w:contextualSpacing/>
        <w:rPr>
          <w:rFonts w:ascii="宋体" w:hAnsi="宋体" w:cs="宋体"/>
          <w:b/>
          <w:color w:val="auto"/>
          <w:sz w:val="24"/>
          <w:szCs w:val="24"/>
          <w:highlight w:val="none"/>
        </w:rPr>
      </w:pPr>
      <w:r>
        <w:rPr>
          <w:rFonts w:hint="eastAsia" w:ascii="宋体" w:hAnsi="宋体" w:cs="宋体"/>
          <w:b/>
          <w:color w:val="auto"/>
          <w:sz w:val="24"/>
          <w:szCs w:val="24"/>
          <w:highlight w:val="none"/>
        </w:rPr>
        <w:t>19.资格审查</w:t>
      </w:r>
    </w:p>
    <w:p w14:paraId="623208C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19.1</w:t>
      </w:r>
      <w:r>
        <w:rPr>
          <w:rFonts w:hint="eastAsia" w:ascii="宋体" w:hAnsi="宋体" w:cs="宋体"/>
          <w:color w:val="auto"/>
          <w:sz w:val="24"/>
          <w:highlight w:val="none"/>
        </w:rPr>
        <w:t>采购人或采购代理机构依据法律法规和招标文件的规定，对投标人的资格进行审查。</w:t>
      </w:r>
    </w:p>
    <w:p w14:paraId="623208CF">
      <w:pPr>
        <w:pStyle w:val="141"/>
        <w:spacing w:before="0"/>
        <w:ind w:firstLine="480"/>
        <w:rPr>
          <w:rFonts w:ascii="宋体" w:hAnsi="宋体" w:cs="宋体"/>
          <w:color w:val="auto"/>
          <w:highlight w:val="none"/>
        </w:rPr>
      </w:pPr>
      <w:r>
        <w:rPr>
          <w:rFonts w:hint="eastAsia" w:ascii="宋体" w:hAnsi="宋体" w:cs="宋体"/>
          <w:color w:val="auto"/>
          <w:kern w:val="0"/>
          <w:szCs w:val="24"/>
          <w:highlight w:val="none"/>
        </w:rPr>
        <w:t>19.2投标人未按照招标文件要求提供与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623208D0">
      <w:pPr>
        <w:pStyle w:val="14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3对未通过资格审查的投标人，采购人或采购代理机构告知其未通过的原因。</w:t>
      </w:r>
    </w:p>
    <w:p w14:paraId="623208D1">
      <w:pPr>
        <w:pStyle w:val="14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4合格投标人不足3家的，不再评标。</w:t>
      </w:r>
    </w:p>
    <w:p w14:paraId="623208D2">
      <w:pPr>
        <w:pStyle w:val="559"/>
        <w:spacing w:before="0" w:line="360" w:lineRule="auto"/>
        <w:ind w:left="0" w:firstLine="0"/>
        <w:contextualSpacing/>
        <w:rPr>
          <w:rFonts w:ascii="宋体" w:hAnsi="宋体" w:cs="宋体"/>
          <w:b/>
          <w:color w:val="auto"/>
          <w:sz w:val="24"/>
          <w:szCs w:val="24"/>
          <w:highlight w:val="none"/>
        </w:rPr>
      </w:pPr>
      <w:r>
        <w:rPr>
          <w:rFonts w:hint="eastAsia" w:ascii="宋体" w:hAnsi="宋体" w:cs="宋体"/>
          <w:b/>
          <w:color w:val="auto"/>
          <w:sz w:val="24"/>
          <w:szCs w:val="24"/>
          <w:highlight w:val="none"/>
        </w:rPr>
        <w:t>20.信用信息查询</w:t>
      </w:r>
    </w:p>
    <w:p w14:paraId="623208D3">
      <w:pPr>
        <w:pStyle w:val="14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20.1信用信息查询渠道及截止时间：采购代理机构将在资格审查时通过“信用中国”网站（www.creditchina.gov.cn）、中国政府采购网（www.ccgp.gov.cn）渠道查询投标人接受资格时的信用记录。</w:t>
      </w:r>
    </w:p>
    <w:p w14:paraId="623208D4">
      <w:pPr>
        <w:pStyle w:val="14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623208D5">
      <w:pPr>
        <w:pStyle w:val="14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623208D6">
      <w:pPr>
        <w:pStyle w:val="141"/>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623208D7">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14:paraId="623208D8">
      <w:pPr>
        <w:spacing w:line="360" w:lineRule="auto"/>
        <w:rPr>
          <w:rFonts w:ascii="宋体" w:hAnsi="宋体" w:cs="宋体"/>
          <w:b/>
          <w:color w:val="auto"/>
          <w:sz w:val="24"/>
          <w:highlight w:val="none"/>
        </w:rPr>
      </w:pPr>
      <w:bookmarkStart w:id="12"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623208D9">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14:paraId="623208DA">
      <w:pPr>
        <w:pStyle w:val="2"/>
        <w:spacing w:line="360" w:lineRule="auto"/>
        <w:ind w:left="479" w:hanging="479" w:hangingChars="199"/>
        <w:rPr>
          <w:rFonts w:cs="宋体"/>
          <w:b/>
          <w:color w:val="auto"/>
          <w:highlight w:val="none"/>
        </w:rPr>
      </w:pPr>
      <w:r>
        <w:rPr>
          <w:rFonts w:hint="eastAsia" w:cs="宋体"/>
          <w:b/>
          <w:color w:val="auto"/>
          <w:highlight w:val="none"/>
        </w:rPr>
        <w:t>22. 确定中标供应商</w:t>
      </w:r>
    </w:p>
    <w:p w14:paraId="623208DB">
      <w:pPr>
        <w:pStyle w:val="141"/>
        <w:snapToGrid w:val="0"/>
        <w:spacing w:before="0"/>
        <w:ind w:firstLine="480"/>
        <w:rPr>
          <w:rFonts w:ascii="宋体" w:hAnsi="宋体" w:cs="宋体"/>
          <w:color w:val="auto"/>
          <w:szCs w:val="24"/>
          <w:highlight w:val="none"/>
        </w:rPr>
      </w:pPr>
      <w:r>
        <w:rPr>
          <w:rFonts w:hint="eastAsia" w:ascii="宋体" w:hAnsi="宋体" w:cs="宋体"/>
          <w:color w:val="auto"/>
          <w:szCs w:val="24"/>
          <w:highlight w:val="none"/>
        </w:rPr>
        <w:t>22.1采购代理机构应当在评审结束后2个工作日内将评审报告送采购人确认。</w:t>
      </w:r>
    </w:p>
    <w:p w14:paraId="623208DC">
      <w:pPr>
        <w:pStyle w:val="141"/>
        <w:snapToGrid w:val="0"/>
        <w:spacing w:before="0"/>
        <w:ind w:firstLine="480"/>
        <w:rPr>
          <w:rFonts w:ascii="宋体" w:hAnsi="宋体" w:cs="宋体"/>
          <w:color w:val="auto"/>
          <w:szCs w:val="24"/>
          <w:highlight w:val="none"/>
        </w:rPr>
      </w:pPr>
      <w:r>
        <w:rPr>
          <w:rFonts w:hint="eastAsia" w:ascii="宋体" w:hAnsi="宋体" w:cs="宋体"/>
          <w:color w:val="auto"/>
          <w:szCs w:val="24"/>
          <w:highlight w:val="none"/>
        </w:rPr>
        <w:t>22.2采购人应当在收到评审报告后5个工作日内，从评审报告提出的中标或者成交候选供应商中，按照排序由高到低的原则确定1名中标或者成交供应商，也可以书面授权评标委员会直接确定中标或者成交供应商。采购人逾期未确定中标或者成交供应商且不提出异议的，视为确定评审报告提出的排序第一的中标或者成交候选供应商为中标或者成交供应商。</w:t>
      </w:r>
    </w:p>
    <w:p w14:paraId="623208DD">
      <w:pPr>
        <w:pStyle w:val="141"/>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623208DE">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23.1自中标人确定之日起2个工作日内，采购代理机构通过电子交易平台向中标人发出中标通知书，同时编制发布采购结果公告。采购代理机构也可以以纸质形式进行中标通知。</w:t>
      </w:r>
    </w:p>
    <w:p w14:paraId="623208DF">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23.2中标结果公告内容包括采购人及其委托的采购代理机构的名称、地址、联系方式，项目名称和项目编号，中标人名称、地址和中标金额，主要中标标的的名称、数量、单价、服务要求，开标记录、</w:t>
      </w:r>
      <w:bookmarkStart w:id="13" w:name="_Hlk101184471"/>
      <w:r>
        <w:rPr>
          <w:rFonts w:hint="eastAsia" w:ascii="宋体" w:hAnsi="宋体" w:cs="宋体"/>
          <w:color w:val="auto"/>
          <w:sz w:val="24"/>
          <w:highlight w:val="none"/>
        </w:rPr>
        <w:t>资格审查情况、评审专家抽取规则、符合性审查情况、</w:t>
      </w:r>
      <w:bookmarkEnd w:id="13"/>
      <w:r>
        <w:rPr>
          <w:rFonts w:hint="eastAsia" w:ascii="宋体" w:hAnsi="宋体" w:cs="宋体"/>
          <w:color w:val="auto"/>
          <w:sz w:val="24"/>
          <w:highlight w:val="none"/>
        </w:rPr>
        <w:t>中标公告期限以及评审专家名单、评分汇总及明细等。</w:t>
      </w:r>
    </w:p>
    <w:p w14:paraId="623208E0">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23.3公告期限为1个工作日。</w:t>
      </w:r>
    </w:p>
    <w:p w14:paraId="623208E1">
      <w:pPr>
        <w:pStyle w:val="141"/>
        <w:snapToGrid w:val="0"/>
        <w:spacing w:before="0"/>
        <w:ind w:firstLine="482"/>
        <w:rPr>
          <w:rStyle w:val="79"/>
          <w:rFonts w:ascii="宋体" w:hAnsi="宋体" w:cs="宋体"/>
          <w:color w:val="auto"/>
          <w:highlight w:val="none"/>
        </w:rPr>
      </w:pPr>
      <w:r>
        <w:rPr>
          <w:rFonts w:hint="eastAsia" w:ascii="宋体" w:hAnsi="宋体" w:cs="宋体"/>
          <w:b/>
          <w:color w:val="auto"/>
          <w:szCs w:val="24"/>
          <w:highlight w:val="none"/>
        </w:rPr>
        <w:t xml:space="preserve">23.4 </w:t>
      </w:r>
      <w:r>
        <w:rPr>
          <w:rFonts w:hint="eastAsia" w:ascii="宋体" w:hAnsi="宋体" w:cs="宋体"/>
          <w:bCs/>
          <w:color w:val="auto"/>
          <w:szCs w:val="24"/>
          <w:highlight w:val="none"/>
        </w:rPr>
        <w:t>由于中标、成交供应商原因导致重新采购的，应当承担支付代理费和专家评审费等费用在内的赔偿责任。</w:t>
      </w:r>
    </w:p>
    <w:p w14:paraId="623208E2">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14:paraId="623208E3">
      <w:pPr>
        <w:pStyle w:val="2"/>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623208E4">
      <w:pPr>
        <w:pStyle w:val="2"/>
        <w:spacing w:line="360" w:lineRule="auto"/>
        <w:ind w:left="479" w:hanging="479" w:hangingChars="199"/>
        <w:rPr>
          <w:rFonts w:cs="宋体"/>
          <w:b/>
          <w:color w:val="auto"/>
          <w:highlight w:val="none"/>
        </w:rPr>
      </w:pPr>
      <w:r>
        <w:rPr>
          <w:rFonts w:hint="eastAsia" w:cs="宋体"/>
          <w:b/>
          <w:color w:val="auto"/>
          <w:highlight w:val="none"/>
        </w:rPr>
        <w:t>25. 合同的签订</w:t>
      </w:r>
    </w:p>
    <w:p w14:paraId="623208E5">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w:t>
      </w:r>
      <w:r>
        <w:rPr>
          <w:rFonts w:hint="eastAsia" w:ascii="宋体" w:hAnsi="宋体" w:cs="宋体"/>
          <w:color w:val="auto"/>
          <w:highlight w:val="none"/>
        </w:rPr>
        <w:t>供应商</w:t>
      </w:r>
      <w:r>
        <w:rPr>
          <w:rFonts w:hint="eastAsia" w:ascii="宋体" w:hAnsi="宋体" w:cs="宋体"/>
          <w:color w:val="auto"/>
          <w:kern w:val="0"/>
          <w:sz w:val="24"/>
          <w:highlight w:val="none"/>
        </w:rPr>
        <w:t>应当通过电子交易平台在中标通知书发出之日起30日内，按照招标文件确定的事项签订政府采购合同，并在签订之日起2个工作日内将政府采购合同在浙江政府采购网上公告。</w:t>
      </w:r>
    </w:p>
    <w:p w14:paraId="623208E6">
      <w:pPr>
        <w:pStyle w:val="141"/>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25.2中标</w:t>
      </w:r>
      <w:r>
        <w:rPr>
          <w:rFonts w:hint="eastAsia" w:ascii="宋体" w:hAnsi="宋体" w:cs="宋体"/>
          <w:color w:val="auto"/>
          <w:highlight w:val="none"/>
        </w:rPr>
        <w:t>供应商</w:t>
      </w:r>
      <w:r>
        <w:rPr>
          <w:rFonts w:hint="eastAsia" w:ascii="宋体" w:hAnsi="宋体" w:cs="宋体"/>
          <w:color w:val="auto"/>
          <w:kern w:val="0"/>
          <w:highlight w:val="none"/>
          <w:lang w:val="zh-CN"/>
        </w:rPr>
        <w:t>按规定的日期、时间、地点，由法定代表人或其授权代表与采购人代表签订合同。如中标</w:t>
      </w:r>
      <w:r>
        <w:rPr>
          <w:rFonts w:hint="eastAsia" w:ascii="宋体" w:hAnsi="宋体" w:cs="宋体"/>
          <w:color w:val="auto"/>
          <w:highlight w:val="none"/>
        </w:rPr>
        <w:t>供应商</w:t>
      </w:r>
      <w:r>
        <w:rPr>
          <w:rFonts w:hint="eastAsia" w:ascii="宋体" w:hAnsi="宋体" w:cs="宋体"/>
          <w:color w:val="auto"/>
          <w:kern w:val="0"/>
          <w:highlight w:val="none"/>
          <w:lang w:val="zh-CN"/>
        </w:rPr>
        <w:t>为联合体的，由联合体成员各方法定代表人或其授权代表与采购人代表签订合同。</w:t>
      </w:r>
    </w:p>
    <w:p w14:paraId="623208E7">
      <w:pPr>
        <w:pStyle w:val="141"/>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25.3如签订合同并生效后，供应商无故拒绝或延期，除按照合同条款处理外，上报监督管理部门列入不良行为记录一次，并给予通报。</w:t>
      </w:r>
    </w:p>
    <w:p w14:paraId="623208E8">
      <w:pPr>
        <w:pStyle w:val="141"/>
        <w:snapToGrid w:val="0"/>
        <w:spacing w:before="0"/>
        <w:ind w:firstLine="480"/>
        <w:rPr>
          <w:rFonts w:ascii="宋体" w:hAnsi="宋体" w:cs="宋体"/>
          <w:color w:val="auto"/>
          <w:highlight w:val="none"/>
        </w:rPr>
      </w:pPr>
      <w:r>
        <w:rPr>
          <w:rFonts w:hint="eastAsia" w:ascii="宋体" w:hAnsi="宋体" w:cs="宋体"/>
          <w:color w:val="auto"/>
          <w:highlight w:val="none"/>
        </w:rPr>
        <w:t>25.4中标供应商拒绝与采购人签订合同的，采购人可以依法依规按照评审报告推荐的中标或者成交候选人名单排序，确定下一候选人为中标供应商，否则应当重新开展政府采购活动。</w:t>
      </w:r>
    </w:p>
    <w:p w14:paraId="623208E9">
      <w:pPr>
        <w:pStyle w:val="2"/>
        <w:spacing w:line="360" w:lineRule="auto"/>
        <w:ind w:left="479" w:hanging="479" w:hangingChars="199"/>
        <w:rPr>
          <w:rFonts w:cs="宋体"/>
          <w:b/>
          <w:color w:val="auto"/>
          <w:highlight w:val="none"/>
        </w:rPr>
      </w:pPr>
      <w:r>
        <w:rPr>
          <w:rFonts w:hint="eastAsia" w:cs="宋体"/>
          <w:b/>
          <w:color w:val="auto"/>
          <w:highlight w:val="none"/>
        </w:rPr>
        <w:t>26. 履约保证金</w:t>
      </w:r>
    </w:p>
    <w:p w14:paraId="623208EA">
      <w:pP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14:paraId="623208EB">
      <w:pPr>
        <w:pStyle w:val="4"/>
        <w:ind w:left="0" w:firstLine="480" w:firstLineChars="200"/>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w:t>
      </w:r>
      <w:r>
        <w:rPr>
          <w:rFonts w:hint="eastAsia" w:ascii="宋体" w:hAnsi="宋体" w:eastAsia="宋体" w:cs="宋体"/>
          <w:b w:val="0"/>
          <w:bCs w:val="0"/>
          <w:snapToGrid w:val="0"/>
          <w:color w:val="auto"/>
          <w:kern w:val="28"/>
          <w:sz w:val="24"/>
          <w:highlight w:val="none"/>
          <w:lang w:eastAsia="zh-CN"/>
        </w:rPr>
        <w:t>－</w:t>
      </w:r>
      <w:r>
        <w:rPr>
          <w:rFonts w:hint="eastAsia" w:ascii="宋体" w:hAnsi="宋体" w:eastAsia="宋体" w:cs="宋体"/>
          <w:b w:val="0"/>
          <w:bCs w:val="0"/>
          <w:snapToGrid w:val="0"/>
          <w:color w:val="auto"/>
          <w:kern w:val="28"/>
          <w:sz w:val="24"/>
          <w:highlight w:val="none"/>
        </w:rPr>
        <w:t>【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highlight w:val="none"/>
          <w:lang w:val="en-US"/>
        </w:rPr>
        <w:t>95763</w:t>
      </w:r>
      <w:r>
        <w:rPr>
          <w:rFonts w:hint="eastAsia" w:ascii="宋体" w:hAnsi="宋体" w:eastAsia="宋体" w:cs="宋体"/>
          <w:b w:val="0"/>
          <w:bCs w:val="0"/>
          <w:snapToGrid w:val="0"/>
          <w:color w:val="auto"/>
          <w:kern w:val="28"/>
          <w:sz w:val="24"/>
          <w:highlight w:val="none"/>
        </w:rPr>
        <w:t>。</w:t>
      </w:r>
    </w:p>
    <w:p w14:paraId="623208EC">
      <w:pPr>
        <w:pStyle w:val="4"/>
        <w:rPr>
          <w:rFonts w:ascii="宋体" w:hAnsi="宋体" w:eastAsia="宋体" w:cs="宋体"/>
          <w:color w:val="auto"/>
          <w:highlight w:val="none"/>
        </w:rPr>
      </w:pPr>
      <w:r>
        <w:rPr>
          <w:rFonts w:hint="eastAsia" w:ascii="宋体" w:hAnsi="宋体" w:eastAsia="宋体" w:cs="宋体"/>
          <w:color w:val="auto"/>
          <w:sz w:val="24"/>
          <w:highlight w:val="none"/>
          <w:lang w:val="en-US"/>
        </w:rPr>
        <w:t>27.预付款</w:t>
      </w:r>
    </w:p>
    <w:p w14:paraId="623208ED">
      <w:pPr>
        <w:adjustRightInd/>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采购人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人根据项目特点、供应商诚信等因素，可以要求供应商提交银行、保险公司等金融机构出具的预付款保函或其他担保措施。政府采购预付款应在合同生效以及具备实施条件后7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【保函保险服务】出具预付款保函，具体步骤：选择产品—填写供应商信息—选择中标项目—确认信息—等待保险/保函受理—确认保单—支付保费—成功出单。政采云金融专线95763。</w:t>
      </w:r>
    </w:p>
    <w:p w14:paraId="623208EE">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623208EF">
      <w:pPr>
        <w:pStyle w:val="141"/>
        <w:snapToGrid w:val="0"/>
        <w:spacing w:before="0"/>
        <w:ind w:firstLine="0" w:firstLineChars="0"/>
        <w:rPr>
          <w:rFonts w:ascii="宋体" w:hAnsi="宋体" w:cs="宋体"/>
          <w:color w:val="auto"/>
          <w:highlight w:val="none"/>
        </w:rPr>
      </w:pPr>
      <w:r>
        <w:rPr>
          <w:rFonts w:hint="eastAsia" w:ascii="宋体" w:hAnsi="宋体" w:cs="宋体"/>
          <w:b/>
          <w:bCs/>
          <w:color w:val="auto"/>
          <w:highlight w:val="none"/>
        </w:rPr>
        <w:t>2</w:t>
      </w:r>
      <w:r>
        <w:rPr>
          <w:rFonts w:hint="eastAsia" w:ascii="宋体" w:hAnsi="宋体" w:cs="宋体"/>
          <w:b/>
          <w:bCs/>
          <w:color w:val="auto"/>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采购过程中出现以下情形，导致电子交易平台无法正常运行，或者无法保证电子交易的公平、公正和安全时，采购代理机构可中止电子交易活动：</w:t>
      </w:r>
    </w:p>
    <w:p w14:paraId="623208F0">
      <w:pPr>
        <w:pStyle w:val="141"/>
        <w:snapToGrid w:val="0"/>
        <w:spacing w:before="0"/>
        <w:ind w:firstLine="480"/>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623208F1">
      <w:pPr>
        <w:pStyle w:val="141"/>
        <w:snapToGrid w:val="0"/>
        <w:spacing w:before="0"/>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623208F2">
      <w:pPr>
        <w:pStyle w:val="141"/>
        <w:snapToGrid w:val="0"/>
        <w:spacing w:before="0"/>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623208F3">
      <w:pPr>
        <w:pStyle w:val="141"/>
        <w:snapToGrid w:val="0"/>
        <w:spacing w:before="0"/>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14:paraId="623208F4">
      <w:pPr>
        <w:pStyle w:val="141"/>
        <w:snapToGrid w:val="0"/>
        <w:spacing w:before="0"/>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14:paraId="623208F5">
      <w:pPr>
        <w:pStyle w:val="141"/>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623208F6">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14:paraId="623208F7">
      <w:pPr>
        <w:pStyle w:val="2"/>
        <w:spacing w:line="360" w:lineRule="auto"/>
        <w:ind w:firstLine="0" w:firstLineChars="0"/>
        <w:rPr>
          <w:rFonts w:cs="宋体"/>
          <w:b/>
          <w:color w:val="auto"/>
          <w:highlight w:val="none"/>
        </w:rPr>
      </w:pPr>
      <w:r>
        <w:rPr>
          <w:rFonts w:hint="eastAsia" w:cs="宋体"/>
          <w:b/>
          <w:color w:val="auto"/>
          <w:highlight w:val="none"/>
        </w:rPr>
        <w:t>30.验收</w:t>
      </w:r>
    </w:p>
    <w:p w14:paraId="623208F8">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623208F9">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623208FA">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623208FB">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623208FC">
      <w:pPr>
        <w:pStyle w:val="4"/>
        <w:adjustRightInd w:val="0"/>
        <w:snapToGrid w:val="0"/>
        <w:ind w:left="0" w:firstLine="480" w:firstLineChars="200"/>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30.5 对于满足合同约定的采购资金支付条件的，供应商可通过政采云平台提起在线支付申请、查询支付结果，路径为政采云</w:t>
      </w:r>
      <w:r>
        <w:rPr>
          <w:rFonts w:hint="eastAsia" w:ascii="宋体" w:hAnsi="宋体" w:eastAsia="宋体" w:cs="宋体"/>
          <w:b w:val="0"/>
          <w:bCs w:val="0"/>
          <w:color w:val="auto"/>
          <w:kern w:val="0"/>
          <w:sz w:val="24"/>
          <w:szCs w:val="24"/>
          <w:highlight w:val="none"/>
          <w:lang w:val="en-US" w:eastAsia="zh-CN"/>
        </w:rPr>
        <w:t>－</w:t>
      </w:r>
      <w:r>
        <w:rPr>
          <w:rFonts w:hint="eastAsia" w:ascii="宋体" w:hAnsi="宋体" w:eastAsia="宋体" w:cs="宋体"/>
          <w:b w:val="0"/>
          <w:bCs w:val="0"/>
          <w:color w:val="auto"/>
          <w:kern w:val="0"/>
          <w:sz w:val="24"/>
          <w:szCs w:val="24"/>
          <w:highlight w:val="none"/>
          <w:lang w:val="en-US"/>
        </w:rPr>
        <w:t>我的工作台</w:t>
      </w:r>
      <w:r>
        <w:rPr>
          <w:rFonts w:hint="eastAsia" w:ascii="宋体" w:hAnsi="宋体" w:eastAsia="宋体" w:cs="宋体"/>
          <w:b w:val="0"/>
          <w:bCs w:val="0"/>
          <w:color w:val="auto"/>
          <w:kern w:val="0"/>
          <w:sz w:val="24"/>
          <w:szCs w:val="24"/>
          <w:highlight w:val="none"/>
          <w:lang w:val="en-US" w:eastAsia="zh-CN"/>
        </w:rPr>
        <w:t>－</w:t>
      </w:r>
      <w:r>
        <w:rPr>
          <w:rFonts w:hint="eastAsia" w:ascii="宋体" w:hAnsi="宋体" w:eastAsia="宋体" w:cs="宋体"/>
          <w:b w:val="0"/>
          <w:bCs w:val="0"/>
          <w:color w:val="auto"/>
          <w:kern w:val="0"/>
          <w:sz w:val="24"/>
          <w:szCs w:val="24"/>
          <w:highlight w:val="none"/>
          <w:lang w:val="en-US"/>
        </w:rPr>
        <w:t>合同管理</w:t>
      </w:r>
      <w:r>
        <w:rPr>
          <w:rFonts w:hint="eastAsia" w:ascii="宋体" w:hAnsi="宋体" w:eastAsia="宋体" w:cs="宋体"/>
          <w:b w:val="0"/>
          <w:bCs w:val="0"/>
          <w:color w:val="auto"/>
          <w:kern w:val="0"/>
          <w:sz w:val="24"/>
          <w:szCs w:val="24"/>
          <w:highlight w:val="none"/>
          <w:lang w:val="en-US" w:eastAsia="zh-CN"/>
        </w:rPr>
        <w:t>－</w:t>
      </w:r>
      <w:r>
        <w:rPr>
          <w:rFonts w:hint="eastAsia" w:ascii="宋体" w:hAnsi="宋体" w:eastAsia="宋体" w:cs="宋体"/>
          <w:b w:val="0"/>
          <w:bCs w:val="0"/>
          <w:color w:val="auto"/>
          <w:kern w:val="0"/>
          <w:sz w:val="24"/>
          <w:szCs w:val="24"/>
          <w:highlight w:val="none"/>
          <w:lang w:val="en-US"/>
        </w:rPr>
        <w:t>支付管理。对于供应商提起在线支付申请的，采购人应当按规定做好审核并完成支付。</w:t>
      </w:r>
    </w:p>
    <w:p w14:paraId="623208FD">
      <w:pPr>
        <w:pStyle w:val="91"/>
        <w:rPr>
          <w:rFonts w:ascii="宋体" w:hAnsi="宋体" w:eastAsia="宋体" w:cs="宋体"/>
          <w:color w:val="auto"/>
          <w:highlight w:val="none"/>
        </w:rPr>
      </w:pPr>
    </w:p>
    <w:bookmarkEnd w:id="12"/>
    <w:p w14:paraId="67EF1F08">
      <w:pPr>
        <w:tabs>
          <w:tab w:val="left" w:pos="0"/>
        </w:tabs>
        <w:spacing w:line="360" w:lineRule="auto"/>
        <w:ind w:firstLine="480"/>
        <w:rPr>
          <w:rFonts w:ascii="宋体" w:hAnsi="宋体" w:cs="宋体"/>
          <w:color w:val="auto"/>
          <w:kern w:val="0"/>
          <w:sz w:val="24"/>
          <w:highlight w:val="none"/>
        </w:rPr>
        <w:sectPr>
          <w:footerReference r:id="rId7" w:type="first"/>
          <w:footerReference r:id="rId6" w:type="default"/>
          <w:pgSz w:w="11906" w:h="16838"/>
          <w:pgMar w:top="1100" w:right="1418" w:bottom="1458" w:left="1418" w:header="851" w:footer="352" w:gutter="0"/>
          <w:pgNumType w:start="1"/>
          <w:cols w:space="720" w:num="1"/>
          <w:docGrid w:linePitch="312" w:charSpace="0"/>
        </w:sectPr>
      </w:pPr>
      <w:bookmarkStart w:id="14" w:name="_Hlt75236290"/>
      <w:bookmarkEnd w:id="14"/>
      <w:bookmarkStart w:id="15" w:name="_Hlt68072998"/>
      <w:bookmarkEnd w:id="15"/>
      <w:bookmarkStart w:id="16" w:name="_Hlt74707468"/>
      <w:bookmarkEnd w:id="16"/>
      <w:bookmarkStart w:id="17" w:name="_Hlt75236011"/>
      <w:bookmarkEnd w:id="17"/>
      <w:bookmarkStart w:id="18" w:name="_Hlt75236101"/>
      <w:bookmarkEnd w:id="18"/>
      <w:bookmarkStart w:id="19" w:name="_Hlt74730295"/>
      <w:bookmarkEnd w:id="19"/>
      <w:bookmarkStart w:id="20" w:name="_Hlt68072990"/>
      <w:bookmarkEnd w:id="20"/>
      <w:bookmarkStart w:id="21" w:name="_Hlt74729768"/>
      <w:bookmarkEnd w:id="21"/>
      <w:bookmarkStart w:id="22" w:name="_Hlt74714665"/>
      <w:bookmarkEnd w:id="22"/>
      <w:bookmarkStart w:id="23" w:name="_Hlt68057669"/>
      <w:bookmarkEnd w:id="23"/>
      <w:bookmarkStart w:id="24" w:name="_Hlt68403820"/>
      <w:bookmarkEnd w:id="24"/>
      <w:bookmarkStart w:id="25" w:name="_Hlt68073093"/>
      <w:bookmarkEnd w:id="25"/>
    </w:p>
    <w:bookmarkEnd w:id="10"/>
    <w:bookmarkEnd w:id="11"/>
    <w:p w14:paraId="623208FF">
      <w:pPr>
        <w:spacing w:line="360" w:lineRule="auto"/>
        <w:jc w:val="center"/>
        <w:outlineLvl w:val="0"/>
        <w:rPr>
          <w:rFonts w:ascii="宋体" w:hAnsi="宋体" w:cs="宋体"/>
          <w:b/>
          <w:color w:val="auto"/>
          <w:sz w:val="36"/>
          <w:szCs w:val="36"/>
          <w:highlight w:val="none"/>
        </w:rPr>
      </w:pPr>
      <w:bookmarkStart w:id="26" w:name="第四部分"/>
      <w:r>
        <w:rPr>
          <w:rFonts w:hint="eastAsia" w:ascii="宋体" w:hAnsi="宋体" w:cs="宋体"/>
          <w:b/>
          <w:color w:val="auto"/>
          <w:sz w:val="36"/>
          <w:szCs w:val="36"/>
          <w:highlight w:val="none"/>
        </w:rPr>
        <w:t>第三部分   采购需求</w:t>
      </w:r>
    </w:p>
    <w:p w14:paraId="2B9D4256">
      <w:pPr>
        <w:pStyle w:val="3"/>
        <w:pageBreakBefore w:val="0"/>
        <w:numPr>
          <w:ilvl w:val="0"/>
          <w:numId w:val="0"/>
        </w:numPr>
        <w:tabs>
          <w:tab w:val="left" w:pos="0"/>
          <w:tab w:val="clear" w:pos="432"/>
        </w:tabs>
        <w:kinsoku/>
        <w:wordWrap/>
        <w:overflowPunct/>
        <w:topLinePunct w:val="0"/>
        <w:bidi w:val="0"/>
        <w:spacing w:before="0" w:after="0" w:line="360" w:lineRule="auto"/>
        <w:ind w:left="0" w:leftChars="0" w:firstLine="422" w:firstLineChars="175"/>
        <w:jc w:val="left"/>
        <w:rPr>
          <w:rFonts w:hint="default" w:ascii="宋体" w:hAnsi="宋体" w:eastAsia="宋体" w:cs="宋体"/>
          <w:color w:val="auto"/>
          <w:sz w:val="24"/>
          <w:szCs w:val="24"/>
          <w:highlight w:val="none"/>
          <w:lang w:val="en-US"/>
        </w:rPr>
      </w:pPr>
      <w:bookmarkStart w:id="27" w:name="_Toc7043"/>
      <w:bookmarkStart w:id="28" w:name="_Toc23968"/>
      <w:bookmarkStart w:id="29" w:name="_Toc3754"/>
      <w:r>
        <w:rPr>
          <w:rFonts w:hint="eastAsia" w:ascii="宋体" w:hAnsi="宋体" w:eastAsia="宋体" w:cs="宋体"/>
          <w:color w:val="auto"/>
          <w:sz w:val="24"/>
          <w:szCs w:val="24"/>
          <w:highlight w:val="none"/>
          <w:lang w:val="en-US" w:eastAsia="zh-CN"/>
        </w:rPr>
        <w:t>一、标项一：浙江省县乡合法性审查法律法规库建设项目采购需求</w:t>
      </w:r>
    </w:p>
    <w:p w14:paraId="62320900">
      <w:pPr>
        <w:pStyle w:val="3"/>
        <w:pageBreakBefore w:val="0"/>
        <w:numPr>
          <w:ilvl w:val="0"/>
          <w:numId w:val="2"/>
        </w:numPr>
        <w:tabs>
          <w:tab w:val="left" w:pos="0"/>
          <w:tab w:val="clear" w:pos="432"/>
        </w:tabs>
        <w:kinsoku/>
        <w:wordWrap/>
        <w:overflowPunct/>
        <w:topLinePunct w:val="0"/>
        <w:bidi w:val="0"/>
        <w:spacing w:before="0" w:after="0" w:line="360" w:lineRule="auto"/>
        <w:ind w:left="0" w:leftChars="0" w:firstLine="422" w:firstLineChars="175"/>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项目技术需求</w:t>
      </w:r>
      <w:bookmarkEnd w:id="27"/>
      <w:bookmarkEnd w:id="28"/>
      <w:bookmarkEnd w:id="29"/>
    </w:p>
    <w:p w14:paraId="211A6AB0">
      <w:pPr>
        <w:pStyle w:val="3"/>
        <w:pageBreakBefore w:val="0"/>
        <w:widowControl/>
        <w:numPr>
          <w:ilvl w:val="1"/>
          <w:numId w:val="3"/>
        </w:numPr>
        <w:tabs>
          <w:tab w:val="left" w:pos="0"/>
          <w:tab w:val="clear" w:pos="432"/>
        </w:tabs>
        <w:kinsoku/>
        <w:wordWrap/>
        <w:overflowPunct/>
        <w:topLinePunct w:val="0"/>
        <w:autoSpaceDE/>
        <w:autoSpaceDN/>
        <w:bidi w:val="0"/>
        <w:spacing w:before="0" w:after="0" w:line="360" w:lineRule="auto"/>
        <w:ind w:left="0" w:leftChars="0" w:firstLine="422" w:firstLineChars="175"/>
        <w:textAlignment w:val="auto"/>
        <w:rPr>
          <w:rFonts w:hint="eastAsia" w:ascii="宋体" w:hAnsi="宋体" w:eastAsia="宋体" w:cs="宋体"/>
          <w:b/>
          <w:bCs/>
          <w:color w:val="auto"/>
          <w:kern w:val="44"/>
          <w:sz w:val="24"/>
          <w:szCs w:val="24"/>
          <w:highlight w:val="none"/>
        </w:rPr>
      </w:pPr>
      <w:r>
        <w:rPr>
          <w:rFonts w:hint="eastAsia" w:ascii="宋体" w:hAnsi="宋体" w:eastAsia="宋体" w:cs="宋体"/>
          <w:b/>
          <w:bCs/>
          <w:color w:val="auto"/>
          <w:kern w:val="44"/>
          <w:sz w:val="24"/>
          <w:szCs w:val="24"/>
          <w:highlight w:val="none"/>
        </w:rPr>
        <w:t>法律法规库建设（法律法规规章管理）</w:t>
      </w:r>
    </w:p>
    <w:p w14:paraId="4C4379AC">
      <w:pPr>
        <w:pStyle w:val="4"/>
        <w:keepNext w:val="0"/>
        <w:keepLines w:val="0"/>
        <w:pageBreakBefore w:val="0"/>
        <w:widowControl/>
        <w:numPr>
          <w:ilvl w:val="2"/>
          <w:numId w:val="3"/>
        </w:numPr>
        <w:suppressLineNumbers w:val="0"/>
        <w:tabs>
          <w:tab w:val="left" w:pos="0"/>
          <w:tab w:val="clear" w:pos="432"/>
        </w:tabs>
        <w:kinsoku/>
        <w:wordWrap/>
        <w:overflowPunct/>
        <w:topLinePunct w:val="0"/>
        <w:autoSpaceDE/>
        <w:autoSpaceDN/>
        <w:bidi w:val="0"/>
        <w:spacing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法规数据采集管理</w:t>
      </w:r>
    </w:p>
    <w:p w14:paraId="6D541665">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39" w:firstLineChars="175"/>
        <w:textAlignment w:val="auto"/>
        <w:rPr>
          <w:rFonts w:hint="eastAsia" w:ascii="宋体" w:hAnsi="宋体" w:eastAsia="宋体" w:cs="宋体"/>
          <w:b/>
          <w:bCs w:val="0"/>
          <w:color w:val="auto"/>
          <w:spacing w:val="5"/>
          <w:kern w:val="2"/>
          <w:sz w:val="24"/>
          <w:szCs w:val="24"/>
          <w:highlight w:val="none"/>
        </w:rPr>
      </w:pPr>
      <w:r>
        <w:rPr>
          <w:rFonts w:hint="eastAsia" w:ascii="宋体" w:hAnsi="宋体" w:eastAsia="宋体" w:cs="宋体"/>
          <w:b/>
          <w:bCs w:val="0"/>
          <w:color w:val="auto"/>
          <w:spacing w:val="5"/>
          <w:kern w:val="0"/>
          <w:sz w:val="24"/>
          <w:szCs w:val="24"/>
          <w:highlight w:val="none"/>
          <w:shd w:val="clear" w:fill="FFFFFF"/>
        </w:rPr>
        <w:t>自动采集数据管理</w:t>
      </w:r>
    </w:p>
    <w:p w14:paraId="2C2F3A24">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color w:val="auto"/>
          <w:kern w:val="2"/>
          <w:sz w:val="24"/>
          <w:szCs w:val="24"/>
          <w:highlight w:val="none"/>
          <w:lang w:val="en-US" w:eastAsia="zh-CN" w:bidi="ar"/>
        </w:rPr>
        <w:t>根据预置的数据源采集方式，收录若干数据源的不同效力位阶法规数据，采集后自动识别聚类同一篇法规，自动比对核心要素差异：如标题、制定机关、发文字号、公布/施行日期等，差异内容可提示用户。采集的效力位阶需要包含：法律、行政法规、部门规章、（浙江省）地方性法规、（浙江省）地方政府规章。</w:t>
      </w:r>
    </w:p>
    <w:p w14:paraId="6DA7B6B1">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手动采集和补录数据</w:t>
      </w:r>
    </w:p>
    <w:p w14:paraId="3A66C9A3">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color w:val="auto"/>
          <w:kern w:val="2"/>
          <w:sz w:val="24"/>
          <w:szCs w:val="24"/>
          <w:highlight w:val="none"/>
          <w:lang w:val="en-US" w:eastAsia="zh-CN" w:bidi="ar"/>
        </w:rPr>
        <w:t>支持系统用户手动全新上传法规数据，或将收录的其他数据源法规材料补录至法规数据下，手动采集补录的数据支持文件上传，系统自动结构化和人工修改校验。支持单个录入和批量录入。</w:t>
      </w:r>
    </w:p>
    <w:p w14:paraId="112F9184">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法规数据变动感知引擎</w:t>
      </w:r>
    </w:p>
    <w:p w14:paraId="395A773A">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color w:val="auto"/>
          <w:kern w:val="2"/>
          <w:sz w:val="24"/>
          <w:szCs w:val="24"/>
          <w:highlight w:val="none"/>
          <w:lang w:val="en-US" w:eastAsia="zh-CN" w:bidi="ar"/>
        </w:rPr>
        <w:t>通过数据源监测模型，执行自动化的数据抽取、差异度比对以及置信结果计算，系统支持自动化的识别到已入库法规新修订、废止，或新增未入库法规的数据变动场景，自动执行数据采集任务和比对任务。</w:t>
      </w:r>
    </w:p>
    <w:p w14:paraId="17382402">
      <w:pPr>
        <w:pStyle w:val="4"/>
        <w:keepNext w:val="0"/>
        <w:keepLines w:val="0"/>
        <w:pageBreakBefore w:val="0"/>
        <w:widowControl/>
        <w:numPr>
          <w:ilvl w:val="2"/>
          <w:numId w:val="3"/>
        </w:numPr>
        <w:suppressLineNumbers w:val="0"/>
        <w:tabs>
          <w:tab w:val="left" w:pos="0"/>
          <w:tab w:val="clear" w:pos="432"/>
        </w:tabs>
        <w:kinsoku/>
        <w:wordWrap/>
        <w:overflowPunct/>
        <w:topLinePunct w:val="0"/>
        <w:autoSpaceDE/>
        <w:autoSpaceDN/>
        <w:bidi w:val="0"/>
        <w:spacing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法规数据加工管理</w:t>
      </w:r>
    </w:p>
    <w:p w14:paraId="04A57D8A">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39" w:firstLineChars="175"/>
        <w:textAlignment w:val="auto"/>
        <w:rPr>
          <w:rFonts w:hint="eastAsia" w:ascii="宋体" w:hAnsi="宋体" w:eastAsia="宋体" w:cs="宋体"/>
          <w:b/>
          <w:bCs w:val="0"/>
          <w:color w:val="auto"/>
          <w:spacing w:val="5"/>
          <w:kern w:val="2"/>
          <w:sz w:val="24"/>
          <w:szCs w:val="24"/>
          <w:highlight w:val="none"/>
        </w:rPr>
      </w:pPr>
      <w:r>
        <w:rPr>
          <w:rFonts w:hint="eastAsia" w:ascii="宋体" w:hAnsi="宋体" w:eastAsia="宋体" w:cs="宋体"/>
          <w:b/>
          <w:bCs w:val="0"/>
          <w:color w:val="auto"/>
          <w:spacing w:val="5"/>
          <w:kern w:val="0"/>
          <w:sz w:val="24"/>
          <w:szCs w:val="24"/>
          <w:highlight w:val="none"/>
          <w:shd w:val="clear" w:fill="FFFFFF"/>
        </w:rPr>
        <w:t>文本自动识别解析</w:t>
      </w:r>
    </w:p>
    <w:p w14:paraId="05198724">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color w:val="auto"/>
          <w:kern w:val="2"/>
          <w:sz w:val="24"/>
          <w:szCs w:val="24"/>
          <w:highlight w:val="none"/>
          <w:lang w:val="en-US" w:eastAsia="zh-CN" w:bidi="ar"/>
        </w:rPr>
        <w:t>按照系统预设规则，将用户上传的法律法规文本解析为两部分：</w:t>
      </w:r>
    </w:p>
    <w:p w14:paraId="50251514">
      <w:pPr>
        <w:pStyle w:val="5"/>
        <w:keepNext w:val="0"/>
        <w:keepLines w:val="0"/>
        <w:pageBreakBefore w:val="0"/>
        <w:widowControl/>
        <w:numPr>
          <w:ilvl w:val="4"/>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20" w:firstLineChars="175"/>
        <w:textAlignment w:val="auto"/>
        <w:rPr>
          <w:rFonts w:hint="eastAsia" w:ascii="宋体" w:hAnsi="宋体" w:eastAsia="宋体" w:cs="宋体"/>
          <w:b w:val="0"/>
          <w:bCs w:val="0"/>
          <w:color w:val="auto"/>
          <w:kern w:val="2"/>
          <w:sz w:val="24"/>
          <w:szCs w:val="24"/>
          <w:highlight w:val="none"/>
        </w:rPr>
      </w:pPr>
      <w:r>
        <w:rPr>
          <w:rFonts w:hint="eastAsia" w:ascii="宋体" w:hAnsi="宋体" w:eastAsia="宋体" w:cs="宋体"/>
          <w:b w:val="0"/>
          <w:bCs w:val="0"/>
          <w:snapToGrid/>
          <w:color w:val="auto"/>
          <w:kern w:val="2"/>
          <w:sz w:val="24"/>
          <w:szCs w:val="24"/>
          <w:highlight w:val="none"/>
          <w:lang w:val="en-US" w:eastAsia="zh-CN" w:bidi="ar"/>
        </w:rPr>
        <w:t>基础信息：解析出法规名称、时效性、发布时间、生效日期、发布/制定机关效力位阶、发文字号等；</w:t>
      </w:r>
    </w:p>
    <w:p w14:paraId="54E180CA">
      <w:pPr>
        <w:pStyle w:val="5"/>
        <w:keepNext w:val="0"/>
        <w:keepLines w:val="0"/>
        <w:pageBreakBefore w:val="0"/>
        <w:widowControl/>
        <w:numPr>
          <w:ilvl w:val="4"/>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20" w:firstLineChars="175"/>
        <w:textAlignment w:val="auto"/>
        <w:rPr>
          <w:rFonts w:hint="eastAsia" w:ascii="宋体" w:hAnsi="宋体" w:eastAsia="宋体" w:cs="宋体"/>
          <w:color w:val="auto"/>
          <w:spacing w:val="5"/>
          <w:kern w:val="2"/>
          <w:sz w:val="24"/>
          <w:szCs w:val="24"/>
          <w:highlight w:val="none"/>
        </w:rPr>
      </w:pPr>
      <w:r>
        <w:rPr>
          <w:rFonts w:hint="eastAsia" w:ascii="宋体" w:hAnsi="宋体" w:eastAsia="宋体" w:cs="宋体"/>
          <w:b w:val="0"/>
          <w:bCs w:val="0"/>
          <w:snapToGrid/>
          <w:color w:val="auto"/>
          <w:kern w:val="2"/>
          <w:sz w:val="24"/>
          <w:szCs w:val="24"/>
          <w:highlight w:val="none"/>
          <w:lang w:val="en-US" w:eastAsia="zh-CN" w:bidi="ar"/>
        </w:rPr>
        <w:t>正文信息：按照篇、章、节、条、款、项、目，智能完成文本结构化解析。</w:t>
      </w:r>
    </w:p>
    <w:p w14:paraId="2BB9E901">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39" w:firstLineChars="175"/>
        <w:textAlignment w:val="auto"/>
        <w:rPr>
          <w:rFonts w:hint="eastAsia" w:ascii="宋体" w:hAnsi="宋体" w:eastAsia="宋体" w:cs="宋体"/>
          <w:b/>
          <w:bCs w:val="0"/>
          <w:color w:val="auto"/>
          <w:spacing w:val="5"/>
          <w:kern w:val="0"/>
          <w:sz w:val="24"/>
          <w:szCs w:val="24"/>
          <w:highlight w:val="none"/>
          <w:shd w:val="clear" w:fill="FFFFFF"/>
        </w:rPr>
      </w:pPr>
      <w:r>
        <w:rPr>
          <w:rFonts w:hint="eastAsia" w:ascii="宋体" w:hAnsi="宋体" w:eastAsia="宋体" w:cs="宋体"/>
          <w:b/>
          <w:bCs w:val="0"/>
          <w:color w:val="auto"/>
          <w:spacing w:val="5"/>
          <w:kern w:val="0"/>
          <w:sz w:val="24"/>
          <w:szCs w:val="24"/>
          <w:highlight w:val="none"/>
          <w:shd w:val="clear" w:fill="FFFFFF"/>
        </w:rPr>
        <w:t>解析结果校对</w:t>
      </w:r>
    </w:p>
    <w:p w14:paraId="005151F6">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color w:val="auto"/>
          <w:kern w:val="2"/>
          <w:sz w:val="24"/>
          <w:szCs w:val="24"/>
          <w:highlight w:val="none"/>
          <w:lang w:val="en-US" w:eastAsia="zh-CN" w:bidi="ar"/>
        </w:rPr>
        <w:t>系统解析完成后，针对每部法律/条例等内容，生成人工校对任务；提供法律原文和解析结果比对能力，辅助用户对解析结果进行人为校对调优。</w:t>
      </w:r>
    </w:p>
    <w:p w14:paraId="1B6B3682">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39" w:firstLineChars="175"/>
        <w:textAlignment w:val="auto"/>
        <w:rPr>
          <w:rFonts w:hint="eastAsia" w:ascii="宋体" w:hAnsi="宋体" w:eastAsia="宋体" w:cs="宋体"/>
          <w:b/>
          <w:bCs w:val="0"/>
          <w:color w:val="auto"/>
          <w:spacing w:val="5"/>
          <w:kern w:val="0"/>
          <w:sz w:val="24"/>
          <w:szCs w:val="24"/>
          <w:highlight w:val="none"/>
          <w:shd w:val="clear" w:fill="FFFFFF"/>
        </w:rPr>
      </w:pPr>
      <w:r>
        <w:rPr>
          <w:rFonts w:hint="eastAsia" w:ascii="宋体" w:hAnsi="宋体" w:eastAsia="宋体" w:cs="宋体"/>
          <w:b/>
          <w:bCs w:val="0"/>
          <w:color w:val="auto"/>
          <w:spacing w:val="5"/>
          <w:kern w:val="0"/>
          <w:sz w:val="24"/>
          <w:szCs w:val="24"/>
          <w:highlight w:val="none"/>
          <w:shd w:val="clear" w:fill="FFFFFF"/>
        </w:rPr>
        <w:t>法规数据加工管理</w:t>
      </w:r>
    </w:p>
    <w:p w14:paraId="2A2AD6CB">
      <w:pPr>
        <w:pStyle w:val="5"/>
        <w:keepNext w:val="0"/>
        <w:keepLines w:val="0"/>
        <w:pageBreakBefore w:val="0"/>
        <w:widowControl/>
        <w:numPr>
          <w:ilvl w:val="4"/>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20" w:firstLineChars="175"/>
        <w:textAlignment w:val="auto"/>
        <w:rPr>
          <w:rFonts w:hint="eastAsia" w:ascii="宋体" w:hAnsi="宋体" w:eastAsia="宋体" w:cs="宋体"/>
          <w:b w:val="0"/>
          <w:bCs w:val="0"/>
          <w:color w:val="auto"/>
          <w:kern w:val="2"/>
          <w:sz w:val="24"/>
          <w:szCs w:val="24"/>
          <w:highlight w:val="none"/>
        </w:rPr>
      </w:pPr>
      <w:r>
        <w:rPr>
          <w:rFonts w:hint="eastAsia" w:ascii="宋体" w:hAnsi="宋体" w:eastAsia="宋体" w:cs="宋体"/>
          <w:b w:val="0"/>
          <w:bCs w:val="0"/>
          <w:snapToGrid/>
          <w:color w:val="auto"/>
          <w:kern w:val="2"/>
          <w:sz w:val="24"/>
          <w:szCs w:val="24"/>
          <w:highlight w:val="none"/>
          <w:lang w:val="en-US" w:eastAsia="zh-CN" w:bidi="ar"/>
        </w:rPr>
        <w:t>支持运营人员对上游采集模块归集到的法规数据，在系统自动解析后的数据基础上，进行人工校验及修正。修正操作时支持在同一个页面比对原始数据和待修改数据，修正数据可人工录入或从同篇法规的其他数据源快速索引。</w:t>
      </w:r>
    </w:p>
    <w:p w14:paraId="738EB268">
      <w:pPr>
        <w:pStyle w:val="5"/>
        <w:keepNext w:val="0"/>
        <w:keepLines w:val="0"/>
        <w:pageBreakBefore w:val="0"/>
        <w:widowControl/>
        <w:numPr>
          <w:ilvl w:val="4"/>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20" w:firstLineChars="175"/>
        <w:textAlignment w:val="auto"/>
        <w:rPr>
          <w:rFonts w:hint="eastAsia" w:ascii="宋体" w:hAnsi="宋体" w:eastAsia="宋体" w:cs="宋体"/>
          <w:b w:val="0"/>
          <w:bCs w:val="0"/>
          <w:color w:val="auto"/>
          <w:kern w:val="2"/>
          <w:sz w:val="24"/>
          <w:szCs w:val="24"/>
          <w:highlight w:val="none"/>
        </w:rPr>
      </w:pPr>
      <w:r>
        <w:rPr>
          <w:rFonts w:hint="eastAsia" w:ascii="宋体" w:hAnsi="宋体" w:eastAsia="宋体" w:cs="宋体"/>
          <w:b w:val="0"/>
          <w:bCs w:val="0"/>
          <w:snapToGrid/>
          <w:color w:val="auto"/>
          <w:kern w:val="2"/>
          <w:sz w:val="24"/>
          <w:szCs w:val="24"/>
          <w:highlight w:val="none"/>
          <w:lang w:val="en-US" w:eastAsia="zh-CN" w:bidi="ar"/>
        </w:rPr>
        <w:t>支持预览修正法规数据内容，可查看修正数据的差异，如修改、未改、修改数据来源等。对一部法律的发布、修订、废止状态等进行更新维护。</w:t>
      </w:r>
    </w:p>
    <w:p w14:paraId="4BEAD138">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39" w:firstLineChars="175"/>
        <w:textAlignment w:val="auto"/>
        <w:rPr>
          <w:rFonts w:hint="eastAsia" w:ascii="宋体" w:hAnsi="宋体" w:eastAsia="宋体" w:cs="宋体"/>
          <w:b/>
          <w:bCs w:val="0"/>
          <w:color w:val="auto"/>
          <w:spacing w:val="5"/>
          <w:kern w:val="2"/>
          <w:sz w:val="24"/>
          <w:szCs w:val="24"/>
          <w:highlight w:val="none"/>
        </w:rPr>
      </w:pPr>
      <w:r>
        <w:rPr>
          <w:rFonts w:hint="eastAsia" w:ascii="宋体" w:hAnsi="宋体" w:eastAsia="宋体" w:cs="宋体"/>
          <w:b/>
          <w:bCs w:val="0"/>
          <w:color w:val="auto"/>
          <w:spacing w:val="5"/>
          <w:kern w:val="0"/>
          <w:sz w:val="24"/>
          <w:szCs w:val="24"/>
          <w:highlight w:val="none"/>
          <w:shd w:val="clear" w:fill="FFFFFF"/>
        </w:rPr>
        <w:t>沿革关系管理</w:t>
      </w:r>
    </w:p>
    <w:p w14:paraId="2BF7CEAF">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color w:val="auto"/>
          <w:kern w:val="2"/>
          <w:sz w:val="24"/>
          <w:szCs w:val="24"/>
          <w:highlight w:val="none"/>
          <w:lang w:val="en-US" w:eastAsia="zh-CN" w:bidi="ar"/>
        </w:rPr>
        <w:t>支持对已入库法规的历史沿革关系进行维护，系统支持自动检索并创建历史沿革关系，人工可修正。支持用户在系统页面内查看维护好的法律法规沿革关系信息。</w:t>
      </w:r>
    </w:p>
    <w:p w14:paraId="1AB74145">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39" w:firstLineChars="175"/>
        <w:textAlignment w:val="auto"/>
        <w:rPr>
          <w:rFonts w:hint="eastAsia" w:ascii="宋体" w:hAnsi="宋体" w:eastAsia="宋体" w:cs="宋体"/>
          <w:b/>
          <w:bCs w:val="0"/>
          <w:color w:val="auto"/>
          <w:spacing w:val="5"/>
          <w:kern w:val="2"/>
          <w:sz w:val="24"/>
          <w:szCs w:val="24"/>
          <w:highlight w:val="none"/>
        </w:rPr>
      </w:pPr>
      <w:r>
        <w:rPr>
          <w:rFonts w:hint="eastAsia" w:ascii="宋体" w:hAnsi="宋体" w:eastAsia="宋体" w:cs="宋体"/>
          <w:b/>
          <w:bCs w:val="0"/>
          <w:color w:val="auto"/>
          <w:spacing w:val="5"/>
          <w:kern w:val="0"/>
          <w:sz w:val="24"/>
          <w:szCs w:val="24"/>
          <w:highlight w:val="none"/>
          <w:shd w:val="clear" w:fill="FFFFFF"/>
        </w:rPr>
        <w:t>法规关联关系管理</w:t>
      </w:r>
    </w:p>
    <w:p w14:paraId="25434909">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color w:val="auto"/>
          <w:kern w:val="2"/>
          <w:sz w:val="24"/>
          <w:szCs w:val="24"/>
          <w:highlight w:val="none"/>
          <w:lang w:val="en-US" w:eastAsia="zh-CN" w:bidi="ar"/>
        </w:rPr>
        <w:t>支持对法律法规关联关系进行自动解析。支持对已入库法规的上位法引用关系进行维护，引用时允许用户通过法规高级查询快速定位引用的法规标题、内容条款等。支持用户在系统页面内查看维护好的法律法规关联关系信息。</w:t>
      </w:r>
    </w:p>
    <w:p w14:paraId="4F735728">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39" w:firstLineChars="175"/>
        <w:textAlignment w:val="auto"/>
        <w:rPr>
          <w:rFonts w:hint="eastAsia" w:ascii="宋体" w:hAnsi="宋体" w:eastAsia="宋体" w:cs="宋体"/>
          <w:b/>
          <w:bCs w:val="0"/>
          <w:color w:val="auto"/>
          <w:spacing w:val="5"/>
          <w:kern w:val="2"/>
          <w:sz w:val="24"/>
          <w:szCs w:val="24"/>
          <w:highlight w:val="none"/>
        </w:rPr>
      </w:pPr>
      <w:r>
        <w:rPr>
          <w:rFonts w:hint="eastAsia" w:ascii="宋体" w:hAnsi="宋体" w:eastAsia="宋体" w:cs="宋体"/>
          <w:b/>
          <w:bCs w:val="0"/>
          <w:color w:val="auto"/>
          <w:spacing w:val="5"/>
          <w:kern w:val="0"/>
          <w:sz w:val="24"/>
          <w:szCs w:val="24"/>
          <w:highlight w:val="none"/>
          <w:shd w:val="clear" w:fill="FFFFFF"/>
        </w:rPr>
        <w:t>通用标签维护</w:t>
      </w:r>
    </w:p>
    <w:p w14:paraId="09DA6BDE">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color w:val="auto"/>
          <w:kern w:val="2"/>
          <w:sz w:val="24"/>
          <w:szCs w:val="24"/>
          <w:highlight w:val="none"/>
          <w:lang w:val="en-US" w:eastAsia="zh-CN" w:bidi="ar"/>
        </w:rPr>
        <w:t>支持创建面向法规的通用数据标签，并在法规数据加工阶段引用标注，便于法规按照数据标签聚类分析。标签需要支持通用元素，如效力位阶、制定机关单位、业务领域等。</w:t>
      </w:r>
    </w:p>
    <w:p w14:paraId="14583AA3">
      <w:pPr>
        <w:pStyle w:val="4"/>
        <w:keepNext w:val="0"/>
        <w:keepLines w:val="0"/>
        <w:pageBreakBefore w:val="0"/>
        <w:widowControl/>
        <w:numPr>
          <w:ilvl w:val="2"/>
          <w:numId w:val="3"/>
        </w:numPr>
        <w:suppressLineNumbers w:val="0"/>
        <w:tabs>
          <w:tab w:val="left" w:pos="0"/>
          <w:tab w:val="clear" w:pos="432"/>
        </w:tabs>
        <w:kinsoku/>
        <w:wordWrap/>
        <w:overflowPunct/>
        <w:topLinePunct w:val="0"/>
        <w:autoSpaceDE/>
        <w:autoSpaceDN/>
        <w:bidi w:val="0"/>
        <w:spacing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法规数据入库管理</w:t>
      </w:r>
    </w:p>
    <w:p w14:paraId="4A8FAF58">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39" w:firstLineChars="175"/>
        <w:textAlignment w:val="auto"/>
        <w:rPr>
          <w:rFonts w:hint="eastAsia" w:ascii="宋体" w:hAnsi="宋体" w:eastAsia="宋体" w:cs="宋体"/>
          <w:b/>
          <w:bCs w:val="0"/>
          <w:color w:val="auto"/>
          <w:spacing w:val="5"/>
          <w:kern w:val="2"/>
          <w:sz w:val="24"/>
          <w:szCs w:val="24"/>
          <w:highlight w:val="none"/>
        </w:rPr>
      </w:pPr>
      <w:r>
        <w:rPr>
          <w:rFonts w:hint="eastAsia" w:ascii="宋体" w:hAnsi="宋体" w:eastAsia="宋体" w:cs="宋体"/>
          <w:b/>
          <w:bCs w:val="0"/>
          <w:color w:val="auto"/>
          <w:spacing w:val="5"/>
          <w:kern w:val="0"/>
          <w:sz w:val="24"/>
          <w:szCs w:val="24"/>
          <w:highlight w:val="none"/>
          <w:shd w:val="clear" w:fill="FFFFFF"/>
        </w:rPr>
        <w:t>法律法规字典（已入库法规数据管理）</w:t>
      </w:r>
    </w:p>
    <w:p w14:paraId="26628C74">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color w:val="auto"/>
          <w:kern w:val="2"/>
          <w:sz w:val="24"/>
          <w:szCs w:val="24"/>
          <w:highlight w:val="none"/>
          <w:lang w:val="en-US" w:eastAsia="zh-CN" w:bidi="ar"/>
        </w:rPr>
        <w:t>对于通过审核的各类法规数据结果，统一在已入库法规数据库模块页面查看。底层将建立法规数据专题库。系统页面支持按照法规的基础要素筛选数据，如效力位阶、时效性、制定机关、发文字号、公布/施行日期等，支持列表查看法规数据明细。对于已关联法规数据沿革关系、引用关系的，可在详情页查看上述内容。</w:t>
      </w:r>
    </w:p>
    <w:p w14:paraId="79E67456">
      <w:pPr>
        <w:pStyle w:val="4"/>
        <w:keepNext w:val="0"/>
        <w:keepLines w:val="0"/>
        <w:pageBreakBefore w:val="0"/>
        <w:widowControl/>
        <w:numPr>
          <w:ilvl w:val="2"/>
          <w:numId w:val="3"/>
        </w:numPr>
        <w:suppressLineNumbers w:val="0"/>
        <w:tabs>
          <w:tab w:val="left" w:pos="0"/>
          <w:tab w:val="clear" w:pos="432"/>
        </w:tabs>
        <w:kinsoku/>
        <w:wordWrap/>
        <w:overflowPunct/>
        <w:topLinePunct w:val="0"/>
        <w:autoSpaceDE/>
        <w:autoSpaceDN/>
        <w:bidi w:val="0"/>
        <w:spacing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法规数据运营门户</w:t>
      </w:r>
    </w:p>
    <w:p w14:paraId="46DCC9F6">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39" w:firstLineChars="175"/>
        <w:textAlignment w:val="auto"/>
        <w:rPr>
          <w:rFonts w:hint="eastAsia" w:ascii="宋体" w:hAnsi="宋体" w:eastAsia="宋体" w:cs="宋体"/>
          <w:b/>
          <w:bCs w:val="0"/>
          <w:color w:val="auto"/>
          <w:spacing w:val="5"/>
          <w:kern w:val="2"/>
          <w:sz w:val="24"/>
          <w:szCs w:val="24"/>
          <w:highlight w:val="none"/>
        </w:rPr>
      </w:pPr>
      <w:r>
        <w:rPr>
          <w:rFonts w:hint="eastAsia" w:ascii="宋体" w:hAnsi="宋体" w:eastAsia="宋体" w:cs="宋体"/>
          <w:b/>
          <w:bCs w:val="0"/>
          <w:color w:val="auto"/>
          <w:spacing w:val="5"/>
          <w:kern w:val="0"/>
          <w:sz w:val="24"/>
          <w:szCs w:val="24"/>
          <w:highlight w:val="none"/>
          <w:shd w:val="clear" w:fill="FFFFFF"/>
        </w:rPr>
        <w:t>法律法规库数据概览</w:t>
      </w:r>
    </w:p>
    <w:p w14:paraId="4693D28F">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color w:val="auto"/>
          <w:kern w:val="2"/>
          <w:sz w:val="24"/>
          <w:szCs w:val="24"/>
          <w:highlight w:val="none"/>
          <w:lang w:val="en-US" w:eastAsia="zh-CN" w:bidi="ar"/>
        </w:rPr>
        <w:t>按照法律法规时效性、领域类别、制定机关、效力位阶等统计法律法规数据概览，并提供法律法规变化趋势统计图表，反映法律法规库业务运行状况。</w:t>
      </w:r>
    </w:p>
    <w:p w14:paraId="6AFD5703">
      <w:pPr>
        <w:pStyle w:val="3"/>
        <w:pageBreakBefore w:val="0"/>
        <w:widowControl/>
        <w:numPr>
          <w:ilvl w:val="1"/>
          <w:numId w:val="3"/>
        </w:numPr>
        <w:tabs>
          <w:tab w:val="left" w:pos="0"/>
          <w:tab w:val="clear" w:pos="432"/>
        </w:tabs>
        <w:kinsoku/>
        <w:wordWrap/>
        <w:overflowPunct/>
        <w:topLinePunct w:val="0"/>
        <w:autoSpaceDE/>
        <w:autoSpaceDN/>
        <w:bidi w:val="0"/>
        <w:spacing w:before="0" w:after="0" w:line="360" w:lineRule="auto"/>
        <w:ind w:left="0" w:leftChars="0" w:firstLine="422" w:firstLineChars="175"/>
        <w:textAlignment w:val="auto"/>
        <w:rPr>
          <w:rFonts w:hint="eastAsia" w:ascii="宋体" w:hAnsi="宋体" w:eastAsia="宋体" w:cs="宋体"/>
          <w:b/>
          <w:bCs/>
          <w:color w:val="auto"/>
          <w:kern w:val="44"/>
          <w:sz w:val="24"/>
          <w:szCs w:val="24"/>
          <w:highlight w:val="none"/>
        </w:rPr>
      </w:pPr>
      <w:r>
        <w:rPr>
          <w:rFonts w:hint="eastAsia" w:ascii="宋体" w:hAnsi="宋体" w:eastAsia="宋体" w:cs="宋体"/>
          <w:b/>
          <w:bCs/>
          <w:color w:val="auto"/>
          <w:kern w:val="44"/>
          <w:sz w:val="24"/>
          <w:szCs w:val="24"/>
          <w:highlight w:val="none"/>
        </w:rPr>
        <w:t>监管依据库建设（法律依据管理）</w:t>
      </w:r>
    </w:p>
    <w:p w14:paraId="0E943ED0">
      <w:pPr>
        <w:pStyle w:val="4"/>
        <w:keepNext w:val="0"/>
        <w:keepLines w:val="0"/>
        <w:pageBreakBefore w:val="0"/>
        <w:widowControl/>
        <w:numPr>
          <w:ilvl w:val="2"/>
          <w:numId w:val="3"/>
        </w:numPr>
        <w:suppressLineNumbers w:val="0"/>
        <w:tabs>
          <w:tab w:val="left" w:pos="0"/>
          <w:tab w:val="clear" w:pos="432"/>
        </w:tabs>
        <w:kinsoku/>
        <w:wordWrap/>
        <w:overflowPunct/>
        <w:topLinePunct w:val="0"/>
        <w:autoSpaceDE/>
        <w:autoSpaceDN/>
        <w:bidi w:val="0"/>
        <w:spacing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法律依据加工管理</w:t>
      </w:r>
    </w:p>
    <w:p w14:paraId="4D4231D9">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39" w:firstLineChars="175"/>
        <w:textAlignment w:val="auto"/>
        <w:rPr>
          <w:rFonts w:hint="eastAsia" w:ascii="宋体" w:hAnsi="宋体" w:eastAsia="宋体" w:cs="宋体"/>
          <w:b/>
          <w:bCs w:val="0"/>
          <w:color w:val="auto"/>
          <w:spacing w:val="5"/>
          <w:kern w:val="2"/>
          <w:sz w:val="24"/>
          <w:szCs w:val="24"/>
          <w:highlight w:val="none"/>
        </w:rPr>
      </w:pPr>
      <w:r>
        <w:rPr>
          <w:rFonts w:hint="eastAsia" w:ascii="宋体" w:hAnsi="宋体" w:eastAsia="宋体" w:cs="宋体"/>
          <w:b/>
          <w:bCs w:val="0"/>
          <w:color w:val="auto"/>
          <w:spacing w:val="5"/>
          <w:kern w:val="0"/>
          <w:sz w:val="24"/>
          <w:szCs w:val="24"/>
          <w:highlight w:val="none"/>
          <w:shd w:val="clear" w:fill="FFFFFF"/>
        </w:rPr>
        <w:t>依据类型标签</w:t>
      </w:r>
    </w:p>
    <w:p w14:paraId="30135E72">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color w:val="auto"/>
          <w:kern w:val="2"/>
          <w:sz w:val="24"/>
          <w:szCs w:val="24"/>
          <w:highlight w:val="none"/>
          <w:lang w:val="en-US" w:eastAsia="zh-CN" w:bidi="ar"/>
        </w:rPr>
        <w:t>支持管理和维护依据类型标签，与权力事项类型做对应，用于数据标签标注，如行政检查、行政处罚、行政强制等。</w:t>
      </w:r>
    </w:p>
    <w:p w14:paraId="028D9366">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39" w:firstLineChars="175"/>
        <w:textAlignment w:val="auto"/>
        <w:rPr>
          <w:rFonts w:hint="eastAsia" w:ascii="宋体" w:hAnsi="宋体" w:eastAsia="宋体" w:cs="宋体"/>
          <w:b/>
          <w:bCs w:val="0"/>
          <w:color w:val="auto"/>
          <w:spacing w:val="5"/>
          <w:kern w:val="2"/>
          <w:sz w:val="24"/>
          <w:szCs w:val="24"/>
          <w:highlight w:val="none"/>
        </w:rPr>
      </w:pPr>
      <w:r>
        <w:rPr>
          <w:rFonts w:hint="eastAsia" w:ascii="宋体" w:hAnsi="宋体" w:eastAsia="宋体" w:cs="宋体"/>
          <w:b/>
          <w:bCs w:val="0"/>
          <w:color w:val="auto"/>
          <w:spacing w:val="5"/>
          <w:kern w:val="0"/>
          <w:sz w:val="24"/>
          <w:szCs w:val="24"/>
          <w:highlight w:val="none"/>
          <w:shd w:val="clear" w:fill="FFFFFF"/>
        </w:rPr>
        <w:t>关键词标签体系管理</w:t>
      </w:r>
    </w:p>
    <w:p w14:paraId="014C4CB0">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color w:val="auto"/>
          <w:kern w:val="2"/>
          <w:sz w:val="24"/>
          <w:szCs w:val="24"/>
          <w:highlight w:val="none"/>
          <w:lang w:val="en-US" w:eastAsia="zh-CN" w:bidi="ar"/>
        </w:rPr>
        <w:t>根据依据的适用情形，支持用户维护多个层级关键字标签，对法律依据子项条款进行标注，方便用户根据适用场景快速查找依据并汇总统计依据的实施情况数据。</w:t>
      </w:r>
    </w:p>
    <w:p w14:paraId="2324FD21">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39" w:firstLineChars="175"/>
        <w:textAlignment w:val="auto"/>
        <w:rPr>
          <w:rFonts w:hint="eastAsia" w:ascii="宋体" w:hAnsi="宋体" w:eastAsia="宋体" w:cs="宋体"/>
          <w:b/>
          <w:bCs w:val="0"/>
          <w:color w:val="auto"/>
          <w:spacing w:val="5"/>
          <w:kern w:val="2"/>
          <w:sz w:val="24"/>
          <w:szCs w:val="24"/>
          <w:highlight w:val="none"/>
        </w:rPr>
      </w:pPr>
      <w:r>
        <w:rPr>
          <w:rFonts w:hint="eastAsia" w:ascii="宋体" w:hAnsi="宋体" w:eastAsia="宋体" w:cs="宋体"/>
          <w:b/>
          <w:bCs w:val="0"/>
          <w:color w:val="auto"/>
          <w:spacing w:val="5"/>
          <w:kern w:val="0"/>
          <w:sz w:val="24"/>
          <w:szCs w:val="24"/>
          <w:highlight w:val="none"/>
          <w:shd w:val="clear" w:fill="FFFFFF"/>
        </w:rPr>
        <w:t>依据数据自动解析</w:t>
      </w:r>
    </w:p>
    <w:p w14:paraId="168F2C83">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color w:val="auto"/>
          <w:kern w:val="2"/>
          <w:sz w:val="24"/>
          <w:szCs w:val="24"/>
          <w:highlight w:val="none"/>
          <w:lang w:val="en-US" w:eastAsia="zh-CN" w:bidi="ar"/>
        </w:rPr>
        <w:t>系统依托法律法规规章数据，基于依据拆解规则标注和解析法律依据数据，形成不同类别的法律依据条款，形成依据解析结果校对清单，实现行政处罚依据的解析标注能力，支持检查、处罚、强制依据的解析。</w:t>
      </w:r>
    </w:p>
    <w:p w14:paraId="7E85F348">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39" w:firstLineChars="175"/>
        <w:textAlignment w:val="auto"/>
        <w:rPr>
          <w:rFonts w:hint="eastAsia" w:ascii="宋体" w:hAnsi="宋体" w:eastAsia="宋体" w:cs="宋体"/>
          <w:b/>
          <w:bCs w:val="0"/>
          <w:color w:val="auto"/>
          <w:spacing w:val="5"/>
          <w:kern w:val="2"/>
          <w:sz w:val="24"/>
          <w:szCs w:val="24"/>
          <w:highlight w:val="none"/>
        </w:rPr>
      </w:pPr>
      <w:r>
        <w:rPr>
          <w:rFonts w:hint="eastAsia" w:ascii="宋体" w:hAnsi="宋体" w:eastAsia="宋体" w:cs="宋体"/>
          <w:b/>
          <w:bCs w:val="0"/>
          <w:color w:val="auto"/>
          <w:spacing w:val="5"/>
          <w:kern w:val="0"/>
          <w:sz w:val="24"/>
          <w:szCs w:val="24"/>
          <w:highlight w:val="none"/>
          <w:shd w:val="clear" w:fill="FFFFFF"/>
        </w:rPr>
        <w:t>依据数据解析结果校对</w:t>
      </w:r>
    </w:p>
    <w:p w14:paraId="680056A1">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color w:val="auto"/>
          <w:kern w:val="2"/>
          <w:sz w:val="24"/>
          <w:szCs w:val="24"/>
          <w:highlight w:val="none"/>
          <w:lang w:val="en-US" w:eastAsia="zh-CN" w:bidi="ar"/>
        </w:rPr>
        <w:t>支持运营人员对上游解析模块产出的行政处罚依据数据，进行人工校验及修正。修正操作时支持在同一个页面比对原始数据和待修改数据。支持预览修正后的依据内容，可查看修正数据的差异，如修改、未改、修改数据来源等。</w:t>
      </w:r>
    </w:p>
    <w:p w14:paraId="7545F3F7">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39" w:firstLineChars="175"/>
        <w:textAlignment w:val="auto"/>
        <w:rPr>
          <w:rFonts w:hint="eastAsia" w:ascii="宋体" w:hAnsi="宋体" w:eastAsia="宋体" w:cs="宋体"/>
          <w:b/>
          <w:bCs w:val="0"/>
          <w:color w:val="auto"/>
          <w:spacing w:val="5"/>
          <w:kern w:val="2"/>
          <w:sz w:val="24"/>
          <w:szCs w:val="24"/>
          <w:highlight w:val="none"/>
        </w:rPr>
      </w:pPr>
      <w:r>
        <w:rPr>
          <w:rFonts w:hint="eastAsia" w:ascii="宋体" w:hAnsi="宋体" w:eastAsia="宋体" w:cs="宋体"/>
          <w:b/>
          <w:bCs w:val="0"/>
          <w:color w:val="auto"/>
          <w:spacing w:val="5"/>
          <w:kern w:val="0"/>
          <w:sz w:val="24"/>
          <w:szCs w:val="24"/>
          <w:highlight w:val="none"/>
          <w:shd w:val="clear" w:fill="FFFFFF"/>
        </w:rPr>
        <w:t>新建检查依据</w:t>
      </w:r>
    </w:p>
    <w:p w14:paraId="4BCFE9C8">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color w:val="auto"/>
          <w:kern w:val="2"/>
          <w:sz w:val="24"/>
          <w:szCs w:val="24"/>
          <w:highlight w:val="none"/>
          <w:lang w:val="en-US" w:eastAsia="zh-CN" w:bidi="ar"/>
        </w:rPr>
        <w:t>支持用户在解析结果校对的详情页面中，按照法律法规单条设立依据，并对依据关键词字段进行定义，完成配置后发布在依据库字典中。支持按照整篇法律阅览查看和批量设立检查依据。</w:t>
      </w:r>
    </w:p>
    <w:p w14:paraId="499ECBF7">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39" w:firstLineChars="175"/>
        <w:textAlignment w:val="auto"/>
        <w:rPr>
          <w:rFonts w:hint="eastAsia" w:ascii="宋体" w:hAnsi="宋体" w:eastAsia="宋体" w:cs="宋体"/>
          <w:b/>
          <w:bCs w:val="0"/>
          <w:color w:val="auto"/>
          <w:spacing w:val="5"/>
          <w:kern w:val="2"/>
          <w:sz w:val="24"/>
          <w:szCs w:val="24"/>
          <w:highlight w:val="none"/>
        </w:rPr>
      </w:pPr>
      <w:r>
        <w:rPr>
          <w:rFonts w:hint="eastAsia" w:ascii="宋体" w:hAnsi="宋体" w:eastAsia="宋体" w:cs="宋体"/>
          <w:b/>
          <w:bCs w:val="0"/>
          <w:color w:val="auto"/>
          <w:spacing w:val="5"/>
          <w:kern w:val="0"/>
          <w:sz w:val="24"/>
          <w:szCs w:val="24"/>
          <w:highlight w:val="none"/>
          <w:shd w:val="clear" w:fill="FFFFFF"/>
        </w:rPr>
        <w:t>新建处罚依据</w:t>
      </w:r>
    </w:p>
    <w:p w14:paraId="5926B0E8">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color w:val="auto"/>
          <w:kern w:val="2"/>
          <w:sz w:val="24"/>
          <w:szCs w:val="24"/>
          <w:highlight w:val="none"/>
          <w:lang w:val="en-US" w:eastAsia="zh-CN" w:bidi="ar"/>
        </w:rPr>
        <w:t>支持用户在解析结果校对的详情页面中，按照法律法规单条设立依据，并对依据的编码、依据历史、依据关键词等字段进行定义，完成配置后发布在依据库字典中。支持按照整篇法律阅览查看和批量设立处罚依据。</w:t>
      </w:r>
    </w:p>
    <w:p w14:paraId="172A4708">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39" w:firstLineChars="175"/>
        <w:textAlignment w:val="auto"/>
        <w:rPr>
          <w:rFonts w:hint="eastAsia" w:ascii="宋体" w:hAnsi="宋体" w:eastAsia="宋体" w:cs="宋体"/>
          <w:b/>
          <w:bCs w:val="0"/>
          <w:color w:val="auto"/>
          <w:spacing w:val="5"/>
          <w:kern w:val="2"/>
          <w:sz w:val="24"/>
          <w:szCs w:val="24"/>
          <w:highlight w:val="none"/>
        </w:rPr>
      </w:pPr>
      <w:r>
        <w:rPr>
          <w:rFonts w:hint="eastAsia" w:ascii="宋体" w:hAnsi="宋体" w:eastAsia="宋体" w:cs="宋体"/>
          <w:b/>
          <w:bCs w:val="0"/>
          <w:color w:val="auto"/>
          <w:spacing w:val="5"/>
          <w:kern w:val="0"/>
          <w:sz w:val="24"/>
          <w:szCs w:val="24"/>
          <w:highlight w:val="none"/>
          <w:shd w:val="clear" w:fill="FFFFFF"/>
        </w:rPr>
        <w:t>新建强制依据</w:t>
      </w:r>
    </w:p>
    <w:p w14:paraId="7C30DD7B">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color w:val="auto"/>
          <w:kern w:val="2"/>
          <w:sz w:val="24"/>
          <w:szCs w:val="24"/>
          <w:highlight w:val="none"/>
          <w:lang w:val="en-US" w:eastAsia="zh-CN" w:bidi="ar"/>
        </w:rPr>
        <w:t>支持用户在解析结果校对的详情页面中，按照法律法规单条设立依据，并对依据的编码、依据历史、依据关键词等字段进行定义，完成配置后发布在依据库字典中。支持按照整篇法律阅览查看和批量设立强制依据。</w:t>
      </w:r>
    </w:p>
    <w:p w14:paraId="0D3A3C9C">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39" w:firstLineChars="175"/>
        <w:textAlignment w:val="auto"/>
        <w:rPr>
          <w:rFonts w:hint="eastAsia" w:ascii="宋体" w:hAnsi="宋体" w:eastAsia="宋体" w:cs="宋体"/>
          <w:b/>
          <w:bCs w:val="0"/>
          <w:color w:val="auto"/>
          <w:spacing w:val="5"/>
          <w:kern w:val="2"/>
          <w:sz w:val="24"/>
          <w:szCs w:val="24"/>
          <w:highlight w:val="none"/>
        </w:rPr>
      </w:pPr>
      <w:r>
        <w:rPr>
          <w:rFonts w:hint="eastAsia" w:ascii="宋体" w:hAnsi="宋体" w:eastAsia="宋体" w:cs="宋体"/>
          <w:b/>
          <w:bCs w:val="0"/>
          <w:color w:val="auto"/>
          <w:spacing w:val="5"/>
          <w:kern w:val="0"/>
          <w:sz w:val="24"/>
          <w:szCs w:val="24"/>
          <w:highlight w:val="none"/>
          <w:shd w:val="clear" w:fill="FFFFFF"/>
        </w:rPr>
        <w:t>新建其他依据</w:t>
      </w:r>
    </w:p>
    <w:p w14:paraId="52DA765D">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color w:val="auto"/>
          <w:kern w:val="2"/>
          <w:sz w:val="24"/>
          <w:szCs w:val="24"/>
          <w:highlight w:val="none"/>
          <w:lang w:val="en-US" w:eastAsia="zh-CN" w:bidi="ar"/>
        </w:rPr>
        <w:t>支持用户在解析结果校对的详情页面中，按照法律法规单条设立依据，并对依据的编码、依据历史、依据关键词等字段进行定义，完成配置后发布在依据库字典中。支持按照整篇法律阅览查看和批量设立其他依据。</w:t>
      </w:r>
    </w:p>
    <w:p w14:paraId="686E3AF5">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39" w:firstLineChars="175"/>
        <w:textAlignment w:val="auto"/>
        <w:rPr>
          <w:rFonts w:hint="eastAsia" w:ascii="宋体" w:hAnsi="宋体" w:eastAsia="宋体" w:cs="宋体"/>
          <w:b/>
          <w:bCs w:val="0"/>
          <w:color w:val="auto"/>
          <w:spacing w:val="5"/>
          <w:kern w:val="2"/>
          <w:sz w:val="24"/>
          <w:szCs w:val="24"/>
          <w:highlight w:val="none"/>
        </w:rPr>
      </w:pPr>
      <w:r>
        <w:rPr>
          <w:rFonts w:hint="eastAsia" w:ascii="宋体" w:hAnsi="宋体" w:eastAsia="宋体" w:cs="宋体"/>
          <w:b/>
          <w:bCs w:val="0"/>
          <w:color w:val="auto"/>
          <w:spacing w:val="5"/>
          <w:kern w:val="0"/>
          <w:sz w:val="24"/>
          <w:szCs w:val="24"/>
          <w:highlight w:val="none"/>
          <w:shd w:val="clear" w:fill="FFFFFF"/>
        </w:rPr>
        <w:t>依据历史变迁</w:t>
      </w:r>
    </w:p>
    <w:p w14:paraId="3E311266">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37" w:firstLineChars="175"/>
        <w:jc w:val="both"/>
        <w:textAlignment w:val="auto"/>
        <w:rPr>
          <w:rFonts w:hint="eastAsia" w:ascii="宋体" w:hAnsi="宋体" w:eastAsia="宋体" w:cs="宋体"/>
          <w:color w:val="auto"/>
          <w:spacing w:val="5"/>
          <w:kern w:val="2"/>
          <w:sz w:val="24"/>
          <w:szCs w:val="24"/>
          <w:highlight w:val="none"/>
        </w:rPr>
      </w:pPr>
      <w:r>
        <w:rPr>
          <w:rFonts w:hint="eastAsia" w:ascii="宋体" w:hAnsi="宋体" w:eastAsia="宋体" w:cs="宋体"/>
          <w:snapToGrid/>
          <w:color w:val="auto"/>
          <w:spacing w:val="5"/>
          <w:kern w:val="0"/>
          <w:sz w:val="24"/>
          <w:szCs w:val="24"/>
          <w:highlight w:val="none"/>
          <w:shd w:val="clear" w:fill="FFFFFF"/>
          <w:lang w:val="en-US" w:eastAsia="zh-CN" w:bidi="ar"/>
        </w:rPr>
        <w:t>对于同一条法律依据的历史变迁进行显示，系统提供依据差异比对功能。</w:t>
      </w:r>
    </w:p>
    <w:p w14:paraId="1A5D971B">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39" w:firstLineChars="175"/>
        <w:textAlignment w:val="auto"/>
        <w:rPr>
          <w:rFonts w:hint="eastAsia" w:ascii="宋体" w:hAnsi="宋体" w:eastAsia="宋体" w:cs="宋体"/>
          <w:b/>
          <w:bCs w:val="0"/>
          <w:color w:val="auto"/>
          <w:spacing w:val="5"/>
          <w:kern w:val="2"/>
          <w:sz w:val="24"/>
          <w:szCs w:val="24"/>
          <w:highlight w:val="none"/>
        </w:rPr>
      </w:pPr>
      <w:r>
        <w:rPr>
          <w:rFonts w:hint="eastAsia" w:ascii="宋体" w:hAnsi="宋体" w:eastAsia="宋体" w:cs="宋体"/>
          <w:b/>
          <w:bCs w:val="0"/>
          <w:color w:val="auto"/>
          <w:spacing w:val="5"/>
          <w:kern w:val="0"/>
          <w:sz w:val="24"/>
          <w:szCs w:val="24"/>
          <w:highlight w:val="none"/>
          <w:shd w:val="clear" w:fill="FFFFFF"/>
        </w:rPr>
        <w:t>依据数据变动感知</w:t>
      </w:r>
    </w:p>
    <w:p w14:paraId="1801789B">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color w:val="auto"/>
          <w:kern w:val="2"/>
          <w:sz w:val="24"/>
          <w:szCs w:val="24"/>
          <w:highlight w:val="none"/>
          <w:lang w:val="en-US" w:eastAsia="zh-CN" w:bidi="ar"/>
        </w:rPr>
        <w:t>结合法律数据变动感知监测模型，系统支持自动化的识别到已入库法律依据修订、废止的数据变动场景，自动执行数据依据数据解析任务。</w:t>
      </w:r>
    </w:p>
    <w:p w14:paraId="5F3457B8">
      <w:pPr>
        <w:pStyle w:val="4"/>
        <w:keepNext w:val="0"/>
        <w:keepLines w:val="0"/>
        <w:pageBreakBefore w:val="0"/>
        <w:widowControl/>
        <w:numPr>
          <w:ilvl w:val="2"/>
          <w:numId w:val="3"/>
        </w:numPr>
        <w:suppressLineNumbers w:val="0"/>
        <w:tabs>
          <w:tab w:val="left" w:pos="0"/>
          <w:tab w:val="clear" w:pos="432"/>
        </w:tabs>
        <w:kinsoku/>
        <w:wordWrap/>
        <w:overflowPunct/>
        <w:topLinePunct w:val="0"/>
        <w:autoSpaceDE/>
        <w:autoSpaceDN/>
        <w:bidi w:val="0"/>
        <w:spacing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法律依据入库管理</w:t>
      </w:r>
    </w:p>
    <w:p w14:paraId="63E906FF">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color w:val="auto"/>
          <w:kern w:val="2"/>
          <w:sz w:val="24"/>
          <w:szCs w:val="24"/>
          <w:highlight w:val="none"/>
          <w:lang w:val="en-US" w:eastAsia="zh-CN" w:bidi="ar"/>
        </w:rPr>
        <w:t xml:space="preserve"> 已入库法律依据数据库显示已加工完成的法律依据数据，支持按照依据的类型标签、场景标签等多种数据维度进行高级查询。可选定查看指定的法律依据详情。</w:t>
      </w:r>
    </w:p>
    <w:p w14:paraId="406232E1">
      <w:pPr>
        <w:pStyle w:val="4"/>
        <w:keepNext w:val="0"/>
        <w:keepLines w:val="0"/>
        <w:pageBreakBefore w:val="0"/>
        <w:widowControl/>
        <w:numPr>
          <w:ilvl w:val="2"/>
          <w:numId w:val="3"/>
        </w:numPr>
        <w:suppressLineNumbers w:val="0"/>
        <w:tabs>
          <w:tab w:val="left" w:pos="0"/>
          <w:tab w:val="clear" w:pos="432"/>
        </w:tabs>
        <w:kinsoku/>
        <w:wordWrap/>
        <w:overflowPunct/>
        <w:topLinePunct w:val="0"/>
        <w:autoSpaceDE/>
        <w:autoSpaceDN/>
        <w:bidi w:val="0"/>
        <w:spacing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依据数据运营门户</w:t>
      </w:r>
    </w:p>
    <w:p w14:paraId="31FA7536">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39" w:firstLineChars="175"/>
        <w:textAlignment w:val="auto"/>
        <w:rPr>
          <w:rFonts w:hint="eastAsia" w:ascii="宋体" w:hAnsi="宋体" w:eastAsia="宋体" w:cs="宋体"/>
          <w:b/>
          <w:bCs w:val="0"/>
          <w:color w:val="auto"/>
          <w:spacing w:val="5"/>
          <w:kern w:val="2"/>
          <w:sz w:val="24"/>
          <w:szCs w:val="24"/>
          <w:highlight w:val="none"/>
        </w:rPr>
      </w:pPr>
      <w:r>
        <w:rPr>
          <w:rFonts w:hint="eastAsia" w:ascii="宋体" w:hAnsi="宋体" w:eastAsia="宋体" w:cs="宋体"/>
          <w:b/>
          <w:bCs w:val="0"/>
          <w:color w:val="auto"/>
          <w:spacing w:val="5"/>
          <w:kern w:val="0"/>
          <w:sz w:val="24"/>
          <w:szCs w:val="24"/>
          <w:highlight w:val="none"/>
          <w:shd w:val="clear" w:fill="FFFFFF"/>
        </w:rPr>
        <w:t>依据库数据概览</w:t>
      </w:r>
    </w:p>
    <w:p w14:paraId="45B10031">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spacing w:val="10"/>
          <w:kern w:val="2"/>
          <w:sz w:val="24"/>
          <w:szCs w:val="24"/>
          <w:highlight w:val="none"/>
        </w:rPr>
      </w:pPr>
      <w:r>
        <w:rPr>
          <w:rFonts w:hint="eastAsia" w:ascii="宋体" w:hAnsi="宋体" w:eastAsia="宋体" w:cs="宋体"/>
          <w:snapToGrid/>
          <w:color w:val="auto"/>
          <w:kern w:val="2"/>
          <w:sz w:val="24"/>
          <w:szCs w:val="24"/>
          <w:highlight w:val="none"/>
          <w:lang w:val="en-US" w:eastAsia="zh-CN" w:bidi="ar"/>
        </w:rPr>
        <w:t>围绕法律依据数据解析、加工核验全工作流程，提炼运营情况数据，可简单查阅依据的各数据处理阶段趋势，反映依据数据变更工作动态。</w:t>
      </w:r>
    </w:p>
    <w:p w14:paraId="3C812839">
      <w:pPr>
        <w:pStyle w:val="3"/>
        <w:pageBreakBefore w:val="0"/>
        <w:widowControl/>
        <w:numPr>
          <w:ilvl w:val="1"/>
          <w:numId w:val="3"/>
        </w:numPr>
        <w:tabs>
          <w:tab w:val="left" w:pos="0"/>
          <w:tab w:val="clear" w:pos="432"/>
        </w:tabs>
        <w:kinsoku/>
        <w:wordWrap/>
        <w:overflowPunct/>
        <w:topLinePunct w:val="0"/>
        <w:autoSpaceDE/>
        <w:autoSpaceDN/>
        <w:bidi w:val="0"/>
        <w:spacing w:before="0" w:after="0" w:line="360" w:lineRule="auto"/>
        <w:ind w:left="0" w:leftChars="0" w:firstLine="422" w:firstLineChars="175"/>
        <w:textAlignment w:val="auto"/>
        <w:rPr>
          <w:rFonts w:hint="eastAsia" w:ascii="宋体" w:hAnsi="宋体" w:eastAsia="宋体" w:cs="宋体"/>
          <w:b/>
          <w:bCs/>
          <w:color w:val="auto"/>
          <w:kern w:val="44"/>
          <w:sz w:val="24"/>
          <w:szCs w:val="24"/>
          <w:highlight w:val="none"/>
        </w:rPr>
      </w:pPr>
      <w:r>
        <w:rPr>
          <w:rFonts w:hint="eastAsia" w:ascii="宋体" w:hAnsi="宋体" w:eastAsia="宋体" w:cs="宋体"/>
          <w:b/>
          <w:bCs/>
          <w:color w:val="auto"/>
          <w:kern w:val="44"/>
          <w:sz w:val="24"/>
          <w:szCs w:val="24"/>
          <w:highlight w:val="none"/>
        </w:rPr>
        <w:t>规范性文件库完善</w:t>
      </w:r>
    </w:p>
    <w:p w14:paraId="5027F60D">
      <w:pPr>
        <w:pStyle w:val="4"/>
        <w:keepNext w:val="0"/>
        <w:keepLines w:val="0"/>
        <w:pageBreakBefore w:val="0"/>
        <w:widowControl/>
        <w:numPr>
          <w:ilvl w:val="2"/>
          <w:numId w:val="3"/>
        </w:numPr>
        <w:suppressLineNumbers w:val="0"/>
        <w:tabs>
          <w:tab w:val="left" w:pos="0"/>
          <w:tab w:val="clear" w:pos="432"/>
        </w:tabs>
        <w:kinsoku/>
        <w:wordWrap/>
        <w:overflowPunct/>
        <w:topLinePunct w:val="0"/>
        <w:autoSpaceDE/>
        <w:autoSpaceDN/>
        <w:bidi w:val="0"/>
        <w:spacing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规范性文件（缺失）处置</w:t>
      </w:r>
    </w:p>
    <w:p w14:paraId="2D1BE70F">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color w:val="auto"/>
          <w:kern w:val="2"/>
          <w:sz w:val="24"/>
          <w:szCs w:val="24"/>
          <w:highlight w:val="none"/>
          <w:lang w:val="en-US" w:eastAsia="zh-CN" w:bidi="ar"/>
        </w:rPr>
        <w:t>规范性文件缺失文件线索接入规范性文件数据其他源数据，与当前厅机关规范性文件管理系统现行数据进行比对，产生缺失规范性文件数据线索；线索数据将具备基础结构化数据，如规范性文件的名称、发布单位、时效性信息等。</w:t>
      </w:r>
    </w:p>
    <w:p w14:paraId="365A3C51">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39" w:firstLineChars="175"/>
        <w:textAlignment w:val="auto"/>
        <w:rPr>
          <w:rFonts w:hint="eastAsia" w:ascii="宋体" w:hAnsi="宋体" w:eastAsia="宋体" w:cs="宋体"/>
          <w:b/>
          <w:bCs w:val="0"/>
          <w:color w:val="auto"/>
          <w:spacing w:val="5"/>
          <w:kern w:val="2"/>
          <w:sz w:val="24"/>
          <w:szCs w:val="24"/>
          <w:highlight w:val="none"/>
        </w:rPr>
      </w:pPr>
      <w:r>
        <w:rPr>
          <w:rFonts w:hint="eastAsia" w:ascii="宋体" w:hAnsi="宋体" w:eastAsia="宋体" w:cs="宋体"/>
          <w:b/>
          <w:bCs w:val="0"/>
          <w:color w:val="auto"/>
          <w:spacing w:val="5"/>
          <w:kern w:val="0"/>
          <w:sz w:val="24"/>
          <w:szCs w:val="24"/>
          <w:highlight w:val="none"/>
          <w:shd w:val="clear" w:fill="FFFFFF"/>
        </w:rPr>
        <w:t>未备案规范性文件线索列表</w:t>
      </w:r>
    </w:p>
    <w:p w14:paraId="5449EFDD">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color w:val="auto"/>
          <w:kern w:val="2"/>
          <w:sz w:val="24"/>
          <w:szCs w:val="24"/>
          <w:highlight w:val="none"/>
          <w:lang w:val="en-US" w:eastAsia="zh-CN" w:bidi="ar"/>
        </w:rPr>
        <w:t>统一展示系统产生的未备案规范性文件清单，提供交互引导提示规范性文件库管理人员对未备案规范性文件进行处置。</w:t>
      </w:r>
    </w:p>
    <w:p w14:paraId="29729D5D">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39" w:firstLineChars="175"/>
        <w:textAlignment w:val="auto"/>
        <w:rPr>
          <w:rFonts w:hint="eastAsia" w:ascii="宋体" w:hAnsi="宋体" w:eastAsia="宋体" w:cs="宋体"/>
          <w:b/>
          <w:bCs w:val="0"/>
          <w:color w:val="auto"/>
          <w:spacing w:val="5"/>
          <w:kern w:val="2"/>
          <w:sz w:val="24"/>
          <w:szCs w:val="24"/>
          <w:highlight w:val="none"/>
        </w:rPr>
      </w:pPr>
      <w:r>
        <w:rPr>
          <w:rFonts w:hint="eastAsia" w:ascii="宋体" w:hAnsi="宋体" w:eastAsia="宋体" w:cs="宋体"/>
          <w:b/>
          <w:bCs w:val="0"/>
          <w:color w:val="auto"/>
          <w:spacing w:val="5"/>
          <w:kern w:val="0"/>
          <w:sz w:val="24"/>
          <w:szCs w:val="24"/>
          <w:highlight w:val="none"/>
          <w:shd w:val="clear" w:fill="FFFFFF"/>
        </w:rPr>
        <w:t>未备案规范性文件线索详情</w:t>
      </w:r>
    </w:p>
    <w:p w14:paraId="6DCDE3AD">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spacing w:val="10"/>
          <w:kern w:val="2"/>
          <w:sz w:val="24"/>
          <w:szCs w:val="24"/>
          <w:highlight w:val="none"/>
        </w:rPr>
      </w:pPr>
      <w:r>
        <w:rPr>
          <w:rFonts w:hint="eastAsia" w:ascii="宋体" w:hAnsi="宋体" w:eastAsia="宋体" w:cs="宋体"/>
          <w:snapToGrid/>
          <w:color w:val="auto"/>
          <w:kern w:val="2"/>
          <w:sz w:val="24"/>
          <w:szCs w:val="24"/>
          <w:highlight w:val="none"/>
          <w:lang w:val="en-US" w:eastAsia="zh-CN" w:bidi="ar"/>
        </w:rPr>
        <w:t>支持查看未备案规范性文件详情，查看内容包含规范性文件自身要素数据以及线索产生数据，如线索数据来源等。</w:t>
      </w:r>
    </w:p>
    <w:p w14:paraId="6B08D7E2">
      <w:pPr>
        <w:pStyle w:val="3"/>
        <w:pageBreakBefore w:val="0"/>
        <w:widowControl/>
        <w:numPr>
          <w:ilvl w:val="1"/>
          <w:numId w:val="3"/>
        </w:numPr>
        <w:tabs>
          <w:tab w:val="left" w:pos="0"/>
          <w:tab w:val="clear" w:pos="432"/>
        </w:tabs>
        <w:kinsoku/>
        <w:wordWrap/>
        <w:overflowPunct/>
        <w:topLinePunct w:val="0"/>
        <w:autoSpaceDE/>
        <w:autoSpaceDN/>
        <w:bidi w:val="0"/>
        <w:spacing w:before="0" w:after="0" w:line="360" w:lineRule="auto"/>
        <w:ind w:left="0" w:leftChars="0" w:firstLine="422" w:firstLineChars="175"/>
        <w:textAlignment w:val="auto"/>
        <w:rPr>
          <w:rFonts w:hint="eastAsia" w:ascii="宋体" w:hAnsi="宋体" w:eastAsia="宋体" w:cs="宋体"/>
          <w:b/>
          <w:bCs/>
          <w:color w:val="auto"/>
          <w:kern w:val="44"/>
          <w:sz w:val="24"/>
          <w:szCs w:val="24"/>
          <w:highlight w:val="none"/>
        </w:rPr>
      </w:pPr>
      <w:r>
        <w:rPr>
          <w:rFonts w:hint="eastAsia" w:ascii="宋体" w:hAnsi="宋体" w:eastAsia="宋体" w:cs="宋体"/>
          <w:b/>
          <w:bCs/>
          <w:color w:val="auto"/>
          <w:kern w:val="44"/>
          <w:sz w:val="24"/>
          <w:szCs w:val="24"/>
          <w:highlight w:val="none"/>
        </w:rPr>
        <w:t>法治知识服务（法治数据中心优化）</w:t>
      </w:r>
    </w:p>
    <w:p w14:paraId="7649486C">
      <w:pPr>
        <w:pStyle w:val="4"/>
        <w:keepNext w:val="0"/>
        <w:keepLines w:val="0"/>
        <w:pageBreakBefore w:val="0"/>
        <w:widowControl/>
        <w:numPr>
          <w:ilvl w:val="2"/>
          <w:numId w:val="3"/>
        </w:numPr>
        <w:suppressLineNumbers w:val="0"/>
        <w:tabs>
          <w:tab w:val="left" w:pos="0"/>
          <w:tab w:val="clear" w:pos="432"/>
        </w:tabs>
        <w:kinsoku/>
        <w:wordWrap/>
        <w:overflowPunct/>
        <w:topLinePunct w:val="0"/>
        <w:autoSpaceDE/>
        <w:autoSpaceDN/>
        <w:bidi w:val="0"/>
        <w:spacing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统一编码</w:t>
      </w:r>
    </w:p>
    <w:p w14:paraId="0C86ED14">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39" w:firstLineChars="175"/>
        <w:textAlignment w:val="auto"/>
        <w:rPr>
          <w:rFonts w:hint="eastAsia" w:ascii="宋体" w:hAnsi="宋体" w:eastAsia="宋体" w:cs="宋体"/>
          <w:b/>
          <w:bCs w:val="0"/>
          <w:color w:val="auto"/>
          <w:spacing w:val="5"/>
          <w:kern w:val="2"/>
          <w:sz w:val="24"/>
          <w:szCs w:val="24"/>
          <w:highlight w:val="none"/>
        </w:rPr>
      </w:pPr>
      <w:r>
        <w:rPr>
          <w:rFonts w:hint="eastAsia" w:ascii="宋体" w:hAnsi="宋体" w:eastAsia="宋体" w:cs="宋体"/>
          <w:b/>
          <w:bCs w:val="0"/>
          <w:color w:val="auto"/>
          <w:spacing w:val="5"/>
          <w:kern w:val="0"/>
          <w:sz w:val="24"/>
          <w:szCs w:val="24"/>
          <w:highlight w:val="none"/>
          <w:shd w:val="clear" w:fill="FFFFFF"/>
        </w:rPr>
        <w:t>法规文件编码</w:t>
      </w:r>
    </w:p>
    <w:p w14:paraId="7BB4B967">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37" w:firstLineChars="175"/>
        <w:jc w:val="both"/>
        <w:textAlignment w:val="auto"/>
        <w:rPr>
          <w:rFonts w:hint="eastAsia" w:ascii="宋体" w:hAnsi="宋体" w:eastAsia="宋体" w:cs="宋体"/>
          <w:color w:val="auto"/>
          <w:spacing w:val="5"/>
          <w:kern w:val="2"/>
          <w:sz w:val="24"/>
          <w:szCs w:val="24"/>
          <w:highlight w:val="none"/>
        </w:rPr>
      </w:pPr>
      <w:r>
        <w:rPr>
          <w:rFonts w:hint="eastAsia" w:ascii="宋体" w:hAnsi="宋体" w:eastAsia="宋体" w:cs="宋体"/>
          <w:snapToGrid/>
          <w:color w:val="auto"/>
          <w:spacing w:val="5"/>
          <w:kern w:val="0"/>
          <w:sz w:val="24"/>
          <w:szCs w:val="24"/>
          <w:highlight w:val="none"/>
          <w:shd w:val="clear" w:fill="FFFFFF"/>
          <w:lang w:val="en-US" w:eastAsia="zh-CN" w:bidi="ar"/>
        </w:rPr>
        <w:t>制定统一编码规范，对法律法规的文件整体和正文内容进行编码，确保入库法规数据唯一、可识别；使数据具备较强的鲁棒性。</w:t>
      </w:r>
    </w:p>
    <w:p w14:paraId="63E3D51E">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39" w:firstLineChars="175"/>
        <w:textAlignment w:val="auto"/>
        <w:rPr>
          <w:rFonts w:hint="eastAsia" w:ascii="宋体" w:hAnsi="宋体" w:eastAsia="宋体" w:cs="宋体"/>
          <w:b/>
          <w:bCs w:val="0"/>
          <w:color w:val="auto"/>
          <w:spacing w:val="5"/>
          <w:kern w:val="2"/>
          <w:sz w:val="24"/>
          <w:szCs w:val="24"/>
          <w:highlight w:val="none"/>
        </w:rPr>
      </w:pPr>
      <w:r>
        <w:rPr>
          <w:rFonts w:hint="eastAsia" w:ascii="宋体" w:hAnsi="宋体" w:eastAsia="宋体" w:cs="宋体"/>
          <w:b/>
          <w:bCs w:val="0"/>
          <w:color w:val="auto"/>
          <w:spacing w:val="5"/>
          <w:kern w:val="0"/>
          <w:sz w:val="24"/>
          <w:szCs w:val="24"/>
          <w:highlight w:val="none"/>
          <w:shd w:val="clear" w:fill="FFFFFF"/>
        </w:rPr>
        <w:t>法规内容码</w:t>
      </w:r>
    </w:p>
    <w:p w14:paraId="3C6D8744">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37" w:firstLineChars="175"/>
        <w:jc w:val="both"/>
        <w:textAlignment w:val="auto"/>
        <w:rPr>
          <w:rFonts w:hint="eastAsia" w:ascii="宋体" w:hAnsi="宋体" w:eastAsia="宋体" w:cs="宋体"/>
          <w:color w:val="auto"/>
          <w:spacing w:val="5"/>
          <w:kern w:val="2"/>
          <w:sz w:val="24"/>
          <w:szCs w:val="24"/>
          <w:highlight w:val="none"/>
        </w:rPr>
      </w:pPr>
      <w:r>
        <w:rPr>
          <w:rFonts w:hint="eastAsia" w:ascii="宋体" w:hAnsi="宋体" w:eastAsia="宋体" w:cs="宋体"/>
          <w:snapToGrid/>
          <w:color w:val="auto"/>
          <w:spacing w:val="5"/>
          <w:kern w:val="0"/>
          <w:sz w:val="24"/>
          <w:szCs w:val="24"/>
          <w:highlight w:val="none"/>
          <w:shd w:val="clear" w:fill="FFFFFF"/>
          <w:lang w:val="en-US" w:eastAsia="zh-CN" w:bidi="ar"/>
        </w:rPr>
        <w:t>制定统一编码规范，对法律法规的正文内容进行编码，确保入库法规数据章节条款内容唯一、可识别；使数据具备较强的鲁棒性。</w:t>
      </w:r>
    </w:p>
    <w:p w14:paraId="1DF29797">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39" w:firstLineChars="175"/>
        <w:textAlignment w:val="auto"/>
        <w:rPr>
          <w:rFonts w:hint="eastAsia" w:ascii="宋体" w:hAnsi="宋体" w:eastAsia="宋体" w:cs="宋体"/>
          <w:b/>
          <w:bCs w:val="0"/>
          <w:color w:val="auto"/>
          <w:spacing w:val="5"/>
          <w:kern w:val="2"/>
          <w:sz w:val="24"/>
          <w:szCs w:val="24"/>
          <w:highlight w:val="none"/>
        </w:rPr>
      </w:pPr>
      <w:r>
        <w:rPr>
          <w:rFonts w:hint="eastAsia" w:ascii="宋体" w:hAnsi="宋体" w:eastAsia="宋体" w:cs="宋体"/>
          <w:b/>
          <w:bCs w:val="0"/>
          <w:color w:val="auto"/>
          <w:spacing w:val="5"/>
          <w:kern w:val="0"/>
          <w:sz w:val="24"/>
          <w:szCs w:val="24"/>
          <w:highlight w:val="none"/>
          <w:shd w:val="clear" w:fill="FFFFFF"/>
        </w:rPr>
        <w:t>法律依据数据编码</w:t>
      </w:r>
    </w:p>
    <w:p w14:paraId="2CFE6A74">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color w:val="auto"/>
          <w:kern w:val="2"/>
          <w:sz w:val="24"/>
          <w:szCs w:val="24"/>
          <w:highlight w:val="none"/>
          <w:lang w:val="en-US" w:eastAsia="zh-CN" w:bidi="ar"/>
        </w:rPr>
        <w:t>制定统一编码规范，对法律法规依据数据进行编码，确保入库法规数据唯一、可识别；能够与权力事项进行关系校对。</w:t>
      </w:r>
    </w:p>
    <w:p w14:paraId="3257C8D6">
      <w:pPr>
        <w:pStyle w:val="4"/>
        <w:keepNext w:val="0"/>
        <w:keepLines w:val="0"/>
        <w:pageBreakBefore w:val="0"/>
        <w:widowControl/>
        <w:numPr>
          <w:ilvl w:val="2"/>
          <w:numId w:val="3"/>
        </w:numPr>
        <w:suppressLineNumbers w:val="0"/>
        <w:tabs>
          <w:tab w:val="left" w:pos="0"/>
          <w:tab w:val="clear" w:pos="432"/>
        </w:tabs>
        <w:kinsoku/>
        <w:wordWrap/>
        <w:overflowPunct/>
        <w:topLinePunct w:val="0"/>
        <w:autoSpaceDE/>
        <w:autoSpaceDN/>
        <w:bidi w:val="0"/>
        <w:spacing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法治数据接入</w:t>
      </w:r>
    </w:p>
    <w:p w14:paraId="195C2F6B">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39" w:firstLineChars="175"/>
        <w:textAlignment w:val="auto"/>
        <w:rPr>
          <w:rFonts w:hint="eastAsia" w:ascii="宋体" w:hAnsi="宋体" w:eastAsia="宋体" w:cs="宋体"/>
          <w:b/>
          <w:bCs w:val="0"/>
          <w:color w:val="auto"/>
          <w:spacing w:val="5"/>
          <w:kern w:val="2"/>
          <w:sz w:val="24"/>
          <w:szCs w:val="24"/>
          <w:highlight w:val="none"/>
        </w:rPr>
      </w:pPr>
      <w:r>
        <w:rPr>
          <w:rFonts w:hint="eastAsia" w:ascii="宋体" w:hAnsi="宋体" w:eastAsia="宋体" w:cs="宋体"/>
          <w:b/>
          <w:bCs w:val="0"/>
          <w:color w:val="auto"/>
          <w:spacing w:val="5"/>
          <w:kern w:val="0"/>
          <w:sz w:val="24"/>
          <w:szCs w:val="24"/>
          <w:highlight w:val="none"/>
          <w:shd w:val="clear" w:fill="FFFFFF"/>
        </w:rPr>
        <w:t>省政策文件库数据对接</w:t>
      </w:r>
    </w:p>
    <w:p w14:paraId="3E4CE4A9">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color w:val="auto"/>
          <w:kern w:val="2"/>
          <w:sz w:val="24"/>
          <w:szCs w:val="24"/>
          <w:highlight w:val="none"/>
          <w:lang w:val="en-US" w:eastAsia="zh-CN" w:bidi="ar"/>
        </w:rPr>
        <w:t>省政策文件库中浙江省的地方性法规、地方性政府规章数据采集，批量数据自动采集后作为法规数据采集管理的一个固定数据源。数据范围包含省本级及11个地市。</w:t>
      </w:r>
    </w:p>
    <w:p w14:paraId="128EE5C8">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39" w:firstLineChars="175"/>
        <w:textAlignment w:val="auto"/>
        <w:rPr>
          <w:rFonts w:hint="eastAsia" w:ascii="宋体" w:hAnsi="宋体" w:eastAsia="宋体" w:cs="宋体"/>
          <w:b/>
          <w:bCs w:val="0"/>
          <w:color w:val="auto"/>
          <w:spacing w:val="5"/>
          <w:kern w:val="2"/>
          <w:sz w:val="24"/>
          <w:szCs w:val="24"/>
          <w:highlight w:val="none"/>
        </w:rPr>
      </w:pPr>
      <w:r>
        <w:rPr>
          <w:rFonts w:hint="eastAsia" w:ascii="宋体" w:hAnsi="宋体" w:eastAsia="宋体" w:cs="宋体"/>
          <w:b/>
          <w:bCs w:val="0"/>
          <w:color w:val="auto"/>
          <w:spacing w:val="5"/>
          <w:kern w:val="0"/>
          <w:sz w:val="24"/>
          <w:szCs w:val="24"/>
          <w:highlight w:val="none"/>
          <w:shd w:val="clear" w:fill="FFFFFF"/>
        </w:rPr>
        <w:t>司法厅规范性文件库数据对接</w:t>
      </w:r>
    </w:p>
    <w:p w14:paraId="20066ED9">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color w:val="auto"/>
          <w:kern w:val="2"/>
          <w:sz w:val="24"/>
          <w:szCs w:val="24"/>
          <w:highlight w:val="none"/>
          <w:lang w:val="en-US" w:eastAsia="zh-CN" w:bidi="ar"/>
        </w:rPr>
        <w:t>接入司法厅已建设的规范性文件库数据，通过数据治理工作，收录纳入法治知识中心，建设规范性文件专题库，作为法治知识查询中心模块的知识内容对外共享输出。数据范围包含省本级及11个地市。</w:t>
      </w:r>
    </w:p>
    <w:p w14:paraId="0C889D37">
      <w:pPr>
        <w:pStyle w:val="4"/>
        <w:keepNext w:val="0"/>
        <w:keepLines w:val="0"/>
        <w:pageBreakBefore w:val="0"/>
        <w:widowControl/>
        <w:numPr>
          <w:ilvl w:val="2"/>
          <w:numId w:val="3"/>
        </w:numPr>
        <w:suppressLineNumbers w:val="0"/>
        <w:tabs>
          <w:tab w:val="left" w:pos="0"/>
          <w:tab w:val="clear" w:pos="432"/>
        </w:tabs>
        <w:kinsoku/>
        <w:wordWrap/>
        <w:overflowPunct/>
        <w:topLinePunct w:val="0"/>
        <w:autoSpaceDE/>
        <w:autoSpaceDN/>
        <w:bidi w:val="0"/>
        <w:spacing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法规关系图谱</w:t>
      </w:r>
    </w:p>
    <w:p w14:paraId="48800103">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39" w:firstLineChars="175"/>
        <w:textAlignment w:val="auto"/>
        <w:rPr>
          <w:rFonts w:hint="eastAsia" w:ascii="宋体" w:hAnsi="宋体" w:eastAsia="宋体" w:cs="宋体"/>
          <w:b/>
          <w:bCs w:val="0"/>
          <w:color w:val="auto"/>
          <w:spacing w:val="5"/>
          <w:kern w:val="2"/>
          <w:sz w:val="24"/>
          <w:szCs w:val="24"/>
          <w:highlight w:val="none"/>
        </w:rPr>
      </w:pPr>
      <w:r>
        <w:rPr>
          <w:rFonts w:hint="eastAsia" w:ascii="宋体" w:hAnsi="宋体" w:eastAsia="宋体" w:cs="宋体"/>
          <w:b/>
          <w:bCs w:val="0"/>
          <w:color w:val="auto"/>
          <w:spacing w:val="5"/>
          <w:kern w:val="0"/>
          <w:sz w:val="24"/>
          <w:szCs w:val="24"/>
          <w:highlight w:val="none"/>
          <w:shd w:val="clear" w:fill="FFFFFF"/>
        </w:rPr>
        <w:t>法规与依据关联建模</w:t>
      </w:r>
    </w:p>
    <w:p w14:paraId="236D694A">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color w:val="auto"/>
          <w:kern w:val="2"/>
          <w:sz w:val="24"/>
          <w:szCs w:val="24"/>
          <w:highlight w:val="none"/>
          <w:lang w:val="en-US" w:eastAsia="zh-CN" w:bidi="ar"/>
        </w:rPr>
        <w:t>通过关联关系，找出法律法规与依据的对应关系，包含行政检查和行政处罚、强制以及其他依据。数据库中完成数据拉链表加工，下游支撑用户在法治知识查询中心统一查阅。</w:t>
      </w:r>
    </w:p>
    <w:p w14:paraId="679336D0">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39" w:firstLineChars="175"/>
        <w:textAlignment w:val="auto"/>
        <w:rPr>
          <w:rFonts w:hint="eastAsia" w:ascii="宋体" w:hAnsi="宋体" w:eastAsia="宋体" w:cs="宋体"/>
          <w:b/>
          <w:bCs w:val="0"/>
          <w:color w:val="auto"/>
          <w:spacing w:val="5"/>
          <w:kern w:val="2"/>
          <w:sz w:val="24"/>
          <w:szCs w:val="24"/>
          <w:highlight w:val="none"/>
        </w:rPr>
      </w:pPr>
      <w:r>
        <w:rPr>
          <w:rFonts w:hint="eastAsia" w:ascii="宋体" w:hAnsi="宋体" w:eastAsia="宋体" w:cs="宋体"/>
          <w:b/>
          <w:bCs w:val="0"/>
          <w:color w:val="auto"/>
          <w:spacing w:val="5"/>
          <w:kern w:val="0"/>
          <w:sz w:val="24"/>
          <w:szCs w:val="24"/>
          <w:highlight w:val="none"/>
          <w:shd w:val="clear" w:fill="FFFFFF"/>
        </w:rPr>
        <w:t>依据与事项关联建模</w:t>
      </w:r>
    </w:p>
    <w:p w14:paraId="4482AE62">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color w:val="auto"/>
          <w:kern w:val="2"/>
          <w:sz w:val="24"/>
          <w:szCs w:val="24"/>
          <w:highlight w:val="none"/>
          <w:lang w:val="en-US" w:eastAsia="zh-CN" w:bidi="ar"/>
        </w:rPr>
        <w:t>通过关联关系，找出法律依据与事项的对应关系，包含行政检查和行政处罚事项。数据库中完成数据拉链表加工，下游支撑用户在法治知识查询中心统一查阅。</w:t>
      </w:r>
    </w:p>
    <w:p w14:paraId="4F215D36">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39" w:firstLineChars="175"/>
        <w:textAlignment w:val="auto"/>
        <w:rPr>
          <w:rFonts w:hint="eastAsia" w:ascii="宋体" w:hAnsi="宋体" w:eastAsia="宋体" w:cs="宋体"/>
          <w:b/>
          <w:bCs w:val="0"/>
          <w:color w:val="auto"/>
          <w:spacing w:val="5"/>
          <w:kern w:val="2"/>
          <w:sz w:val="24"/>
          <w:szCs w:val="24"/>
          <w:highlight w:val="none"/>
        </w:rPr>
      </w:pPr>
      <w:r>
        <w:rPr>
          <w:rFonts w:hint="eastAsia" w:ascii="宋体" w:hAnsi="宋体" w:eastAsia="宋体" w:cs="宋体"/>
          <w:b/>
          <w:bCs w:val="0"/>
          <w:color w:val="auto"/>
          <w:spacing w:val="5"/>
          <w:kern w:val="0"/>
          <w:sz w:val="24"/>
          <w:szCs w:val="24"/>
          <w:highlight w:val="none"/>
          <w:shd w:val="clear" w:fill="FFFFFF"/>
        </w:rPr>
        <w:t>法规与规范性文件关联建模</w:t>
      </w:r>
    </w:p>
    <w:p w14:paraId="7206225C">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color w:val="auto"/>
          <w:kern w:val="2"/>
          <w:sz w:val="24"/>
          <w:szCs w:val="24"/>
          <w:highlight w:val="none"/>
          <w:lang w:val="en-US" w:eastAsia="zh-CN" w:bidi="ar"/>
        </w:rPr>
        <w:t>找出法律法规与规范性文件的对应关系，将规范性文件与法规的标题层级引用关系识别并维护其数据。支撑下游法治知识查询中心统一查阅和司法行政其他业务场景适用。</w:t>
      </w:r>
    </w:p>
    <w:p w14:paraId="6DE144F2">
      <w:pPr>
        <w:pStyle w:val="4"/>
        <w:keepNext w:val="0"/>
        <w:keepLines w:val="0"/>
        <w:pageBreakBefore w:val="0"/>
        <w:widowControl/>
        <w:numPr>
          <w:ilvl w:val="2"/>
          <w:numId w:val="3"/>
        </w:numPr>
        <w:suppressLineNumbers w:val="0"/>
        <w:tabs>
          <w:tab w:val="left" w:pos="0"/>
          <w:tab w:val="clear" w:pos="432"/>
        </w:tabs>
        <w:kinsoku/>
        <w:wordWrap/>
        <w:overflowPunct/>
        <w:topLinePunct w:val="0"/>
        <w:autoSpaceDE/>
        <w:autoSpaceDN/>
        <w:bidi w:val="0"/>
        <w:spacing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法律法规动态拉链设计</w:t>
      </w:r>
    </w:p>
    <w:p w14:paraId="78F77319">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39" w:firstLineChars="175"/>
        <w:textAlignment w:val="auto"/>
        <w:rPr>
          <w:rFonts w:hint="eastAsia" w:ascii="宋体" w:hAnsi="宋体" w:eastAsia="宋体" w:cs="宋体"/>
          <w:b/>
          <w:bCs w:val="0"/>
          <w:color w:val="auto"/>
          <w:spacing w:val="5"/>
          <w:kern w:val="2"/>
          <w:sz w:val="24"/>
          <w:szCs w:val="24"/>
          <w:highlight w:val="none"/>
        </w:rPr>
      </w:pPr>
      <w:r>
        <w:rPr>
          <w:rFonts w:hint="eastAsia" w:ascii="宋体" w:hAnsi="宋体" w:eastAsia="宋体" w:cs="宋体"/>
          <w:b/>
          <w:bCs w:val="0"/>
          <w:color w:val="auto"/>
          <w:spacing w:val="5"/>
          <w:kern w:val="0"/>
          <w:sz w:val="24"/>
          <w:szCs w:val="24"/>
          <w:highlight w:val="none"/>
          <w:shd w:val="clear" w:fill="FFFFFF"/>
        </w:rPr>
        <w:t>法律法规动态拉链设计</w:t>
      </w:r>
    </w:p>
    <w:p w14:paraId="3F332C30">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color w:val="auto"/>
          <w:kern w:val="2"/>
          <w:sz w:val="24"/>
          <w:szCs w:val="24"/>
          <w:highlight w:val="none"/>
          <w:lang w:val="en-US" w:eastAsia="zh-CN" w:bidi="ar"/>
        </w:rPr>
        <w:t>通过拉链设计，记录法律法规每次动态调整过程，每次调整的生效时间、失效时间，可追溯某个时间点的所有在用的法律依据数据。</w:t>
      </w:r>
    </w:p>
    <w:p w14:paraId="4E102914">
      <w:pPr>
        <w:pStyle w:val="4"/>
        <w:keepNext w:val="0"/>
        <w:keepLines w:val="0"/>
        <w:pageBreakBefore w:val="0"/>
        <w:widowControl/>
        <w:numPr>
          <w:ilvl w:val="2"/>
          <w:numId w:val="3"/>
        </w:numPr>
        <w:suppressLineNumbers w:val="0"/>
        <w:tabs>
          <w:tab w:val="left" w:pos="0"/>
          <w:tab w:val="clear" w:pos="432"/>
        </w:tabs>
        <w:kinsoku/>
        <w:wordWrap/>
        <w:overflowPunct/>
        <w:topLinePunct w:val="0"/>
        <w:autoSpaceDE/>
        <w:autoSpaceDN/>
        <w:bidi w:val="0"/>
        <w:spacing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监管依据动态拉链设计</w:t>
      </w:r>
    </w:p>
    <w:p w14:paraId="5FCD02DB">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39" w:firstLineChars="175"/>
        <w:textAlignment w:val="auto"/>
        <w:rPr>
          <w:rFonts w:hint="eastAsia" w:ascii="宋体" w:hAnsi="宋体" w:eastAsia="宋体" w:cs="宋体"/>
          <w:b/>
          <w:bCs w:val="0"/>
          <w:color w:val="auto"/>
          <w:spacing w:val="5"/>
          <w:kern w:val="2"/>
          <w:sz w:val="24"/>
          <w:szCs w:val="24"/>
          <w:highlight w:val="none"/>
        </w:rPr>
      </w:pPr>
      <w:r>
        <w:rPr>
          <w:rFonts w:hint="eastAsia" w:ascii="宋体" w:hAnsi="宋体" w:eastAsia="宋体" w:cs="宋体"/>
          <w:b/>
          <w:bCs w:val="0"/>
          <w:color w:val="auto"/>
          <w:spacing w:val="5"/>
          <w:kern w:val="0"/>
          <w:sz w:val="24"/>
          <w:szCs w:val="24"/>
          <w:highlight w:val="none"/>
          <w:shd w:val="clear" w:fill="FFFFFF"/>
        </w:rPr>
        <w:t>检查</w:t>
      </w:r>
    </w:p>
    <w:p w14:paraId="68AC020A">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color w:val="auto"/>
          <w:kern w:val="2"/>
          <w:sz w:val="24"/>
          <w:szCs w:val="24"/>
          <w:highlight w:val="none"/>
          <w:lang w:val="en-US" w:eastAsia="zh-CN" w:bidi="ar"/>
        </w:rPr>
        <w:t>通过拉链设计，记录检查依据每次动态调整过程，每次调整的生效时间、失效时间，可追溯某个时间点的所有在用的检查依据数据。</w:t>
      </w:r>
    </w:p>
    <w:p w14:paraId="50D48E9E">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处罚</w:t>
      </w:r>
    </w:p>
    <w:p w14:paraId="7437F836">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color w:val="auto"/>
          <w:kern w:val="2"/>
          <w:sz w:val="24"/>
          <w:szCs w:val="24"/>
          <w:highlight w:val="none"/>
          <w:lang w:val="en-US" w:eastAsia="zh-CN" w:bidi="ar"/>
        </w:rPr>
        <w:t>通过拉链设计，记录处罚依据每次动态调整过程，每次调整的生效时间、失效时间，可追溯某个时间点的所有在用的处罚依据数据。</w:t>
      </w:r>
    </w:p>
    <w:p w14:paraId="12189C19">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强制</w:t>
      </w:r>
    </w:p>
    <w:p w14:paraId="20623925">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color w:val="auto"/>
          <w:kern w:val="2"/>
          <w:sz w:val="24"/>
          <w:szCs w:val="24"/>
          <w:highlight w:val="none"/>
          <w:lang w:val="en-US" w:eastAsia="zh-CN" w:bidi="ar"/>
        </w:rPr>
        <w:t>通过拉链设计，记录强制依据每次动态调整过程，每次调整的生效时间、失效时间，可追溯某个时间点的所有在用的强制依据数据。</w:t>
      </w:r>
    </w:p>
    <w:p w14:paraId="574454C3">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其他类监管</w:t>
      </w:r>
    </w:p>
    <w:p w14:paraId="6C5F3C83">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color w:val="auto"/>
          <w:kern w:val="2"/>
          <w:sz w:val="24"/>
          <w:szCs w:val="24"/>
          <w:highlight w:val="none"/>
          <w:lang w:val="en-US" w:eastAsia="zh-CN" w:bidi="ar"/>
        </w:rPr>
        <w:t>通过拉链设计，记录其他类监管依据每次动态调整过程，每次调整的生效时间、失效时间，可追溯某个时间点的所有在用的其他类监管依据数据。</w:t>
      </w:r>
    </w:p>
    <w:p w14:paraId="0C2D801D">
      <w:pPr>
        <w:pStyle w:val="4"/>
        <w:keepNext w:val="0"/>
        <w:keepLines w:val="0"/>
        <w:pageBreakBefore w:val="0"/>
        <w:widowControl/>
        <w:numPr>
          <w:ilvl w:val="2"/>
          <w:numId w:val="3"/>
        </w:numPr>
        <w:suppressLineNumbers w:val="0"/>
        <w:tabs>
          <w:tab w:val="left" w:pos="0"/>
          <w:tab w:val="clear" w:pos="432"/>
        </w:tabs>
        <w:kinsoku/>
        <w:wordWrap/>
        <w:overflowPunct/>
        <w:topLinePunct w:val="0"/>
        <w:autoSpaceDE/>
        <w:autoSpaceDN/>
        <w:bidi w:val="0"/>
        <w:spacing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法律法规与依据、事项关系动态拉链设计</w:t>
      </w:r>
    </w:p>
    <w:p w14:paraId="63C6548E">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color w:val="auto"/>
          <w:kern w:val="2"/>
          <w:sz w:val="24"/>
          <w:szCs w:val="24"/>
          <w:highlight w:val="none"/>
          <w:lang w:val="en-US" w:eastAsia="zh-CN" w:bidi="ar"/>
        </w:rPr>
        <w:t>通过拉链设计，记录法律法规与依据、事项每个时间点的对应关系，关系的生效时间、失效时间，可追溯某个时间点的所有在用的法律法规与依据、事项数据。</w:t>
      </w:r>
    </w:p>
    <w:p w14:paraId="655750D2">
      <w:pPr>
        <w:pStyle w:val="4"/>
        <w:keepNext w:val="0"/>
        <w:keepLines w:val="0"/>
        <w:pageBreakBefore w:val="0"/>
        <w:widowControl/>
        <w:numPr>
          <w:ilvl w:val="2"/>
          <w:numId w:val="3"/>
        </w:numPr>
        <w:suppressLineNumbers w:val="0"/>
        <w:tabs>
          <w:tab w:val="left" w:pos="0"/>
          <w:tab w:val="clear" w:pos="432"/>
        </w:tabs>
        <w:kinsoku/>
        <w:wordWrap/>
        <w:overflowPunct/>
        <w:topLinePunct w:val="0"/>
        <w:autoSpaceDE/>
        <w:autoSpaceDN/>
        <w:bidi w:val="0"/>
        <w:spacing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建模建库</w:t>
      </w:r>
    </w:p>
    <w:p w14:paraId="5BC01A1F">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39" w:firstLineChars="175"/>
        <w:textAlignment w:val="auto"/>
        <w:rPr>
          <w:rFonts w:hint="eastAsia" w:ascii="宋体" w:hAnsi="宋体" w:eastAsia="宋体" w:cs="宋体"/>
          <w:b/>
          <w:bCs w:val="0"/>
          <w:color w:val="auto"/>
          <w:spacing w:val="5"/>
          <w:kern w:val="2"/>
          <w:sz w:val="24"/>
          <w:szCs w:val="24"/>
          <w:highlight w:val="none"/>
        </w:rPr>
      </w:pPr>
      <w:r>
        <w:rPr>
          <w:rFonts w:hint="eastAsia" w:ascii="宋体" w:hAnsi="宋体" w:eastAsia="宋体" w:cs="宋体"/>
          <w:b/>
          <w:bCs w:val="0"/>
          <w:color w:val="auto"/>
          <w:spacing w:val="5"/>
          <w:kern w:val="0"/>
          <w:sz w:val="24"/>
          <w:szCs w:val="24"/>
          <w:highlight w:val="none"/>
          <w:shd w:val="clear" w:fill="FFFFFF"/>
        </w:rPr>
        <w:t>事项数据模型</w:t>
      </w:r>
    </w:p>
    <w:p w14:paraId="5031ACA4">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color w:val="auto"/>
          <w:kern w:val="2"/>
          <w:sz w:val="24"/>
          <w:szCs w:val="24"/>
          <w:highlight w:val="none"/>
          <w:lang w:val="en-US" w:eastAsia="zh-CN" w:bidi="ar"/>
        </w:rPr>
        <w:t>经过业务调研、数据探查、需求分析，完成事项数据模型的设计开发。</w:t>
      </w:r>
    </w:p>
    <w:p w14:paraId="16BE13F1">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39" w:firstLineChars="175"/>
        <w:textAlignment w:val="auto"/>
        <w:rPr>
          <w:rFonts w:hint="eastAsia" w:ascii="宋体" w:hAnsi="宋体" w:eastAsia="宋体" w:cs="宋体"/>
          <w:b/>
          <w:bCs w:val="0"/>
          <w:color w:val="auto"/>
          <w:spacing w:val="5"/>
          <w:kern w:val="2"/>
          <w:sz w:val="24"/>
          <w:szCs w:val="24"/>
          <w:highlight w:val="none"/>
        </w:rPr>
      </w:pPr>
      <w:r>
        <w:rPr>
          <w:rFonts w:hint="eastAsia" w:ascii="宋体" w:hAnsi="宋体" w:eastAsia="宋体" w:cs="宋体"/>
          <w:b/>
          <w:bCs w:val="0"/>
          <w:color w:val="auto"/>
          <w:spacing w:val="5"/>
          <w:kern w:val="0"/>
          <w:sz w:val="24"/>
          <w:szCs w:val="24"/>
          <w:highlight w:val="none"/>
          <w:shd w:val="clear" w:fill="FFFFFF"/>
        </w:rPr>
        <w:t>法律法规数据模型</w:t>
      </w:r>
    </w:p>
    <w:p w14:paraId="3165B3F2">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color w:val="auto"/>
          <w:kern w:val="2"/>
          <w:sz w:val="24"/>
          <w:szCs w:val="24"/>
          <w:highlight w:val="none"/>
          <w:lang w:val="en-US" w:eastAsia="zh-CN" w:bidi="ar"/>
        </w:rPr>
        <w:t>经过业务调研、数据探查、需求分析，完成法律法规数据模型的设计开发。</w:t>
      </w:r>
    </w:p>
    <w:p w14:paraId="10979752">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39" w:firstLineChars="175"/>
        <w:textAlignment w:val="auto"/>
        <w:rPr>
          <w:rFonts w:hint="eastAsia" w:ascii="宋体" w:hAnsi="宋体" w:eastAsia="宋体" w:cs="宋体"/>
          <w:b/>
          <w:bCs w:val="0"/>
          <w:color w:val="auto"/>
          <w:spacing w:val="5"/>
          <w:kern w:val="2"/>
          <w:sz w:val="24"/>
          <w:szCs w:val="24"/>
          <w:highlight w:val="none"/>
        </w:rPr>
      </w:pPr>
      <w:r>
        <w:rPr>
          <w:rFonts w:hint="eastAsia" w:ascii="宋体" w:hAnsi="宋体" w:eastAsia="宋体" w:cs="宋体"/>
          <w:b/>
          <w:bCs w:val="0"/>
          <w:color w:val="auto"/>
          <w:spacing w:val="5"/>
          <w:kern w:val="0"/>
          <w:sz w:val="24"/>
          <w:szCs w:val="24"/>
          <w:highlight w:val="none"/>
          <w:shd w:val="clear" w:fill="FFFFFF"/>
        </w:rPr>
        <w:t>依据数据模型</w:t>
      </w:r>
    </w:p>
    <w:p w14:paraId="68897BF1">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spacing w:val="5"/>
          <w:kern w:val="0"/>
          <w:sz w:val="24"/>
          <w:szCs w:val="24"/>
          <w:highlight w:val="none"/>
          <w:shd w:val="clear" w:fill="FFFFFF"/>
        </w:rPr>
      </w:pPr>
      <w:r>
        <w:rPr>
          <w:rFonts w:hint="eastAsia" w:ascii="宋体" w:hAnsi="宋体" w:eastAsia="宋体" w:cs="宋体"/>
          <w:snapToGrid/>
          <w:color w:val="auto"/>
          <w:kern w:val="2"/>
          <w:sz w:val="24"/>
          <w:szCs w:val="24"/>
          <w:highlight w:val="none"/>
          <w:lang w:val="en-US" w:eastAsia="zh-CN" w:bidi="ar"/>
        </w:rPr>
        <w:t>经过业务调研、数据探查、需求分析，完成监管依据数据模型的设计开发。</w:t>
      </w:r>
    </w:p>
    <w:p w14:paraId="206A7A92">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39" w:firstLineChars="175"/>
        <w:textAlignment w:val="auto"/>
        <w:rPr>
          <w:rFonts w:hint="eastAsia" w:ascii="宋体" w:hAnsi="宋体" w:eastAsia="宋体" w:cs="宋体"/>
          <w:b/>
          <w:bCs w:val="0"/>
          <w:color w:val="auto"/>
          <w:spacing w:val="5"/>
          <w:kern w:val="2"/>
          <w:sz w:val="24"/>
          <w:szCs w:val="24"/>
          <w:highlight w:val="none"/>
        </w:rPr>
      </w:pPr>
      <w:r>
        <w:rPr>
          <w:rFonts w:hint="eastAsia" w:ascii="宋体" w:hAnsi="宋体" w:eastAsia="宋体" w:cs="宋体"/>
          <w:b/>
          <w:bCs w:val="0"/>
          <w:color w:val="auto"/>
          <w:spacing w:val="5"/>
          <w:kern w:val="0"/>
          <w:sz w:val="24"/>
          <w:szCs w:val="24"/>
          <w:highlight w:val="none"/>
          <w:shd w:val="clear" w:fill="FFFFFF"/>
        </w:rPr>
        <w:t>规范性文件模型</w:t>
      </w:r>
    </w:p>
    <w:p w14:paraId="187C627B">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spacing w:val="5"/>
          <w:kern w:val="2"/>
          <w:sz w:val="24"/>
          <w:szCs w:val="24"/>
          <w:highlight w:val="none"/>
        </w:rPr>
      </w:pPr>
      <w:r>
        <w:rPr>
          <w:rFonts w:hint="eastAsia" w:ascii="宋体" w:hAnsi="宋体" w:eastAsia="宋体" w:cs="宋体"/>
          <w:b w:val="0"/>
          <w:snapToGrid/>
          <w:color w:val="auto"/>
          <w:kern w:val="2"/>
          <w:sz w:val="24"/>
          <w:szCs w:val="24"/>
          <w:highlight w:val="none"/>
          <w:lang w:val="en-US" w:eastAsia="zh-CN" w:bidi="ar"/>
        </w:rPr>
        <w:t>经过业务调研、数据探查、需求分析，完成规范性文件数据模型的设计开发。</w:t>
      </w:r>
    </w:p>
    <w:p w14:paraId="590F69D4">
      <w:pPr>
        <w:pStyle w:val="4"/>
        <w:keepNext w:val="0"/>
        <w:keepLines w:val="0"/>
        <w:pageBreakBefore w:val="0"/>
        <w:widowControl/>
        <w:numPr>
          <w:ilvl w:val="2"/>
          <w:numId w:val="3"/>
        </w:numPr>
        <w:suppressLineNumbers w:val="0"/>
        <w:tabs>
          <w:tab w:val="left" w:pos="0"/>
          <w:tab w:val="clear" w:pos="432"/>
        </w:tabs>
        <w:kinsoku/>
        <w:wordWrap/>
        <w:overflowPunct/>
        <w:topLinePunct w:val="0"/>
        <w:autoSpaceDE/>
        <w:autoSpaceDN/>
        <w:bidi w:val="0"/>
        <w:spacing w:line="360" w:lineRule="auto"/>
        <w:ind w:left="0" w:leftChars="0" w:firstLine="439" w:firstLineChars="175"/>
        <w:textAlignment w:val="auto"/>
        <w:rPr>
          <w:rFonts w:hint="eastAsia" w:ascii="宋体" w:hAnsi="宋体" w:eastAsia="宋体" w:cs="宋体"/>
          <w:b/>
          <w:bCs w:val="0"/>
          <w:color w:val="auto"/>
          <w:spacing w:val="5"/>
          <w:kern w:val="2"/>
          <w:sz w:val="24"/>
          <w:szCs w:val="24"/>
          <w:highlight w:val="none"/>
        </w:rPr>
      </w:pPr>
      <w:r>
        <w:rPr>
          <w:rFonts w:hint="eastAsia" w:ascii="宋体" w:hAnsi="宋体" w:eastAsia="宋体" w:cs="宋体"/>
          <w:b/>
          <w:bCs w:val="0"/>
          <w:color w:val="auto"/>
          <w:spacing w:val="5"/>
          <w:kern w:val="0"/>
          <w:sz w:val="24"/>
          <w:szCs w:val="24"/>
          <w:highlight w:val="none"/>
          <w:shd w:val="clear" w:fill="FFFFFF"/>
        </w:rPr>
        <w:t>数据共享</w:t>
      </w:r>
    </w:p>
    <w:p w14:paraId="6907DDA4">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color w:val="auto"/>
          <w:kern w:val="2"/>
          <w:sz w:val="24"/>
          <w:szCs w:val="24"/>
          <w:highlight w:val="none"/>
          <w:lang w:val="en-US" w:eastAsia="zh-CN" w:bidi="ar"/>
        </w:rPr>
        <w:t>将开发完成的审查、备案、其他等数据模型资产进行共享。</w:t>
      </w:r>
    </w:p>
    <w:p w14:paraId="092DFDC5">
      <w:pPr>
        <w:pStyle w:val="4"/>
        <w:keepNext w:val="0"/>
        <w:keepLines w:val="0"/>
        <w:pageBreakBefore w:val="0"/>
        <w:widowControl/>
        <w:numPr>
          <w:ilvl w:val="2"/>
          <w:numId w:val="3"/>
        </w:numPr>
        <w:suppressLineNumbers w:val="0"/>
        <w:tabs>
          <w:tab w:val="left" w:pos="0"/>
          <w:tab w:val="clear" w:pos="432"/>
        </w:tabs>
        <w:kinsoku/>
        <w:wordWrap/>
        <w:overflowPunct/>
        <w:topLinePunct w:val="0"/>
        <w:autoSpaceDE/>
        <w:autoSpaceDN/>
        <w:bidi w:val="0"/>
        <w:spacing w:line="360" w:lineRule="auto"/>
        <w:ind w:left="0" w:leftChars="0" w:firstLine="439" w:firstLineChars="175"/>
        <w:textAlignment w:val="auto"/>
        <w:rPr>
          <w:rFonts w:hint="eastAsia" w:ascii="宋体" w:hAnsi="宋体" w:eastAsia="宋体" w:cs="宋体"/>
          <w:b/>
          <w:bCs w:val="0"/>
          <w:color w:val="auto"/>
          <w:spacing w:val="5"/>
          <w:kern w:val="2"/>
          <w:sz w:val="24"/>
          <w:szCs w:val="24"/>
          <w:highlight w:val="none"/>
        </w:rPr>
      </w:pPr>
      <w:r>
        <w:rPr>
          <w:rFonts w:hint="eastAsia" w:ascii="宋体" w:hAnsi="宋体" w:eastAsia="宋体" w:cs="宋体"/>
          <w:b/>
          <w:bCs w:val="0"/>
          <w:color w:val="auto"/>
          <w:spacing w:val="5"/>
          <w:kern w:val="0"/>
          <w:sz w:val="24"/>
          <w:szCs w:val="24"/>
          <w:highlight w:val="none"/>
          <w:shd w:val="clear" w:fill="FFFFFF"/>
        </w:rPr>
        <w:t>数据回流</w:t>
      </w:r>
    </w:p>
    <w:p w14:paraId="73023A73">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color w:val="auto"/>
          <w:kern w:val="2"/>
          <w:sz w:val="24"/>
          <w:szCs w:val="24"/>
          <w:highlight w:val="none"/>
          <w:lang w:val="en-US" w:eastAsia="zh-CN" w:bidi="ar"/>
        </w:rPr>
        <w:t>对接部门审查、备案等数据回流需求，提供数据申请。</w:t>
      </w:r>
    </w:p>
    <w:p w14:paraId="473E62AC">
      <w:pPr>
        <w:pStyle w:val="4"/>
        <w:keepNext w:val="0"/>
        <w:keepLines w:val="0"/>
        <w:pageBreakBefore w:val="0"/>
        <w:widowControl/>
        <w:numPr>
          <w:ilvl w:val="2"/>
          <w:numId w:val="3"/>
        </w:numPr>
        <w:suppressLineNumbers w:val="0"/>
        <w:tabs>
          <w:tab w:val="left" w:pos="0"/>
          <w:tab w:val="clear" w:pos="432"/>
        </w:tabs>
        <w:kinsoku/>
        <w:wordWrap/>
        <w:overflowPunct/>
        <w:topLinePunct w:val="0"/>
        <w:autoSpaceDE/>
        <w:autoSpaceDN/>
        <w:bidi w:val="0"/>
        <w:spacing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法治知识数据服务</w:t>
      </w:r>
    </w:p>
    <w:p w14:paraId="3AA3FE13">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39" w:firstLineChars="175"/>
        <w:textAlignment w:val="auto"/>
        <w:rPr>
          <w:rFonts w:hint="eastAsia" w:ascii="宋体" w:hAnsi="宋体" w:eastAsia="宋体" w:cs="宋体"/>
          <w:b/>
          <w:bCs w:val="0"/>
          <w:color w:val="auto"/>
          <w:spacing w:val="5"/>
          <w:kern w:val="2"/>
          <w:sz w:val="24"/>
          <w:szCs w:val="24"/>
          <w:highlight w:val="none"/>
        </w:rPr>
      </w:pPr>
      <w:r>
        <w:rPr>
          <w:rFonts w:hint="eastAsia" w:ascii="宋体" w:hAnsi="宋体" w:eastAsia="宋体" w:cs="宋体"/>
          <w:b/>
          <w:bCs w:val="0"/>
          <w:color w:val="auto"/>
          <w:spacing w:val="5"/>
          <w:kern w:val="0"/>
          <w:sz w:val="24"/>
          <w:szCs w:val="24"/>
          <w:highlight w:val="none"/>
          <w:shd w:val="clear" w:fill="FFFFFF"/>
        </w:rPr>
        <w:t>法规数据服务</w:t>
      </w:r>
    </w:p>
    <w:p w14:paraId="44FEEB8E">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color w:val="auto"/>
          <w:kern w:val="2"/>
          <w:sz w:val="24"/>
          <w:szCs w:val="24"/>
          <w:highlight w:val="none"/>
          <w:lang w:val="en-US" w:eastAsia="zh-CN" w:bidi="ar"/>
        </w:rPr>
        <w:t>面向司法行政（全省行政单位）（如通过IRS渠道），提供法规数据批量查询接口。支持通过该接口获取法规的正文条款、历史沿革、引用关系等数据。</w:t>
      </w:r>
    </w:p>
    <w:p w14:paraId="612347E0">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39" w:firstLineChars="175"/>
        <w:textAlignment w:val="auto"/>
        <w:rPr>
          <w:rFonts w:hint="eastAsia" w:ascii="宋体" w:hAnsi="宋体" w:eastAsia="宋体" w:cs="宋体"/>
          <w:b/>
          <w:bCs w:val="0"/>
          <w:color w:val="auto"/>
          <w:spacing w:val="5"/>
          <w:kern w:val="0"/>
          <w:sz w:val="24"/>
          <w:szCs w:val="24"/>
          <w:highlight w:val="none"/>
          <w:shd w:val="clear" w:fill="FFFFFF"/>
        </w:rPr>
      </w:pPr>
      <w:r>
        <w:rPr>
          <w:rFonts w:hint="eastAsia" w:ascii="宋体" w:hAnsi="宋体" w:eastAsia="宋体" w:cs="宋体"/>
          <w:b/>
          <w:bCs w:val="0"/>
          <w:color w:val="auto"/>
          <w:spacing w:val="5"/>
          <w:kern w:val="0"/>
          <w:sz w:val="24"/>
          <w:szCs w:val="24"/>
          <w:highlight w:val="none"/>
          <w:shd w:val="clear" w:fill="FFFFFF"/>
        </w:rPr>
        <w:t>法律依据数据服务</w:t>
      </w:r>
    </w:p>
    <w:p w14:paraId="3F6370D0">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color w:val="auto"/>
          <w:kern w:val="2"/>
          <w:sz w:val="24"/>
          <w:szCs w:val="24"/>
          <w:highlight w:val="none"/>
          <w:lang w:val="en-US" w:eastAsia="zh-CN" w:bidi="ar"/>
        </w:rPr>
        <w:t>面向行政单位，提供法律依据数据批量查询接口和依据动态更新预警消息接口。接口信息将包含依据的基础要素、法律正文内容以及依据的历史变迁信息查询。</w:t>
      </w:r>
    </w:p>
    <w:p w14:paraId="59522568">
      <w:pPr>
        <w:pStyle w:val="3"/>
        <w:pageBreakBefore w:val="0"/>
        <w:widowControl/>
        <w:numPr>
          <w:ilvl w:val="1"/>
          <w:numId w:val="3"/>
        </w:numPr>
        <w:tabs>
          <w:tab w:val="left" w:pos="0"/>
          <w:tab w:val="clear" w:pos="432"/>
        </w:tabs>
        <w:kinsoku/>
        <w:wordWrap/>
        <w:overflowPunct/>
        <w:topLinePunct w:val="0"/>
        <w:autoSpaceDE/>
        <w:autoSpaceDN/>
        <w:bidi w:val="0"/>
        <w:spacing w:before="0" w:after="0" w:line="360" w:lineRule="auto"/>
        <w:ind w:left="0" w:leftChars="0" w:firstLine="422" w:firstLineChars="175"/>
        <w:textAlignment w:val="auto"/>
        <w:rPr>
          <w:rFonts w:hint="eastAsia" w:ascii="宋体" w:hAnsi="宋体" w:eastAsia="宋体" w:cs="宋体"/>
          <w:b/>
          <w:bCs/>
          <w:color w:val="auto"/>
          <w:kern w:val="44"/>
          <w:sz w:val="24"/>
          <w:szCs w:val="24"/>
          <w:highlight w:val="none"/>
        </w:rPr>
      </w:pPr>
      <w:r>
        <w:rPr>
          <w:rFonts w:hint="eastAsia" w:ascii="宋体" w:hAnsi="宋体" w:eastAsia="宋体" w:cs="宋体"/>
          <w:b/>
          <w:bCs/>
          <w:color w:val="auto"/>
          <w:kern w:val="44"/>
          <w:sz w:val="24"/>
          <w:szCs w:val="24"/>
          <w:highlight w:val="none"/>
        </w:rPr>
        <w:t>法治知识查询前台</w:t>
      </w:r>
    </w:p>
    <w:p w14:paraId="49141E01">
      <w:pPr>
        <w:pStyle w:val="4"/>
        <w:keepNext w:val="0"/>
        <w:keepLines w:val="0"/>
        <w:pageBreakBefore w:val="0"/>
        <w:widowControl/>
        <w:numPr>
          <w:ilvl w:val="2"/>
          <w:numId w:val="3"/>
        </w:numPr>
        <w:suppressLineNumbers w:val="0"/>
        <w:tabs>
          <w:tab w:val="left" w:pos="0"/>
          <w:tab w:val="clear" w:pos="432"/>
        </w:tabs>
        <w:kinsoku/>
        <w:wordWrap/>
        <w:overflowPunct/>
        <w:topLinePunct w:val="0"/>
        <w:autoSpaceDE/>
        <w:autoSpaceDN/>
        <w:bidi w:val="0"/>
        <w:spacing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法规详情</w:t>
      </w:r>
    </w:p>
    <w:p w14:paraId="2FC1158B">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39" w:firstLineChars="175"/>
        <w:textAlignment w:val="auto"/>
        <w:rPr>
          <w:rFonts w:hint="eastAsia" w:ascii="宋体" w:hAnsi="宋体" w:eastAsia="宋体" w:cs="宋体"/>
          <w:b/>
          <w:bCs w:val="0"/>
          <w:color w:val="auto"/>
          <w:spacing w:val="5"/>
          <w:kern w:val="2"/>
          <w:sz w:val="24"/>
          <w:szCs w:val="24"/>
          <w:highlight w:val="none"/>
        </w:rPr>
      </w:pPr>
      <w:r>
        <w:rPr>
          <w:rFonts w:hint="eastAsia" w:ascii="宋体" w:hAnsi="宋体" w:eastAsia="宋体" w:cs="宋体"/>
          <w:b/>
          <w:bCs w:val="0"/>
          <w:color w:val="auto"/>
          <w:spacing w:val="5"/>
          <w:kern w:val="0"/>
          <w:sz w:val="24"/>
          <w:szCs w:val="24"/>
          <w:highlight w:val="none"/>
          <w:shd w:val="clear" w:fill="FFFFFF"/>
        </w:rPr>
        <w:t>历史沿革</w:t>
      </w:r>
    </w:p>
    <w:p w14:paraId="6B0C85BC">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color w:val="auto"/>
          <w:kern w:val="2"/>
          <w:sz w:val="24"/>
          <w:szCs w:val="24"/>
          <w:highlight w:val="none"/>
          <w:lang w:val="en-US" w:eastAsia="zh-CN" w:bidi="ar"/>
        </w:rPr>
        <w:t>以时间轴形式展示单部法规的颁布、修订、修正的历史沿革数据，可展示不同版本法规的基础要素，如标题、公布/施行日期。</w:t>
      </w:r>
    </w:p>
    <w:p w14:paraId="233FB634">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39" w:firstLineChars="175"/>
        <w:textAlignment w:val="auto"/>
        <w:rPr>
          <w:rFonts w:hint="eastAsia" w:ascii="宋体" w:hAnsi="宋体" w:eastAsia="宋体" w:cs="宋体"/>
          <w:b/>
          <w:bCs w:val="0"/>
          <w:color w:val="auto"/>
          <w:spacing w:val="5"/>
          <w:kern w:val="2"/>
          <w:sz w:val="24"/>
          <w:szCs w:val="24"/>
          <w:highlight w:val="none"/>
        </w:rPr>
      </w:pPr>
      <w:r>
        <w:rPr>
          <w:rFonts w:hint="eastAsia" w:ascii="宋体" w:hAnsi="宋体" w:eastAsia="宋体" w:cs="宋体"/>
          <w:b/>
          <w:bCs w:val="0"/>
          <w:color w:val="auto"/>
          <w:spacing w:val="5"/>
          <w:kern w:val="0"/>
          <w:sz w:val="24"/>
          <w:szCs w:val="24"/>
          <w:highlight w:val="none"/>
          <w:shd w:val="clear" w:fill="FFFFFF"/>
        </w:rPr>
        <w:t>引用关系</w:t>
      </w:r>
    </w:p>
    <w:p w14:paraId="06397BA3">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color w:val="auto"/>
          <w:kern w:val="2"/>
          <w:sz w:val="24"/>
          <w:szCs w:val="24"/>
          <w:highlight w:val="none"/>
          <w:lang w:val="en-US" w:eastAsia="zh-CN" w:bidi="ar"/>
        </w:rPr>
        <w:t>提供法律法规引用关系查看，支持法规引用/被引用到“标题”的查看，如组织法引用了立法法。基于条款正文，同时支持以“条”为单位查看法规的引用关系，如法规条款引用了某部法规或某部法规的具体条款。提供概览数据，可查看引用/被引用的总数和不同效力位阶的总数。</w:t>
      </w:r>
    </w:p>
    <w:p w14:paraId="014EB271">
      <w:pPr>
        <w:pStyle w:val="4"/>
        <w:keepNext w:val="0"/>
        <w:keepLines w:val="0"/>
        <w:pageBreakBefore w:val="0"/>
        <w:widowControl/>
        <w:numPr>
          <w:ilvl w:val="2"/>
          <w:numId w:val="3"/>
        </w:numPr>
        <w:suppressLineNumbers w:val="0"/>
        <w:tabs>
          <w:tab w:val="left" w:pos="0"/>
          <w:tab w:val="clear" w:pos="432"/>
        </w:tabs>
        <w:kinsoku/>
        <w:wordWrap/>
        <w:overflowPunct/>
        <w:topLinePunct w:val="0"/>
        <w:autoSpaceDE/>
        <w:autoSpaceDN/>
        <w:bidi w:val="0"/>
        <w:spacing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依据详情</w:t>
      </w:r>
    </w:p>
    <w:p w14:paraId="6B2D4D9C">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39" w:firstLineChars="175"/>
        <w:textAlignment w:val="auto"/>
        <w:rPr>
          <w:rFonts w:hint="eastAsia" w:ascii="宋体" w:hAnsi="宋体" w:eastAsia="宋体" w:cs="宋体"/>
          <w:b/>
          <w:bCs w:val="0"/>
          <w:color w:val="auto"/>
          <w:spacing w:val="5"/>
          <w:kern w:val="2"/>
          <w:sz w:val="24"/>
          <w:szCs w:val="24"/>
          <w:highlight w:val="none"/>
        </w:rPr>
      </w:pPr>
      <w:r>
        <w:rPr>
          <w:rFonts w:hint="eastAsia" w:ascii="宋体" w:hAnsi="宋体" w:eastAsia="宋体" w:cs="宋体"/>
          <w:b/>
          <w:bCs w:val="0"/>
          <w:color w:val="auto"/>
          <w:spacing w:val="5"/>
          <w:kern w:val="0"/>
          <w:sz w:val="24"/>
          <w:szCs w:val="24"/>
          <w:highlight w:val="none"/>
          <w:shd w:val="clear" w:fill="FFFFFF"/>
        </w:rPr>
        <w:t>依据列表</w:t>
      </w:r>
    </w:p>
    <w:p w14:paraId="57465285">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color w:val="auto"/>
          <w:kern w:val="2"/>
          <w:sz w:val="24"/>
          <w:szCs w:val="24"/>
          <w:highlight w:val="none"/>
          <w:lang w:val="en-US" w:eastAsia="zh-CN" w:bidi="ar"/>
        </w:rPr>
        <w:t>可结合法规详情中的法律依据标签，展开查看法律依据的详情信息；包含法律依据的名称、类型、层级、适用违责、罚则等，以及依据自身的编号等。同时提供现行有效的依据信息和历史（已废止）的依据信息，用户可手动筛选过滤。</w:t>
      </w:r>
    </w:p>
    <w:p w14:paraId="0455E63B">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39" w:firstLineChars="175"/>
        <w:textAlignment w:val="auto"/>
        <w:rPr>
          <w:rFonts w:hint="eastAsia" w:ascii="宋体" w:hAnsi="宋体" w:eastAsia="宋体" w:cs="宋体"/>
          <w:b/>
          <w:bCs w:val="0"/>
          <w:color w:val="auto"/>
          <w:spacing w:val="5"/>
          <w:kern w:val="2"/>
          <w:sz w:val="24"/>
          <w:szCs w:val="24"/>
          <w:highlight w:val="none"/>
        </w:rPr>
      </w:pPr>
      <w:r>
        <w:rPr>
          <w:rFonts w:hint="eastAsia" w:ascii="宋体" w:hAnsi="宋体" w:eastAsia="宋体" w:cs="宋体"/>
          <w:b/>
          <w:bCs w:val="0"/>
          <w:color w:val="auto"/>
          <w:spacing w:val="5"/>
          <w:kern w:val="0"/>
          <w:sz w:val="24"/>
          <w:szCs w:val="24"/>
          <w:highlight w:val="none"/>
          <w:shd w:val="clear" w:fill="FFFFFF"/>
        </w:rPr>
        <w:t>依据详情</w:t>
      </w:r>
    </w:p>
    <w:p w14:paraId="5387ADB8">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color w:val="auto"/>
          <w:kern w:val="2"/>
          <w:sz w:val="24"/>
          <w:szCs w:val="24"/>
          <w:highlight w:val="none"/>
          <w:lang w:val="en-US" w:eastAsia="zh-CN" w:bidi="ar"/>
        </w:rPr>
        <w:t>按照检查、处罚、强制、其他依据的数据要素，提供明细信息的展示，通过法规详情页的条款可对应打开并阅览。</w:t>
      </w:r>
    </w:p>
    <w:p w14:paraId="5BE03AE4">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39" w:firstLineChars="175"/>
        <w:textAlignment w:val="auto"/>
        <w:rPr>
          <w:rFonts w:hint="eastAsia" w:ascii="宋体" w:hAnsi="宋体" w:eastAsia="宋体" w:cs="宋体"/>
          <w:b/>
          <w:bCs w:val="0"/>
          <w:color w:val="auto"/>
          <w:spacing w:val="5"/>
          <w:kern w:val="2"/>
          <w:sz w:val="24"/>
          <w:szCs w:val="24"/>
          <w:highlight w:val="none"/>
        </w:rPr>
      </w:pPr>
      <w:r>
        <w:rPr>
          <w:rFonts w:hint="eastAsia" w:ascii="宋体" w:hAnsi="宋体" w:eastAsia="宋体" w:cs="宋体"/>
          <w:b/>
          <w:bCs w:val="0"/>
          <w:color w:val="auto"/>
          <w:spacing w:val="5"/>
          <w:kern w:val="0"/>
          <w:sz w:val="24"/>
          <w:szCs w:val="24"/>
          <w:highlight w:val="none"/>
          <w:shd w:val="clear" w:fill="FFFFFF"/>
        </w:rPr>
        <w:t>依据历史变迁</w:t>
      </w:r>
    </w:p>
    <w:p w14:paraId="779E48EE">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color w:val="auto"/>
          <w:kern w:val="2"/>
          <w:sz w:val="24"/>
          <w:szCs w:val="24"/>
          <w:highlight w:val="none"/>
          <w:lang w:val="en-US" w:eastAsia="zh-CN" w:bidi="ar"/>
        </w:rPr>
        <w:t>当依据存在延续性变更时，可查看历史变迁内容。跟随依据历史变迁，在变迁信息中提供对应依据数据历史版本引用法律原文的明细内容，可用于比对。</w:t>
      </w:r>
    </w:p>
    <w:p w14:paraId="16939CA7">
      <w:pPr>
        <w:pStyle w:val="4"/>
        <w:keepNext w:val="0"/>
        <w:keepLines w:val="0"/>
        <w:pageBreakBefore w:val="0"/>
        <w:widowControl/>
        <w:numPr>
          <w:ilvl w:val="2"/>
          <w:numId w:val="3"/>
        </w:numPr>
        <w:suppressLineNumbers w:val="0"/>
        <w:tabs>
          <w:tab w:val="left" w:pos="0"/>
          <w:tab w:val="clear" w:pos="432"/>
        </w:tabs>
        <w:kinsoku/>
        <w:wordWrap/>
        <w:overflowPunct/>
        <w:topLinePunct w:val="0"/>
        <w:autoSpaceDE/>
        <w:autoSpaceDN/>
        <w:bidi w:val="0"/>
        <w:spacing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法规比对</w:t>
      </w:r>
    </w:p>
    <w:p w14:paraId="0C57A459">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39" w:firstLineChars="175"/>
        <w:textAlignment w:val="auto"/>
        <w:rPr>
          <w:rFonts w:hint="eastAsia" w:ascii="宋体" w:hAnsi="宋体" w:eastAsia="宋体" w:cs="宋体"/>
          <w:b/>
          <w:bCs w:val="0"/>
          <w:color w:val="auto"/>
          <w:spacing w:val="5"/>
          <w:kern w:val="2"/>
          <w:sz w:val="24"/>
          <w:szCs w:val="24"/>
          <w:highlight w:val="none"/>
        </w:rPr>
      </w:pPr>
      <w:r>
        <w:rPr>
          <w:rFonts w:hint="eastAsia" w:ascii="宋体" w:hAnsi="宋体" w:eastAsia="宋体" w:cs="宋体"/>
          <w:b/>
          <w:bCs w:val="0"/>
          <w:color w:val="auto"/>
          <w:spacing w:val="5"/>
          <w:kern w:val="0"/>
          <w:sz w:val="24"/>
          <w:szCs w:val="24"/>
          <w:highlight w:val="none"/>
          <w:shd w:val="clear" w:fill="FFFFFF"/>
        </w:rPr>
        <w:t>法规数据内容比对阅览</w:t>
      </w:r>
    </w:p>
    <w:p w14:paraId="47CC431B">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color w:val="auto"/>
          <w:kern w:val="2"/>
          <w:sz w:val="24"/>
          <w:szCs w:val="24"/>
          <w:highlight w:val="none"/>
          <w:lang w:val="en-US" w:eastAsia="zh-CN" w:bidi="ar"/>
        </w:rPr>
        <w:t>同部法规的不同版本之间，可发起比对。系统提供比对结果概览和明细，其中概览统计展示两部法规之间的相似度数值（百分比），差异条款数等。明细信息则以条款为单位进行差异比对，支持差异内容高亮显示、隐藏相同项和条款相似度数值展示。</w:t>
      </w:r>
    </w:p>
    <w:p w14:paraId="2BEE137C">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法规数据比对引擎</w:t>
      </w:r>
    </w:p>
    <w:p w14:paraId="1614E064">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color w:val="auto"/>
          <w:kern w:val="2"/>
          <w:sz w:val="24"/>
          <w:szCs w:val="24"/>
          <w:highlight w:val="none"/>
          <w:lang w:val="en-US" w:eastAsia="zh-CN" w:bidi="ar"/>
        </w:rPr>
        <w:t>通过算法模型，对基础要素（如标题、制定机关、发文字号等）、正文条款（粒度到款）进行差异比对，差异内容染色并返回至比对页面。</w:t>
      </w:r>
    </w:p>
    <w:p w14:paraId="4DF669F4">
      <w:pPr>
        <w:pStyle w:val="4"/>
        <w:keepNext w:val="0"/>
        <w:keepLines w:val="0"/>
        <w:pageBreakBefore w:val="0"/>
        <w:widowControl/>
        <w:numPr>
          <w:ilvl w:val="2"/>
          <w:numId w:val="3"/>
        </w:numPr>
        <w:suppressLineNumbers w:val="0"/>
        <w:tabs>
          <w:tab w:val="left" w:pos="0"/>
          <w:tab w:val="clear" w:pos="432"/>
        </w:tabs>
        <w:kinsoku/>
        <w:wordWrap/>
        <w:overflowPunct/>
        <w:topLinePunct w:val="0"/>
        <w:autoSpaceDE/>
        <w:autoSpaceDN/>
        <w:bidi w:val="0"/>
        <w:spacing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规范性文件详情</w:t>
      </w:r>
    </w:p>
    <w:p w14:paraId="4640D07D">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39" w:firstLineChars="175"/>
        <w:textAlignment w:val="auto"/>
        <w:rPr>
          <w:rFonts w:hint="eastAsia" w:ascii="宋体" w:hAnsi="宋体" w:eastAsia="宋体" w:cs="宋体"/>
          <w:b/>
          <w:bCs w:val="0"/>
          <w:color w:val="auto"/>
          <w:spacing w:val="5"/>
          <w:kern w:val="2"/>
          <w:sz w:val="24"/>
          <w:szCs w:val="24"/>
          <w:highlight w:val="none"/>
        </w:rPr>
      </w:pPr>
      <w:r>
        <w:rPr>
          <w:rFonts w:hint="eastAsia" w:ascii="宋体" w:hAnsi="宋体" w:eastAsia="宋体" w:cs="宋体"/>
          <w:b/>
          <w:bCs w:val="0"/>
          <w:color w:val="auto"/>
          <w:spacing w:val="5"/>
          <w:kern w:val="0"/>
          <w:sz w:val="24"/>
          <w:szCs w:val="24"/>
          <w:highlight w:val="none"/>
          <w:shd w:val="clear" w:fill="FFFFFF"/>
        </w:rPr>
        <w:t>规范性文件列表</w:t>
      </w:r>
    </w:p>
    <w:p w14:paraId="2227CEAC">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color w:val="auto"/>
          <w:kern w:val="2"/>
          <w:sz w:val="24"/>
          <w:szCs w:val="24"/>
          <w:highlight w:val="none"/>
          <w:lang w:val="en-US" w:eastAsia="zh-CN" w:bidi="ar"/>
        </w:rPr>
        <w:t>适配统一的法治知识查询页面，允许用户对系统收录的规范性文件进行列表阅览，主要针对规范性文件的时效性、标题、发文机关等展示要素进行优化展示，可按基础信息进行筛选。</w:t>
      </w:r>
    </w:p>
    <w:p w14:paraId="519BE082">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39" w:firstLineChars="175"/>
        <w:textAlignment w:val="auto"/>
        <w:rPr>
          <w:rFonts w:hint="eastAsia" w:ascii="宋体" w:hAnsi="宋体" w:eastAsia="宋体" w:cs="宋体"/>
          <w:b/>
          <w:bCs w:val="0"/>
          <w:color w:val="auto"/>
          <w:spacing w:val="5"/>
          <w:kern w:val="2"/>
          <w:sz w:val="24"/>
          <w:szCs w:val="24"/>
          <w:highlight w:val="none"/>
        </w:rPr>
      </w:pPr>
      <w:r>
        <w:rPr>
          <w:rFonts w:hint="eastAsia" w:ascii="宋体" w:hAnsi="宋体" w:eastAsia="宋体" w:cs="宋体"/>
          <w:b/>
          <w:bCs w:val="0"/>
          <w:color w:val="auto"/>
          <w:spacing w:val="5"/>
          <w:kern w:val="0"/>
          <w:sz w:val="24"/>
          <w:szCs w:val="24"/>
          <w:highlight w:val="none"/>
          <w:shd w:val="clear" w:fill="FFFFFF"/>
        </w:rPr>
        <w:t>规范性文件阅览</w:t>
      </w:r>
    </w:p>
    <w:p w14:paraId="1555EFBC">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spacing w:val="10"/>
          <w:kern w:val="2"/>
          <w:sz w:val="24"/>
          <w:szCs w:val="24"/>
          <w:highlight w:val="none"/>
        </w:rPr>
      </w:pPr>
      <w:r>
        <w:rPr>
          <w:rFonts w:hint="eastAsia" w:ascii="宋体" w:hAnsi="宋体" w:eastAsia="宋体" w:cs="宋体"/>
          <w:snapToGrid/>
          <w:color w:val="auto"/>
          <w:kern w:val="2"/>
          <w:sz w:val="24"/>
          <w:szCs w:val="24"/>
          <w:highlight w:val="none"/>
          <w:lang w:val="en-US" w:eastAsia="zh-CN" w:bidi="ar"/>
        </w:rPr>
        <w:t>基于省规范性文件库数据，在统一的知识查询中心中结构化展示正文内容。利用系统法规和规范性文件的引用关系数据，支持在规范性文件详情页中查看规范性文件与法规之间的引用关系图。</w:t>
      </w:r>
    </w:p>
    <w:p w14:paraId="481EF914">
      <w:pPr>
        <w:pStyle w:val="3"/>
        <w:pageBreakBefore w:val="0"/>
        <w:widowControl/>
        <w:numPr>
          <w:ilvl w:val="1"/>
          <w:numId w:val="3"/>
        </w:numPr>
        <w:tabs>
          <w:tab w:val="left" w:pos="0"/>
          <w:tab w:val="clear" w:pos="432"/>
        </w:tabs>
        <w:kinsoku/>
        <w:wordWrap/>
        <w:overflowPunct/>
        <w:topLinePunct w:val="0"/>
        <w:autoSpaceDE/>
        <w:autoSpaceDN/>
        <w:bidi w:val="0"/>
        <w:spacing w:before="0" w:after="0" w:line="360" w:lineRule="auto"/>
        <w:ind w:left="0" w:leftChars="0" w:firstLine="422" w:firstLineChars="175"/>
        <w:textAlignment w:val="auto"/>
        <w:rPr>
          <w:rFonts w:hint="eastAsia" w:ascii="宋体" w:hAnsi="宋体" w:eastAsia="宋体" w:cs="宋体"/>
          <w:b/>
          <w:bCs/>
          <w:color w:val="auto"/>
          <w:kern w:val="44"/>
          <w:sz w:val="24"/>
          <w:szCs w:val="24"/>
          <w:highlight w:val="none"/>
        </w:rPr>
      </w:pPr>
      <w:r>
        <w:rPr>
          <w:rFonts w:hint="eastAsia" w:ascii="宋体" w:hAnsi="宋体" w:eastAsia="宋体" w:cs="宋体"/>
          <w:b/>
          <w:bCs/>
          <w:color w:val="auto"/>
          <w:kern w:val="44"/>
          <w:sz w:val="24"/>
          <w:szCs w:val="24"/>
          <w:highlight w:val="none"/>
        </w:rPr>
        <w:t>日志审计</w:t>
      </w:r>
    </w:p>
    <w:p w14:paraId="59343663">
      <w:pPr>
        <w:pStyle w:val="4"/>
        <w:keepNext w:val="0"/>
        <w:keepLines w:val="0"/>
        <w:pageBreakBefore w:val="0"/>
        <w:widowControl/>
        <w:numPr>
          <w:ilvl w:val="2"/>
          <w:numId w:val="3"/>
        </w:numPr>
        <w:suppressLineNumbers w:val="0"/>
        <w:tabs>
          <w:tab w:val="left" w:pos="0"/>
          <w:tab w:val="clear" w:pos="432"/>
        </w:tabs>
        <w:kinsoku/>
        <w:wordWrap/>
        <w:overflowPunct/>
        <w:topLinePunct w:val="0"/>
        <w:autoSpaceDE/>
        <w:autoSpaceDN/>
        <w:bidi w:val="0"/>
        <w:spacing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法规管理操作日志</w:t>
      </w:r>
    </w:p>
    <w:p w14:paraId="59193C96">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color w:val="auto"/>
          <w:kern w:val="2"/>
          <w:sz w:val="24"/>
          <w:szCs w:val="24"/>
          <w:highlight w:val="none"/>
          <w:lang w:val="en-US" w:eastAsia="zh-CN" w:bidi="ar"/>
        </w:rPr>
        <w:t>对法律法规规章管理模块的数据采集、加工、审核全流程的操作进行埋点，可统一采集操作行为、操作人员、操作时间等数据内容，汇总至日志模块。保障法规数据操作可追溯，法规数据质量可控。</w:t>
      </w:r>
    </w:p>
    <w:p w14:paraId="166CD0F3">
      <w:pPr>
        <w:pStyle w:val="4"/>
        <w:keepNext w:val="0"/>
        <w:keepLines w:val="0"/>
        <w:pageBreakBefore w:val="0"/>
        <w:widowControl/>
        <w:numPr>
          <w:ilvl w:val="2"/>
          <w:numId w:val="3"/>
        </w:numPr>
        <w:suppressLineNumbers w:val="0"/>
        <w:tabs>
          <w:tab w:val="left" w:pos="0"/>
          <w:tab w:val="clear" w:pos="432"/>
        </w:tabs>
        <w:kinsoku/>
        <w:wordWrap/>
        <w:overflowPunct/>
        <w:topLinePunct w:val="0"/>
        <w:autoSpaceDE/>
        <w:autoSpaceDN/>
        <w:bidi w:val="0"/>
        <w:spacing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依据管理操作日志</w:t>
      </w:r>
    </w:p>
    <w:p w14:paraId="22FE523F">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spacing w:val="10"/>
          <w:kern w:val="2"/>
          <w:sz w:val="24"/>
          <w:szCs w:val="24"/>
          <w:highlight w:val="none"/>
        </w:rPr>
      </w:pPr>
      <w:r>
        <w:rPr>
          <w:rFonts w:hint="eastAsia" w:ascii="宋体" w:hAnsi="宋体" w:eastAsia="宋体" w:cs="宋体"/>
          <w:snapToGrid/>
          <w:color w:val="auto"/>
          <w:kern w:val="2"/>
          <w:sz w:val="24"/>
          <w:szCs w:val="24"/>
          <w:highlight w:val="none"/>
          <w:lang w:val="en-US" w:eastAsia="zh-CN" w:bidi="ar"/>
        </w:rPr>
        <w:t>对法律依据管理模块的数据采集、加工全流程的操作进行埋点，可统一采集操作行为、操作人员、操作时间等数据内容，汇总至日志模块。保障法规数据操作可追溯，法规数据质量可控。</w:t>
      </w:r>
    </w:p>
    <w:p w14:paraId="43476EE0">
      <w:pPr>
        <w:pStyle w:val="3"/>
        <w:pageBreakBefore w:val="0"/>
        <w:widowControl/>
        <w:numPr>
          <w:ilvl w:val="1"/>
          <w:numId w:val="3"/>
        </w:numPr>
        <w:tabs>
          <w:tab w:val="left" w:pos="0"/>
          <w:tab w:val="clear" w:pos="432"/>
        </w:tabs>
        <w:kinsoku/>
        <w:wordWrap/>
        <w:overflowPunct/>
        <w:topLinePunct w:val="0"/>
        <w:autoSpaceDE/>
        <w:autoSpaceDN/>
        <w:bidi w:val="0"/>
        <w:spacing w:before="0" w:after="0" w:line="360" w:lineRule="auto"/>
        <w:ind w:left="0" w:leftChars="0" w:firstLine="422" w:firstLineChars="175"/>
        <w:textAlignment w:val="auto"/>
        <w:rPr>
          <w:rFonts w:hint="eastAsia" w:ascii="宋体" w:hAnsi="宋体" w:eastAsia="宋体" w:cs="宋体"/>
          <w:b/>
          <w:bCs/>
          <w:color w:val="auto"/>
          <w:kern w:val="44"/>
          <w:sz w:val="24"/>
          <w:szCs w:val="24"/>
          <w:highlight w:val="none"/>
        </w:rPr>
      </w:pPr>
      <w:r>
        <w:rPr>
          <w:rFonts w:hint="eastAsia" w:ascii="宋体" w:hAnsi="宋体" w:eastAsia="宋体" w:cs="宋体"/>
          <w:b/>
          <w:bCs/>
          <w:color w:val="auto"/>
          <w:kern w:val="44"/>
          <w:sz w:val="24"/>
          <w:szCs w:val="24"/>
          <w:highlight w:val="none"/>
        </w:rPr>
        <w:t>司法厅数字架构接入</w:t>
      </w:r>
    </w:p>
    <w:p w14:paraId="1F4EF0A6">
      <w:pPr>
        <w:pStyle w:val="4"/>
        <w:keepNext w:val="0"/>
        <w:keepLines w:val="0"/>
        <w:pageBreakBefore w:val="0"/>
        <w:widowControl/>
        <w:numPr>
          <w:ilvl w:val="2"/>
          <w:numId w:val="3"/>
        </w:numPr>
        <w:suppressLineNumbers w:val="0"/>
        <w:tabs>
          <w:tab w:val="left" w:pos="0"/>
          <w:tab w:val="clear" w:pos="432"/>
        </w:tabs>
        <w:kinsoku/>
        <w:wordWrap/>
        <w:overflowPunct/>
        <w:topLinePunct w:val="0"/>
        <w:autoSpaceDE/>
        <w:autoSpaceDN/>
        <w:bidi w:val="0"/>
        <w:spacing w:line="360" w:lineRule="auto"/>
        <w:ind w:left="0" w:leftChars="0" w:firstLine="457" w:firstLineChars="175"/>
        <w:textAlignment w:val="auto"/>
        <w:rPr>
          <w:rFonts w:hint="eastAsia" w:ascii="宋体" w:hAnsi="宋体" w:eastAsia="宋体" w:cs="宋体"/>
          <w:b/>
          <w:bCs w:val="0"/>
          <w:color w:val="auto"/>
          <w:spacing w:val="5"/>
          <w:kern w:val="2"/>
          <w:sz w:val="24"/>
          <w:szCs w:val="24"/>
          <w:highlight w:val="none"/>
        </w:rPr>
      </w:pPr>
      <w:r>
        <w:rPr>
          <w:rFonts w:hint="eastAsia" w:ascii="宋体" w:hAnsi="宋体" w:eastAsia="宋体" w:cs="宋体"/>
          <w:b/>
          <w:bCs w:val="0"/>
          <w:color w:val="auto"/>
          <w:spacing w:val="10"/>
          <w:kern w:val="2"/>
          <w:sz w:val="24"/>
          <w:szCs w:val="24"/>
          <w:highlight w:val="none"/>
          <w:shd w:val="clear" w:fill="FFFFFF"/>
        </w:rPr>
        <w:t>统一用户体系接入</w:t>
      </w:r>
    </w:p>
    <w:p w14:paraId="173D77A4">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color w:val="auto"/>
          <w:kern w:val="2"/>
          <w:sz w:val="24"/>
          <w:szCs w:val="24"/>
          <w:highlight w:val="none"/>
          <w:lang w:val="en-US" w:eastAsia="zh-CN" w:bidi="ar"/>
        </w:rPr>
        <w:t>接入司法厅统一用户体系，确保用户数据唯一可追溯，单点登录简化使用。</w:t>
      </w:r>
    </w:p>
    <w:p w14:paraId="577E8D05">
      <w:pPr>
        <w:pStyle w:val="4"/>
        <w:keepNext w:val="0"/>
        <w:keepLines w:val="0"/>
        <w:pageBreakBefore w:val="0"/>
        <w:widowControl/>
        <w:numPr>
          <w:ilvl w:val="2"/>
          <w:numId w:val="3"/>
        </w:numPr>
        <w:suppressLineNumbers w:val="0"/>
        <w:tabs>
          <w:tab w:val="left" w:pos="0"/>
          <w:tab w:val="clear" w:pos="432"/>
        </w:tabs>
        <w:kinsoku/>
        <w:wordWrap/>
        <w:overflowPunct/>
        <w:topLinePunct w:val="0"/>
        <w:autoSpaceDE/>
        <w:autoSpaceDN/>
        <w:bidi w:val="0"/>
        <w:spacing w:line="360" w:lineRule="auto"/>
        <w:ind w:left="0" w:leftChars="0" w:firstLine="457" w:firstLineChars="175"/>
        <w:textAlignment w:val="auto"/>
        <w:rPr>
          <w:rFonts w:hint="eastAsia" w:ascii="宋体" w:hAnsi="宋体" w:eastAsia="宋体" w:cs="宋体"/>
          <w:b/>
          <w:bCs w:val="0"/>
          <w:color w:val="auto"/>
          <w:spacing w:val="5"/>
          <w:kern w:val="2"/>
          <w:sz w:val="24"/>
          <w:szCs w:val="24"/>
          <w:highlight w:val="none"/>
        </w:rPr>
      </w:pPr>
      <w:r>
        <w:rPr>
          <w:rFonts w:hint="eastAsia" w:ascii="宋体" w:hAnsi="宋体" w:eastAsia="宋体" w:cs="宋体"/>
          <w:b/>
          <w:bCs w:val="0"/>
          <w:color w:val="auto"/>
          <w:spacing w:val="10"/>
          <w:kern w:val="2"/>
          <w:sz w:val="24"/>
          <w:szCs w:val="24"/>
          <w:highlight w:val="none"/>
          <w:shd w:val="clear" w:fill="FFFFFF"/>
        </w:rPr>
        <w:t>统一消息体系接入</w:t>
      </w:r>
    </w:p>
    <w:p w14:paraId="66B2E8BF">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37" w:firstLineChars="175"/>
        <w:jc w:val="both"/>
        <w:textAlignment w:val="auto"/>
        <w:rPr>
          <w:rFonts w:hint="eastAsia" w:ascii="宋体" w:hAnsi="宋体" w:eastAsia="宋体" w:cs="宋体"/>
          <w:color w:val="auto"/>
          <w:spacing w:val="10"/>
          <w:kern w:val="2"/>
          <w:sz w:val="24"/>
          <w:szCs w:val="24"/>
          <w:highlight w:val="none"/>
        </w:rPr>
      </w:pPr>
      <w:r>
        <w:rPr>
          <w:rFonts w:hint="eastAsia" w:ascii="宋体" w:hAnsi="宋体" w:eastAsia="宋体" w:cs="宋体"/>
          <w:snapToGrid/>
          <w:color w:val="auto"/>
          <w:spacing w:val="5"/>
          <w:kern w:val="0"/>
          <w:sz w:val="24"/>
          <w:szCs w:val="24"/>
          <w:highlight w:val="none"/>
          <w:shd w:val="clear" w:fill="FFFFFF"/>
          <w:lang w:val="en-US" w:eastAsia="zh-CN" w:bidi="ar"/>
        </w:rPr>
        <w:t>接入司法厅统一代办消息发送渠道。</w:t>
      </w:r>
    </w:p>
    <w:p w14:paraId="5F2E31A3">
      <w:pPr>
        <w:pStyle w:val="3"/>
        <w:pageBreakBefore w:val="0"/>
        <w:widowControl/>
        <w:numPr>
          <w:ilvl w:val="1"/>
          <w:numId w:val="3"/>
        </w:numPr>
        <w:tabs>
          <w:tab w:val="left" w:pos="0"/>
          <w:tab w:val="clear" w:pos="432"/>
        </w:tabs>
        <w:kinsoku/>
        <w:wordWrap/>
        <w:overflowPunct/>
        <w:topLinePunct w:val="0"/>
        <w:autoSpaceDE/>
        <w:autoSpaceDN/>
        <w:bidi w:val="0"/>
        <w:spacing w:before="0" w:after="0" w:line="360" w:lineRule="auto"/>
        <w:ind w:left="0" w:leftChars="0" w:firstLine="422" w:firstLineChars="175"/>
        <w:textAlignment w:val="auto"/>
        <w:rPr>
          <w:rFonts w:hint="eastAsia" w:ascii="宋体" w:hAnsi="宋体" w:eastAsia="宋体" w:cs="宋体"/>
          <w:b/>
          <w:bCs/>
          <w:color w:val="auto"/>
          <w:kern w:val="44"/>
          <w:sz w:val="24"/>
          <w:szCs w:val="24"/>
          <w:highlight w:val="none"/>
        </w:rPr>
      </w:pPr>
      <w:r>
        <w:rPr>
          <w:rFonts w:hint="eastAsia" w:ascii="宋体" w:hAnsi="宋体" w:eastAsia="宋体" w:cs="宋体"/>
          <w:b/>
          <w:bCs/>
          <w:color w:val="auto"/>
          <w:kern w:val="44"/>
          <w:sz w:val="24"/>
          <w:szCs w:val="24"/>
          <w:highlight w:val="none"/>
        </w:rPr>
        <w:t>数据收录维护</w:t>
      </w:r>
    </w:p>
    <w:p w14:paraId="10940F21">
      <w:pPr>
        <w:pStyle w:val="4"/>
        <w:keepNext w:val="0"/>
        <w:keepLines w:val="0"/>
        <w:pageBreakBefore w:val="0"/>
        <w:widowControl/>
        <w:numPr>
          <w:ilvl w:val="2"/>
          <w:numId w:val="3"/>
        </w:numPr>
        <w:suppressLineNumbers w:val="0"/>
        <w:tabs>
          <w:tab w:val="left" w:pos="0"/>
          <w:tab w:val="clear" w:pos="432"/>
        </w:tabs>
        <w:kinsoku/>
        <w:wordWrap/>
        <w:overflowPunct/>
        <w:topLinePunct w:val="0"/>
        <w:autoSpaceDE/>
        <w:autoSpaceDN/>
        <w:bidi w:val="0"/>
        <w:spacing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法律法规专业运营服务</w:t>
      </w:r>
    </w:p>
    <w:p w14:paraId="36692FCE">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法律法规新发布运营服务</w:t>
      </w:r>
    </w:p>
    <w:p w14:paraId="41B54CCA">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37" w:firstLineChars="175"/>
        <w:jc w:val="both"/>
        <w:textAlignment w:val="auto"/>
        <w:rPr>
          <w:rFonts w:hint="eastAsia" w:ascii="宋体" w:hAnsi="宋体" w:eastAsia="宋体" w:cs="宋体"/>
          <w:color w:val="auto"/>
          <w:spacing w:val="5"/>
          <w:kern w:val="2"/>
          <w:sz w:val="24"/>
          <w:szCs w:val="24"/>
          <w:highlight w:val="none"/>
        </w:rPr>
      </w:pPr>
      <w:r>
        <w:rPr>
          <w:rFonts w:hint="eastAsia" w:ascii="宋体" w:hAnsi="宋体" w:eastAsia="宋体" w:cs="宋体"/>
          <w:snapToGrid/>
          <w:color w:val="auto"/>
          <w:spacing w:val="5"/>
          <w:kern w:val="0"/>
          <w:sz w:val="24"/>
          <w:szCs w:val="24"/>
          <w:highlight w:val="none"/>
          <w:shd w:val="clear" w:fill="FFFFFF"/>
          <w:lang w:val="en-US" w:eastAsia="zh-CN" w:bidi="ar"/>
        </w:rPr>
        <w:t>当出现新颁布的法律法规，进行法律法规结构化文本编制，经过用户管理人员审批后，在法律法规库中入库、发布。</w:t>
      </w:r>
    </w:p>
    <w:p w14:paraId="55606DEE">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法律法规修订运营服务</w:t>
      </w:r>
    </w:p>
    <w:p w14:paraId="7FAD42D6">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37" w:firstLineChars="175"/>
        <w:jc w:val="both"/>
        <w:textAlignment w:val="auto"/>
        <w:rPr>
          <w:rFonts w:hint="eastAsia" w:ascii="宋体" w:hAnsi="宋体" w:eastAsia="宋体" w:cs="宋体"/>
          <w:color w:val="auto"/>
          <w:spacing w:val="5"/>
          <w:kern w:val="2"/>
          <w:sz w:val="24"/>
          <w:szCs w:val="24"/>
          <w:highlight w:val="none"/>
        </w:rPr>
      </w:pPr>
      <w:r>
        <w:rPr>
          <w:rFonts w:hint="eastAsia" w:ascii="宋体" w:hAnsi="宋体" w:eastAsia="宋体" w:cs="宋体"/>
          <w:snapToGrid/>
          <w:color w:val="auto"/>
          <w:spacing w:val="5"/>
          <w:kern w:val="0"/>
          <w:sz w:val="24"/>
          <w:szCs w:val="24"/>
          <w:highlight w:val="none"/>
          <w:shd w:val="clear" w:fill="FFFFFF"/>
          <w:lang w:val="en-US" w:eastAsia="zh-CN" w:bidi="ar"/>
        </w:rPr>
        <w:t>法律法规库中已入库的法律法规出现新修订版本，进行法律法规结构化文本编制，经用户管理人员审批后，在法律法规库中入库、发布。</w:t>
      </w:r>
    </w:p>
    <w:p w14:paraId="2FC0F5F2">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法律法规废止运营服务</w:t>
      </w:r>
    </w:p>
    <w:p w14:paraId="6D8A13D6">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color w:val="auto"/>
          <w:kern w:val="2"/>
          <w:sz w:val="24"/>
          <w:szCs w:val="24"/>
          <w:highlight w:val="none"/>
          <w:lang w:val="en-US" w:eastAsia="zh-CN" w:bidi="ar"/>
        </w:rPr>
        <w:t>对于已失效的法律法规，运营人员在法律法规库中对其状态进行调整。</w:t>
      </w:r>
    </w:p>
    <w:p w14:paraId="1F3D9848">
      <w:pPr>
        <w:pStyle w:val="4"/>
        <w:keepNext w:val="0"/>
        <w:keepLines w:val="0"/>
        <w:pageBreakBefore w:val="0"/>
        <w:widowControl/>
        <w:numPr>
          <w:ilvl w:val="2"/>
          <w:numId w:val="3"/>
        </w:numPr>
        <w:suppressLineNumbers w:val="0"/>
        <w:tabs>
          <w:tab w:val="left" w:pos="0"/>
          <w:tab w:val="clear" w:pos="432"/>
        </w:tabs>
        <w:kinsoku/>
        <w:wordWrap/>
        <w:overflowPunct/>
        <w:topLinePunct w:val="0"/>
        <w:autoSpaceDE/>
        <w:autoSpaceDN/>
        <w:bidi w:val="0"/>
        <w:spacing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监管依据专业运营服务</w:t>
      </w:r>
    </w:p>
    <w:p w14:paraId="1119BB8F">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依据新设立运营服务</w:t>
      </w:r>
    </w:p>
    <w:p w14:paraId="771F29B3">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color w:val="auto"/>
          <w:kern w:val="2"/>
          <w:sz w:val="24"/>
          <w:szCs w:val="24"/>
          <w:highlight w:val="none"/>
          <w:lang w:val="en-US" w:eastAsia="zh-CN" w:bidi="ar"/>
        </w:rPr>
        <w:t>上游法规数据新颁布时，对该法律法规涉及的事项的法律依据须重新进行梳理、校对、审核、绑定、发布等调整工作。</w:t>
      </w:r>
    </w:p>
    <w:p w14:paraId="53648D27">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39" w:firstLineChars="175"/>
        <w:textAlignment w:val="auto"/>
        <w:rPr>
          <w:rFonts w:hint="eastAsia" w:ascii="宋体" w:hAnsi="宋体" w:eastAsia="宋体" w:cs="宋体"/>
          <w:b/>
          <w:bCs w:val="0"/>
          <w:color w:val="auto"/>
          <w:spacing w:val="5"/>
          <w:kern w:val="2"/>
          <w:sz w:val="24"/>
          <w:szCs w:val="24"/>
          <w:highlight w:val="none"/>
        </w:rPr>
      </w:pPr>
      <w:r>
        <w:rPr>
          <w:rFonts w:hint="eastAsia" w:ascii="宋体" w:hAnsi="宋体" w:eastAsia="宋体" w:cs="宋体"/>
          <w:b/>
          <w:bCs w:val="0"/>
          <w:color w:val="auto"/>
          <w:spacing w:val="5"/>
          <w:kern w:val="0"/>
          <w:sz w:val="24"/>
          <w:szCs w:val="24"/>
          <w:highlight w:val="none"/>
          <w:shd w:val="clear" w:fill="FFFFFF"/>
        </w:rPr>
        <w:t>依据修订运营服务</w:t>
      </w:r>
    </w:p>
    <w:p w14:paraId="1835A48B">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color w:val="auto"/>
          <w:kern w:val="2"/>
          <w:sz w:val="24"/>
          <w:szCs w:val="24"/>
          <w:highlight w:val="none"/>
          <w:lang w:val="en-US" w:eastAsia="zh-CN" w:bidi="ar"/>
        </w:rPr>
        <w:t>法律法规发生修订时，对该法律法规对应的法律依据须重新进行梳理、校对、审核、绑定、发布等关键要素调整工作。</w:t>
      </w:r>
    </w:p>
    <w:p w14:paraId="5F20F686">
      <w:pPr>
        <w:pStyle w:val="5"/>
        <w:keepNext w:val="0"/>
        <w:keepLines w:val="0"/>
        <w:pageBreakBefore w:val="0"/>
        <w:widowControl/>
        <w:numPr>
          <w:ilvl w:val="3"/>
          <w:numId w:val="3"/>
        </w:numPr>
        <w:suppressLineNumbers w:val="0"/>
        <w:tabs>
          <w:tab w:val="left" w:pos="312"/>
          <w:tab w:val="clear" w:pos="900"/>
        </w:tabs>
        <w:kinsoku/>
        <w:wordWrap/>
        <w:overflowPunct/>
        <w:topLinePunct w:val="0"/>
        <w:autoSpaceDE/>
        <w:autoSpaceDN/>
        <w:bidi w:val="0"/>
        <w:spacing w:before="0" w:after="0" w:line="360" w:lineRule="auto"/>
        <w:ind w:left="0" w:leftChars="0" w:firstLine="439" w:firstLineChars="175"/>
        <w:textAlignment w:val="auto"/>
        <w:rPr>
          <w:rFonts w:hint="eastAsia" w:ascii="宋体" w:hAnsi="宋体" w:eastAsia="宋体" w:cs="宋体"/>
          <w:b/>
          <w:bCs w:val="0"/>
          <w:color w:val="auto"/>
          <w:spacing w:val="5"/>
          <w:kern w:val="2"/>
          <w:sz w:val="24"/>
          <w:szCs w:val="24"/>
          <w:highlight w:val="none"/>
        </w:rPr>
      </w:pPr>
      <w:r>
        <w:rPr>
          <w:rFonts w:hint="eastAsia" w:ascii="宋体" w:hAnsi="宋体" w:eastAsia="宋体" w:cs="宋体"/>
          <w:b/>
          <w:bCs w:val="0"/>
          <w:color w:val="auto"/>
          <w:spacing w:val="5"/>
          <w:kern w:val="0"/>
          <w:sz w:val="24"/>
          <w:szCs w:val="24"/>
          <w:highlight w:val="none"/>
          <w:shd w:val="clear" w:fill="FFFFFF"/>
        </w:rPr>
        <w:t>依据废止运营服务</w:t>
      </w:r>
    </w:p>
    <w:p w14:paraId="0FD2CB21">
      <w:pPr>
        <w:keepNext w:val="0"/>
        <w:keepLines w:val="0"/>
        <w:pageBreakBefore w:val="0"/>
        <w:widowControl w:val="0"/>
        <w:suppressLineNumbers w:val="0"/>
        <w:kinsoku/>
        <w:wordWrap/>
        <w:overflowPunct/>
        <w:topLinePunct w:val="0"/>
        <w:autoSpaceDE/>
        <w:autoSpaceDN/>
        <w:bidi w:val="0"/>
        <w:snapToGrid w:val="0"/>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color w:val="auto"/>
          <w:kern w:val="2"/>
          <w:sz w:val="24"/>
          <w:szCs w:val="24"/>
          <w:highlight w:val="none"/>
          <w:lang w:val="en-US" w:eastAsia="zh-CN" w:bidi="ar"/>
        </w:rPr>
        <w:t>法律法规失效时，对该法律法规对应的法律依据进行处理。</w:t>
      </w:r>
    </w:p>
    <w:p w14:paraId="2A3CACEA">
      <w:pPr>
        <w:pStyle w:val="3"/>
        <w:pageBreakBefore w:val="0"/>
        <w:numPr>
          <w:ilvl w:val="0"/>
          <w:numId w:val="2"/>
        </w:numPr>
        <w:tabs>
          <w:tab w:val="left" w:pos="0"/>
          <w:tab w:val="clear" w:pos="432"/>
        </w:tabs>
        <w:kinsoku/>
        <w:wordWrap/>
        <w:overflowPunct/>
        <w:topLinePunct w:val="0"/>
        <w:bidi w:val="0"/>
        <w:spacing w:before="0" w:after="0" w:line="360" w:lineRule="auto"/>
        <w:ind w:left="0" w:leftChars="0" w:firstLine="422" w:firstLineChars="175"/>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系统演示内容</w:t>
      </w:r>
    </w:p>
    <w:p w14:paraId="7B94042E">
      <w:pPr>
        <w:keepNext w:val="0"/>
        <w:keepLines w:val="0"/>
        <w:pageBreakBefore w:val="0"/>
        <w:widowControl w:val="0"/>
        <w:numPr>
          <w:ilvl w:val="1"/>
          <w:numId w:val="2"/>
        </w:numPr>
        <w:kinsoku/>
        <w:wordWrap/>
        <w:overflowPunct/>
        <w:topLinePunct w:val="0"/>
        <w:autoSpaceDE/>
        <w:autoSpaceDN/>
        <w:bidi w:val="0"/>
        <w:adjustRightInd w:val="0"/>
        <w:snapToGrid/>
        <w:spacing w:line="360" w:lineRule="auto"/>
        <w:ind w:left="0" w:leftChars="0" w:firstLine="420" w:firstLineChars="1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演示</w:t>
      </w:r>
      <w:r>
        <w:rPr>
          <w:rFonts w:hint="eastAsia" w:ascii="宋体" w:hAnsi="宋体" w:eastAsia="宋体" w:cs="宋体"/>
          <w:color w:val="auto"/>
          <w:sz w:val="24"/>
          <w:szCs w:val="24"/>
          <w:highlight w:val="none"/>
        </w:rPr>
        <w:t>法规数据采集管理模块</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包括</w:t>
      </w:r>
      <w:r>
        <w:rPr>
          <w:rFonts w:hint="eastAsia" w:ascii="宋体" w:hAnsi="宋体" w:eastAsia="宋体" w:cs="宋体"/>
          <w:color w:val="auto"/>
          <w:sz w:val="24"/>
          <w:szCs w:val="24"/>
          <w:highlight w:val="none"/>
        </w:rPr>
        <w:t>采集数据管理列表、手动采集和补录数据</w:t>
      </w:r>
      <w:r>
        <w:rPr>
          <w:rFonts w:hint="eastAsia" w:ascii="宋体" w:hAnsi="宋体" w:eastAsia="宋体" w:cs="宋体"/>
          <w:color w:val="auto"/>
          <w:sz w:val="24"/>
          <w:szCs w:val="24"/>
          <w:highlight w:val="none"/>
          <w:lang w:val="en-US" w:eastAsia="zh-CN"/>
        </w:rPr>
        <w:t>等</w:t>
      </w:r>
      <w:r>
        <w:rPr>
          <w:rFonts w:hint="eastAsia" w:ascii="宋体" w:hAnsi="宋体" w:eastAsia="宋体" w:cs="宋体"/>
          <w:color w:val="auto"/>
          <w:sz w:val="24"/>
          <w:szCs w:val="24"/>
          <w:highlight w:val="none"/>
        </w:rPr>
        <w:t>；</w:t>
      </w:r>
    </w:p>
    <w:p w14:paraId="31665C2E">
      <w:pPr>
        <w:keepNext w:val="0"/>
        <w:keepLines w:val="0"/>
        <w:pageBreakBefore w:val="0"/>
        <w:widowControl w:val="0"/>
        <w:numPr>
          <w:ilvl w:val="1"/>
          <w:numId w:val="2"/>
        </w:numPr>
        <w:kinsoku/>
        <w:wordWrap/>
        <w:overflowPunct/>
        <w:topLinePunct w:val="0"/>
        <w:autoSpaceDE/>
        <w:autoSpaceDN/>
        <w:bidi w:val="0"/>
        <w:adjustRightInd w:val="0"/>
        <w:snapToGrid/>
        <w:spacing w:line="360" w:lineRule="auto"/>
        <w:ind w:left="0" w:leftChars="0" w:firstLine="420" w:firstLineChars="175"/>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演示</w:t>
      </w:r>
      <w:r>
        <w:rPr>
          <w:rFonts w:hint="eastAsia" w:ascii="宋体" w:hAnsi="宋体" w:eastAsia="宋体" w:cs="宋体"/>
          <w:color w:val="auto"/>
          <w:sz w:val="24"/>
          <w:szCs w:val="24"/>
          <w:highlight w:val="none"/>
        </w:rPr>
        <w:t>法规数据加工管理</w:t>
      </w:r>
      <w:r>
        <w:rPr>
          <w:rFonts w:hint="eastAsia" w:ascii="宋体" w:hAnsi="宋体" w:eastAsia="宋体" w:cs="宋体"/>
          <w:color w:val="auto"/>
          <w:sz w:val="24"/>
          <w:szCs w:val="24"/>
          <w:highlight w:val="none"/>
          <w:lang w:val="en-US" w:eastAsia="zh-CN"/>
        </w:rPr>
        <w:t>模块，包括文本</w:t>
      </w:r>
      <w:r>
        <w:rPr>
          <w:rFonts w:hint="eastAsia" w:ascii="宋体" w:hAnsi="宋体" w:eastAsia="宋体" w:cs="宋体"/>
          <w:color w:val="auto"/>
          <w:sz w:val="24"/>
          <w:szCs w:val="24"/>
          <w:highlight w:val="none"/>
        </w:rPr>
        <w:t>自动识别解析、解析结果校对、法规沿革关系管理、法规关联关系管理、通用标签维护</w:t>
      </w:r>
      <w:r>
        <w:rPr>
          <w:rFonts w:hint="eastAsia" w:ascii="宋体" w:hAnsi="宋体" w:eastAsia="宋体" w:cs="宋体"/>
          <w:color w:val="auto"/>
          <w:sz w:val="24"/>
          <w:szCs w:val="24"/>
          <w:highlight w:val="none"/>
          <w:lang w:val="en-US" w:eastAsia="zh-CN"/>
        </w:rPr>
        <w:t>等</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且</w:t>
      </w:r>
      <w:r>
        <w:rPr>
          <w:rFonts w:hint="eastAsia" w:ascii="宋体" w:hAnsi="宋体" w:eastAsia="宋体" w:cs="宋体"/>
          <w:color w:val="auto"/>
          <w:sz w:val="24"/>
          <w:szCs w:val="24"/>
          <w:highlight w:val="none"/>
          <w:lang w:eastAsia="zh-CN"/>
        </w:rPr>
        <w:t>需提供法规沿革关系缺失数据处理机制说明或</w:t>
      </w:r>
      <w:r>
        <w:rPr>
          <w:rFonts w:hint="eastAsia" w:ascii="宋体" w:hAnsi="宋体" w:eastAsia="宋体" w:cs="宋体"/>
          <w:color w:val="auto"/>
          <w:sz w:val="24"/>
          <w:szCs w:val="24"/>
          <w:highlight w:val="none"/>
          <w:lang w:val="en-US" w:eastAsia="zh-CN"/>
        </w:rPr>
        <w:t>整体流程</w:t>
      </w:r>
      <w:r>
        <w:rPr>
          <w:rFonts w:hint="eastAsia" w:ascii="宋体" w:hAnsi="宋体" w:eastAsia="宋体" w:cs="宋体"/>
          <w:color w:val="auto"/>
          <w:sz w:val="24"/>
          <w:szCs w:val="24"/>
          <w:highlight w:val="none"/>
          <w:lang w:eastAsia="zh-CN"/>
        </w:rPr>
        <w:t>。</w:t>
      </w:r>
    </w:p>
    <w:p w14:paraId="38C8CD2A">
      <w:pPr>
        <w:keepNext w:val="0"/>
        <w:keepLines w:val="0"/>
        <w:pageBreakBefore w:val="0"/>
        <w:widowControl w:val="0"/>
        <w:numPr>
          <w:ilvl w:val="1"/>
          <w:numId w:val="2"/>
        </w:numPr>
        <w:kinsoku/>
        <w:wordWrap/>
        <w:overflowPunct/>
        <w:topLinePunct w:val="0"/>
        <w:autoSpaceDE/>
        <w:autoSpaceDN/>
        <w:bidi w:val="0"/>
        <w:adjustRightInd w:val="0"/>
        <w:snapToGrid/>
        <w:spacing w:line="360" w:lineRule="auto"/>
        <w:ind w:left="0" w:leftChars="0" w:firstLine="420" w:firstLineChars="175"/>
        <w:textAlignment w:val="auto"/>
        <w:rPr>
          <w:rFonts w:hint="eastAsia" w:ascii="宋体" w:hAnsi="宋体" w:eastAsia="宋体" w:cs="宋体"/>
          <w:color w:val="auto"/>
          <w:sz w:val="24"/>
          <w:szCs w:val="24"/>
          <w:highlight w:val="none"/>
          <w:woUserID w:val="1"/>
        </w:rPr>
      </w:pPr>
      <w:r>
        <w:rPr>
          <w:rFonts w:hint="eastAsia" w:ascii="宋体" w:hAnsi="宋体" w:eastAsia="宋体" w:cs="宋体"/>
          <w:color w:val="auto"/>
          <w:sz w:val="24"/>
          <w:szCs w:val="24"/>
          <w:highlight w:val="none"/>
          <w:lang w:val="en-US" w:eastAsia="zh-CN"/>
        </w:rPr>
        <w:t>演示</w:t>
      </w:r>
      <w:r>
        <w:rPr>
          <w:rFonts w:hint="eastAsia" w:ascii="宋体" w:hAnsi="宋体" w:eastAsia="宋体" w:cs="宋体"/>
          <w:color w:val="auto"/>
          <w:sz w:val="24"/>
          <w:szCs w:val="24"/>
          <w:highlight w:val="none"/>
        </w:rPr>
        <w:t>数据入库管理</w:t>
      </w:r>
      <w:r>
        <w:rPr>
          <w:rFonts w:hint="eastAsia" w:ascii="宋体" w:hAnsi="宋体" w:eastAsia="宋体" w:cs="宋体"/>
          <w:color w:val="auto"/>
          <w:sz w:val="24"/>
          <w:szCs w:val="24"/>
          <w:highlight w:val="none"/>
          <w:lang w:val="en-US" w:eastAsia="zh-CN"/>
        </w:rPr>
        <w:t>模块，包括</w:t>
      </w:r>
      <w:r>
        <w:rPr>
          <w:rFonts w:hint="eastAsia" w:ascii="宋体" w:hAnsi="宋体" w:eastAsia="宋体" w:cs="宋体"/>
          <w:color w:val="auto"/>
          <w:sz w:val="24"/>
          <w:szCs w:val="24"/>
          <w:highlight w:val="none"/>
        </w:rPr>
        <w:t>法律法规字典（入库数据列表）</w:t>
      </w:r>
      <w:r>
        <w:rPr>
          <w:rFonts w:hint="eastAsia" w:ascii="宋体" w:hAnsi="宋体" w:eastAsia="宋体" w:cs="宋体"/>
          <w:color w:val="auto"/>
          <w:sz w:val="24"/>
          <w:szCs w:val="24"/>
          <w:highlight w:val="none"/>
          <w:woUserID w:val="1"/>
        </w:rPr>
        <w:t>。</w:t>
      </w:r>
    </w:p>
    <w:p w14:paraId="1F60DCDE">
      <w:pPr>
        <w:keepNext w:val="0"/>
        <w:keepLines w:val="0"/>
        <w:pageBreakBefore w:val="0"/>
        <w:widowControl w:val="0"/>
        <w:numPr>
          <w:ilvl w:val="1"/>
          <w:numId w:val="2"/>
        </w:numPr>
        <w:kinsoku/>
        <w:wordWrap/>
        <w:overflowPunct/>
        <w:topLinePunct w:val="0"/>
        <w:autoSpaceDE/>
        <w:autoSpaceDN/>
        <w:bidi w:val="0"/>
        <w:adjustRightInd w:val="0"/>
        <w:snapToGrid/>
        <w:spacing w:line="360" w:lineRule="auto"/>
        <w:ind w:left="0" w:leftChars="0" w:firstLine="420" w:firstLineChars="1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woUserID w:val="1"/>
        </w:rPr>
        <w:t>演示</w:t>
      </w:r>
      <w:r>
        <w:rPr>
          <w:rFonts w:hint="eastAsia" w:ascii="宋体" w:hAnsi="宋体" w:eastAsia="宋体" w:cs="宋体"/>
          <w:color w:val="auto"/>
          <w:sz w:val="24"/>
          <w:szCs w:val="24"/>
          <w:highlight w:val="none"/>
          <w:woUserID w:val="1"/>
        </w:rPr>
        <w:t>法规数据运营门户</w:t>
      </w:r>
      <w:r>
        <w:rPr>
          <w:rFonts w:hint="eastAsia" w:ascii="宋体" w:hAnsi="宋体" w:eastAsia="宋体" w:cs="宋体"/>
          <w:color w:val="auto"/>
          <w:sz w:val="24"/>
          <w:szCs w:val="24"/>
          <w:highlight w:val="none"/>
          <w:lang w:val="en-US" w:eastAsia="zh-CN"/>
          <w:woUserID w:val="1"/>
        </w:rPr>
        <w:t>模块</w:t>
      </w:r>
      <w:r>
        <w:rPr>
          <w:rFonts w:hint="eastAsia" w:ascii="宋体" w:hAnsi="宋体" w:eastAsia="宋体" w:cs="宋体"/>
          <w:color w:val="auto"/>
          <w:sz w:val="24"/>
          <w:szCs w:val="24"/>
          <w:highlight w:val="none"/>
          <w:lang w:eastAsia="zh-CN"/>
          <w:woUserID w:val="1"/>
        </w:rPr>
        <w:t>，</w:t>
      </w:r>
      <w:r>
        <w:rPr>
          <w:rFonts w:hint="eastAsia" w:ascii="宋体" w:hAnsi="宋体" w:eastAsia="宋体" w:cs="宋体"/>
          <w:color w:val="auto"/>
          <w:sz w:val="24"/>
          <w:szCs w:val="24"/>
          <w:highlight w:val="none"/>
          <w:lang w:val="en-US" w:eastAsia="zh-CN"/>
          <w:woUserID w:val="1"/>
        </w:rPr>
        <w:t>包括</w:t>
      </w:r>
      <w:r>
        <w:rPr>
          <w:rFonts w:hint="eastAsia" w:ascii="宋体" w:hAnsi="宋体" w:eastAsia="宋体" w:cs="宋体"/>
          <w:color w:val="auto"/>
          <w:sz w:val="24"/>
          <w:szCs w:val="24"/>
          <w:highlight w:val="none"/>
        </w:rPr>
        <w:t>法律法规数据概览。</w:t>
      </w:r>
    </w:p>
    <w:p w14:paraId="3A588817">
      <w:pPr>
        <w:keepNext w:val="0"/>
        <w:keepLines w:val="0"/>
        <w:pageBreakBefore w:val="0"/>
        <w:widowControl w:val="0"/>
        <w:numPr>
          <w:ilvl w:val="1"/>
          <w:numId w:val="2"/>
        </w:numPr>
        <w:kinsoku/>
        <w:wordWrap/>
        <w:overflowPunct/>
        <w:topLinePunct w:val="0"/>
        <w:autoSpaceDE/>
        <w:autoSpaceDN/>
        <w:bidi w:val="0"/>
        <w:adjustRightInd w:val="0"/>
        <w:snapToGrid/>
        <w:spacing w:line="360" w:lineRule="auto"/>
        <w:ind w:left="0" w:leftChars="0" w:firstLine="420" w:firstLineChars="1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法律依据加工管理</w:t>
      </w:r>
      <w:r>
        <w:rPr>
          <w:rFonts w:hint="eastAsia" w:ascii="宋体" w:hAnsi="宋体" w:eastAsia="宋体" w:cs="宋体"/>
          <w:color w:val="auto"/>
          <w:sz w:val="24"/>
          <w:szCs w:val="24"/>
          <w:highlight w:val="none"/>
          <w:lang w:val="en-US" w:eastAsia="zh-CN"/>
        </w:rPr>
        <w:t>模块，</w:t>
      </w:r>
      <w:r>
        <w:rPr>
          <w:rFonts w:hint="eastAsia" w:ascii="宋体" w:hAnsi="宋体" w:eastAsia="宋体" w:cs="宋体"/>
          <w:color w:val="auto"/>
          <w:sz w:val="24"/>
          <w:szCs w:val="24"/>
          <w:highlight w:val="none"/>
        </w:rPr>
        <w:t>包含</w:t>
      </w:r>
      <w:r>
        <w:rPr>
          <w:rFonts w:hint="eastAsia" w:ascii="宋体" w:hAnsi="宋体" w:eastAsia="宋体" w:cs="宋体"/>
          <w:color w:val="auto"/>
          <w:sz w:val="24"/>
          <w:szCs w:val="24"/>
          <w:highlight w:val="none"/>
          <w:woUserID w:val="1"/>
        </w:rPr>
        <w:t>关键词</w:t>
      </w:r>
      <w:r>
        <w:rPr>
          <w:rFonts w:hint="eastAsia" w:ascii="宋体" w:hAnsi="宋体" w:eastAsia="宋体" w:cs="宋体"/>
          <w:color w:val="auto"/>
          <w:sz w:val="24"/>
          <w:szCs w:val="24"/>
          <w:highlight w:val="none"/>
        </w:rPr>
        <w:t>标签体系管理、</w:t>
      </w:r>
      <w:r>
        <w:rPr>
          <w:rFonts w:hint="eastAsia" w:ascii="宋体" w:hAnsi="宋体" w:eastAsia="宋体" w:cs="宋体"/>
          <w:color w:val="auto"/>
          <w:sz w:val="24"/>
          <w:szCs w:val="24"/>
          <w:highlight w:val="none"/>
          <w:woUserID w:val="1"/>
        </w:rPr>
        <w:t>依据数据自动解析、</w:t>
      </w:r>
      <w:r>
        <w:rPr>
          <w:rFonts w:hint="eastAsia" w:ascii="宋体" w:hAnsi="宋体" w:eastAsia="宋体" w:cs="宋体"/>
          <w:color w:val="auto"/>
          <w:sz w:val="24"/>
          <w:szCs w:val="24"/>
          <w:highlight w:val="none"/>
        </w:rPr>
        <w:t>依据数据解析结果校对。</w:t>
      </w:r>
    </w:p>
    <w:p w14:paraId="3F2006B4">
      <w:pPr>
        <w:keepNext w:val="0"/>
        <w:keepLines w:val="0"/>
        <w:pageBreakBefore w:val="0"/>
        <w:widowControl w:val="0"/>
        <w:numPr>
          <w:ilvl w:val="1"/>
          <w:numId w:val="2"/>
        </w:numPr>
        <w:kinsoku/>
        <w:wordWrap/>
        <w:overflowPunct/>
        <w:topLinePunct w:val="0"/>
        <w:autoSpaceDE/>
        <w:autoSpaceDN/>
        <w:bidi w:val="0"/>
        <w:adjustRightInd w:val="0"/>
        <w:snapToGrid/>
        <w:spacing w:line="360" w:lineRule="auto"/>
        <w:ind w:left="0" w:leftChars="0" w:firstLine="420" w:firstLineChars="1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演示</w:t>
      </w:r>
      <w:r>
        <w:rPr>
          <w:rFonts w:hint="eastAsia" w:ascii="宋体" w:hAnsi="宋体" w:eastAsia="宋体" w:cs="宋体"/>
          <w:color w:val="auto"/>
          <w:sz w:val="24"/>
          <w:szCs w:val="24"/>
          <w:highlight w:val="none"/>
        </w:rPr>
        <w:t>法治知识查询前台</w:t>
      </w:r>
      <w:r>
        <w:rPr>
          <w:rFonts w:hint="eastAsia" w:ascii="宋体" w:hAnsi="宋体" w:eastAsia="宋体" w:cs="宋体"/>
          <w:color w:val="auto"/>
          <w:sz w:val="24"/>
          <w:szCs w:val="24"/>
          <w:highlight w:val="none"/>
          <w:lang w:val="en-US" w:eastAsia="zh-CN"/>
        </w:rPr>
        <w:t>模块</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包括</w:t>
      </w:r>
      <w:r>
        <w:rPr>
          <w:rFonts w:hint="eastAsia" w:ascii="宋体" w:hAnsi="宋体" w:eastAsia="宋体" w:cs="宋体"/>
          <w:color w:val="auto"/>
          <w:sz w:val="24"/>
          <w:szCs w:val="24"/>
          <w:highlight w:val="none"/>
        </w:rPr>
        <w:t>历史沿革、引用关系、法规比对</w:t>
      </w:r>
      <w:r>
        <w:rPr>
          <w:rFonts w:hint="eastAsia" w:ascii="宋体" w:hAnsi="宋体" w:eastAsia="宋体" w:cs="宋体"/>
          <w:color w:val="auto"/>
          <w:sz w:val="24"/>
          <w:szCs w:val="24"/>
          <w:highlight w:val="none"/>
          <w:woUserID w:val="1"/>
        </w:rPr>
        <w:t>、规范性文件详情</w:t>
      </w:r>
      <w:r>
        <w:rPr>
          <w:rFonts w:hint="eastAsia" w:ascii="宋体" w:hAnsi="宋体" w:eastAsia="宋体" w:cs="宋体"/>
          <w:color w:val="auto"/>
          <w:sz w:val="24"/>
          <w:szCs w:val="24"/>
          <w:highlight w:val="none"/>
          <w:lang w:eastAsia="zh-CN"/>
          <w:woUserID w:val="1"/>
        </w:rPr>
        <w:t>。</w:t>
      </w:r>
    </w:p>
    <w:p w14:paraId="565903EF">
      <w:pPr>
        <w:pStyle w:val="3"/>
        <w:pageBreakBefore w:val="0"/>
        <w:numPr>
          <w:ilvl w:val="0"/>
          <w:numId w:val="2"/>
        </w:numPr>
        <w:tabs>
          <w:tab w:val="left" w:pos="0"/>
          <w:tab w:val="clear" w:pos="432"/>
        </w:tabs>
        <w:kinsoku/>
        <w:wordWrap/>
        <w:overflowPunct/>
        <w:topLinePunct w:val="0"/>
        <w:bidi w:val="0"/>
        <w:spacing w:before="0" w:after="0" w:line="360" w:lineRule="auto"/>
        <w:ind w:left="0" w:leftChars="0" w:firstLine="422" w:firstLineChars="175"/>
        <w:jc w:val="left"/>
        <w:rPr>
          <w:rFonts w:hint="eastAsia" w:ascii="宋体" w:hAnsi="宋体" w:eastAsia="宋体" w:cs="宋体"/>
          <w:color w:val="auto"/>
          <w:sz w:val="24"/>
          <w:szCs w:val="24"/>
          <w:highlight w:val="none"/>
          <w:lang w:val="en-US" w:eastAsia="zh-CN"/>
          <w:woUserID w:val="1"/>
        </w:rPr>
      </w:pPr>
      <w:r>
        <w:rPr>
          <w:rFonts w:hint="eastAsia" w:ascii="宋体" w:hAnsi="宋体" w:eastAsia="宋体" w:cs="宋体"/>
          <w:color w:val="auto"/>
          <w:sz w:val="24"/>
          <w:szCs w:val="24"/>
          <w:highlight w:val="none"/>
          <w:lang w:val="en-US" w:eastAsia="zh-CN"/>
          <w:woUserID w:val="1"/>
        </w:rPr>
        <w:t>项目团队要求</w:t>
      </w:r>
    </w:p>
    <w:p w14:paraId="23867130">
      <w:pPr>
        <w:pStyle w:val="5"/>
        <w:pageBreakBefore w:val="0"/>
        <w:numPr>
          <w:ilvl w:val="2"/>
          <w:numId w:val="0"/>
        </w:numPr>
        <w:kinsoku/>
        <w:wordWrap/>
        <w:overflowPunct/>
        <w:topLinePunct w:val="0"/>
        <w:bidi w:val="0"/>
        <w:spacing w:before="0" w:after="0" w:line="360" w:lineRule="auto"/>
        <w:ind w:left="0" w:leftChars="0" w:firstLine="420" w:firstLineChars="175"/>
        <w:rPr>
          <w:rFonts w:hint="eastAsia" w:ascii="宋体" w:hAnsi="宋体" w:eastAsia="宋体" w:cs="宋体"/>
          <w:b w:val="0"/>
          <w:color w:val="auto"/>
          <w:sz w:val="24"/>
          <w:szCs w:val="24"/>
          <w:highlight w:val="none"/>
        </w:rPr>
      </w:pPr>
      <w:bookmarkStart w:id="30" w:name="_Toc181731158"/>
      <w:r>
        <w:rPr>
          <w:rFonts w:hint="eastAsia" w:ascii="宋体" w:hAnsi="宋体" w:eastAsia="宋体" w:cs="宋体"/>
          <w:b w:val="0"/>
          <w:color w:val="auto"/>
          <w:sz w:val="24"/>
          <w:szCs w:val="24"/>
          <w:highlight w:val="none"/>
        </w:rPr>
        <w:t>投标人必须成立合理的组织机构，建立健全保障项目顺利实施的各项管理制度和质量保证体系，按照招标要求安排好项目管理团队参加本项目的建设。</w:t>
      </w:r>
      <w:bookmarkEnd w:id="30"/>
    </w:p>
    <w:p w14:paraId="61C3C8F6">
      <w:pPr>
        <w:pageBreakBefore w:val="0"/>
        <w:kinsoku/>
        <w:wordWrap/>
        <w:overflowPunct/>
        <w:topLinePunct w:val="0"/>
        <w:bidi w:val="0"/>
        <w:spacing w:line="360" w:lineRule="auto"/>
        <w:ind w:left="0" w:leftChars="0" w:firstLine="420" w:firstLineChars="175"/>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项目团队至少应包含项目经理1人、技术负责人1人及项目实施需要的其他专业技术人员，其他专业技术人员包括但不仅限于软件测试、系统集成、项目管理、用户培训等成员。</w:t>
      </w:r>
    </w:p>
    <w:p w14:paraId="4ABB4CA3">
      <w:pPr>
        <w:pStyle w:val="5"/>
        <w:pageBreakBefore w:val="0"/>
        <w:numPr>
          <w:ilvl w:val="2"/>
          <w:numId w:val="0"/>
        </w:numPr>
        <w:kinsoku/>
        <w:wordWrap/>
        <w:overflowPunct/>
        <w:topLinePunct w:val="0"/>
        <w:bidi w:val="0"/>
        <w:spacing w:before="0" w:after="0" w:line="360" w:lineRule="auto"/>
        <w:ind w:left="0" w:leftChars="0" w:firstLine="420" w:firstLineChars="175"/>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rPr>
        <w:t>项目经理应具有</w:t>
      </w:r>
      <w:r>
        <w:rPr>
          <w:rFonts w:hint="eastAsia" w:ascii="宋体" w:hAnsi="宋体" w:cs="宋体"/>
          <w:b w:val="0"/>
          <w:color w:val="auto"/>
          <w:sz w:val="24"/>
          <w:szCs w:val="24"/>
          <w:highlight w:val="none"/>
          <w:lang w:val="en-US" w:eastAsia="zh-CN"/>
        </w:rPr>
        <w:t>计算机等</w:t>
      </w:r>
      <w:r>
        <w:rPr>
          <w:rFonts w:hint="eastAsia" w:ascii="宋体" w:hAnsi="宋体" w:eastAsia="宋体" w:cs="宋体"/>
          <w:b w:val="0"/>
          <w:color w:val="auto"/>
          <w:sz w:val="24"/>
          <w:szCs w:val="24"/>
          <w:highlight w:val="none"/>
        </w:rPr>
        <w:t>履约相关专业本科以上学历，具有全国软考的信息系统项目管理师，具备近三年（自</w:t>
      </w:r>
      <w:r>
        <w:rPr>
          <w:rFonts w:hint="eastAsia" w:ascii="宋体" w:hAnsi="宋体" w:eastAsia="宋体" w:cs="宋体"/>
          <w:b w:val="0"/>
          <w:color w:val="auto"/>
          <w:sz w:val="24"/>
          <w:szCs w:val="24"/>
          <w:highlight w:val="none"/>
          <w:lang w:eastAsia="zh-CN"/>
        </w:rPr>
        <w:t>2022年1月1日</w:t>
      </w:r>
      <w:r>
        <w:rPr>
          <w:rFonts w:hint="eastAsia" w:ascii="宋体" w:hAnsi="宋体" w:eastAsia="宋体" w:cs="宋体"/>
          <w:b w:val="0"/>
          <w:color w:val="auto"/>
          <w:sz w:val="24"/>
          <w:szCs w:val="24"/>
          <w:highlight w:val="none"/>
        </w:rPr>
        <w:t>以来）同类电子政</w:t>
      </w:r>
      <w:r>
        <w:rPr>
          <w:rFonts w:hint="eastAsia" w:ascii="宋体" w:hAnsi="宋体" w:eastAsia="宋体" w:cs="宋体"/>
          <w:b w:val="0"/>
          <w:color w:val="auto"/>
          <w:sz w:val="24"/>
          <w:szCs w:val="24"/>
          <w:highlight w:val="none"/>
          <w:lang w:val="en-US" w:eastAsia="zh-CN"/>
        </w:rPr>
        <w:t>务项目</w:t>
      </w:r>
      <w:r>
        <w:rPr>
          <w:rFonts w:hint="eastAsia" w:ascii="宋体" w:hAnsi="宋体" w:eastAsia="宋体" w:cs="宋体"/>
          <w:b w:val="0"/>
          <w:color w:val="auto"/>
          <w:sz w:val="24"/>
          <w:szCs w:val="24"/>
          <w:highlight w:val="none"/>
        </w:rPr>
        <w:t>实施经验。</w:t>
      </w:r>
    </w:p>
    <w:p w14:paraId="34A58480">
      <w:pPr>
        <w:pStyle w:val="5"/>
        <w:pageBreakBefore w:val="0"/>
        <w:numPr>
          <w:ilvl w:val="2"/>
          <w:numId w:val="0"/>
        </w:numPr>
        <w:kinsoku/>
        <w:wordWrap/>
        <w:overflowPunct/>
        <w:topLinePunct w:val="0"/>
        <w:bidi w:val="0"/>
        <w:spacing w:before="0" w:after="0" w:line="360" w:lineRule="auto"/>
        <w:ind w:left="0" w:leftChars="0" w:firstLine="420" w:firstLineChars="175"/>
        <w:rPr>
          <w:rFonts w:hint="eastAsia" w:ascii="宋体" w:hAnsi="宋体" w:eastAsia="宋体" w:cs="宋体"/>
          <w:b w:val="0"/>
          <w:color w:val="auto"/>
          <w:sz w:val="24"/>
          <w:szCs w:val="24"/>
          <w:highlight w:val="none"/>
        </w:rPr>
      </w:pPr>
      <w:bookmarkStart w:id="31" w:name="_Toc181731160"/>
      <w:r>
        <w:rPr>
          <w:rFonts w:hint="eastAsia" w:ascii="宋体" w:hAnsi="宋体" w:eastAsia="宋体" w:cs="宋体"/>
          <w:b w:val="0"/>
          <w:color w:val="auto"/>
          <w:sz w:val="24"/>
          <w:szCs w:val="24"/>
          <w:highlight w:val="none"/>
        </w:rPr>
        <w:t>项目技术负责人应具有</w:t>
      </w:r>
      <w:r>
        <w:rPr>
          <w:rFonts w:hint="eastAsia" w:ascii="宋体" w:hAnsi="宋体" w:cs="宋体"/>
          <w:b w:val="0"/>
          <w:color w:val="auto"/>
          <w:sz w:val="24"/>
          <w:szCs w:val="24"/>
          <w:highlight w:val="none"/>
          <w:lang w:val="en-US" w:eastAsia="zh-CN"/>
        </w:rPr>
        <w:t>计算机等</w:t>
      </w:r>
      <w:r>
        <w:rPr>
          <w:rFonts w:hint="eastAsia" w:ascii="宋体" w:hAnsi="宋体" w:eastAsia="宋体" w:cs="宋体"/>
          <w:b w:val="0"/>
          <w:color w:val="auto"/>
          <w:sz w:val="24"/>
          <w:szCs w:val="24"/>
          <w:highlight w:val="none"/>
        </w:rPr>
        <w:t>履约相关专业本科以上学历、具备</w:t>
      </w:r>
      <w:r>
        <w:rPr>
          <w:rFonts w:hint="eastAsia" w:ascii="宋体" w:hAnsi="宋体" w:cs="宋体"/>
          <w:b w:val="0"/>
          <w:color w:val="auto"/>
          <w:sz w:val="24"/>
          <w:szCs w:val="24"/>
          <w:highlight w:val="none"/>
          <w:lang w:val="en-US" w:eastAsia="zh-CN"/>
        </w:rPr>
        <w:t>软件开发</w:t>
      </w:r>
      <w:r>
        <w:rPr>
          <w:rFonts w:hint="eastAsia" w:ascii="宋体" w:hAnsi="宋体" w:eastAsia="宋体" w:cs="宋体"/>
          <w:b w:val="0"/>
          <w:color w:val="auto"/>
          <w:sz w:val="24"/>
          <w:szCs w:val="24"/>
          <w:highlight w:val="none"/>
        </w:rPr>
        <w:t>同类行业5年及以上从业经验（从业年限）及近三年（自</w:t>
      </w:r>
      <w:r>
        <w:rPr>
          <w:rFonts w:hint="eastAsia" w:ascii="宋体" w:hAnsi="宋体" w:eastAsia="宋体" w:cs="宋体"/>
          <w:b w:val="0"/>
          <w:color w:val="auto"/>
          <w:sz w:val="24"/>
          <w:szCs w:val="24"/>
          <w:highlight w:val="none"/>
          <w:lang w:eastAsia="zh-CN"/>
        </w:rPr>
        <w:t>2022年1月1日</w:t>
      </w:r>
      <w:r>
        <w:rPr>
          <w:rFonts w:hint="eastAsia" w:ascii="宋体" w:hAnsi="宋体" w:eastAsia="宋体" w:cs="宋体"/>
          <w:b w:val="0"/>
          <w:color w:val="auto"/>
          <w:sz w:val="24"/>
          <w:szCs w:val="24"/>
          <w:highlight w:val="none"/>
        </w:rPr>
        <w:t>以来）同类电子政</w:t>
      </w:r>
      <w:r>
        <w:rPr>
          <w:rFonts w:hint="eastAsia" w:ascii="宋体" w:hAnsi="宋体" w:eastAsia="宋体" w:cs="宋体"/>
          <w:b w:val="0"/>
          <w:color w:val="auto"/>
          <w:sz w:val="24"/>
          <w:szCs w:val="24"/>
          <w:highlight w:val="none"/>
          <w:lang w:val="en-US" w:eastAsia="zh-CN"/>
        </w:rPr>
        <w:t>务项目</w:t>
      </w:r>
      <w:r>
        <w:rPr>
          <w:rFonts w:hint="eastAsia" w:ascii="宋体" w:hAnsi="宋体" w:eastAsia="宋体" w:cs="宋体"/>
          <w:b w:val="0"/>
          <w:color w:val="auto"/>
          <w:sz w:val="24"/>
          <w:szCs w:val="24"/>
          <w:highlight w:val="none"/>
        </w:rPr>
        <w:t>实施经验。</w:t>
      </w:r>
      <w:bookmarkEnd w:id="31"/>
    </w:p>
    <w:p w14:paraId="12FF400D">
      <w:pPr>
        <w:pStyle w:val="5"/>
        <w:pageBreakBefore w:val="0"/>
        <w:numPr>
          <w:ilvl w:val="2"/>
          <w:numId w:val="0"/>
        </w:numPr>
        <w:kinsoku/>
        <w:wordWrap/>
        <w:overflowPunct/>
        <w:topLinePunct w:val="0"/>
        <w:bidi w:val="0"/>
        <w:spacing w:before="0" w:after="0" w:line="360" w:lineRule="auto"/>
        <w:ind w:left="0" w:leftChars="0" w:firstLine="420" w:firstLineChars="175"/>
        <w:rPr>
          <w:rFonts w:hint="eastAsia" w:ascii="宋体" w:hAnsi="宋体" w:eastAsia="宋体" w:cs="宋体"/>
          <w:b w:val="0"/>
          <w:color w:val="auto"/>
          <w:sz w:val="24"/>
          <w:szCs w:val="24"/>
          <w:highlight w:val="none"/>
        </w:rPr>
      </w:pPr>
      <w:bookmarkStart w:id="32" w:name="_Toc181731161"/>
      <w:r>
        <w:rPr>
          <w:rFonts w:hint="eastAsia" w:ascii="宋体" w:hAnsi="宋体" w:eastAsia="宋体" w:cs="宋体"/>
          <w:b w:val="0"/>
          <w:color w:val="auto"/>
          <w:sz w:val="24"/>
          <w:szCs w:val="24"/>
          <w:highlight w:val="none"/>
        </w:rPr>
        <w:t>项目其他成员（除项目经理和技术负责人外）应具有履约相关专业本科以上学历，具备近三年（自</w:t>
      </w:r>
      <w:r>
        <w:rPr>
          <w:rFonts w:hint="eastAsia" w:ascii="宋体" w:hAnsi="宋体" w:eastAsia="宋体" w:cs="宋体"/>
          <w:b w:val="0"/>
          <w:color w:val="auto"/>
          <w:sz w:val="24"/>
          <w:szCs w:val="24"/>
          <w:highlight w:val="none"/>
          <w:lang w:eastAsia="zh-CN"/>
        </w:rPr>
        <w:t>2022年1月1日</w:t>
      </w:r>
      <w:r>
        <w:rPr>
          <w:rFonts w:hint="eastAsia" w:ascii="宋体" w:hAnsi="宋体" w:eastAsia="宋体" w:cs="宋体"/>
          <w:b w:val="0"/>
          <w:color w:val="auto"/>
          <w:sz w:val="24"/>
          <w:szCs w:val="24"/>
          <w:highlight w:val="none"/>
        </w:rPr>
        <w:t>以来）同类电子政</w:t>
      </w:r>
      <w:r>
        <w:rPr>
          <w:rFonts w:hint="eastAsia" w:ascii="宋体" w:hAnsi="宋体" w:eastAsia="宋体" w:cs="宋体"/>
          <w:b w:val="0"/>
          <w:color w:val="auto"/>
          <w:sz w:val="24"/>
          <w:szCs w:val="24"/>
          <w:highlight w:val="none"/>
          <w:lang w:val="en-US" w:eastAsia="zh-CN"/>
        </w:rPr>
        <w:t>务项目</w:t>
      </w:r>
      <w:r>
        <w:rPr>
          <w:rFonts w:hint="eastAsia" w:ascii="宋体" w:hAnsi="宋体" w:eastAsia="宋体" w:cs="宋体"/>
          <w:b w:val="0"/>
          <w:color w:val="auto"/>
          <w:sz w:val="24"/>
          <w:szCs w:val="24"/>
          <w:highlight w:val="none"/>
        </w:rPr>
        <w:t>实施经验。</w:t>
      </w:r>
      <w:bookmarkEnd w:id="32"/>
    </w:p>
    <w:p w14:paraId="5EC365CF">
      <w:pPr>
        <w:pStyle w:val="3"/>
        <w:pageBreakBefore w:val="0"/>
        <w:numPr>
          <w:ilvl w:val="0"/>
          <w:numId w:val="2"/>
        </w:numPr>
        <w:tabs>
          <w:tab w:val="left" w:pos="0"/>
          <w:tab w:val="clear" w:pos="432"/>
        </w:tabs>
        <w:kinsoku/>
        <w:wordWrap/>
        <w:overflowPunct/>
        <w:topLinePunct w:val="0"/>
        <w:bidi w:val="0"/>
        <w:spacing w:before="0" w:after="0" w:line="360" w:lineRule="auto"/>
        <w:ind w:left="0" w:leftChars="0" w:firstLine="422" w:firstLineChars="175"/>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验收要求</w:t>
      </w:r>
    </w:p>
    <w:p w14:paraId="49D5A9E0">
      <w:pPr>
        <w:pageBreakBefore w:val="0"/>
        <w:numPr>
          <w:ilvl w:val="1"/>
          <w:numId w:val="2"/>
        </w:numPr>
        <w:shd w:val="clear" w:fill="CCC0D9" w:themeFill="accent4" w:themeFillTint="66"/>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软件验收测试</w:t>
      </w:r>
    </w:p>
    <w:p w14:paraId="29894E67">
      <w:pPr>
        <w:shd w:val="clear" w:fill="CCC0D9" w:themeFill="accent4" w:themeFillTint="66"/>
        <w:spacing w:line="360" w:lineRule="auto"/>
        <w:ind w:firstLine="480" w:firstLineChars="200"/>
        <w:rPr>
          <w:rFonts w:ascii="Times New Roman" w:hAnsi="Times New Roman"/>
          <w:color w:val="auto"/>
          <w:sz w:val="24"/>
          <w:szCs w:val="24"/>
          <w:highlight w:val="none"/>
        </w:rPr>
      </w:pPr>
      <w:r>
        <w:rPr>
          <w:rFonts w:hint="eastAsia" w:ascii="Times New Roman" w:hAnsi="Times New Roman"/>
          <w:color w:val="auto"/>
          <w:sz w:val="24"/>
          <w:szCs w:val="24"/>
          <w:highlight w:val="none"/>
        </w:rPr>
        <w:t>合同履行期间，供应商需完成软件验收测试工作，并承担系统整改和测试费用，</w:t>
      </w:r>
      <w:r>
        <w:rPr>
          <w:rFonts w:hint="eastAsia" w:ascii="Times New Roman" w:hAnsi="Times New Roman"/>
          <w:color w:val="auto"/>
          <w:sz w:val="24"/>
          <w:szCs w:val="24"/>
          <w:highlight w:val="none"/>
        </w:rPr>
        <w:t>包含在本次报价中</w:t>
      </w:r>
      <w:r>
        <w:rPr>
          <w:rFonts w:hint="eastAsia" w:ascii="Times New Roman" w:hAnsi="Times New Roman"/>
          <w:color w:val="auto"/>
          <w:sz w:val="24"/>
          <w:szCs w:val="24"/>
          <w:highlight w:val="none"/>
        </w:rPr>
        <w:t>。其中功能测试和性能测试须由中国合格评定国家认可委员会（CNAS）实验室资质许可机构或中国计量认证（CMA）资质许可机构进行，应包括采购范围内的功能、性能、信创环境兼容性（服务器、中间件、设备终端）以及其他指标满足情况。安全测试须由中国网络安全审查技术与认证中心颁发的信息安全风险评估服务资质认证机构（一级服务资质）和ISO27001信息安全管理体系认证机构进行，应包括安全基线检查、主机和应用漏洞扫描、渗透测试、后门检查以及部分核心代码段的安全审计。项目验收前提供完整、合格的测试成果。</w:t>
      </w:r>
    </w:p>
    <w:p w14:paraId="59981F79">
      <w:pPr>
        <w:pageBreakBefore w:val="0"/>
        <w:numPr>
          <w:ilvl w:val="1"/>
          <w:numId w:val="2"/>
        </w:numPr>
        <w:shd w:val="clear" w:fill="CCC0D9" w:themeFill="accent4" w:themeFillTint="66"/>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等级保护第三级测评</w:t>
      </w:r>
    </w:p>
    <w:p w14:paraId="6AC80EA0">
      <w:pPr>
        <w:shd w:val="clear" w:fill="CCC0D9" w:themeFill="accent4" w:themeFillTint="66"/>
        <w:spacing w:line="360" w:lineRule="auto"/>
        <w:ind w:firstLine="480" w:firstLineChars="200"/>
        <w:rPr>
          <w:rFonts w:ascii="Times New Roman" w:hAnsi="Times New Roman"/>
          <w:color w:val="auto"/>
          <w:sz w:val="24"/>
          <w:szCs w:val="24"/>
          <w:highlight w:val="none"/>
        </w:rPr>
      </w:pPr>
      <w:r>
        <w:rPr>
          <w:rFonts w:hint="eastAsia" w:ascii="Times New Roman" w:hAnsi="Times New Roman"/>
          <w:color w:val="auto"/>
          <w:sz w:val="24"/>
          <w:szCs w:val="24"/>
          <w:highlight w:val="none"/>
        </w:rPr>
        <w:t xml:space="preserve">合同履行期间，供应商需无条件配合开展信息系统安全等级保护第三级测评工作，并承担系统整改费用。该工作由第三方机构组织开展，供应商应严格按照《信息安全技术  网络安全等级保护基本要求》（GB/T 22239-2019）、《信息安全技术  网络安全等级保护定级指南》（GB/T 22240-2020）、《信息安全技术 </w:t>
      </w:r>
      <w:r>
        <w:rPr>
          <w:rFonts w:ascii="Times New Roman" w:hAnsi="Times New Roman"/>
          <w:color w:val="auto"/>
          <w:sz w:val="24"/>
          <w:szCs w:val="24"/>
          <w:highlight w:val="none"/>
        </w:rPr>
        <w:t xml:space="preserve"> </w:t>
      </w:r>
      <w:r>
        <w:rPr>
          <w:rFonts w:hint="eastAsia" w:ascii="Times New Roman" w:hAnsi="Times New Roman"/>
          <w:color w:val="auto"/>
          <w:sz w:val="24"/>
          <w:szCs w:val="24"/>
          <w:highlight w:val="none"/>
        </w:rPr>
        <w:t>网络安全等级保护实施指南》（GB/T 25058-2019）等文件要求建设实施，系统总体测评分数达到80分及以上。如本项目验收前该项工作不具备完成条件且不影响合同履约的，供应商需出具书面承诺，保证达到预期测评效果。</w:t>
      </w:r>
    </w:p>
    <w:p w14:paraId="64D11489">
      <w:pPr>
        <w:pageBreakBefore w:val="0"/>
        <w:numPr>
          <w:ilvl w:val="1"/>
          <w:numId w:val="2"/>
        </w:numPr>
        <w:shd w:val="clear" w:fill="CCC0D9" w:themeFill="accent4" w:themeFillTint="66"/>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商用密码应用安全性评估</w:t>
      </w:r>
    </w:p>
    <w:p w14:paraId="61C42DF9">
      <w:pPr>
        <w:shd w:val="clear" w:fill="CCC0D9" w:themeFill="accent4" w:themeFillTint="66"/>
        <w:spacing w:line="360" w:lineRule="auto"/>
        <w:ind w:firstLine="480" w:firstLineChars="200"/>
        <w:rPr>
          <w:rFonts w:ascii="Times New Roman" w:hAnsi="Times New Roman"/>
          <w:color w:val="auto"/>
          <w:sz w:val="24"/>
          <w:szCs w:val="24"/>
          <w:highlight w:val="none"/>
        </w:rPr>
      </w:pPr>
      <w:r>
        <w:rPr>
          <w:rFonts w:hint="eastAsia" w:ascii="Times New Roman" w:hAnsi="Times New Roman"/>
          <w:color w:val="auto"/>
          <w:sz w:val="24"/>
          <w:szCs w:val="24"/>
          <w:highlight w:val="none"/>
        </w:rPr>
        <w:t xml:space="preserve">合同履行期间，供应商需无条件配合开展商用密码应用安全性评估工作，并承担系统整改费用。该工作由第三方机构组织开展，供应商需配合完成《商用密码应用安全性方案》评审，应严格按照《信息安全技术 </w:t>
      </w:r>
      <w:r>
        <w:rPr>
          <w:rFonts w:ascii="Times New Roman" w:hAnsi="Times New Roman"/>
          <w:color w:val="auto"/>
          <w:sz w:val="24"/>
          <w:szCs w:val="24"/>
          <w:highlight w:val="none"/>
        </w:rPr>
        <w:t xml:space="preserve"> </w:t>
      </w:r>
      <w:r>
        <w:rPr>
          <w:rFonts w:hint="eastAsia" w:ascii="Times New Roman" w:hAnsi="Times New Roman"/>
          <w:color w:val="auto"/>
          <w:sz w:val="24"/>
          <w:szCs w:val="24"/>
          <w:highlight w:val="none"/>
        </w:rPr>
        <w:t>信息系统密码应用基本要求》（</w:t>
      </w:r>
      <w:r>
        <w:rPr>
          <w:rFonts w:ascii="Times New Roman" w:hAnsi="Times New Roman"/>
          <w:color w:val="auto"/>
          <w:sz w:val="24"/>
          <w:szCs w:val="24"/>
          <w:highlight w:val="none"/>
        </w:rPr>
        <w:t>GB/T 39786-2021</w:t>
      </w:r>
      <w:r>
        <w:rPr>
          <w:rFonts w:hint="eastAsia" w:ascii="Times New Roman" w:hAnsi="Times New Roman"/>
          <w:color w:val="auto"/>
          <w:sz w:val="24"/>
          <w:szCs w:val="24"/>
          <w:highlight w:val="none"/>
        </w:rPr>
        <w:t>）、《政务信息系统密码应用与安全性评估工作指南》、《信息系统密码应用测试要求》等文件要求建设实施，系统总体密评分数达到60分及以上，系统本身不存在高风险项。如本项目验收前该项工作不具备完成条件且不影响合同履约的，供应商需出具书面承诺，保证达到预期密评效果。</w:t>
      </w:r>
    </w:p>
    <w:p w14:paraId="69B9A977">
      <w:pPr>
        <w:pageBreakBefore w:val="0"/>
        <w:numPr>
          <w:ilvl w:val="1"/>
          <w:numId w:val="2"/>
        </w:numPr>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初验及试运行</w:t>
      </w:r>
    </w:p>
    <w:p w14:paraId="50CA312F">
      <w:pPr>
        <w:pageBreakBefore w:val="0"/>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基本建设完成后，供应商需提交内测报告，采购人、监理单位和供应商对建设内容开展系统功能检查测试，功能检查测试应覆盖所有功能模块（点），并编制功能检查测试报告。未经检查测试或检查测试不合格的项目，不得投入试运行。项目检查测试通过后，采购人自行组织初验，通过后进入试运行，试运行一年。试运行期间，供应商除需要对初验和试运行中发现的问题进行整改和升级外，还需开展以下工作：</w:t>
      </w:r>
    </w:p>
    <w:p w14:paraId="6F7877E7">
      <w:pPr>
        <w:pageBreakBefore w:val="0"/>
        <w:numPr>
          <w:ilvl w:val="2"/>
          <w:numId w:val="2"/>
        </w:numPr>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完成软件验收测试工作；</w:t>
      </w:r>
    </w:p>
    <w:p w14:paraId="62E945FE">
      <w:pPr>
        <w:pageBreakBefore w:val="0"/>
        <w:numPr>
          <w:ilvl w:val="2"/>
          <w:numId w:val="2"/>
        </w:numPr>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配合开展信息系统安全等级保护第三级测评工作；</w:t>
      </w:r>
    </w:p>
    <w:p w14:paraId="075941C6">
      <w:pPr>
        <w:pageBreakBefore w:val="0"/>
        <w:numPr>
          <w:ilvl w:val="2"/>
          <w:numId w:val="2"/>
        </w:numPr>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配合开展商用密码应用安全性评估工作；</w:t>
      </w:r>
    </w:p>
    <w:p w14:paraId="23124F08">
      <w:pPr>
        <w:pageBreakBefore w:val="0"/>
        <w:numPr>
          <w:ilvl w:val="2"/>
          <w:numId w:val="2"/>
        </w:numPr>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需完成财务报告、审计报告。</w:t>
      </w:r>
    </w:p>
    <w:p w14:paraId="1EF9E6FE">
      <w:pPr>
        <w:pageBreakBefore w:val="0"/>
        <w:numPr>
          <w:ilvl w:val="1"/>
          <w:numId w:val="2"/>
        </w:numPr>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项目终验</w:t>
      </w:r>
    </w:p>
    <w:p w14:paraId="5E2554AC">
      <w:pPr>
        <w:pageBreakBefore w:val="0"/>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软件及软件集成类项目验收前，供应商要配合采购人完成项目所涉数字资源的目录编制、数据归集、资源优化、应用发布等工作。供应商按合同全部履约完成，试运行稳定无异常，供应商需发起验收申请，提交完整的验收文档和资料，经采购人、监理单位审核通过后视情况组织项目验收。供应商要负责合同履行期间（含建设期和运维期）应用系统源代码版本管理、更新发布以及资产移交等工作。</w:t>
      </w:r>
    </w:p>
    <w:p w14:paraId="56037709">
      <w:pPr>
        <w:pageBreakBefore w:val="0"/>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rPr>
      </w:pPr>
    </w:p>
    <w:p w14:paraId="50EBE5E7">
      <w:pPr>
        <w:pStyle w:val="3"/>
        <w:pageBreakBefore w:val="0"/>
        <w:numPr>
          <w:ilvl w:val="0"/>
          <w:numId w:val="0"/>
        </w:numPr>
        <w:tabs>
          <w:tab w:val="left" w:pos="0"/>
          <w:tab w:val="clear" w:pos="432"/>
        </w:tabs>
        <w:kinsoku/>
        <w:wordWrap/>
        <w:overflowPunct/>
        <w:topLinePunct w:val="0"/>
        <w:bidi w:val="0"/>
        <w:spacing w:before="0" w:after="0" w:line="360" w:lineRule="auto"/>
        <w:ind w:left="0" w:leftChars="0" w:firstLine="422" w:firstLineChars="175"/>
        <w:jc w:val="left"/>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二、标项二：</w:t>
      </w:r>
      <w:r>
        <w:rPr>
          <w:rFonts w:hint="eastAsia" w:ascii="宋体" w:hAnsi="宋体" w:eastAsia="宋体" w:cs="宋体"/>
          <w:b/>
          <w:color w:val="auto"/>
          <w:sz w:val="24"/>
          <w:szCs w:val="24"/>
          <w:highlight w:val="none"/>
          <w:lang w:val="en-US" w:eastAsia="zh-CN"/>
        </w:rPr>
        <w:t>浙江省</w:t>
      </w:r>
      <w:r>
        <w:rPr>
          <w:rFonts w:hint="eastAsia" w:ascii="宋体" w:hAnsi="宋体" w:eastAsia="宋体" w:cs="宋体"/>
          <w:b/>
          <w:color w:val="auto"/>
          <w:sz w:val="24"/>
          <w:szCs w:val="24"/>
          <w:highlight w:val="none"/>
        </w:rPr>
        <w:t>县乡合法性审查应用建设项目</w:t>
      </w:r>
      <w:r>
        <w:rPr>
          <w:rFonts w:hint="eastAsia" w:ascii="宋体" w:hAnsi="宋体" w:eastAsia="宋体" w:cs="宋体"/>
          <w:b/>
          <w:color w:val="auto"/>
          <w:sz w:val="24"/>
          <w:szCs w:val="24"/>
          <w:highlight w:val="none"/>
          <w:lang w:val="en-US" w:eastAsia="zh-CN"/>
        </w:rPr>
        <w:t>采购需求</w:t>
      </w:r>
    </w:p>
    <w:p w14:paraId="13327F34">
      <w:pPr>
        <w:pStyle w:val="3"/>
        <w:pageBreakBefore w:val="0"/>
        <w:widowControl/>
        <w:numPr>
          <w:ilvl w:val="0"/>
          <w:numId w:val="4"/>
        </w:numPr>
        <w:tabs>
          <w:tab w:val="clear" w:pos="432"/>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44"/>
          <w:sz w:val="24"/>
          <w:szCs w:val="24"/>
          <w:highlight w:val="none"/>
        </w:rPr>
      </w:pPr>
      <w:r>
        <w:rPr>
          <w:rFonts w:hint="eastAsia" w:ascii="宋体" w:hAnsi="宋体" w:eastAsia="宋体" w:cs="宋体"/>
          <w:b/>
          <w:bCs w:val="0"/>
          <w:color w:val="auto"/>
          <w:kern w:val="44"/>
          <w:sz w:val="24"/>
          <w:szCs w:val="24"/>
          <w:highlight w:val="none"/>
        </w:rPr>
        <w:t>项目背景</w:t>
      </w:r>
    </w:p>
    <w:p w14:paraId="04E625FD">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习近平总书记指出，“全面推进依法治国，推进国家治理体系和治理能力现代化，工作的基础在基层”，“法治建设既要抓末端、治已病，更要抓前端、治未病”。党的二十大报告首次单独把法治建设作为专章论述、专门部署，提出“全面推进国家各方面工作法治化”。县乡作为基层治理的主阵地，信访量大、败诉率高，是各方面工作法治化的焦点重点，也是堵点难点。合法性审查作为预防性法律制度，能够在源头上减少信访事项、行政争议，推动依法行政。2023年4月1日出台的《浙江省行政合法性审查工作规定》首次以立法形式将审查职能拓展至乡镇（街道）。县乡合法性审查质效提升改革是打通基层依法治理“最后一公里”的关键路径，更是奋力谱写中国式现代化浙江新篇章的基层基础。</w:t>
      </w:r>
    </w:p>
    <w:p w14:paraId="6085D0F5">
      <w:pPr>
        <w:pStyle w:val="3"/>
        <w:pageBreakBefore w:val="0"/>
        <w:widowControl/>
        <w:numPr>
          <w:ilvl w:val="0"/>
          <w:numId w:val="4"/>
        </w:numPr>
        <w:tabs>
          <w:tab w:val="clear" w:pos="432"/>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44"/>
          <w:sz w:val="24"/>
          <w:szCs w:val="24"/>
          <w:highlight w:val="none"/>
        </w:rPr>
      </w:pPr>
      <w:r>
        <w:rPr>
          <w:rFonts w:hint="eastAsia" w:ascii="宋体" w:hAnsi="宋体" w:eastAsia="宋体" w:cs="宋体"/>
          <w:b/>
          <w:bCs w:val="0"/>
          <w:color w:val="auto"/>
          <w:kern w:val="44"/>
          <w:sz w:val="24"/>
          <w:szCs w:val="24"/>
          <w:highlight w:val="none"/>
        </w:rPr>
        <w:t>基础信息管理</w:t>
      </w:r>
    </w:p>
    <w:p w14:paraId="66C08E52">
      <w:pPr>
        <w:pStyle w:val="4"/>
        <w:pageBreakBefore w:val="0"/>
        <w:widowControl/>
        <w:numPr>
          <w:ilvl w:val="1"/>
          <w:numId w:val="5"/>
        </w:numPr>
        <w:tabs>
          <w:tab w:val="clear" w:pos="432"/>
        </w:tabs>
        <w:kinsoku/>
        <w:wordWrap/>
        <w:overflowPunct/>
        <w:topLinePunct w:val="0"/>
        <w:autoSpaceDN/>
        <w:bidi w:val="0"/>
        <w:snapToGrid/>
        <w:spacing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人员基础信息管理</w:t>
      </w:r>
    </w:p>
    <w:p w14:paraId="420B141A">
      <w:pPr>
        <w:pStyle w:val="5"/>
        <w:pageBreakBefore w:val="0"/>
        <w:widowControl/>
        <w:numPr>
          <w:ilvl w:val="2"/>
          <w:numId w:val="5"/>
        </w:numPr>
        <w:tabs>
          <w:tab w:val="clear" w:pos="900"/>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组织机构信息管理</w:t>
      </w:r>
    </w:p>
    <w:p w14:paraId="273D74A4">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组织机构信息同步</w:t>
      </w:r>
    </w:p>
    <w:p w14:paraId="67B979F8">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对浙政钉通讯体系中，合法性审查相关的组织机构信息进行同步拉取，建立合法性审查的组织架构体系。</w:t>
      </w:r>
    </w:p>
    <w:p w14:paraId="041B70AD">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组织机构信息管理</w:t>
      </w:r>
    </w:p>
    <w:p w14:paraId="5BE9EC50">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支持根据合法性审查工作需求，对审查经办部门的基础信息进行编辑与更新。</w:t>
      </w:r>
    </w:p>
    <w:p w14:paraId="3B9F211F">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组织机关权限控制</w:t>
      </w:r>
    </w:p>
    <w:p w14:paraId="644A4AF8">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对合法性审查经办部门的组织机构，需根据实际工作的不同情况进行授权控制。</w:t>
      </w:r>
    </w:p>
    <w:p w14:paraId="4C6F45B7">
      <w:pPr>
        <w:pStyle w:val="5"/>
        <w:pageBreakBefore w:val="0"/>
        <w:widowControl/>
        <w:numPr>
          <w:ilvl w:val="2"/>
          <w:numId w:val="5"/>
        </w:numPr>
        <w:tabs>
          <w:tab w:val="clear" w:pos="900"/>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合法性审查人员同步管理</w:t>
      </w:r>
    </w:p>
    <w:p w14:paraId="4A577DEE">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人员同步</w:t>
      </w:r>
    </w:p>
    <w:p w14:paraId="56E25493">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对乡镇（街道）合法性审查人员的信息进行浙政钉用户同步。</w:t>
      </w:r>
    </w:p>
    <w:p w14:paraId="1EDED949">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人员信息更新</w:t>
      </w:r>
    </w:p>
    <w:p w14:paraId="03D0A707">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对乡镇（街道）合法性审查人员的信息进行修改更新。</w:t>
      </w:r>
    </w:p>
    <w:p w14:paraId="433060CF">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角色授权</w:t>
      </w:r>
    </w:p>
    <w:p w14:paraId="75D856ED">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按照合法性审查业务流程对合法性审查人员进行划分，为合法性审查工作人员进行授权，为人员分配权限范围内的功能菜单。</w:t>
      </w:r>
    </w:p>
    <w:p w14:paraId="59FF0E69">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人员维护</w:t>
      </w:r>
    </w:p>
    <w:p w14:paraId="4B66FB6C">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为合法性审查的党政综合办公室人员、党政办分管领导、司法所人员、法律顾问、审查中心人员、备案审查机构人员、区县管理员等进行人员维护，关联该类人员下的用户。</w:t>
      </w:r>
    </w:p>
    <w:p w14:paraId="5CC67FB7">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部门关联</w:t>
      </w:r>
    </w:p>
    <w:p w14:paraId="2A24F519">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对党政综合办公室人员、党政办分管领导、司法所人员、法律顾问、审查中心人员、备案审查机构人员、区县管理员等人员的所属部门进行分配。</w:t>
      </w:r>
    </w:p>
    <w:p w14:paraId="16B0F086">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人员状态</w:t>
      </w:r>
    </w:p>
    <w:p w14:paraId="3E2BD314">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对党政综合办公室人员、党政办分管领导、司法所人员、法律顾问、审查中心人员、备案审查机构人员、区县管理员等人员的状态进行管理。</w:t>
      </w:r>
    </w:p>
    <w:p w14:paraId="36BFD34F">
      <w:pPr>
        <w:pStyle w:val="5"/>
        <w:pageBreakBefore w:val="0"/>
        <w:widowControl/>
        <w:numPr>
          <w:ilvl w:val="2"/>
          <w:numId w:val="5"/>
        </w:numPr>
        <w:tabs>
          <w:tab w:val="clear" w:pos="900"/>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系统用户信息维护管理</w:t>
      </w:r>
    </w:p>
    <w:p w14:paraId="7636D796">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用户新增</w:t>
      </w:r>
    </w:p>
    <w:p w14:paraId="67D41B70">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支持对全省各区县、各部门用户账号进行手动信息新增管理。</w:t>
      </w:r>
    </w:p>
    <w:p w14:paraId="0EA27B04">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用户授权</w:t>
      </w:r>
    </w:p>
    <w:p w14:paraId="32E01C20">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支持对新增的用户进行角色分配，通过角色分配，赋予用户不同的权限。</w:t>
      </w:r>
    </w:p>
    <w:p w14:paraId="4667A5D8">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用户编辑</w:t>
      </w:r>
    </w:p>
    <w:p w14:paraId="3A183D0C">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支持对已添加的用户信息进行重新编辑，自动填入已保存的数据。</w:t>
      </w:r>
    </w:p>
    <w:p w14:paraId="3867C00D">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用户冻结</w:t>
      </w:r>
    </w:p>
    <w:p w14:paraId="6021CF64">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支持上级管理员账号对下级所属用户的状态进行管理，进行冻结、解冻操作。</w:t>
      </w:r>
    </w:p>
    <w:p w14:paraId="301CCAC5">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密码重置</w:t>
      </w:r>
    </w:p>
    <w:p w14:paraId="06919C86">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支持上级管理员账号对下级所属用户的密码进行重新设置。</w:t>
      </w:r>
    </w:p>
    <w:p w14:paraId="68B65E40">
      <w:pPr>
        <w:pStyle w:val="3"/>
        <w:pageBreakBefore w:val="0"/>
        <w:widowControl/>
        <w:numPr>
          <w:ilvl w:val="0"/>
          <w:numId w:val="5"/>
        </w:numPr>
        <w:tabs>
          <w:tab w:val="clear" w:pos="432"/>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44"/>
          <w:sz w:val="24"/>
          <w:szCs w:val="24"/>
          <w:highlight w:val="none"/>
        </w:rPr>
      </w:pPr>
      <w:r>
        <w:rPr>
          <w:rFonts w:hint="eastAsia" w:ascii="宋体" w:hAnsi="宋体" w:eastAsia="宋体" w:cs="宋体"/>
          <w:b/>
          <w:bCs w:val="0"/>
          <w:color w:val="auto"/>
          <w:kern w:val="44"/>
          <w:sz w:val="24"/>
          <w:szCs w:val="24"/>
          <w:highlight w:val="none"/>
        </w:rPr>
        <w:t>实践实训管理</w:t>
      </w:r>
    </w:p>
    <w:p w14:paraId="581AD9ED">
      <w:pPr>
        <w:pStyle w:val="4"/>
        <w:pageBreakBefore w:val="0"/>
        <w:widowControl/>
        <w:numPr>
          <w:ilvl w:val="1"/>
          <w:numId w:val="5"/>
        </w:numPr>
        <w:tabs>
          <w:tab w:val="clear" w:pos="432"/>
        </w:tabs>
        <w:kinsoku/>
        <w:wordWrap/>
        <w:overflowPunct/>
        <w:topLinePunct w:val="0"/>
        <w:autoSpaceDN/>
        <w:bidi w:val="0"/>
        <w:snapToGrid/>
        <w:spacing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学习管理</w:t>
      </w:r>
    </w:p>
    <w:p w14:paraId="0F0AA736">
      <w:pPr>
        <w:pStyle w:val="5"/>
        <w:pageBreakBefore w:val="0"/>
        <w:widowControl/>
        <w:numPr>
          <w:ilvl w:val="2"/>
          <w:numId w:val="5"/>
        </w:numPr>
        <w:tabs>
          <w:tab w:val="clear" w:pos="900"/>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学习资源数据</w:t>
      </w:r>
    </w:p>
    <w:p w14:paraId="612E65DF">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支持上传学习数据，并根据是否开放属性控制学习资源的开放范围。</w:t>
      </w:r>
    </w:p>
    <w:p w14:paraId="77450487">
      <w:pPr>
        <w:pStyle w:val="5"/>
        <w:pageBreakBefore w:val="0"/>
        <w:widowControl/>
        <w:numPr>
          <w:ilvl w:val="2"/>
          <w:numId w:val="5"/>
        </w:numPr>
        <w:tabs>
          <w:tab w:val="clear" w:pos="900"/>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学习资料查询预览</w:t>
      </w:r>
    </w:p>
    <w:p w14:paraId="49590058">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对学习资源进行条件筛选查询，并提供已上传文档与视频的预览与下载功能。</w:t>
      </w:r>
    </w:p>
    <w:p w14:paraId="73495964">
      <w:pPr>
        <w:pStyle w:val="4"/>
        <w:pageBreakBefore w:val="0"/>
        <w:widowControl/>
        <w:numPr>
          <w:ilvl w:val="1"/>
          <w:numId w:val="5"/>
        </w:numPr>
        <w:tabs>
          <w:tab w:val="clear" w:pos="432"/>
        </w:tabs>
        <w:kinsoku/>
        <w:wordWrap/>
        <w:overflowPunct/>
        <w:topLinePunct w:val="0"/>
        <w:autoSpaceDN/>
        <w:bidi w:val="0"/>
        <w:snapToGrid/>
        <w:spacing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案例管理</w:t>
      </w:r>
    </w:p>
    <w:p w14:paraId="0AC651FC">
      <w:pPr>
        <w:pStyle w:val="5"/>
        <w:pageBreakBefore w:val="0"/>
        <w:widowControl/>
        <w:numPr>
          <w:ilvl w:val="2"/>
          <w:numId w:val="5"/>
        </w:numPr>
        <w:tabs>
          <w:tab w:val="clear" w:pos="900"/>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案例资源数据归集</w:t>
      </w:r>
    </w:p>
    <w:p w14:paraId="2253906F">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支持上传案例数据，并根据是否开放属性控制案例资源的开放范围。</w:t>
      </w:r>
    </w:p>
    <w:p w14:paraId="03E21D82">
      <w:pPr>
        <w:pStyle w:val="5"/>
        <w:pageBreakBefore w:val="0"/>
        <w:widowControl/>
        <w:numPr>
          <w:ilvl w:val="2"/>
          <w:numId w:val="5"/>
        </w:numPr>
        <w:tabs>
          <w:tab w:val="clear" w:pos="900"/>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案例数据查询</w:t>
      </w:r>
    </w:p>
    <w:p w14:paraId="16549645">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 xml:space="preserve">    支持对案例</w:t>
      </w:r>
      <w:r>
        <w:rPr>
          <w:rFonts w:hint="eastAsia" w:ascii="宋体" w:hAnsi="宋体" w:eastAsia="宋体" w:cs="宋体"/>
          <w:color w:val="auto"/>
          <w:kern w:val="2"/>
          <w:sz w:val="24"/>
          <w:szCs w:val="24"/>
          <w:highlight w:val="none"/>
          <w:lang w:val="en-US" w:eastAsia="zh-CN" w:bidi="ar"/>
        </w:rPr>
        <w:t>资源进行条件筛选查询，并提供案例详情内容查看功能。</w:t>
      </w:r>
    </w:p>
    <w:p w14:paraId="3EE501D1">
      <w:pPr>
        <w:pStyle w:val="4"/>
        <w:pageBreakBefore w:val="0"/>
        <w:widowControl/>
        <w:numPr>
          <w:ilvl w:val="1"/>
          <w:numId w:val="5"/>
        </w:numPr>
        <w:tabs>
          <w:tab w:val="clear" w:pos="432"/>
        </w:tabs>
        <w:kinsoku/>
        <w:wordWrap/>
        <w:overflowPunct/>
        <w:topLinePunct w:val="0"/>
        <w:autoSpaceDN/>
        <w:bidi w:val="0"/>
        <w:snapToGrid/>
        <w:spacing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在线考试</w:t>
      </w:r>
    </w:p>
    <w:p w14:paraId="6F98DAF7">
      <w:pPr>
        <w:pStyle w:val="3"/>
        <w:pageBreakBefore w:val="0"/>
        <w:widowControl/>
        <w:kinsoku/>
        <w:wordWrap/>
        <w:overflowPunct/>
        <w:topLinePunct w:val="0"/>
        <w:autoSpaceDN/>
        <w:bidi w:val="0"/>
        <w:snapToGrid/>
        <w:spacing w:before="0" w:after="0" w:line="360" w:lineRule="auto"/>
        <w:ind w:left="0" w:leftChars="0" w:firstLine="420" w:firstLineChars="175"/>
        <w:textAlignment w:val="auto"/>
        <w:rPr>
          <w:rFonts w:hint="eastAsia" w:ascii="宋体" w:hAnsi="宋体" w:eastAsia="宋体" w:cs="宋体"/>
          <w:b w:val="0"/>
          <w:color w:val="auto"/>
          <w:kern w:val="2"/>
          <w:sz w:val="24"/>
          <w:szCs w:val="24"/>
          <w:highlight w:val="none"/>
        </w:rPr>
      </w:pPr>
      <w:r>
        <w:rPr>
          <w:rFonts w:hint="eastAsia" w:ascii="宋体" w:hAnsi="宋体" w:eastAsia="宋体" w:cs="宋体"/>
          <w:b w:val="0"/>
          <w:color w:val="auto"/>
          <w:kern w:val="2"/>
          <w:sz w:val="24"/>
          <w:szCs w:val="24"/>
          <w:highlight w:val="none"/>
        </w:rPr>
        <w:t xml:space="preserve">    支持在线刷题、在线考试，通过考试合格分数线后获取线上培训合格证书。</w:t>
      </w:r>
    </w:p>
    <w:p w14:paraId="301AE7A5">
      <w:pPr>
        <w:pStyle w:val="3"/>
        <w:pageBreakBefore w:val="0"/>
        <w:widowControl/>
        <w:numPr>
          <w:ilvl w:val="0"/>
          <w:numId w:val="5"/>
        </w:numPr>
        <w:tabs>
          <w:tab w:val="clear" w:pos="432"/>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44"/>
          <w:sz w:val="24"/>
          <w:szCs w:val="24"/>
          <w:highlight w:val="none"/>
        </w:rPr>
      </w:pPr>
      <w:r>
        <w:rPr>
          <w:rFonts w:hint="eastAsia" w:ascii="宋体" w:hAnsi="宋体" w:eastAsia="宋体" w:cs="宋体"/>
          <w:b/>
          <w:bCs w:val="0"/>
          <w:color w:val="auto"/>
          <w:kern w:val="44"/>
          <w:sz w:val="24"/>
          <w:szCs w:val="24"/>
          <w:highlight w:val="none"/>
        </w:rPr>
        <w:t>乡镇（街道）合法性审查管理</w:t>
      </w:r>
    </w:p>
    <w:p w14:paraId="523ABD4C">
      <w:pPr>
        <w:pStyle w:val="4"/>
        <w:keepNext/>
        <w:keepLines/>
        <w:pageBreakBefore w:val="0"/>
        <w:widowControl w:val="0"/>
        <w:numPr>
          <w:ilvl w:val="1"/>
          <w:numId w:val="5"/>
        </w:numPr>
        <w:suppressLineNumbers w:val="0"/>
        <w:tabs>
          <w:tab w:val="clear" w:pos="432"/>
        </w:tabs>
        <w:kinsoku/>
        <w:wordWrap/>
        <w:overflowPunct/>
        <w:topLinePunct w:val="0"/>
        <w:autoSpaceDE w:val="0"/>
        <w:autoSpaceDN/>
        <w:bidi w:val="0"/>
        <w:snapToGrid/>
        <w:spacing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任务总览</w:t>
      </w:r>
    </w:p>
    <w:p w14:paraId="45E5329F">
      <w:pPr>
        <w:keepNext w:val="0"/>
        <w:keepLines w:val="0"/>
        <w:pageBreakBefore w:val="0"/>
        <w:widowControl/>
        <w:suppressLineNumbers w:val="0"/>
        <w:kinsoku/>
        <w:wordWrap/>
        <w:overflowPunct/>
        <w:topLinePunct w:val="0"/>
        <w:autoSpaceDE w:val="0"/>
        <w:autoSpaceDN/>
        <w:bidi w:val="0"/>
        <w:snapToGrid/>
        <w:spacing w:beforeAutospacing="0" w:afterAutospacing="0" w:line="360" w:lineRule="auto"/>
        <w:ind w:left="0" w:leftChars="0" w:right="0" w:firstLine="420" w:firstLineChars="175"/>
        <w:jc w:val="left"/>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对正在审查流程中的任务情况进行展示并提供查询功能。</w:t>
      </w:r>
    </w:p>
    <w:p w14:paraId="4D0FA4C7">
      <w:pPr>
        <w:pStyle w:val="5"/>
        <w:pageBreakBefore w:val="0"/>
        <w:widowControl/>
        <w:numPr>
          <w:ilvl w:val="2"/>
          <w:numId w:val="5"/>
        </w:numPr>
        <w:tabs>
          <w:tab w:val="clear" w:pos="900"/>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待办任务</w:t>
      </w:r>
    </w:p>
    <w:p w14:paraId="4BABBD99">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审查待办任务查询及展示</w:t>
      </w:r>
    </w:p>
    <w:p w14:paraId="471C6E21">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提供审查待办任务的查询与展示功能。</w:t>
      </w:r>
    </w:p>
    <w:p w14:paraId="42110357">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备案待办任务查询及展示</w:t>
      </w:r>
    </w:p>
    <w:p w14:paraId="74EB9260">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提供备案待办任务的查询与展示功能。</w:t>
      </w:r>
    </w:p>
    <w:p w14:paraId="79137C91">
      <w:pPr>
        <w:pStyle w:val="5"/>
        <w:pageBreakBefore w:val="0"/>
        <w:widowControl/>
        <w:numPr>
          <w:ilvl w:val="2"/>
          <w:numId w:val="5"/>
        </w:numPr>
        <w:tabs>
          <w:tab w:val="clear" w:pos="900"/>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已办任务</w:t>
      </w:r>
    </w:p>
    <w:p w14:paraId="2965B256">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审查已办任务查询及展示</w:t>
      </w:r>
    </w:p>
    <w:p w14:paraId="429A53D8">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提供审查已办任务的查询与展示功能。</w:t>
      </w:r>
    </w:p>
    <w:p w14:paraId="5D6DF2A6">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备案已办任务查询及展示</w:t>
      </w:r>
    </w:p>
    <w:p w14:paraId="02B0E9F4">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提供备案已办任务的查询与展示功能。</w:t>
      </w:r>
    </w:p>
    <w:p w14:paraId="28A6CC70">
      <w:pPr>
        <w:pStyle w:val="4"/>
        <w:pageBreakBefore w:val="0"/>
        <w:widowControl/>
        <w:numPr>
          <w:ilvl w:val="1"/>
          <w:numId w:val="5"/>
        </w:numPr>
        <w:tabs>
          <w:tab w:val="clear" w:pos="432"/>
        </w:tabs>
        <w:kinsoku/>
        <w:wordWrap/>
        <w:overflowPunct/>
        <w:topLinePunct w:val="0"/>
        <w:autoSpaceDN/>
        <w:bidi w:val="0"/>
        <w:snapToGrid/>
        <w:spacing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事项总览</w:t>
      </w:r>
    </w:p>
    <w:p w14:paraId="41BF9E6B">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对平台所有事项（包括已完成和未完成的事项）与部门进行关联并展示。</w:t>
      </w:r>
    </w:p>
    <w:p w14:paraId="729C475E">
      <w:pPr>
        <w:pStyle w:val="5"/>
        <w:pageBreakBefore w:val="0"/>
        <w:widowControl/>
        <w:numPr>
          <w:ilvl w:val="2"/>
          <w:numId w:val="5"/>
        </w:numPr>
        <w:tabs>
          <w:tab w:val="clear" w:pos="900"/>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事项总览列表</w:t>
      </w:r>
    </w:p>
    <w:p w14:paraId="2BA33C42">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部门数据关联</w:t>
      </w:r>
    </w:p>
    <w:p w14:paraId="47EDB47D">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根据事项所属部门进行关联，将该部门所属数据进行展示。</w:t>
      </w:r>
    </w:p>
    <w:p w14:paraId="3EBBD60E">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部门权限控制</w:t>
      </w:r>
    </w:p>
    <w:p w14:paraId="1AA6BA61">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对部门进行权限控制，上级部门可查看本部门以及下级部门的合法性审查数据和备案数据。</w:t>
      </w:r>
    </w:p>
    <w:p w14:paraId="0CFC0EC5">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事项分类切换</w:t>
      </w:r>
    </w:p>
    <w:p w14:paraId="0852E335">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根据事项的类型进行分类，提供 tab 页面切换查询功能。</w:t>
      </w:r>
    </w:p>
    <w:p w14:paraId="6BE2C99A">
      <w:pPr>
        <w:pStyle w:val="5"/>
        <w:pageBreakBefore w:val="0"/>
        <w:widowControl/>
        <w:numPr>
          <w:ilvl w:val="2"/>
          <w:numId w:val="5"/>
        </w:numPr>
        <w:tabs>
          <w:tab w:val="clear" w:pos="900"/>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事项详情</w:t>
      </w:r>
    </w:p>
    <w:p w14:paraId="5DE73A63">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事项综合查询</w:t>
      </w:r>
    </w:p>
    <w:p w14:paraId="20995295">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列表可根据相对应筛选条件进行数据查询。</w:t>
      </w:r>
    </w:p>
    <w:p w14:paraId="0B5A1958">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事项数据导出</w:t>
      </w:r>
    </w:p>
    <w:p w14:paraId="44270DE1">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根据相对应筛选条件查询出的数据，点击导出按钮，即可导出列表中所有数据。</w:t>
      </w:r>
    </w:p>
    <w:p w14:paraId="2BB44FC0">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事项详情查看</w:t>
      </w:r>
    </w:p>
    <w:p w14:paraId="530EDDF9">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在数据展示列表中，用户可点击查看按钮进入事项详情页面，查看详情内容。</w:t>
      </w:r>
    </w:p>
    <w:p w14:paraId="5200717F">
      <w:pPr>
        <w:pStyle w:val="4"/>
        <w:pageBreakBefore w:val="0"/>
        <w:widowControl/>
        <w:numPr>
          <w:ilvl w:val="1"/>
          <w:numId w:val="5"/>
        </w:numPr>
        <w:tabs>
          <w:tab w:val="clear" w:pos="432"/>
        </w:tabs>
        <w:kinsoku/>
        <w:wordWrap/>
        <w:overflowPunct/>
        <w:topLinePunct w:val="0"/>
        <w:autoSpaceDN/>
        <w:bidi w:val="0"/>
        <w:snapToGrid/>
        <w:spacing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合法性审查</w:t>
      </w:r>
    </w:p>
    <w:p w14:paraId="5D37B661">
      <w:pPr>
        <w:pStyle w:val="5"/>
        <w:pageBreakBefore w:val="0"/>
        <w:widowControl/>
        <w:numPr>
          <w:ilvl w:val="2"/>
          <w:numId w:val="5"/>
        </w:numPr>
        <w:tabs>
          <w:tab w:val="clear" w:pos="900"/>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起草事项基础信息管理（起草科室）</w:t>
      </w:r>
    </w:p>
    <w:p w14:paraId="7143700D">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审查事项上报</w:t>
      </w:r>
    </w:p>
    <w:p w14:paraId="1947224F">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起草科室可发起事项审查申请，输入事项详情内容。</w:t>
      </w:r>
    </w:p>
    <w:p w14:paraId="26A9BB41">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起草科室信息默认关联</w:t>
      </w:r>
    </w:p>
    <w:p w14:paraId="2D26073E">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起草科室进入审查事项新增页面，系统可自动关联当前登录用户的</w:t>
      </w:r>
      <w:r>
        <w:rPr>
          <w:rFonts w:hint="eastAsia" w:ascii="宋体" w:hAnsi="宋体" w:eastAsia="宋体" w:cs="宋体"/>
          <w:color w:val="auto"/>
          <w:kern w:val="2"/>
          <w:sz w:val="24"/>
          <w:szCs w:val="24"/>
          <w:highlight w:val="none"/>
          <w:lang w:val="en-US" w:eastAsia="zh-CN" w:bidi="ar"/>
        </w:rPr>
        <w:t>基础信息。</w:t>
      </w:r>
    </w:p>
    <w:p w14:paraId="11B8ED8F">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乡镇（街道）合同性质管理</w:t>
      </w:r>
    </w:p>
    <w:p w14:paraId="5A236AEB">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在乡镇（街道）合同起草时，对合同的性质进行筛选控制。</w:t>
      </w:r>
    </w:p>
    <w:p w14:paraId="2566E56A">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起草文件管理</w:t>
      </w:r>
    </w:p>
    <w:p w14:paraId="1589553A">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起草科室在审查事项起草时，可上传事项的相关材料。</w:t>
      </w:r>
    </w:p>
    <w:p w14:paraId="6F3CC8E2">
      <w:pPr>
        <w:pStyle w:val="5"/>
        <w:pageBreakBefore w:val="0"/>
        <w:widowControl/>
        <w:numPr>
          <w:ilvl w:val="2"/>
          <w:numId w:val="5"/>
        </w:numPr>
        <w:tabs>
          <w:tab w:val="clear" w:pos="900"/>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合法性审查（党政综合办公室）</w:t>
      </w:r>
    </w:p>
    <w:p w14:paraId="00941515">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加急置顶通知</w:t>
      </w:r>
    </w:p>
    <w:p w14:paraId="201DF86B">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对于加急的审查事项标红显示“加急”，且对审查事项进行置顶显示。</w:t>
      </w:r>
    </w:p>
    <w:p w14:paraId="44AC0587">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审查流程控制</w:t>
      </w:r>
    </w:p>
    <w:p w14:paraId="12D316FA">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可对审查事项的具体审查流程进行管理，包括“协审”与“自审”两种流程。</w:t>
      </w:r>
    </w:p>
    <w:p w14:paraId="450367F6">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内审指派管理</w:t>
      </w:r>
    </w:p>
    <w:p w14:paraId="7AD37655">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审查人员选择“内审”，则须选择相应的内审法律顾问或司法所。</w:t>
      </w:r>
    </w:p>
    <w:p w14:paraId="4F0D8D28">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重大疑难协审管理</w:t>
      </w:r>
    </w:p>
    <w:p w14:paraId="69C8A984">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审查人员选择“ 重大疑难协审”，则须选择相应的协同中心。</w:t>
      </w:r>
    </w:p>
    <w:p w14:paraId="56F0AE07">
      <w:pPr>
        <w:pStyle w:val="5"/>
        <w:pageBreakBefore w:val="0"/>
        <w:widowControl/>
        <w:numPr>
          <w:ilvl w:val="2"/>
          <w:numId w:val="5"/>
        </w:numPr>
        <w:tabs>
          <w:tab w:val="clear" w:pos="900"/>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协审管理</w:t>
      </w:r>
    </w:p>
    <w:p w14:paraId="46660EB5">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协审部门同步</w:t>
      </w:r>
    </w:p>
    <w:p w14:paraId="0D87C89D">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审查事项会同步到司法所、法律顾问和协同中心赋有权限的人员账号的待办任务中。</w:t>
      </w:r>
    </w:p>
    <w:p w14:paraId="77B5BDD2">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协审流程管控</w:t>
      </w:r>
    </w:p>
    <w:p w14:paraId="73324F7A">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审查事项会同步到司法所、法律顾问和协同中心赋有权限的人员账号的待办任务中。</w:t>
      </w:r>
    </w:p>
    <w:p w14:paraId="7298BE02">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历史审查节点回顾</w:t>
      </w:r>
    </w:p>
    <w:p w14:paraId="21413B83">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审查人员可查看之前所有流程节点的详细审查数据。</w:t>
      </w:r>
    </w:p>
    <w:p w14:paraId="4B7C77E8">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重大疑难协审指派</w:t>
      </w:r>
    </w:p>
    <w:p w14:paraId="71B79411">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若协审时选择了重大疑难协审中的协同中心，则流程会出现在重大疑难协审指派有权限的人员账号中进行协审指派。</w:t>
      </w:r>
    </w:p>
    <w:p w14:paraId="21BC67F5">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审查建议管理</w:t>
      </w:r>
    </w:p>
    <w:p w14:paraId="2AD0693A">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可对审查事项进行建议，协审人员可提交多条建议。</w:t>
      </w:r>
    </w:p>
    <w:p w14:paraId="210830DD">
      <w:pPr>
        <w:pStyle w:val="5"/>
        <w:pageBreakBefore w:val="0"/>
        <w:widowControl/>
        <w:numPr>
          <w:ilvl w:val="2"/>
          <w:numId w:val="5"/>
        </w:numPr>
        <w:tabs>
          <w:tab w:val="clear" w:pos="900"/>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意见汇总</w:t>
      </w:r>
    </w:p>
    <w:p w14:paraId="3CFA4673">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审查意见汇总</w:t>
      </w:r>
    </w:p>
    <w:p w14:paraId="3F1CC3CC">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可查看到相关人员提交的建议和附件，可对不同部门提出的意见进行汇总。</w:t>
      </w:r>
    </w:p>
    <w:p w14:paraId="02A462E0">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自动生成合法性审查意见书</w:t>
      </w:r>
    </w:p>
    <w:p w14:paraId="31D095A6">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将所有建议自动填充进入审查意见书中，生成审查意见书。</w:t>
      </w:r>
    </w:p>
    <w:p w14:paraId="5F5CF133">
      <w:pPr>
        <w:pStyle w:val="5"/>
        <w:keepNext/>
        <w:keepLines/>
        <w:pageBreakBefore w:val="0"/>
        <w:widowControl w:val="0"/>
        <w:numPr>
          <w:ilvl w:val="2"/>
          <w:numId w:val="5"/>
        </w:numPr>
        <w:suppressLineNumbers w:val="0"/>
        <w:tabs>
          <w:tab w:val="clear" w:pos="900"/>
        </w:tabs>
        <w:kinsoku/>
        <w:wordWrap/>
        <w:overflowPunct/>
        <w:topLinePunct w:val="0"/>
        <w:autoSpaceDE w:val="0"/>
        <w:autoSpaceDN/>
        <w:bidi w:val="0"/>
        <w:snapToGrid/>
        <w:spacing w:before="0" w:beforeAutospacing="0" w:after="0" w:afterAutospacing="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领导签批</w:t>
      </w:r>
    </w:p>
    <w:p w14:paraId="7EE9496E">
      <w:pPr>
        <w:pStyle w:val="7"/>
        <w:keepNext/>
        <w:keepLines/>
        <w:pageBreakBefore w:val="0"/>
        <w:widowControl w:val="0"/>
        <w:numPr>
          <w:ilvl w:val="3"/>
          <w:numId w:val="5"/>
        </w:numPr>
        <w:suppressLineNumbers w:val="0"/>
        <w:tabs>
          <w:tab w:val="clear" w:pos="864"/>
        </w:tabs>
        <w:kinsoku/>
        <w:wordWrap/>
        <w:overflowPunct/>
        <w:topLinePunct w:val="0"/>
        <w:autoSpaceDE w:val="0"/>
        <w:autoSpaceDN/>
        <w:bidi w:val="0"/>
        <w:snapToGrid/>
        <w:spacing w:before="0" w:beforeAutospacing="0" w:after="0" w:afterAutospacing="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汇总意见查询</w:t>
      </w:r>
    </w:p>
    <w:p w14:paraId="33B1FA22">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领导签批时可查看意见汇总环节提交的审查意见汇总、其他建议及审查意见书等内容。</w:t>
      </w:r>
    </w:p>
    <w:p w14:paraId="321CCCAA">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签批意见提交</w:t>
      </w:r>
    </w:p>
    <w:p w14:paraId="4AC00665">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审查领导可进行签批意见编辑预提交，并上传附件。</w:t>
      </w:r>
    </w:p>
    <w:p w14:paraId="5F02CB50">
      <w:pPr>
        <w:pStyle w:val="5"/>
        <w:pageBreakBefore w:val="0"/>
        <w:widowControl/>
        <w:numPr>
          <w:ilvl w:val="2"/>
          <w:numId w:val="5"/>
        </w:numPr>
        <w:tabs>
          <w:tab w:val="clear" w:pos="900"/>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意见采纳与确认</w:t>
      </w:r>
    </w:p>
    <w:p w14:paraId="4EB2BDCF">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意见采纳管理</w:t>
      </w:r>
    </w:p>
    <w:p w14:paraId="7A740214">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输入不采纳意见的数量，输入不采纳的情况及理由。</w:t>
      </w:r>
    </w:p>
    <w:p w14:paraId="2BCB1A57">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意见采纳确认</w:t>
      </w:r>
    </w:p>
    <w:p w14:paraId="5EAE903B">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可查看到意见汇总时的审查意见汇总、其他建议及审查意见书、不采纳的情况及理由等内容，确认意见后即可提交。</w:t>
      </w:r>
    </w:p>
    <w:p w14:paraId="5A0FD293">
      <w:pPr>
        <w:pStyle w:val="5"/>
        <w:pageBreakBefore w:val="0"/>
        <w:widowControl/>
        <w:numPr>
          <w:ilvl w:val="2"/>
          <w:numId w:val="5"/>
        </w:numPr>
        <w:tabs>
          <w:tab w:val="clear" w:pos="900"/>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内部备案审查</w:t>
      </w:r>
    </w:p>
    <w:p w14:paraId="68D6AF60">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一键发起备案</w:t>
      </w:r>
    </w:p>
    <w:p w14:paraId="2EBA85BE">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在审查待办中一键发起备案流程，并自动同步填入备案事项的详细信息。</w:t>
      </w:r>
    </w:p>
    <w:p w14:paraId="1AF07FB6">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经办人备案审查</w:t>
      </w:r>
    </w:p>
    <w:p w14:paraId="22020BB8">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发起备案审查后，由备案审查经办人进行审查。</w:t>
      </w:r>
    </w:p>
    <w:p w14:paraId="03CA5949">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区县备案审查</w:t>
      </w:r>
    </w:p>
    <w:p w14:paraId="3EDCCC69">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区县科长备案审查可选择提交或退回操作。</w:t>
      </w:r>
    </w:p>
    <w:p w14:paraId="510F0DF7">
      <w:pPr>
        <w:pStyle w:val="4"/>
        <w:pageBreakBefore w:val="0"/>
        <w:widowControl/>
        <w:numPr>
          <w:ilvl w:val="1"/>
          <w:numId w:val="5"/>
        </w:numPr>
        <w:tabs>
          <w:tab w:val="clear" w:pos="432"/>
        </w:tabs>
        <w:kinsoku/>
        <w:wordWrap/>
        <w:overflowPunct/>
        <w:topLinePunct w:val="0"/>
        <w:autoSpaceDN/>
        <w:bidi w:val="0"/>
        <w:snapToGrid/>
        <w:spacing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备案审查</w:t>
      </w:r>
    </w:p>
    <w:p w14:paraId="1DA8448F">
      <w:pPr>
        <w:pStyle w:val="5"/>
        <w:pageBreakBefore w:val="0"/>
        <w:widowControl/>
        <w:numPr>
          <w:ilvl w:val="2"/>
          <w:numId w:val="5"/>
        </w:numPr>
        <w:tabs>
          <w:tab w:val="clear" w:pos="900"/>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备案事项全流程业务管理</w:t>
      </w:r>
    </w:p>
    <w:p w14:paraId="610BC157">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备案事项分类管理</w:t>
      </w:r>
    </w:p>
    <w:p w14:paraId="2EC3C088">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提供当前登录人员所属部门的所有备案事项分类查询与展示。</w:t>
      </w:r>
    </w:p>
    <w:p w14:paraId="5E11DF1A">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合同规范更新提示</w:t>
      </w:r>
    </w:p>
    <w:p w14:paraId="29DED0F4">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合同规范更新后会标红提示，点击可查看到相关的重大合同备案标准和合同文本内容。</w:t>
      </w:r>
    </w:p>
    <w:p w14:paraId="27CC7E02">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重大行政决策目录清单编辑</w:t>
      </w:r>
    </w:p>
    <w:p w14:paraId="2DC7A23E">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对于重大行政决策目录备案审查，提供目录清单编辑功能。</w:t>
      </w:r>
    </w:p>
    <w:p w14:paraId="431180D2">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重大行政决策事项备案项目名称搜索</w:t>
      </w:r>
    </w:p>
    <w:p w14:paraId="15E1E278">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在重大行政决策事项备案发起环节，可通过项目名称搜索当前年度的全部项目，并进行备案关联。</w:t>
      </w:r>
    </w:p>
    <w:p w14:paraId="2A4AB599">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重大行政决策事项备案多决策事项备案</w:t>
      </w:r>
    </w:p>
    <w:p w14:paraId="56361DC5">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在重大行政决策事项备案审查环节，提供一条申请单可发起多个决策事项备案功能。</w:t>
      </w:r>
    </w:p>
    <w:p w14:paraId="4C255AE3">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备案信息上报管理</w:t>
      </w:r>
    </w:p>
    <w:p w14:paraId="4D21368B">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自动关联当前登录用户的所在部门， 默认填入重大合同备案的报备单位信息。</w:t>
      </w:r>
    </w:p>
    <w:p w14:paraId="6E8E821D">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备案待办同步</w:t>
      </w:r>
    </w:p>
    <w:p w14:paraId="00B3D677">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报备提交后会出现在报备审查人员首页。</w:t>
      </w:r>
    </w:p>
    <w:p w14:paraId="0C2BB785">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备案审查管理</w:t>
      </w:r>
    </w:p>
    <w:p w14:paraId="280237E9">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进入备案审查页面，可进行予以备案操作。</w:t>
      </w:r>
    </w:p>
    <w:p w14:paraId="1F921998">
      <w:pPr>
        <w:pStyle w:val="5"/>
        <w:pageBreakBefore w:val="0"/>
        <w:widowControl/>
        <w:numPr>
          <w:ilvl w:val="2"/>
          <w:numId w:val="5"/>
        </w:numPr>
        <w:tabs>
          <w:tab w:val="clear" w:pos="900"/>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行政规范性文件系统对接</w:t>
      </w:r>
    </w:p>
    <w:p w14:paraId="5DE77969">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单点登录</w:t>
      </w:r>
    </w:p>
    <w:p w14:paraId="3D226E1E">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在行政规范性文件合法性审查流程结束后可直接发起一键备案，跳转浙江省行政规范性文件数智管理平台。</w:t>
      </w:r>
    </w:p>
    <w:p w14:paraId="4AB12B80">
      <w:pPr>
        <w:pStyle w:val="5"/>
        <w:pageBreakBefore w:val="0"/>
        <w:widowControl/>
        <w:numPr>
          <w:ilvl w:val="2"/>
          <w:numId w:val="5"/>
        </w:numPr>
        <w:tabs>
          <w:tab w:val="clear" w:pos="900"/>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自建系统对接</w:t>
      </w:r>
    </w:p>
    <w:p w14:paraId="4E19A68F">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合法性审查节点数据对接标准</w:t>
      </w:r>
    </w:p>
    <w:p w14:paraId="26C76911">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通过第三方接口获取数据的服务，或者第三方应用通过接口获取本应用数据的服务，规范合法性审查节点数据接口标准。</w:t>
      </w:r>
    </w:p>
    <w:p w14:paraId="405AB334">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备案审查节点数据对接标准</w:t>
      </w:r>
    </w:p>
    <w:p w14:paraId="00F2E62C">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通过第三方接口获取数据的服务，或者第三方应用通过接口获取本应用数据的服务，规范备案审查节点数据接口标准。</w:t>
      </w:r>
    </w:p>
    <w:p w14:paraId="1ED6F633">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永嘉县自建系统对接</w:t>
      </w:r>
    </w:p>
    <w:p w14:paraId="211601FA">
      <w:pPr>
        <w:keepNext w:val="0"/>
        <w:keepLines w:val="0"/>
        <w:pageBreakBefore w:val="0"/>
        <w:widowControl/>
        <w:suppressLineNumbers w:val="0"/>
        <w:kinsoku/>
        <w:wordWrap/>
        <w:overflowPunct/>
        <w:topLinePunct w:val="0"/>
        <w:autoSpaceDE w:val="0"/>
        <w:autoSpaceDN/>
        <w:bidi w:val="0"/>
        <w:snapToGrid/>
        <w:spacing w:beforeAutospacing="0" w:afterAutospacing="0" w:line="360" w:lineRule="auto"/>
        <w:ind w:left="0" w:leftChars="0" w:right="0" w:firstLine="420" w:firstLineChars="175"/>
        <w:jc w:val="left"/>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对接单点登录接口，备案与合法性审查全流程节点数据对接。</w:t>
      </w:r>
    </w:p>
    <w:p w14:paraId="6ABB968D">
      <w:pPr>
        <w:pStyle w:val="4"/>
        <w:pageBreakBefore w:val="0"/>
        <w:widowControl/>
        <w:numPr>
          <w:ilvl w:val="1"/>
          <w:numId w:val="5"/>
        </w:numPr>
        <w:tabs>
          <w:tab w:val="clear" w:pos="432"/>
        </w:tabs>
        <w:kinsoku/>
        <w:wordWrap/>
        <w:overflowPunct/>
        <w:topLinePunct w:val="0"/>
        <w:autoSpaceDN/>
        <w:bidi w:val="0"/>
        <w:snapToGrid/>
        <w:spacing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审查/备案移动端</w:t>
      </w:r>
    </w:p>
    <w:p w14:paraId="07D4AA8C">
      <w:pPr>
        <w:pStyle w:val="5"/>
        <w:pageBreakBefore w:val="0"/>
        <w:widowControl/>
        <w:numPr>
          <w:ilvl w:val="2"/>
          <w:numId w:val="5"/>
        </w:numPr>
        <w:tabs>
          <w:tab w:val="clear" w:pos="900"/>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浙政钉消息提醒</w:t>
      </w:r>
    </w:p>
    <w:p w14:paraId="6D1441E6">
      <w:pPr>
        <w:keepNext w:val="0"/>
        <w:keepLines w:val="0"/>
        <w:pageBreakBefore w:val="0"/>
        <w:widowControl/>
        <w:suppressLineNumbers w:val="0"/>
        <w:kinsoku/>
        <w:wordWrap/>
        <w:overflowPunct/>
        <w:topLinePunct w:val="0"/>
        <w:autoSpaceDE w:val="0"/>
        <w:autoSpaceDN/>
        <w:bidi w:val="0"/>
        <w:snapToGrid/>
        <w:spacing w:beforeAutospacing="0" w:afterAutospacing="0" w:line="360" w:lineRule="auto"/>
        <w:ind w:left="0" w:leftChars="0" w:right="0" w:firstLine="420" w:firstLineChars="175"/>
        <w:jc w:val="left"/>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与浙政钉消息接口对接，将系统内合法性审查与备案的待办信息推送到浙政钉消息。</w:t>
      </w:r>
    </w:p>
    <w:p w14:paraId="7CAF5FC2">
      <w:pPr>
        <w:pStyle w:val="5"/>
        <w:pageBreakBefore w:val="0"/>
        <w:widowControl/>
        <w:numPr>
          <w:ilvl w:val="2"/>
          <w:numId w:val="5"/>
        </w:numPr>
        <w:tabs>
          <w:tab w:val="clear" w:pos="900"/>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审查与备案待办管理</w:t>
      </w:r>
    </w:p>
    <w:p w14:paraId="34BCE9E4">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审查待办提醒</w:t>
      </w:r>
    </w:p>
    <w:p w14:paraId="1F24A36E">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b w:val="0"/>
          <w:bCs w:val="0"/>
          <w:color w:val="auto"/>
          <w:kern w:val="2"/>
          <w:sz w:val="24"/>
          <w:szCs w:val="24"/>
          <w:highlight w:val="none"/>
        </w:rPr>
      </w:pPr>
      <w:r>
        <w:rPr>
          <w:rFonts w:hint="eastAsia" w:ascii="宋体" w:hAnsi="宋体" w:eastAsia="宋体" w:cs="宋体"/>
          <w:b w:val="0"/>
          <w:bCs w:val="0"/>
          <w:color w:val="auto"/>
          <w:kern w:val="2"/>
          <w:sz w:val="24"/>
          <w:szCs w:val="24"/>
          <w:highlight w:val="none"/>
          <w:lang w:val="en-US" w:eastAsia="zh-CN" w:bidi="ar"/>
        </w:rPr>
        <w:t>根据审查流程关联当前流程的审查人员，在待办任务－审查模块，展示待审查的事项信息。</w:t>
      </w:r>
    </w:p>
    <w:p w14:paraId="24876000">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事项分类查询</w:t>
      </w:r>
    </w:p>
    <w:p w14:paraId="0FE71E8C">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b w:val="0"/>
          <w:bCs w:val="0"/>
          <w:color w:val="auto"/>
          <w:kern w:val="2"/>
          <w:sz w:val="24"/>
          <w:szCs w:val="24"/>
          <w:highlight w:val="none"/>
        </w:rPr>
      </w:pPr>
      <w:r>
        <w:rPr>
          <w:rFonts w:hint="eastAsia" w:ascii="宋体" w:hAnsi="宋体" w:eastAsia="宋体" w:cs="宋体"/>
          <w:b w:val="0"/>
          <w:bCs w:val="0"/>
          <w:color w:val="auto"/>
          <w:kern w:val="2"/>
          <w:sz w:val="24"/>
          <w:szCs w:val="24"/>
          <w:highlight w:val="none"/>
          <w:lang w:val="en-US" w:eastAsia="zh-CN" w:bidi="ar"/>
        </w:rPr>
        <w:t>提供按照合法性审查事项分类查询，可根据事项类型对审查事项进行快速筛选。</w:t>
      </w:r>
    </w:p>
    <w:p w14:paraId="6A11BFFA">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关键词查询</w:t>
      </w:r>
    </w:p>
    <w:p w14:paraId="32902F28">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b w:val="0"/>
          <w:bCs w:val="0"/>
          <w:color w:val="auto"/>
          <w:kern w:val="2"/>
          <w:sz w:val="24"/>
          <w:szCs w:val="24"/>
          <w:highlight w:val="none"/>
        </w:rPr>
      </w:pPr>
      <w:r>
        <w:rPr>
          <w:rFonts w:hint="eastAsia" w:ascii="宋体" w:hAnsi="宋体" w:eastAsia="宋体" w:cs="宋体"/>
          <w:b w:val="0"/>
          <w:bCs w:val="0"/>
          <w:color w:val="auto"/>
          <w:kern w:val="2"/>
          <w:sz w:val="24"/>
          <w:szCs w:val="24"/>
          <w:highlight w:val="none"/>
          <w:lang w:val="en-US" w:eastAsia="zh-CN" w:bidi="ar"/>
        </w:rPr>
        <w:t>提供根据审查事项的关键字查询，可根据事项名称对审查事项进行快速筛选。</w:t>
      </w:r>
    </w:p>
    <w:p w14:paraId="3F478B46">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送审时间排序</w:t>
      </w:r>
    </w:p>
    <w:p w14:paraId="51F7A3C7">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b w:val="0"/>
          <w:bCs w:val="0"/>
          <w:color w:val="auto"/>
          <w:kern w:val="2"/>
          <w:sz w:val="24"/>
          <w:szCs w:val="24"/>
          <w:highlight w:val="none"/>
        </w:rPr>
      </w:pPr>
      <w:r>
        <w:rPr>
          <w:rFonts w:hint="eastAsia" w:ascii="宋体" w:hAnsi="宋体" w:eastAsia="宋体" w:cs="宋体"/>
          <w:b w:val="0"/>
          <w:bCs w:val="0"/>
          <w:color w:val="auto"/>
          <w:kern w:val="2"/>
          <w:sz w:val="24"/>
          <w:szCs w:val="24"/>
          <w:highlight w:val="none"/>
          <w:lang w:val="en-US" w:eastAsia="zh-CN" w:bidi="ar"/>
        </w:rPr>
        <w:t>根据审查事项的送审时间进行排序，默认情况下按照起草科室送审时间排序显示列表。</w:t>
      </w:r>
    </w:p>
    <w:p w14:paraId="3EEDEC63">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加急置顶排序</w:t>
      </w:r>
    </w:p>
    <w:p w14:paraId="29322D59">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b w:val="0"/>
          <w:bCs w:val="0"/>
          <w:color w:val="auto"/>
          <w:kern w:val="2"/>
          <w:sz w:val="24"/>
          <w:szCs w:val="24"/>
          <w:highlight w:val="none"/>
        </w:rPr>
      </w:pPr>
      <w:r>
        <w:rPr>
          <w:rFonts w:hint="eastAsia" w:ascii="宋体" w:hAnsi="宋体" w:eastAsia="宋体" w:cs="宋体"/>
          <w:b w:val="0"/>
          <w:bCs w:val="0"/>
          <w:color w:val="auto"/>
          <w:kern w:val="2"/>
          <w:sz w:val="24"/>
          <w:szCs w:val="24"/>
          <w:highlight w:val="none"/>
          <w:lang w:val="en-US" w:eastAsia="zh-CN" w:bidi="ar"/>
        </w:rPr>
        <w:t>判断审查事项是否为加急事项，若审查事项加急，则对审查事项进行加急标注并置顶展示。</w:t>
      </w:r>
    </w:p>
    <w:p w14:paraId="2434F1B5">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流程节点查看</w:t>
      </w:r>
    </w:p>
    <w:p w14:paraId="3A91E9D8">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b w:val="0"/>
          <w:bCs w:val="0"/>
          <w:color w:val="auto"/>
          <w:kern w:val="2"/>
          <w:sz w:val="24"/>
          <w:szCs w:val="24"/>
          <w:highlight w:val="none"/>
        </w:rPr>
      </w:pPr>
      <w:r>
        <w:rPr>
          <w:rFonts w:hint="eastAsia" w:ascii="宋体" w:hAnsi="宋体" w:eastAsia="宋体" w:cs="宋体"/>
          <w:b w:val="0"/>
          <w:bCs w:val="0"/>
          <w:color w:val="auto"/>
          <w:kern w:val="2"/>
          <w:sz w:val="24"/>
          <w:szCs w:val="24"/>
          <w:highlight w:val="none"/>
          <w:lang w:val="en-US" w:eastAsia="zh-CN" w:bidi="ar"/>
        </w:rPr>
        <w:t>页面左侧展示此事项数据审查完成和待办的节点，可点击每个节点观看相对应数据。</w:t>
      </w:r>
    </w:p>
    <w:p w14:paraId="6CCFD604">
      <w:pPr>
        <w:pStyle w:val="5"/>
        <w:pageBreakBefore w:val="0"/>
        <w:widowControl/>
        <w:numPr>
          <w:ilvl w:val="2"/>
          <w:numId w:val="5"/>
        </w:numPr>
        <w:tabs>
          <w:tab w:val="clear" w:pos="900"/>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审查处理</w:t>
      </w:r>
    </w:p>
    <w:p w14:paraId="539C8026">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行政规范性文件审查</w:t>
      </w:r>
    </w:p>
    <w:p w14:paraId="68129CCE">
      <w:pPr>
        <w:keepNext w:val="0"/>
        <w:keepLines w:val="0"/>
        <w:pageBreakBefore w:val="0"/>
        <w:widowControl/>
        <w:suppressLineNumbers w:val="0"/>
        <w:kinsoku/>
        <w:wordWrap/>
        <w:overflowPunct/>
        <w:topLinePunct w:val="0"/>
        <w:autoSpaceDE w:val="0"/>
        <w:autoSpaceDN/>
        <w:bidi w:val="0"/>
        <w:snapToGrid/>
        <w:spacing w:beforeAutospacing="0" w:afterAutospacing="0" w:line="360" w:lineRule="auto"/>
        <w:ind w:left="0" w:leftChars="0" w:right="0" w:firstLine="420" w:firstLineChars="175"/>
        <w:jc w:val="left"/>
        <w:textAlignment w:val="auto"/>
        <w:rPr>
          <w:rFonts w:hint="eastAsia" w:ascii="宋体" w:hAnsi="宋体" w:eastAsia="宋体" w:cs="宋体"/>
          <w:b w:val="0"/>
          <w:bCs w:val="0"/>
          <w:color w:val="auto"/>
          <w:kern w:val="2"/>
          <w:sz w:val="24"/>
          <w:szCs w:val="24"/>
          <w:highlight w:val="none"/>
        </w:rPr>
      </w:pPr>
      <w:r>
        <w:rPr>
          <w:rFonts w:hint="eastAsia" w:ascii="宋体" w:hAnsi="宋体" w:eastAsia="宋体" w:cs="宋体"/>
          <w:b w:val="0"/>
          <w:bCs w:val="0"/>
          <w:color w:val="auto"/>
          <w:kern w:val="2"/>
          <w:sz w:val="24"/>
          <w:szCs w:val="24"/>
          <w:highlight w:val="none"/>
          <w:lang w:val="en-US" w:eastAsia="zh-CN" w:bidi="ar"/>
        </w:rPr>
        <w:t>展示行政规范性文件审查事项数据当前待办节点需要处理内容。</w:t>
      </w:r>
    </w:p>
    <w:p w14:paraId="70FCC07C">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党的规范性文件审查</w:t>
      </w:r>
    </w:p>
    <w:p w14:paraId="6A652E5A">
      <w:pPr>
        <w:keepNext w:val="0"/>
        <w:keepLines w:val="0"/>
        <w:pageBreakBefore w:val="0"/>
        <w:widowControl/>
        <w:suppressLineNumbers w:val="0"/>
        <w:kinsoku/>
        <w:wordWrap/>
        <w:overflowPunct/>
        <w:topLinePunct w:val="0"/>
        <w:autoSpaceDE w:val="0"/>
        <w:autoSpaceDN/>
        <w:bidi w:val="0"/>
        <w:snapToGrid/>
        <w:spacing w:beforeAutospacing="0" w:afterAutospacing="0" w:line="360" w:lineRule="auto"/>
        <w:ind w:left="0" w:leftChars="0" w:right="0" w:firstLine="420" w:firstLineChars="175"/>
        <w:jc w:val="left"/>
        <w:textAlignment w:val="auto"/>
        <w:rPr>
          <w:rFonts w:hint="eastAsia" w:ascii="宋体" w:hAnsi="宋体" w:eastAsia="宋体" w:cs="宋体"/>
          <w:b w:val="0"/>
          <w:bCs w:val="0"/>
          <w:color w:val="auto"/>
          <w:kern w:val="2"/>
          <w:sz w:val="24"/>
          <w:szCs w:val="24"/>
          <w:highlight w:val="none"/>
        </w:rPr>
      </w:pPr>
      <w:r>
        <w:rPr>
          <w:rFonts w:hint="eastAsia" w:ascii="宋体" w:hAnsi="宋体" w:eastAsia="宋体" w:cs="宋体"/>
          <w:b w:val="0"/>
          <w:bCs w:val="0"/>
          <w:color w:val="auto"/>
          <w:kern w:val="2"/>
          <w:sz w:val="24"/>
          <w:szCs w:val="24"/>
          <w:highlight w:val="none"/>
          <w:lang w:val="en-US" w:eastAsia="zh-CN" w:bidi="ar"/>
        </w:rPr>
        <w:t>展示党的规范性文件审查事项数据当前待办节点需要处理内容。</w:t>
      </w:r>
    </w:p>
    <w:p w14:paraId="6D493528">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重大行政决策审查</w:t>
      </w:r>
    </w:p>
    <w:p w14:paraId="42C7AA77">
      <w:pPr>
        <w:keepNext w:val="0"/>
        <w:keepLines w:val="0"/>
        <w:pageBreakBefore w:val="0"/>
        <w:widowControl/>
        <w:suppressLineNumbers w:val="0"/>
        <w:kinsoku/>
        <w:wordWrap/>
        <w:overflowPunct/>
        <w:topLinePunct w:val="0"/>
        <w:autoSpaceDE w:val="0"/>
        <w:autoSpaceDN/>
        <w:bidi w:val="0"/>
        <w:snapToGrid/>
        <w:spacing w:beforeAutospacing="0" w:afterAutospacing="0" w:line="360" w:lineRule="auto"/>
        <w:ind w:left="0" w:leftChars="0" w:right="0" w:firstLine="420" w:firstLineChars="175"/>
        <w:jc w:val="left"/>
        <w:textAlignment w:val="auto"/>
        <w:rPr>
          <w:rFonts w:hint="eastAsia" w:ascii="宋体" w:hAnsi="宋体" w:eastAsia="宋体" w:cs="宋体"/>
          <w:b w:val="0"/>
          <w:bCs w:val="0"/>
          <w:color w:val="auto"/>
          <w:kern w:val="2"/>
          <w:sz w:val="24"/>
          <w:szCs w:val="24"/>
          <w:highlight w:val="none"/>
        </w:rPr>
      </w:pPr>
      <w:r>
        <w:rPr>
          <w:rFonts w:hint="eastAsia" w:ascii="宋体" w:hAnsi="宋体" w:eastAsia="宋体" w:cs="宋体"/>
          <w:b w:val="0"/>
          <w:bCs w:val="0"/>
          <w:color w:val="auto"/>
          <w:kern w:val="2"/>
          <w:sz w:val="24"/>
          <w:szCs w:val="24"/>
          <w:highlight w:val="none"/>
          <w:lang w:val="en-US" w:eastAsia="zh-CN" w:bidi="ar"/>
        </w:rPr>
        <w:t>展示重大行政决策审查事项数据当前待办节点需要处理内容。</w:t>
      </w:r>
    </w:p>
    <w:p w14:paraId="13A7FBD8">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乡镇（街道）合同审查</w:t>
      </w:r>
    </w:p>
    <w:p w14:paraId="5FABD3AA">
      <w:pPr>
        <w:keepNext w:val="0"/>
        <w:keepLines w:val="0"/>
        <w:pageBreakBefore w:val="0"/>
        <w:widowControl/>
        <w:suppressLineNumbers w:val="0"/>
        <w:kinsoku/>
        <w:wordWrap/>
        <w:overflowPunct/>
        <w:topLinePunct w:val="0"/>
        <w:autoSpaceDE w:val="0"/>
        <w:autoSpaceDN/>
        <w:bidi w:val="0"/>
        <w:snapToGrid/>
        <w:spacing w:beforeAutospacing="0" w:afterAutospacing="0" w:line="360" w:lineRule="auto"/>
        <w:ind w:left="0" w:leftChars="0" w:right="0" w:firstLine="420" w:firstLineChars="175"/>
        <w:jc w:val="left"/>
        <w:textAlignment w:val="auto"/>
        <w:rPr>
          <w:rFonts w:hint="eastAsia" w:ascii="宋体" w:hAnsi="宋体" w:eastAsia="宋体" w:cs="宋体"/>
          <w:b w:val="0"/>
          <w:bCs w:val="0"/>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展示乡镇（街道）合同审查事项数据当前待办节点需要处理内容。</w:t>
      </w:r>
    </w:p>
    <w:p w14:paraId="283BDA26">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其他事项审查</w:t>
      </w:r>
    </w:p>
    <w:p w14:paraId="1A510657">
      <w:pPr>
        <w:keepNext w:val="0"/>
        <w:keepLines w:val="0"/>
        <w:pageBreakBefore w:val="0"/>
        <w:widowControl/>
        <w:suppressLineNumbers w:val="0"/>
        <w:kinsoku/>
        <w:wordWrap/>
        <w:overflowPunct/>
        <w:topLinePunct w:val="0"/>
        <w:autoSpaceDE w:val="0"/>
        <w:autoSpaceDN/>
        <w:bidi w:val="0"/>
        <w:snapToGrid/>
        <w:spacing w:beforeAutospacing="0" w:afterAutospacing="0" w:line="360" w:lineRule="auto"/>
        <w:ind w:left="0" w:leftChars="0" w:right="0" w:firstLine="420" w:firstLineChars="175"/>
        <w:jc w:val="left"/>
        <w:textAlignment w:val="auto"/>
        <w:rPr>
          <w:rFonts w:hint="eastAsia" w:ascii="宋体" w:hAnsi="宋体" w:eastAsia="宋体" w:cs="宋体"/>
          <w:b w:val="0"/>
          <w:bCs w:val="0"/>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展示其他事项审查事项数据当前待办节点需要处理内容。</w:t>
      </w:r>
    </w:p>
    <w:p w14:paraId="105E989A">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审查附件上传</w:t>
      </w:r>
    </w:p>
    <w:p w14:paraId="1DFA66BD">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提供浙政钉手机端附件上传功能，文件类型包括 word、pdf、ppt、excel、txt 等格式。</w:t>
      </w:r>
    </w:p>
    <w:p w14:paraId="1C7D28B1">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附件在线观看</w:t>
      </w:r>
    </w:p>
    <w:p w14:paraId="237151FF">
      <w:pPr>
        <w:keepNext w:val="0"/>
        <w:keepLines w:val="0"/>
        <w:pageBreakBefore w:val="0"/>
        <w:widowControl/>
        <w:suppressLineNumbers w:val="0"/>
        <w:kinsoku/>
        <w:wordWrap/>
        <w:overflowPunct/>
        <w:topLinePunct w:val="0"/>
        <w:autoSpaceDE w:val="0"/>
        <w:autoSpaceDN/>
        <w:bidi w:val="0"/>
        <w:snapToGrid/>
        <w:spacing w:beforeAutospacing="0" w:afterAutospacing="0" w:line="360" w:lineRule="auto"/>
        <w:ind w:left="0" w:leftChars="0" w:right="0" w:firstLine="420" w:firstLineChars="175"/>
        <w:jc w:val="left"/>
        <w:textAlignment w:val="auto"/>
        <w:rPr>
          <w:rFonts w:hint="eastAsia" w:ascii="宋体" w:hAnsi="宋体" w:eastAsia="宋体" w:cs="宋体"/>
          <w:b w:val="0"/>
          <w:bCs w:val="0"/>
          <w:color w:val="auto"/>
          <w:kern w:val="2"/>
          <w:sz w:val="24"/>
          <w:szCs w:val="24"/>
          <w:highlight w:val="none"/>
        </w:rPr>
      </w:pPr>
      <w:r>
        <w:rPr>
          <w:rFonts w:hint="eastAsia" w:ascii="宋体" w:hAnsi="宋体" w:eastAsia="宋体" w:cs="宋体"/>
          <w:b w:val="0"/>
          <w:bCs w:val="0"/>
          <w:color w:val="auto"/>
          <w:kern w:val="2"/>
          <w:sz w:val="24"/>
          <w:szCs w:val="24"/>
          <w:highlight w:val="none"/>
          <w:lang w:val="en-US" w:eastAsia="zh-CN" w:bidi="ar"/>
        </w:rPr>
        <w:t>适配浙政钉页面，提供对已上传的文件进行在线预览等功能。</w:t>
      </w:r>
    </w:p>
    <w:p w14:paraId="5E273B0F">
      <w:pPr>
        <w:pStyle w:val="5"/>
        <w:pageBreakBefore w:val="0"/>
        <w:widowControl/>
        <w:numPr>
          <w:ilvl w:val="2"/>
          <w:numId w:val="5"/>
        </w:numPr>
        <w:tabs>
          <w:tab w:val="clear" w:pos="900"/>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备案处理</w:t>
      </w:r>
    </w:p>
    <w:p w14:paraId="24A046F1">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重大合同备案审查</w:t>
      </w:r>
    </w:p>
    <w:p w14:paraId="0EDA07C3">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展示重大合同备案审查事项数据发起内容，点击下方按钮（予以备案、退回）即可处理完成。</w:t>
      </w:r>
    </w:p>
    <w:p w14:paraId="232EF96C">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重大行政决策目录报备审查</w:t>
      </w:r>
    </w:p>
    <w:p w14:paraId="06E4E023">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展示重大行政决策目录报备审查事项数据发起内容，点击下方按钮（予以备案、退回）即可处理完成。</w:t>
      </w:r>
    </w:p>
    <w:p w14:paraId="43E9D693">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重大行政决策目录调整审查</w:t>
      </w:r>
    </w:p>
    <w:p w14:paraId="7FCF3757">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展示重大行政决策目录调整审查事项数据发起内容，点击下方按钮（予以备案、退回）即可处理完成。</w:t>
      </w:r>
    </w:p>
    <w:p w14:paraId="5A753632">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重大行政决策事项备案审查</w:t>
      </w:r>
    </w:p>
    <w:p w14:paraId="63385AD5">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展示重大行政决策事项备案审查事项数据发起内容，点击下方按钮（予以备案、退回）即可处理完成。</w:t>
      </w:r>
    </w:p>
    <w:p w14:paraId="78C4E9EF">
      <w:pPr>
        <w:pStyle w:val="5"/>
        <w:pageBreakBefore w:val="0"/>
        <w:widowControl/>
        <w:numPr>
          <w:ilvl w:val="2"/>
          <w:numId w:val="5"/>
        </w:numPr>
        <w:tabs>
          <w:tab w:val="clear" w:pos="900"/>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移动端数据看板展示</w:t>
      </w:r>
    </w:p>
    <w:p w14:paraId="4B56E96C">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审查看板</w:t>
      </w:r>
    </w:p>
    <w:p w14:paraId="5B884286">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统计合法性审查</w:t>
      </w:r>
      <w:r>
        <w:rPr>
          <w:rFonts w:hint="eastAsia" w:ascii="宋体" w:hAnsi="宋体" w:eastAsia="宋体" w:cs="宋体"/>
          <w:color w:val="auto"/>
          <w:kern w:val="2"/>
          <w:sz w:val="24"/>
          <w:szCs w:val="24"/>
          <w:highlight w:val="none"/>
          <w:lang w:val="en-US" w:eastAsia="zh-CN" w:bidi="ar"/>
        </w:rPr>
        <w:t>数据，在浙政钉数据看板模块，展示全省各市的审查数据情况。</w:t>
      </w:r>
    </w:p>
    <w:p w14:paraId="31C0DEC7">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备案看板</w:t>
      </w:r>
    </w:p>
    <w:p w14:paraId="6268411C">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统计备案数据，在浙政钉数据看板模块，展示全省各市的备案数据情况。</w:t>
      </w:r>
    </w:p>
    <w:p w14:paraId="3AAC726B">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审查看板</w:t>
      </w:r>
    </w:p>
    <w:p w14:paraId="3E5CC822">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统计备案审查数据，在浙政钉数据看板模块，展示全省各市的备案审查数据情况。</w:t>
      </w:r>
    </w:p>
    <w:p w14:paraId="3C5A8A41">
      <w:pPr>
        <w:pStyle w:val="3"/>
        <w:pageBreakBefore w:val="0"/>
        <w:widowControl/>
        <w:numPr>
          <w:ilvl w:val="0"/>
          <w:numId w:val="5"/>
        </w:numPr>
        <w:tabs>
          <w:tab w:val="clear" w:pos="432"/>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44"/>
          <w:sz w:val="24"/>
          <w:szCs w:val="24"/>
          <w:highlight w:val="none"/>
        </w:rPr>
      </w:pPr>
      <w:r>
        <w:rPr>
          <w:rFonts w:hint="eastAsia" w:ascii="宋体" w:hAnsi="宋体" w:eastAsia="宋体" w:cs="宋体"/>
          <w:b/>
          <w:bCs w:val="0"/>
          <w:color w:val="auto"/>
          <w:kern w:val="44"/>
          <w:sz w:val="24"/>
          <w:szCs w:val="24"/>
          <w:highlight w:val="none"/>
        </w:rPr>
        <w:t>乡镇（街道）智能审查</w:t>
      </w:r>
    </w:p>
    <w:p w14:paraId="5E8B989A">
      <w:pPr>
        <w:pStyle w:val="4"/>
        <w:pageBreakBefore w:val="0"/>
        <w:widowControl/>
        <w:numPr>
          <w:ilvl w:val="1"/>
          <w:numId w:val="5"/>
        </w:numPr>
        <w:tabs>
          <w:tab w:val="clear" w:pos="432"/>
        </w:tabs>
        <w:kinsoku/>
        <w:wordWrap/>
        <w:overflowPunct/>
        <w:topLinePunct w:val="0"/>
        <w:autoSpaceDN/>
        <w:bidi w:val="0"/>
        <w:snapToGrid/>
        <w:spacing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智能匹配</w:t>
      </w:r>
    </w:p>
    <w:p w14:paraId="5BC3A170">
      <w:pPr>
        <w:pStyle w:val="5"/>
        <w:pageBreakBefore w:val="0"/>
        <w:widowControl/>
        <w:numPr>
          <w:ilvl w:val="2"/>
          <w:numId w:val="5"/>
        </w:numPr>
        <w:tabs>
          <w:tab w:val="clear" w:pos="900"/>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用户认证对接</w:t>
      </w:r>
    </w:p>
    <w:p w14:paraId="5EACE5D3">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与北大法宝应用进行用户数据对接，创建北大法宝审查账号。</w:t>
      </w:r>
    </w:p>
    <w:p w14:paraId="13C8C0FD">
      <w:pPr>
        <w:pStyle w:val="5"/>
        <w:pageBreakBefore w:val="0"/>
        <w:widowControl/>
        <w:numPr>
          <w:ilvl w:val="2"/>
          <w:numId w:val="5"/>
        </w:numPr>
        <w:tabs>
          <w:tab w:val="clear" w:pos="900"/>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智能审查文件数据推送</w:t>
      </w:r>
    </w:p>
    <w:p w14:paraId="095A1333">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建立智能审查文件数据推送管理页面，与北大法宝进行文件交互接口对接。</w:t>
      </w:r>
    </w:p>
    <w:p w14:paraId="3F0C5962">
      <w:pPr>
        <w:pStyle w:val="5"/>
        <w:pageBreakBefore w:val="0"/>
        <w:widowControl/>
        <w:numPr>
          <w:ilvl w:val="2"/>
          <w:numId w:val="5"/>
        </w:numPr>
        <w:tabs>
          <w:tab w:val="clear" w:pos="900"/>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智能审查文件对比结果展示</w:t>
      </w:r>
    </w:p>
    <w:p w14:paraId="39C691B0">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与北大法宝进行审查比对结果数据接口对接，获取智能审查文件的比对结果。</w:t>
      </w:r>
    </w:p>
    <w:p w14:paraId="21E55FBF">
      <w:pPr>
        <w:pStyle w:val="4"/>
        <w:pageBreakBefore w:val="0"/>
        <w:widowControl/>
        <w:numPr>
          <w:ilvl w:val="1"/>
          <w:numId w:val="5"/>
        </w:numPr>
        <w:tabs>
          <w:tab w:val="clear" w:pos="432"/>
        </w:tabs>
        <w:kinsoku/>
        <w:wordWrap/>
        <w:overflowPunct/>
        <w:topLinePunct w:val="0"/>
        <w:autoSpaceDN/>
        <w:bidi w:val="0"/>
        <w:snapToGrid/>
        <w:spacing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智能编辑</w:t>
      </w:r>
    </w:p>
    <w:p w14:paraId="4BF21871">
      <w:pPr>
        <w:pStyle w:val="5"/>
        <w:pageBreakBefore w:val="0"/>
        <w:widowControl/>
        <w:numPr>
          <w:ilvl w:val="2"/>
          <w:numId w:val="5"/>
        </w:numPr>
        <w:tabs>
          <w:tab w:val="clear" w:pos="900"/>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在线编辑</w:t>
      </w:r>
    </w:p>
    <w:p w14:paraId="7BCCAE23">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对接 WPS 在线编辑功能，为在线文档提供丰富的格式设置。</w:t>
      </w:r>
    </w:p>
    <w:p w14:paraId="3E15A577">
      <w:pPr>
        <w:pStyle w:val="5"/>
        <w:pageBreakBefore w:val="0"/>
        <w:widowControl/>
        <w:numPr>
          <w:ilvl w:val="2"/>
          <w:numId w:val="5"/>
        </w:numPr>
        <w:tabs>
          <w:tab w:val="clear" w:pos="900"/>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审查意见书模板</w:t>
      </w:r>
    </w:p>
    <w:p w14:paraId="43095710">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对接 WPS 文书模板功能，协助审查人员自动生成审查意见书。</w:t>
      </w:r>
    </w:p>
    <w:p w14:paraId="1AED6B46">
      <w:pPr>
        <w:pStyle w:val="5"/>
        <w:pageBreakBefore w:val="0"/>
        <w:widowControl/>
        <w:numPr>
          <w:ilvl w:val="2"/>
          <w:numId w:val="5"/>
        </w:numPr>
        <w:tabs>
          <w:tab w:val="clear" w:pos="900"/>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批注内容提取</w:t>
      </w:r>
    </w:p>
    <w:p w14:paraId="41DB0D03">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实现在线批注及编辑功能，记录批注信息，可自动提取批注内容。</w:t>
      </w:r>
    </w:p>
    <w:p w14:paraId="3CFA8B81">
      <w:pPr>
        <w:pStyle w:val="4"/>
        <w:pageBreakBefore w:val="0"/>
        <w:widowControl/>
        <w:numPr>
          <w:ilvl w:val="1"/>
          <w:numId w:val="5"/>
        </w:numPr>
        <w:tabs>
          <w:tab w:val="clear" w:pos="432"/>
        </w:tabs>
        <w:kinsoku/>
        <w:wordWrap/>
        <w:overflowPunct/>
        <w:topLinePunct w:val="0"/>
        <w:autoSpaceDN/>
        <w:bidi w:val="0"/>
        <w:snapToGrid/>
        <w:spacing w:line="360" w:lineRule="auto"/>
        <w:ind w:left="0" w:leftChars="0" w:firstLine="422" w:firstLineChars="175"/>
        <w:textAlignment w:val="auto"/>
        <w:rPr>
          <w:rFonts w:hint="eastAsia" w:ascii="宋体" w:hAnsi="宋体" w:eastAsia="宋体" w:cs="宋体"/>
          <w:b/>
          <w:bCs/>
          <w:color w:val="auto"/>
          <w:kern w:val="2"/>
          <w:sz w:val="24"/>
          <w:szCs w:val="24"/>
          <w:highlight w:val="none"/>
        </w:rPr>
      </w:pPr>
      <w:r>
        <w:rPr>
          <w:rFonts w:hint="eastAsia" w:ascii="宋体" w:hAnsi="宋体" w:eastAsia="宋体" w:cs="宋体"/>
          <w:b/>
          <w:bCs/>
          <w:color w:val="auto"/>
          <w:kern w:val="2"/>
          <w:sz w:val="24"/>
          <w:szCs w:val="24"/>
          <w:highlight w:val="none"/>
        </w:rPr>
        <w:t>智能分派</w:t>
      </w:r>
    </w:p>
    <w:p w14:paraId="31A96605">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b w:val="0"/>
          <w:color w:val="auto"/>
          <w:kern w:val="2"/>
          <w:sz w:val="24"/>
          <w:szCs w:val="24"/>
          <w:highlight w:val="none"/>
        </w:rPr>
      </w:pPr>
      <w:r>
        <w:rPr>
          <w:rFonts w:hint="eastAsia" w:ascii="宋体" w:hAnsi="宋体" w:eastAsia="宋体" w:cs="宋体"/>
          <w:b w:val="0"/>
          <w:color w:val="auto"/>
          <w:kern w:val="2"/>
          <w:sz w:val="24"/>
          <w:szCs w:val="24"/>
          <w:highlight w:val="none"/>
          <w:lang w:val="en-US" w:eastAsia="zh-CN" w:bidi="ar"/>
        </w:rPr>
        <w:t xml:space="preserve">    根据审查事项的具体业务类型针对性指派下一节点的审查人员。</w:t>
      </w:r>
    </w:p>
    <w:p w14:paraId="64F878B2">
      <w:pPr>
        <w:pStyle w:val="4"/>
        <w:pageBreakBefore w:val="0"/>
        <w:widowControl/>
        <w:numPr>
          <w:ilvl w:val="1"/>
          <w:numId w:val="5"/>
        </w:numPr>
        <w:tabs>
          <w:tab w:val="clear" w:pos="432"/>
        </w:tabs>
        <w:kinsoku/>
        <w:wordWrap/>
        <w:overflowPunct/>
        <w:topLinePunct w:val="0"/>
        <w:autoSpaceDN/>
        <w:bidi w:val="0"/>
        <w:snapToGrid/>
        <w:spacing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智能模板</w:t>
      </w:r>
    </w:p>
    <w:p w14:paraId="0DC57CC7">
      <w:pPr>
        <w:pStyle w:val="5"/>
        <w:pageBreakBefore w:val="0"/>
        <w:widowControl/>
        <w:numPr>
          <w:ilvl w:val="2"/>
          <w:numId w:val="5"/>
        </w:numPr>
        <w:tabs>
          <w:tab w:val="clear" w:pos="900"/>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流程指引</w:t>
      </w:r>
    </w:p>
    <w:p w14:paraId="74999092">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各类审查事项的线上指引</w:t>
      </w:r>
    </w:p>
    <w:p w14:paraId="5022C358">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b/>
          <w:bCs/>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为合法性审查事项、备案事项等提供统一规范的线上指引。</w:t>
      </w:r>
    </w:p>
    <w:p w14:paraId="0A2B42E9">
      <w:pPr>
        <w:pStyle w:val="5"/>
        <w:pageBreakBefore w:val="0"/>
        <w:widowControl/>
        <w:numPr>
          <w:ilvl w:val="2"/>
          <w:numId w:val="5"/>
        </w:numPr>
        <w:tabs>
          <w:tab w:val="clear" w:pos="900"/>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重大合同备案标准</w:t>
      </w:r>
    </w:p>
    <w:p w14:paraId="70DD3A3F">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重大合同备案标准综合管理</w:t>
      </w:r>
    </w:p>
    <w:p w14:paraId="44584E02">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对重大合同备案的标准信息进行综合管理，添加标准信息。</w:t>
      </w:r>
    </w:p>
    <w:p w14:paraId="0F2D566F">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历史维护版本记录</w:t>
      </w:r>
    </w:p>
    <w:p w14:paraId="0CBEC14C">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对重大合同备案标准的编辑历史进行记录，提供历史维护版本记录的查询。</w:t>
      </w:r>
    </w:p>
    <w:p w14:paraId="276291DE">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维护单位（人）默认关联</w:t>
      </w:r>
    </w:p>
    <w:p w14:paraId="3405E18A">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对重大合同备案标准进行重新更新编辑时，自动关联维护单位与维护人信息。</w:t>
      </w:r>
    </w:p>
    <w:p w14:paraId="64BDD85A">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重大合同备案标准发布</w:t>
      </w:r>
    </w:p>
    <w:p w14:paraId="3E72A0E2">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对重大合同备案标准确认无误的即可进行发布操作。</w:t>
      </w:r>
    </w:p>
    <w:p w14:paraId="6E32F592">
      <w:pPr>
        <w:pStyle w:val="5"/>
        <w:pageBreakBefore w:val="0"/>
        <w:widowControl/>
        <w:numPr>
          <w:ilvl w:val="2"/>
          <w:numId w:val="5"/>
        </w:numPr>
        <w:tabs>
          <w:tab w:val="clear" w:pos="900"/>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合同示范文本</w:t>
      </w:r>
    </w:p>
    <w:p w14:paraId="1260BDE3">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合同示范文本标准管理</w:t>
      </w:r>
    </w:p>
    <w:p w14:paraId="03DFA5FD">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区县管理员可上传合同示范文本标准。</w:t>
      </w:r>
    </w:p>
    <w:p w14:paraId="14CD43C0">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color w:val="auto"/>
          <w:kern w:val="2"/>
          <w:sz w:val="24"/>
          <w:szCs w:val="24"/>
          <w:highlight w:val="none"/>
        </w:rPr>
      </w:pPr>
      <w:r>
        <w:rPr>
          <w:rFonts w:hint="eastAsia" w:ascii="宋体" w:hAnsi="宋体" w:eastAsia="宋体" w:cs="宋体"/>
          <w:b/>
          <w:bCs/>
          <w:color w:val="auto"/>
          <w:kern w:val="2"/>
          <w:sz w:val="24"/>
          <w:szCs w:val="24"/>
          <w:highlight w:val="none"/>
        </w:rPr>
        <w:t>合</w:t>
      </w:r>
      <w:r>
        <w:rPr>
          <w:rFonts w:hint="eastAsia" w:ascii="宋体" w:hAnsi="宋体" w:eastAsia="宋体" w:cs="宋体"/>
          <w:b w:val="0"/>
          <w:color w:val="auto"/>
          <w:sz w:val="24"/>
          <w:szCs w:val="24"/>
          <w:highlight w:val="none"/>
        </w:rPr>
        <w:t>同</w:t>
      </w:r>
      <w:r>
        <w:rPr>
          <w:rFonts w:hint="eastAsia" w:ascii="宋体" w:hAnsi="宋体" w:eastAsia="宋体" w:cs="宋体"/>
          <w:b/>
          <w:bCs/>
          <w:color w:val="auto"/>
          <w:kern w:val="2"/>
          <w:sz w:val="24"/>
          <w:szCs w:val="24"/>
          <w:highlight w:val="none"/>
        </w:rPr>
        <w:t>示范文本编辑维护</w:t>
      </w:r>
    </w:p>
    <w:p w14:paraId="73159428">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已上传的合同示范文本也可以重新编辑修改，编辑时自动填入上一次保存信息。</w:t>
      </w:r>
    </w:p>
    <w:p w14:paraId="216E184C">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文本附件预览和下载</w:t>
      </w:r>
    </w:p>
    <w:p w14:paraId="3F12478C">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已上传的合同示范文本可提供在线预览和下载功能。</w:t>
      </w:r>
    </w:p>
    <w:p w14:paraId="40865AE1">
      <w:pPr>
        <w:pStyle w:val="3"/>
        <w:pageBreakBefore w:val="0"/>
        <w:widowControl/>
        <w:numPr>
          <w:ilvl w:val="0"/>
          <w:numId w:val="5"/>
        </w:numPr>
        <w:tabs>
          <w:tab w:val="clear" w:pos="432"/>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44"/>
          <w:sz w:val="24"/>
          <w:szCs w:val="24"/>
          <w:highlight w:val="none"/>
        </w:rPr>
      </w:pPr>
      <w:r>
        <w:rPr>
          <w:rFonts w:hint="eastAsia" w:ascii="宋体" w:hAnsi="宋体" w:eastAsia="宋体" w:cs="宋体"/>
          <w:b/>
          <w:bCs w:val="0"/>
          <w:color w:val="auto"/>
          <w:kern w:val="44"/>
          <w:sz w:val="24"/>
          <w:szCs w:val="24"/>
          <w:highlight w:val="none"/>
        </w:rPr>
        <w:t>审查动态评价</w:t>
      </w:r>
    </w:p>
    <w:p w14:paraId="5AE7E3FA">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提供乡镇合法性审查驾驶舱主屏，展示各地乡镇合法性审查的审查备案、合法性审查、审查评价等内容；提供数据看板，支持从时间、地区维度对各类型的审查指标进行数据展示。</w:t>
      </w:r>
    </w:p>
    <w:p w14:paraId="29628A1E">
      <w:pPr>
        <w:pStyle w:val="3"/>
        <w:pageBreakBefore w:val="0"/>
        <w:widowControl/>
        <w:numPr>
          <w:ilvl w:val="0"/>
          <w:numId w:val="5"/>
        </w:numPr>
        <w:tabs>
          <w:tab w:val="clear" w:pos="432"/>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44"/>
          <w:sz w:val="24"/>
          <w:szCs w:val="24"/>
          <w:highlight w:val="none"/>
        </w:rPr>
      </w:pPr>
      <w:r>
        <w:rPr>
          <w:rFonts w:hint="eastAsia" w:ascii="宋体" w:hAnsi="宋体" w:eastAsia="宋体" w:cs="宋体"/>
          <w:b/>
          <w:bCs w:val="0"/>
          <w:color w:val="auto"/>
          <w:kern w:val="44"/>
          <w:sz w:val="24"/>
          <w:szCs w:val="24"/>
          <w:highlight w:val="none"/>
        </w:rPr>
        <w:t>接口对接</w:t>
      </w:r>
    </w:p>
    <w:p w14:paraId="57BC7404">
      <w:pPr>
        <w:pStyle w:val="4"/>
        <w:pageBreakBefore w:val="0"/>
        <w:widowControl/>
        <w:numPr>
          <w:ilvl w:val="1"/>
          <w:numId w:val="5"/>
        </w:numPr>
        <w:tabs>
          <w:tab w:val="clear" w:pos="432"/>
        </w:tabs>
        <w:kinsoku/>
        <w:wordWrap/>
        <w:overflowPunct/>
        <w:topLinePunct w:val="0"/>
        <w:autoSpaceDN/>
        <w:bidi w:val="0"/>
        <w:snapToGrid/>
        <w:spacing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对接党政机关</w:t>
      </w:r>
    </w:p>
    <w:p w14:paraId="4A7621C0">
      <w:pPr>
        <w:pStyle w:val="5"/>
        <w:pageBreakBefore w:val="0"/>
        <w:widowControl/>
        <w:numPr>
          <w:ilvl w:val="2"/>
          <w:numId w:val="5"/>
        </w:numPr>
        <w:tabs>
          <w:tab w:val="clear" w:pos="900"/>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工作页面集成</w:t>
      </w:r>
    </w:p>
    <w:p w14:paraId="63436E03">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与党政机关一体化平台的工作页面进行集成对接，实现单点登录。</w:t>
      </w:r>
    </w:p>
    <w:p w14:paraId="00DE9FC3">
      <w:pPr>
        <w:pStyle w:val="4"/>
        <w:pageBreakBefore w:val="0"/>
        <w:widowControl/>
        <w:numPr>
          <w:ilvl w:val="1"/>
          <w:numId w:val="5"/>
        </w:numPr>
        <w:tabs>
          <w:tab w:val="clear" w:pos="432"/>
        </w:tabs>
        <w:kinsoku/>
        <w:wordWrap/>
        <w:overflowPunct/>
        <w:topLinePunct w:val="0"/>
        <w:autoSpaceDN/>
        <w:bidi w:val="0"/>
        <w:snapToGrid/>
        <w:spacing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对接司法大脑</w:t>
      </w:r>
    </w:p>
    <w:p w14:paraId="6E700D30">
      <w:pPr>
        <w:pStyle w:val="5"/>
        <w:pageBreakBefore w:val="0"/>
        <w:widowControl/>
        <w:numPr>
          <w:ilvl w:val="2"/>
          <w:numId w:val="5"/>
        </w:numPr>
        <w:tabs>
          <w:tab w:val="clear" w:pos="900"/>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驾驶舱</w:t>
      </w:r>
    </w:p>
    <w:p w14:paraId="5BB9D322">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确定驾驶舱相关指标，并将相应数据按驾驶舱制定标准进行梳理，展示相应的数据。</w:t>
      </w:r>
    </w:p>
    <w:p w14:paraId="4DFD2102">
      <w:pPr>
        <w:pStyle w:val="5"/>
        <w:pageBreakBefore w:val="0"/>
        <w:widowControl/>
        <w:numPr>
          <w:ilvl w:val="2"/>
          <w:numId w:val="5"/>
        </w:numPr>
        <w:tabs>
          <w:tab w:val="clear" w:pos="900"/>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备案与审查数据对接</w:t>
      </w:r>
    </w:p>
    <w:p w14:paraId="18A354E1">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备案数据对接</w:t>
      </w:r>
    </w:p>
    <w:p w14:paraId="59B352FA">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对备案相应数据进</w:t>
      </w:r>
      <w:r>
        <w:rPr>
          <w:rFonts w:hint="eastAsia" w:ascii="宋体" w:hAnsi="宋体" w:eastAsia="宋体" w:cs="宋体"/>
          <w:color w:val="auto"/>
          <w:kern w:val="2"/>
          <w:sz w:val="24"/>
          <w:szCs w:val="24"/>
          <w:highlight w:val="none"/>
          <w:lang w:val="en-US" w:eastAsia="zh-CN" w:bidi="ar"/>
        </w:rPr>
        <w:t>行处理后，向司法大脑平台推送备案数据，供司法大脑平台进行统计分析。</w:t>
      </w:r>
    </w:p>
    <w:p w14:paraId="6865AB73">
      <w:pPr>
        <w:pStyle w:val="7"/>
        <w:pageBreakBefore w:val="0"/>
        <w:widowControl/>
        <w:numPr>
          <w:ilvl w:val="3"/>
          <w:numId w:val="5"/>
        </w:numPr>
        <w:tabs>
          <w:tab w:val="clear" w:pos="864"/>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合法性审查数据对接</w:t>
      </w:r>
    </w:p>
    <w:p w14:paraId="13FAD12B">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对合法性审查相应数据进行处理后，向司法大脑平台推送合法性审查数据，供司法大脑平台进行统计分析。</w:t>
      </w:r>
    </w:p>
    <w:p w14:paraId="48B6D939">
      <w:pPr>
        <w:pStyle w:val="4"/>
        <w:pageBreakBefore w:val="0"/>
        <w:widowControl/>
        <w:numPr>
          <w:ilvl w:val="1"/>
          <w:numId w:val="5"/>
        </w:numPr>
        <w:tabs>
          <w:tab w:val="clear" w:pos="432"/>
        </w:tabs>
        <w:kinsoku/>
        <w:wordWrap/>
        <w:overflowPunct/>
        <w:topLinePunct w:val="0"/>
        <w:autoSpaceDN/>
        <w:bidi w:val="0"/>
        <w:snapToGrid/>
        <w:spacing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对接司法行政综管系统</w:t>
      </w:r>
    </w:p>
    <w:p w14:paraId="7AC7D510">
      <w:pPr>
        <w:pStyle w:val="5"/>
        <w:pageBreakBefore w:val="0"/>
        <w:widowControl/>
        <w:numPr>
          <w:ilvl w:val="2"/>
          <w:numId w:val="5"/>
        </w:numPr>
        <w:tabs>
          <w:tab w:val="clear" w:pos="900"/>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单点登录</w:t>
      </w:r>
    </w:p>
    <w:p w14:paraId="0AF215F6">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与司法行政综管系统对接用户体系，实现单点登录。</w:t>
      </w:r>
    </w:p>
    <w:p w14:paraId="12AD3C6A">
      <w:pPr>
        <w:pStyle w:val="3"/>
        <w:pageBreakBefore w:val="0"/>
        <w:widowControl/>
        <w:numPr>
          <w:ilvl w:val="0"/>
          <w:numId w:val="5"/>
        </w:numPr>
        <w:tabs>
          <w:tab w:val="clear" w:pos="432"/>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b/>
          <w:bCs w:val="0"/>
          <w:color w:val="auto"/>
          <w:kern w:val="44"/>
          <w:sz w:val="24"/>
          <w:szCs w:val="24"/>
          <w:highlight w:val="none"/>
        </w:rPr>
      </w:pPr>
      <w:r>
        <w:rPr>
          <w:rFonts w:hint="eastAsia" w:ascii="宋体" w:hAnsi="宋体" w:eastAsia="宋体" w:cs="宋体"/>
          <w:b/>
          <w:bCs w:val="0"/>
          <w:color w:val="auto"/>
          <w:kern w:val="44"/>
          <w:sz w:val="24"/>
          <w:szCs w:val="24"/>
          <w:highlight w:val="none"/>
        </w:rPr>
        <w:t>系统推广</w:t>
      </w:r>
    </w:p>
    <w:p w14:paraId="4F0B7124">
      <w:pPr>
        <w:pStyle w:val="4"/>
        <w:pageBreakBefore w:val="0"/>
        <w:widowControl/>
        <w:numPr>
          <w:ilvl w:val="1"/>
          <w:numId w:val="5"/>
        </w:numPr>
        <w:tabs>
          <w:tab w:val="clear" w:pos="432"/>
        </w:tabs>
        <w:kinsoku/>
        <w:wordWrap/>
        <w:overflowPunct/>
        <w:topLinePunct w:val="0"/>
        <w:autoSpaceDN/>
        <w:bidi w:val="0"/>
        <w:snapToGrid/>
        <w:spacing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第三方应用页面集成</w:t>
      </w:r>
    </w:p>
    <w:p w14:paraId="697A5AAA">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与省市县相关的第三方应用进行页面集成，通过多个开放入口提高合法性审查管理的曝光度。</w:t>
      </w:r>
    </w:p>
    <w:p w14:paraId="1BC1A131">
      <w:pPr>
        <w:pStyle w:val="4"/>
        <w:pageBreakBefore w:val="0"/>
        <w:widowControl/>
        <w:numPr>
          <w:ilvl w:val="1"/>
          <w:numId w:val="5"/>
        </w:numPr>
        <w:tabs>
          <w:tab w:val="clear" w:pos="432"/>
        </w:tabs>
        <w:kinsoku/>
        <w:wordWrap/>
        <w:overflowPunct/>
        <w:topLinePunct w:val="0"/>
        <w:autoSpaceDN/>
        <w:bidi w:val="0"/>
        <w:snapToGrid/>
        <w:spacing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系统意见处理与反馈</w:t>
      </w:r>
    </w:p>
    <w:p w14:paraId="485629C9">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为省市县乡等多级用户提供线上问题或意见上报与处置反馈。</w:t>
      </w:r>
    </w:p>
    <w:p w14:paraId="57D9D836">
      <w:pPr>
        <w:pStyle w:val="4"/>
        <w:pageBreakBefore w:val="0"/>
        <w:widowControl/>
        <w:numPr>
          <w:ilvl w:val="1"/>
          <w:numId w:val="5"/>
        </w:numPr>
        <w:tabs>
          <w:tab w:val="clear" w:pos="432"/>
        </w:tabs>
        <w:kinsoku/>
        <w:wordWrap/>
        <w:overflowPunct/>
        <w:topLinePunct w:val="0"/>
        <w:autoSpaceDN/>
        <w:bidi w:val="0"/>
        <w:snapToGrid/>
        <w:spacing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线上与线下培训</w:t>
      </w:r>
    </w:p>
    <w:p w14:paraId="6482FC01">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为省市县乡等多级用户提供线上与线下系统培训。</w:t>
      </w:r>
    </w:p>
    <w:p w14:paraId="3A614406">
      <w:pPr>
        <w:pStyle w:val="4"/>
        <w:pageBreakBefore w:val="0"/>
        <w:widowControl/>
        <w:numPr>
          <w:ilvl w:val="1"/>
          <w:numId w:val="5"/>
        </w:numPr>
        <w:tabs>
          <w:tab w:val="clear" w:pos="432"/>
        </w:tabs>
        <w:kinsoku/>
        <w:wordWrap/>
        <w:overflowPunct/>
        <w:topLinePunct w:val="0"/>
        <w:autoSpaceDN/>
        <w:bidi w:val="0"/>
        <w:snapToGrid/>
        <w:spacing w:line="360" w:lineRule="auto"/>
        <w:ind w:left="0" w:leftChars="0" w:firstLine="422" w:firstLineChars="175"/>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数据安全及监控保障</w:t>
      </w:r>
    </w:p>
    <w:p w14:paraId="68D17AFF">
      <w:pPr>
        <w:keepNext w:val="0"/>
        <w:keepLines w:val="0"/>
        <w:pageBreakBefore w:val="0"/>
        <w:widowControl w:val="0"/>
        <w:suppressLineNumbers w:val="0"/>
        <w:kinsoku/>
        <w:wordWrap/>
        <w:overflowPunct/>
        <w:topLinePunct w:val="0"/>
        <w:autoSpaceDN/>
        <w:bidi w:val="0"/>
        <w:snapToGrid/>
        <w:spacing w:beforeAutospacing="0" w:afterAutospacing="0" w:line="360" w:lineRule="auto"/>
        <w:ind w:left="0" w:leftChars="0" w:right="0" w:firstLine="420" w:firstLineChars="175"/>
        <w:jc w:val="both"/>
        <w:textAlignment w:val="auto"/>
        <w:rPr>
          <w:rFonts w:hint="eastAsia" w:ascii="宋体" w:hAnsi="宋体" w:eastAsia="宋体" w:cs="宋体"/>
          <w:color w:val="auto"/>
          <w:kern w:val="2"/>
          <w:sz w:val="24"/>
          <w:szCs w:val="24"/>
          <w:highlight w:val="none"/>
          <w:lang w:val="en-US" w:eastAsia="zh-CN" w:bidi="ar"/>
        </w:rPr>
      </w:pPr>
      <w:r>
        <w:rPr>
          <w:rFonts w:hint="eastAsia" w:ascii="宋体" w:hAnsi="宋体" w:eastAsia="宋体" w:cs="宋体"/>
          <w:color w:val="auto"/>
          <w:kern w:val="2"/>
          <w:sz w:val="24"/>
          <w:szCs w:val="24"/>
          <w:highlight w:val="none"/>
          <w:lang w:val="en-US" w:eastAsia="zh-CN" w:bidi="ar"/>
        </w:rPr>
        <w:t>对省市县乡等多级的自建系统各流程节点数据进行统一管理，保障各系统合法性审查与备案审查的数据安全。</w:t>
      </w:r>
    </w:p>
    <w:p w14:paraId="3516736F">
      <w:pPr>
        <w:pStyle w:val="3"/>
        <w:pageBreakBefore w:val="0"/>
        <w:widowControl/>
        <w:numPr>
          <w:ilvl w:val="0"/>
          <w:numId w:val="5"/>
        </w:numPr>
        <w:tabs>
          <w:tab w:val="clear" w:pos="432"/>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color w:val="auto"/>
          <w:kern w:val="2"/>
          <w:sz w:val="24"/>
          <w:szCs w:val="24"/>
          <w:highlight w:val="none"/>
          <w:lang w:val="en-US" w:eastAsia="zh-CN" w:bidi="ar"/>
        </w:rPr>
      </w:pPr>
      <w:r>
        <w:rPr>
          <w:rFonts w:hint="eastAsia" w:ascii="宋体" w:hAnsi="宋体" w:eastAsia="宋体" w:cs="宋体"/>
          <w:color w:val="auto"/>
          <w:kern w:val="2"/>
          <w:sz w:val="24"/>
          <w:szCs w:val="24"/>
          <w:highlight w:val="none"/>
          <w:lang w:val="en-US" w:eastAsia="zh-CN" w:bidi="ar"/>
        </w:rPr>
        <w:t>系统演示内容</w:t>
      </w:r>
    </w:p>
    <w:p w14:paraId="7A369902">
      <w:pPr>
        <w:keepNext w:val="0"/>
        <w:keepLines w:val="0"/>
        <w:pageBreakBefore w:val="0"/>
        <w:widowControl w:val="0"/>
        <w:numPr>
          <w:ilvl w:val="1"/>
          <w:numId w:val="5"/>
        </w:numPr>
        <w:kinsoku/>
        <w:wordWrap/>
        <w:overflowPunct/>
        <w:topLinePunct w:val="0"/>
        <w:autoSpaceDE/>
        <w:autoSpaceDN/>
        <w:bidi w:val="0"/>
        <w:adjustRightInd w:val="0"/>
        <w:snapToGrid/>
        <w:spacing w:line="360" w:lineRule="auto"/>
        <w:ind w:left="0" w:leftChars="0" w:firstLine="420" w:firstLineChars="1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演示审查角色，包括起草科室、党政办、法律顾问等</w:t>
      </w:r>
      <w:r>
        <w:rPr>
          <w:rFonts w:hint="eastAsia" w:ascii="宋体" w:hAnsi="宋体" w:eastAsia="宋体" w:cs="宋体"/>
          <w:color w:val="auto"/>
          <w:sz w:val="24"/>
          <w:szCs w:val="24"/>
          <w:highlight w:val="none"/>
        </w:rPr>
        <w:t>；</w:t>
      </w:r>
    </w:p>
    <w:p w14:paraId="7F887D38">
      <w:pPr>
        <w:keepNext w:val="0"/>
        <w:keepLines w:val="0"/>
        <w:pageBreakBefore w:val="0"/>
        <w:widowControl w:val="0"/>
        <w:numPr>
          <w:ilvl w:val="1"/>
          <w:numId w:val="5"/>
        </w:numPr>
        <w:kinsoku/>
        <w:wordWrap/>
        <w:overflowPunct/>
        <w:topLinePunct w:val="0"/>
        <w:autoSpaceDE/>
        <w:autoSpaceDN/>
        <w:bidi w:val="0"/>
        <w:adjustRightInd w:val="0"/>
        <w:snapToGrid/>
        <w:spacing w:line="360" w:lineRule="auto"/>
        <w:ind w:left="0" w:leftChars="0" w:firstLine="420" w:firstLineChars="175"/>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演示</w:t>
      </w:r>
      <w:r>
        <w:rPr>
          <w:rFonts w:hint="eastAsia" w:ascii="宋体" w:hAnsi="宋体" w:eastAsia="宋体" w:cs="宋体"/>
          <w:color w:val="auto"/>
          <w:sz w:val="24"/>
          <w:szCs w:val="24"/>
          <w:highlight w:val="none"/>
          <w:lang w:eastAsia="zh-CN"/>
        </w:rPr>
        <w:t>数据看板</w:t>
      </w:r>
      <w:r>
        <w:rPr>
          <w:rFonts w:hint="eastAsia" w:ascii="宋体" w:hAnsi="宋体" w:eastAsia="宋体" w:cs="宋体"/>
          <w:color w:val="auto"/>
          <w:sz w:val="24"/>
          <w:szCs w:val="24"/>
          <w:highlight w:val="none"/>
          <w:lang w:val="en-US" w:eastAsia="zh-CN"/>
        </w:rPr>
        <w:t>模块，包括各项全省各地区合法性审查、备案审查、乡镇街道法审员工作数据</w:t>
      </w:r>
      <w:r>
        <w:rPr>
          <w:rFonts w:hint="eastAsia" w:ascii="宋体" w:hAnsi="宋体" w:eastAsia="宋体" w:cs="宋体"/>
          <w:color w:val="auto"/>
          <w:sz w:val="24"/>
          <w:szCs w:val="24"/>
          <w:highlight w:val="none"/>
          <w:lang w:eastAsia="zh-CN"/>
        </w:rPr>
        <w:t>。</w:t>
      </w:r>
    </w:p>
    <w:p w14:paraId="71636FCD">
      <w:pPr>
        <w:keepNext w:val="0"/>
        <w:keepLines w:val="0"/>
        <w:pageBreakBefore w:val="0"/>
        <w:widowControl w:val="0"/>
        <w:numPr>
          <w:ilvl w:val="1"/>
          <w:numId w:val="5"/>
        </w:numPr>
        <w:kinsoku/>
        <w:wordWrap/>
        <w:overflowPunct/>
        <w:topLinePunct w:val="0"/>
        <w:autoSpaceDE/>
        <w:autoSpaceDN/>
        <w:bidi w:val="0"/>
        <w:adjustRightInd w:val="0"/>
        <w:snapToGrid/>
        <w:spacing w:line="360" w:lineRule="auto"/>
        <w:ind w:left="0" w:leftChars="0" w:firstLine="420" w:firstLineChars="1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演示事项总览模块，包括行政规范性文件、重大行政决策、乡镇（街道）合同、其他事项等</w:t>
      </w:r>
      <w:r>
        <w:rPr>
          <w:rFonts w:hint="eastAsia" w:ascii="宋体" w:hAnsi="宋体" w:eastAsia="宋体" w:cs="宋体"/>
          <w:color w:val="auto"/>
          <w:sz w:val="24"/>
          <w:szCs w:val="24"/>
          <w:highlight w:val="none"/>
        </w:rPr>
        <w:t>。</w:t>
      </w:r>
    </w:p>
    <w:p w14:paraId="0834286F">
      <w:pPr>
        <w:keepNext w:val="0"/>
        <w:keepLines w:val="0"/>
        <w:pageBreakBefore w:val="0"/>
        <w:widowControl w:val="0"/>
        <w:numPr>
          <w:ilvl w:val="1"/>
          <w:numId w:val="5"/>
        </w:numPr>
        <w:kinsoku/>
        <w:wordWrap/>
        <w:overflowPunct/>
        <w:topLinePunct w:val="0"/>
        <w:autoSpaceDE/>
        <w:autoSpaceDN/>
        <w:bidi w:val="0"/>
        <w:adjustRightInd w:val="0"/>
        <w:snapToGrid/>
        <w:spacing w:line="360" w:lineRule="auto"/>
        <w:ind w:left="0" w:leftChars="0" w:firstLine="420" w:firstLineChars="1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演示审查操作流程，以乡镇（街道）合同审查及重大合同备案为例，演示审查流程各节点。</w:t>
      </w:r>
    </w:p>
    <w:p w14:paraId="53B889FA">
      <w:pPr>
        <w:keepNext w:val="0"/>
        <w:keepLines w:val="0"/>
        <w:pageBreakBefore w:val="0"/>
        <w:widowControl w:val="0"/>
        <w:numPr>
          <w:ilvl w:val="1"/>
          <w:numId w:val="5"/>
        </w:numPr>
        <w:kinsoku/>
        <w:wordWrap/>
        <w:overflowPunct/>
        <w:topLinePunct w:val="0"/>
        <w:autoSpaceDE/>
        <w:autoSpaceDN/>
        <w:bidi w:val="0"/>
        <w:adjustRightInd w:val="0"/>
        <w:snapToGrid/>
        <w:spacing w:line="360" w:lineRule="auto"/>
        <w:ind w:left="0" w:leftChars="0" w:firstLine="420" w:firstLineChars="1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演示学习中心模块，包括培训视频、文件资料、案例素材、在线刷题及在线考试等功能。</w:t>
      </w:r>
    </w:p>
    <w:p w14:paraId="6998CEA5">
      <w:pPr>
        <w:keepNext w:val="0"/>
        <w:keepLines w:val="0"/>
        <w:pageBreakBefore w:val="0"/>
        <w:widowControl w:val="0"/>
        <w:numPr>
          <w:ilvl w:val="1"/>
          <w:numId w:val="5"/>
        </w:numPr>
        <w:kinsoku/>
        <w:wordWrap/>
        <w:overflowPunct/>
        <w:topLinePunct w:val="0"/>
        <w:autoSpaceDE/>
        <w:autoSpaceDN/>
        <w:bidi w:val="0"/>
        <w:adjustRightInd w:val="0"/>
        <w:snapToGrid/>
        <w:spacing w:line="360" w:lineRule="auto"/>
        <w:ind w:left="0" w:leftChars="0" w:firstLine="420" w:firstLineChars="1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演示智能审查模块，包括智能匹配、智能编辑、智能模板</w:t>
      </w:r>
      <w:r>
        <w:rPr>
          <w:rFonts w:hint="eastAsia" w:ascii="宋体" w:hAnsi="宋体" w:eastAsia="宋体" w:cs="宋体"/>
          <w:color w:val="auto"/>
          <w:sz w:val="24"/>
          <w:szCs w:val="24"/>
          <w:highlight w:val="none"/>
          <w:lang w:eastAsia="zh-CN"/>
        </w:rPr>
        <w:t>等。</w:t>
      </w:r>
    </w:p>
    <w:p w14:paraId="5D18433B">
      <w:pPr>
        <w:pStyle w:val="3"/>
        <w:pageBreakBefore w:val="0"/>
        <w:widowControl/>
        <w:numPr>
          <w:ilvl w:val="0"/>
          <w:numId w:val="5"/>
        </w:numPr>
        <w:tabs>
          <w:tab w:val="clear" w:pos="432"/>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color w:val="auto"/>
          <w:kern w:val="2"/>
          <w:sz w:val="24"/>
          <w:szCs w:val="24"/>
          <w:highlight w:val="none"/>
          <w:lang w:val="en-US" w:eastAsia="zh-CN" w:bidi="ar"/>
        </w:rPr>
      </w:pPr>
      <w:r>
        <w:rPr>
          <w:rFonts w:hint="eastAsia" w:ascii="宋体" w:hAnsi="宋体" w:eastAsia="宋体" w:cs="宋体"/>
          <w:color w:val="auto"/>
          <w:kern w:val="2"/>
          <w:sz w:val="24"/>
          <w:szCs w:val="24"/>
          <w:highlight w:val="none"/>
          <w:lang w:val="en-US" w:eastAsia="zh-CN" w:bidi="ar"/>
        </w:rPr>
        <w:t>项目团队要求</w:t>
      </w:r>
    </w:p>
    <w:p w14:paraId="6995F132">
      <w:pPr>
        <w:pStyle w:val="5"/>
        <w:pageBreakBefore w:val="0"/>
        <w:numPr>
          <w:ilvl w:val="2"/>
          <w:numId w:val="0"/>
        </w:numPr>
        <w:kinsoku/>
        <w:wordWrap/>
        <w:overflowPunct/>
        <w:topLinePunct w:val="0"/>
        <w:bidi w:val="0"/>
        <w:spacing w:before="0" w:after="0" w:line="360" w:lineRule="auto"/>
        <w:ind w:left="0" w:leftChars="0" w:firstLine="420" w:firstLineChars="175"/>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rPr>
        <w:t>投标人必须成立合理的组织机构，建立健全保障项目顺利实施的各项管理制度和质量保证体系，按照招标要求安排好项目管理团队参加本项目的建设。</w:t>
      </w:r>
    </w:p>
    <w:p w14:paraId="2046559A">
      <w:pPr>
        <w:pageBreakBefore w:val="0"/>
        <w:kinsoku/>
        <w:wordWrap/>
        <w:overflowPunct/>
        <w:topLinePunct w:val="0"/>
        <w:bidi w:val="0"/>
        <w:spacing w:line="360" w:lineRule="auto"/>
        <w:ind w:left="0" w:leftChars="0" w:firstLine="420" w:firstLineChars="175"/>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项目团队至少应包含项目经理1人、技术负责人1人及项目实施需要的其他专业技术人员，其他专业技术人员包括但不仅限于软件测试、系统集成、项目管理、用户培训等成员。</w:t>
      </w:r>
    </w:p>
    <w:p w14:paraId="7FFB6A88">
      <w:pPr>
        <w:ind w:firstLine="480" w:firstLineChars="200"/>
        <w:rPr>
          <w:rFonts w:hint="eastAsia" w:ascii="宋体" w:hAnsi="宋体" w:eastAsia="宋体" w:cs="宋体"/>
          <w:b w:val="0"/>
          <w:color w:val="auto"/>
          <w:sz w:val="24"/>
          <w:szCs w:val="24"/>
          <w:highlight w:val="none"/>
        </w:rPr>
      </w:pPr>
      <w:r>
        <w:rPr>
          <w:rFonts w:hint="eastAsia" w:ascii="宋体" w:hAnsi="宋体" w:eastAsia="宋体" w:cs="宋体"/>
          <w:b w:val="0"/>
          <w:bCs/>
          <w:color w:val="auto"/>
          <w:sz w:val="24"/>
          <w:szCs w:val="24"/>
          <w:highlight w:val="none"/>
        </w:rPr>
        <w:t>项目经理应具有</w:t>
      </w:r>
      <w:r>
        <w:rPr>
          <w:rFonts w:hint="eastAsia" w:ascii="宋体" w:hAnsi="宋体" w:cs="宋体"/>
          <w:b w:val="0"/>
          <w:bCs/>
          <w:color w:val="auto"/>
          <w:sz w:val="24"/>
          <w:szCs w:val="24"/>
          <w:highlight w:val="none"/>
          <w:lang w:val="en-US" w:eastAsia="zh-CN"/>
        </w:rPr>
        <w:t>人社部门颁发</w:t>
      </w:r>
      <w:r>
        <w:rPr>
          <w:rFonts w:hint="eastAsia" w:ascii="宋体" w:hAnsi="宋体" w:eastAsia="宋体" w:cs="宋体"/>
          <w:b w:val="0"/>
          <w:bCs/>
          <w:color w:val="auto"/>
          <w:sz w:val="24"/>
          <w:szCs w:val="24"/>
          <w:highlight w:val="none"/>
        </w:rPr>
        <w:t>的信息系统项目管理师</w:t>
      </w:r>
      <w:r>
        <w:rPr>
          <w:rFonts w:hint="eastAsia" w:ascii="宋体" w:hAnsi="宋体" w:cs="宋体"/>
          <w:b w:val="0"/>
          <w:bCs/>
          <w:color w:val="auto"/>
          <w:sz w:val="24"/>
          <w:szCs w:val="24"/>
          <w:highlight w:val="none"/>
          <w:lang w:eastAsia="zh-CN"/>
        </w:rPr>
        <w:t>、</w:t>
      </w:r>
      <w:r>
        <w:rPr>
          <w:rFonts w:hint="eastAsia" w:ascii="宋体" w:hAnsi="宋体" w:cs="宋体"/>
          <w:b w:val="0"/>
          <w:bCs/>
          <w:color w:val="auto"/>
          <w:sz w:val="24"/>
          <w:szCs w:val="24"/>
          <w:highlight w:val="none"/>
          <w:lang w:val="en-US" w:eastAsia="zh-CN"/>
        </w:rPr>
        <w:t>信息安全工程师证书</w:t>
      </w:r>
      <w:r>
        <w:rPr>
          <w:rFonts w:hint="eastAsia" w:ascii="宋体" w:hAnsi="宋体" w:eastAsia="宋体" w:cs="宋体"/>
          <w:b w:val="0"/>
          <w:bCs/>
          <w:color w:val="auto"/>
          <w:sz w:val="24"/>
          <w:szCs w:val="24"/>
          <w:highlight w:val="none"/>
        </w:rPr>
        <w:t>。</w:t>
      </w:r>
      <w:r>
        <w:rPr>
          <w:rFonts w:hint="eastAsia" w:ascii="宋体" w:hAnsi="宋体" w:eastAsia="宋体" w:cs="宋体"/>
          <w:b w:val="0"/>
          <w:bCs/>
          <w:color w:val="auto"/>
          <w:sz w:val="24"/>
          <w:szCs w:val="24"/>
          <w:highlight w:val="none"/>
        </w:rPr>
        <w:t>项目</w:t>
      </w:r>
      <w:r>
        <w:rPr>
          <w:rFonts w:hint="eastAsia" w:ascii="宋体" w:hAnsi="宋体" w:eastAsia="宋体" w:cs="宋体"/>
          <w:b w:val="0"/>
          <w:color w:val="auto"/>
          <w:sz w:val="24"/>
          <w:szCs w:val="24"/>
          <w:highlight w:val="none"/>
        </w:rPr>
        <w:t>技术负责人应具有</w:t>
      </w:r>
      <w:r>
        <w:rPr>
          <w:rFonts w:hint="eastAsia" w:ascii="宋体" w:hAnsi="宋体" w:eastAsia="宋体" w:cs="宋体"/>
          <w:color w:val="auto"/>
          <w:sz w:val="24"/>
          <w:szCs w:val="24"/>
          <w:highlight w:val="none"/>
          <w:lang w:val="en-US" w:eastAsia="zh-CN"/>
        </w:rPr>
        <w:t>人社部门颁发的</w:t>
      </w:r>
      <w:r>
        <w:rPr>
          <w:rFonts w:hint="eastAsia" w:ascii="宋体" w:hAnsi="宋体" w:eastAsia="宋体" w:cs="宋体"/>
          <w:color w:val="auto"/>
          <w:sz w:val="24"/>
          <w:szCs w:val="24"/>
          <w:highlight w:val="none"/>
          <w:lang w:eastAsia="zh-CN"/>
        </w:rPr>
        <w:t>正高级工程师</w:t>
      </w:r>
      <w:r>
        <w:rPr>
          <w:rFonts w:hint="eastAsia" w:ascii="宋体" w:hAnsi="宋体" w:cs="宋体"/>
          <w:color w:val="auto"/>
          <w:sz w:val="24"/>
          <w:szCs w:val="24"/>
          <w:highlight w:val="none"/>
          <w:lang w:eastAsia="zh-CN"/>
        </w:rPr>
        <w:t>证书</w:t>
      </w:r>
      <w:r>
        <w:rPr>
          <w:rFonts w:hint="eastAsia" w:ascii="宋体" w:hAnsi="宋体" w:eastAsia="宋体" w:cs="宋体"/>
          <w:color w:val="auto"/>
          <w:sz w:val="24"/>
          <w:szCs w:val="24"/>
          <w:highlight w:val="none"/>
          <w:lang w:eastAsia="zh-CN"/>
        </w:rPr>
        <w:t>且专业为信息技术（技术开发）</w:t>
      </w:r>
      <w:r>
        <w:rPr>
          <w:rFonts w:hint="eastAsia" w:ascii="宋体" w:hAnsi="宋体" w:cs="宋体"/>
          <w:color w:val="auto"/>
          <w:sz w:val="24"/>
          <w:szCs w:val="24"/>
          <w:highlight w:val="none"/>
          <w:lang w:val="en-US" w:eastAsia="zh-CN"/>
        </w:rPr>
        <w:t>相关专业</w:t>
      </w:r>
      <w:r>
        <w:rPr>
          <w:rFonts w:hint="eastAsia" w:ascii="宋体" w:hAnsi="宋体" w:eastAsia="宋体" w:cs="宋体"/>
          <w:b w:val="0"/>
          <w:color w:val="auto"/>
          <w:sz w:val="24"/>
          <w:szCs w:val="24"/>
          <w:highlight w:val="none"/>
        </w:rPr>
        <w:t>。</w:t>
      </w:r>
    </w:p>
    <w:p w14:paraId="1FD0491E">
      <w:pPr>
        <w:pageBreakBefore w:val="0"/>
        <w:kinsoku/>
        <w:wordWrap/>
        <w:overflowPunct/>
        <w:topLinePunct w:val="0"/>
        <w:bidi w:val="0"/>
        <w:spacing w:before="0" w:after="0" w:line="360" w:lineRule="auto"/>
        <w:ind w:left="0" w:leftChars="0" w:firstLineChars="175"/>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rPr>
        <w:t>项目其他成员（除项目经理和技术负责人外）应具有</w:t>
      </w:r>
      <w:r>
        <w:rPr>
          <w:rFonts w:hint="eastAsia" w:ascii="宋体" w:hAnsi="宋体" w:cs="宋体"/>
          <w:b w:val="0"/>
          <w:color w:val="auto"/>
          <w:sz w:val="24"/>
          <w:szCs w:val="24"/>
          <w:highlight w:val="none"/>
          <w:lang w:val="en-US" w:eastAsia="zh-CN"/>
        </w:rPr>
        <w:t>人社部门颁发的</w:t>
      </w:r>
      <w:r>
        <w:rPr>
          <w:rFonts w:hint="eastAsia" w:ascii="宋体" w:hAnsi="宋体" w:eastAsia="宋体" w:cs="宋体"/>
          <w:color w:val="auto"/>
          <w:sz w:val="24"/>
          <w:szCs w:val="24"/>
          <w:highlight w:val="none"/>
        </w:rPr>
        <w:t>软件设计师</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系统分析师证书</w:t>
      </w:r>
      <w:r>
        <w:rPr>
          <w:rFonts w:hint="eastAsia" w:ascii="宋体" w:hAnsi="宋体" w:eastAsia="宋体" w:cs="宋体"/>
          <w:b w:val="0"/>
          <w:color w:val="auto"/>
          <w:sz w:val="24"/>
          <w:szCs w:val="24"/>
          <w:highlight w:val="none"/>
        </w:rPr>
        <w:t>。</w:t>
      </w:r>
    </w:p>
    <w:p w14:paraId="5AE026E2">
      <w:pPr>
        <w:pStyle w:val="3"/>
        <w:pageBreakBefore w:val="0"/>
        <w:widowControl/>
        <w:numPr>
          <w:ilvl w:val="0"/>
          <w:numId w:val="5"/>
        </w:numPr>
        <w:tabs>
          <w:tab w:val="clear" w:pos="432"/>
        </w:tabs>
        <w:kinsoku/>
        <w:wordWrap/>
        <w:overflowPunct/>
        <w:topLinePunct w:val="0"/>
        <w:autoSpaceDN/>
        <w:bidi w:val="0"/>
        <w:snapToGrid/>
        <w:spacing w:before="0" w:after="0" w:line="360" w:lineRule="auto"/>
        <w:ind w:left="0" w:leftChars="0" w:firstLine="422" w:firstLineChars="175"/>
        <w:textAlignment w:val="auto"/>
        <w:rPr>
          <w:rFonts w:hint="eastAsia" w:ascii="宋体" w:hAnsi="宋体" w:eastAsia="宋体" w:cs="宋体"/>
          <w:color w:val="auto"/>
          <w:kern w:val="2"/>
          <w:sz w:val="24"/>
          <w:szCs w:val="24"/>
          <w:highlight w:val="none"/>
          <w:lang w:val="en-US" w:eastAsia="zh-CN" w:bidi="ar"/>
        </w:rPr>
      </w:pPr>
      <w:r>
        <w:rPr>
          <w:rFonts w:hint="eastAsia" w:ascii="宋体" w:hAnsi="宋体" w:eastAsia="宋体" w:cs="宋体"/>
          <w:color w:val="auto"/>
          <w:kern w:val="2"/>
          <w:sz w:val="24"/>
          <w:szCs w:val="24"/>
          <w:highlight w:val="none"/>
          <w:lang w:val="en-US" w:eastAsia="zh-CN" w:bidi="ar"/>
        </w:rPr>
        <w:t>验收要求</w:t>
      </w:r>
    </w:p>
    <w:p w14:paraId="31478099">
      <w:pPr>
        <w:keepNext w:val="0"/>
        <w:keepLines w:val="0"/>
        <w:pageBreakBefore w:val="0"/>
        <w:widowControl w:val="0"/>
        <w:numPr>
          <w:ilvl w:val="1"/>
          <w:numId w:val="5"/>
        </w:numPr>
        <w:shd w:val="clear" w:fill="CCC0D9" w:themeFill="accent4" w:themeFillTint="66"/>
        <w:kinsoku/>
        <w:wordWrap/>
        <w:overflowPunct/>
        <w:topLinePunct w:val="0"/>
        <w:autoSpaceDE/>
        <w:autoSpaceDN/>
        <w:bidi w:val="0"/>
        <w:adjustRightInd w:val="0"/>
        <w:snapToGrid/>
        <w:spacing w:line="360" w:lineRule="auto"/>
        <w:ind w:left="0" w:leftChars="0" w:firstLine="420" w:firstLineChars="1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软件验收测试</w:t>
      </w:r>
    </w:p>
    <w:p w14:paraId="239B2534">
      <w:pPr>
        <w:shd w:val="clear" w:fill="CCC0D9" w:themeFill="accent4" w:themeFillTint="66"/>
        <w:spacing w:line="360" w:lineRule="auto"/>
        <w:ind w:firstLine="480" w:firstLineChars="200"/>
        <w:rPr>
          <w:rFonts w:ascii="Times New Roman" w:hAnsi="Times New Roman"/>
          <w:color w:val="auto"/>
          <w:sz w:val="24"/>
          <w:szCs w:val="24"/>
          <w:highlight w:val="none"/>
        </w:rPr>
      </w:pPr>
      <w:r>
        <w:rPr>
          <w:rFonts w:hint="eastAsia" w:ascii="Times New Roman" w:hAnsi="Times New Roman"/>
          <w:color w:val="auto"/>
          <w:sz w:val="24"/>
          <w:szCs w:val="24"/>
          <w:highlight w:val="none"/>
        </w:rPr>
        <w:t>合同履行期间，供应商需完成软件验收测试工作，并承担系统整改和测试费用，</w:t>
      </w:r>
      <w:r>
        <w:rPr>
          <w:rFonts w:hint="eastAsia" w:ascii="Times New Roman" w:hAnsi="Times New Roman"/>
          <w:color w:val="auto"/>
          <w:sz w:val="24"/>
          <w:szCs w:val="24"/>
          <w:highlight w:val="none"/>
        </w:rPr>
        <w:t>包含在本次报价中</w:t>
      </w:r>
      <w:r>
        <w:rPr>
          <w:rFonts w:hint="eastAsia" w:ascii="Times New Roman" w:hAnsi="Times New Roman"/>
          <w:color w:val="auto"/>
          <w:sz w:val="24"/>
          <w:szCs w:val="24"/>
          <w:highlight w:val="none"/>
        </w:rPr>
        <w:t>。其中功能测试和性能测试须由中国合格评定国家认可委员会（CNAS）实验室资质许可机构或中国计量认证（CMA）资质许可机构进行，应包括采购范围内的功能、性能、信创环境兼容性（服务器、中间件、设备终端）以及其他指标满足情况。安全测试须由中国网络安全审查技术与认证中心颁发的信息安全风险评估服务资质认证机构（一级服务资质）和ISO27001信息安全管理体系认证机构进行，应包括安全基线检查、主机和应用漏洞扫描、渗透测试、后门检查以及部分核心代码段的安全审计。项目验收前提供完整、合格的测试成果。</w:t>
      </w:r>
    </w:p>
    <w:p w14:paraId="73C1E2CE">
      <w:pPr>
        <w:keepNext w:val="0"/>
        <w:keepLines w:val="0"/>
        <w:pageBreakBefore w:val="0"/>
        <w:widowControl w:val="0"/>
        <w:numPr>
          <w:ilvl w:val="1"/>
          <w:numId w:val="5"/>
        </w:numPr>
        <w:shd w:val="clear" w:fill="CCC0D9" w:themeFill="accent4" w:themeFillTint="66"/>
        <w:kinsoku/>
        <w:wordWrap/>
        <w:overflowPunct/>
        <w:topLinePunct w:val="0"/>
        <w:autoSpaceDE/>
        <w:autoSpaceDN/>
        <w:bidi w:val="0"/>
        <w:adjustRightInd w:val="0"/>
        <w:snapToGrid/>
        <w:spacing w:line="360" w:lineRule="auto"/>
        <w:ind w:left="0" w:leftChars="0" w:firstLine="420" w:firstLineChars="1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等级保护第三级测评</w:t>
      </w:r>
    </w:p>
    <w:p w14:paraId="69858483">
      <w:pPr>
        <w:shd w:val="clear" w:fill="CCC0D9" w:themeFill="accent4" w:themeFillTint="66"/>
        <w:spacing w:line="360" w:lineRule="auto"/>
        <w:ind w:firstLine="480" w:firstLineChars="200"/>
        <w:rPr>
          <w:rFonts w:ascii="Times New Roman" w:hAnsi="Times New Roman"/>
          <w:color w:val="auto"/>
          <w:sz w:val="24"/>
          <w:szCs w:val="24"/>
          <w:highlight w:val="none"/>
        </w:rPr>
      </w:pPr>
      <w:r>
        <w:rPr>
          <w:rFonts w:hint="eastAsia" w:ascii="Times New Roman" w:hAnsi="Times New Roman"/>
          <w:color w:val="auto"/>
          <w:sz w:val="24"/>
          <w:szCs w:val="24"/>
          <w:highlight w:val="none"/>
        </w:rPr>
        <w:t xml:space="preserve">合同履行期间，供应商需无条件配合开展信息系统安全等级保护第三级测评工作，并承担系统整改费用。该工作由第三方机构组织开展，供应商应严格按照《信息安全技术  网络安全等级保护基本要求》（GB/T 22239-2019）、《信息安全技术  网络安全等级保护定级指南》（GB/T 22240-2020）、《信息安全技术 </w:t>
      </w:r>
      <w:r>
        <w:rPr>
          <w:rFonts w:ascii="Times New Roman" w:hAnsi="Times New Roman"/>
          <w:color w:val="auto"/>
          <w:sz w:val="24"/>
          <w:szCs w:val="24"/>
          <w:highlight w:val="none"/>
        </w:rPr>
        <w:t xml:space="preserve"> </w:t>
      </w:r>
      <w:r>
        <w:rPr>
          <w:rFonts w:hint="eastAsia" w:ascii="Times New Roman" w:hAnsi="Times New Roman"/>
          <w:color w:val="auto"/>
          <w:sz w:val="24"/>
          <w:szCs w:val="24"/>
          <w:highlight w:val="none"/>
        </w:rPr>
        <w:t>网络安全等级保护实施指南》（GB/T 25058-2019）等文件要求建设实施，系统总体测评分数达到80分及以上。如本项目验收前该项工作不具备完成条件且不影响合同履约的，供应商需出具书面承诺，保证达到预期测评效果。</w:t>
      </w:r>
    </w:p>
    <w:p w14:paraId="3A491E93">
      <w:pPr>
        <w:keepNext w:val="0"/>
        <w:keepLines w:val="0"/>
        <w:pageBreakBefore w:val="0"/>
        <w:widowControl w:val="0"/>
        <w:numPr>
          <w:ilvl w:val="1"/>
          <w:numId w:val="5"/>
        </w:numPr>
        <w:shd w:val="clear" w:fill="CCC0D9" w:themeFill="accent4" w:themeFillTint="66"/>
        <w:kinsoku/>
        <w:wordWrap/>
        <w:overflowPunct/>
        <w:topLinePunct w:val="0"/>
        <w:autoSpaceDE/>
        <w:autoSpaceDN/>
        <w:bidi w:val="0"/>
        <w:adjustRightInd w:val="0"/>
        <w:snapToGrid/>
        <w:spacing w:line="360" w:lineRule="auto"/>
        <w:ind w:left="0" w:leftChars="0" w:firstLine="420" w:firstLineChars="1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商用密码应用安全性评估</w:t>
      </w:r>
    </w:p>
    <w:p w14:paraId="1099194D">
      <w:pPr>
        <w:shd w:val="clear" w:fill="CCC0D9" w:themeFill="accent4" w:themeFillTint="66"/>
        <w:spacing w:line="360" w:lineRule="auto"/>
        <w:ind w:firstLine="480" w:firstLineChars="200"/>
        <w:rPr>
          <w:rFonts w:ascii="Times New Roman" w:hAnsi="Times New Roman"/>
          <w:color w:val="auto"/>
          <w:sz w:val="24"/>
          <w:szCs w:val="24"/>
          <w:highlight w:val="none"/>
        </w:rPr>
      </w:pPr>
      <w:bookmarkStart w:id="33" w:name="_Hlk163047476"/>
      <w:r>
        <w:rPr>
          <w:rFonts w:hint="eastAsia" w:ascii="Times New Roman" w:hAnsi="Times New Roman"/>
          <w:color w:val="auto"/>
          <w:sz w:val="24"/>
          <w:szCs w:val="24"/>
          <w:highlight w:val="none"/>
        </w:rPr>
        <w:t>合同履行期间，供应商需无条件配合开展商用密码应用安全性评估工作，并承担系统整改费用。</w:t>
      </w:r>
      <w:bookmarkEnd w:id="33"/>
      <w:r>
        <w:rPr>
          <w:rFonts w:hint="eastAsia" w:ascii="Times New Roman" w:hAnsi="Times New Roman"/>
          <w:color w:val="auto"/>
          <w:sz w:val="24"/>
          <w:szCs w:val="24"/>
          <w:highlight w:val="none"/>
        </w:rPr>
        <w:t xml:space="preserve">该工作由第三方机构组织开展，供应商需配合完成《商用密码应用安全性方案》评审，应严格按照《信息安全技术 </w:t>
      </w:r>
      <w:r>
        <w:rPr>
          <w:rFonts w:ascii="Times New Roman" w:hAnsi="Times New Roman"/>
          <w:color w:val="auto"/>
          <w:sz w:val="24"/>
          <w:szCs w:val="24"/>
          <w:highlight w:val="none"/>
        </w:rPr>
        <w:t xml:space="preserve"> </w:t>
      </w:r>
      <w:r>
        <w:rPr>
          <w:rFonts w:hint="eastAsia" w:ascii="Times New Roman" w:hAnsi="Times New Roman"/>
          <w:color w:val="auto"/>
          <w:sz w:val="24"/>
          <w:szCs w:val="24"/>
          <w:highlight w:val="none"/>
        </w:rPr>
        <w:t>信息系统密码应用基本要求》（</w:t>
      </w:r>
      <w:r>
        <w:rPr>
          <w:rFonts w:ascii="Times New Roman" w:hAnsi="Times New Roman"/>
          <w:color w:val="auto"/>
          <w:sz w:val="24"/>
          <w:szCs w:val="24"/>
          <w:highlight w:val="none"/>
        </w:rPr>
        <w:t>GB/T 39786-2021</w:t>
      </w:r>
      <w:r>
        <w:rPr>
          <w:rFonts w:hint="eastAsia" w:ascii="Times New Roman" w:hAnsi="Times New Roman"/>
          <w:color w:val="auto"/>
          <w:sz w:val="24"/>
          <w:szCs w:val="24"/>
          <w:highlight w:val="none"/>
        </w:rPr>
        <w:t>）、《政务信息系统密码应用与安全性评估工作指南》、《信息系统密码应用测试要求》等文件要求建设实施，系统总体密评分数达到60分及以上，系统本身不存在高风险项。如本项目验收前该项工作不具备完成条件且不影响合同履约的，供应商需出具书面承诺，保证达到预期密评效果。</w:t>
      </w:r>
    </w:p>
    <w:p w14:paraId="27BCCB13">
      <w:pPr>
        <w:keepNext w:val="0"/>
        <w:keepLines w:val="0"/>
        <w:pageBreakBefore w:val="0"/>
        <w:widowControl w:val="0"/>
        <w:numPr>
          <w:ilvl w:val="1"/>
          <w:numId w:val="5"/>
        </w:numPr>
        <w:kinsoku/>
        <w:wordWrap/>
        <w:overflowPunct/>
        <w:topLinePunct w:val="0"/>
        <w:autoSpaceDE/>
        <w:autoSpaceDN/>
        <w:bidi w:val="0"/>
        <w:adjustRightInd w:val="0"/>
        <w:snapToGrid/>
        <w:spacing w:line="360" w:lineRule="auto"/>
        <w:ind w:left="0" w:leftChars="0" w:firstLine="420" w:firstLineChars="1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初验及试运行</w:t>
      </w:r>
    </w:p>
    <w:p w14:paraId="697B35A1">
      <w:pPr>
        <w:pageBreakBefore w:val="0"/>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基本建设完成后，供应商需提交内测报告，采购人、监理单位和供应商对建设内容开展系统功能检查测试，功能检查测试应覆盖所有功能模块（点），并编制功能检查测试报告。未经检查测试或检查测试不合格的项目，不得投入试运行。项目检查测试通过后，采购人自行组织初验，通过后进入试运行，试运行一年。试运行期间，供应商除需要对初验和试运行中发现的问题进行整改和升级外，还需开展以下工作：</w:t>
      </w:r>
    </w:p>
    <w:p w14:paraId="607994CD">
      <w:pPr>
        <w:keepNext w:val="0"/>
        <w:keepLines w:val="0"/>
        <w:pageBreakBefore w:val="0"/>
        <w:widowControl w:val="0"/>
        <w:numPr>
          <w:ilvl w:val="2"/>
          <w:numId w:val="5"/>
        </w:numPr>
        <w:kinsoku/>
        <w:wordWrap/>
        <w:overflowPunct/>
        <w:topLinePunct w:val="0"/>
        <w:autoSpaceDE/>
        <w:autoSpaceDN/>
        <w:bidi w:val="0"/>
        <w:adjustRightInd w:val="0"/>
        <w:snapToGrid/>
        <w:spacing w:line="360" w:lineRule="auto"/>
        <w:ind w:left="0" w:leftChars="0" w:firstLine="420" w:firstLineChars="1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完成软件验收测试工作；</w:t>
      </w:r>
    </w:p>
    <w:p w14:paraId="7C46E87C">
      <w:pPr>
        <w:keepNext w:val="0"/>
        <w:keepLines w:val="0"/>
        <w:pageBreakBefore w:val="0"/>
        <w:widowControl w:val="0"/>
        <w:numPr>
          <w:ilvl w:val="2"/>
          <w:numId w:val="5"/>
        </w:numPr>
        <w:kinsoku/>
        <w:wordWrap/>
        <w:overflowPunct/>
        <w:topLinePunct w:val="0"/>
        <w:autoSpaceDE/>
        <w:autoSpaceDN/>
        <w:bidi w:val="0"/>
        <w:adjustRightInd w:val="0"/>
        <w:snapToGrid/>
        <w:spacing w:line="360" w:lineRule="auto"/>
        <w:ind w:left="0" w:leftChars="0" w:firstLine="420" w:firstLineChars="1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配合开展信息系统安全等级保护第三级测评工作；</w:t>
      </w:r>
    </w:p>
    <w:p w14:paraId="08B6957D">
      <w:pPr>
        <w:keepNext w:val="0"/>
        <w:keepLines w:val="0"/>
        <w:pageBreakBefore w:val="0"/>
        <w:widowControl w:val="0"/>
        <w:numPr>
          <w:ilvl w:val="2"/>
          <w:numId w:val="5"/>
        </w:numPr>
        <w:kinsoku/>
        <w:wordWrap/>
        <w:overflowPunct/>
        <w:topLinePunct w:val="0"/>
        <w:autoSpaceDE/>
        <w:autoSpaceDN/>
        <w:bidi w:val="0"/>
        <w:adjustRightInd w:val="0"/>
        <w:snapToGrid/>
        <w:spacing w:line="360" w:lineRule="auto"/>
        <w:ind w:left="0" w:leftChars="0" w:firstLine="420" w:firstLineChars="1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配合开展商用密码应用安全性评估工作；</w:t>
      </w:r>
    </w:p>
    <w:p w14:paraId="28E59564">
      <w:pPr>
        <w:keepNext w:val="0"/>
        <w:keepLines w:val="0"/>
        <w:pageBreakBefore w:val="0"/>
        <w:widowControl w:val="0"/>
        <w:numPr>
          <w:ilvl w:val="2"/>
          <w:numId w:val="5"/>
        </w:numPr>
        <w:kinsoku/>
        <w:wordWrap/>
        <w:overflowPunct/>
        <w:topLinePunct w:val="0"/>
        <w:autoSpaceDE/>
        <w:autoSpaceDN/>
        <w:bidi w:val="0"/>
        <w:adjustRightInd w:val="0"/>
        <w:snapToGrid/>
        <w:spacing w:line="360" w:lineRule="auto"/>
        <w:ind w:left="0" w:leftChars="0" w:firstLine="420" w:firstLineChars="1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需完成财务报告、审计报告。</w:t>
      </w:r>
    </w:p>
    <w:p w14:paraId="03ADFCF4">
      <w:pPr>
        <w:keepNext w:val="0"/>
        <w:keepLines w:val="0"/>
        <w:pageBreakBefore w:val="0"/>
        <w:widowControl w:val="0"/>
        <w:numPr>
          <w:ilvl w:val="1"/>
          <w:numId w:val="5"/>
        </w:numPr>
        <w:kinsoku/>
        <w:wordWrap/>
        <w:overflowPunct/>
        <w:topLinePunct w:val="0"/>
        <w:autoSpaceDE/>
        <w:autoSpaceDN/>
        <w:bidi w:val="0"/>
        <w:adjustRightInd w:val="0"/>
        <w:snapToGrid/>
        <w:spacing w:line="360" w:lineRule="auto"/>
        <w:ind w:left="0" w:leftChars="0" w:firstLine="420" w:firstLineChars="1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项目终验</w:t>
      </w:r>
    </w:p>
    <w:p w14:paraId="70A548C6">
      <w:pPr>
        <w:pageBreakBefore w:val="0"/>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软件及软件集成类项目验收前，供应商要配合采购人完成项目所涉数字资源的目录编制、数据归集、资源优化、应用发布等工作。供应商按合同全部履约完成，试运行稳定无异常，供应商需发起验收申请，提交完整的验收文档和资料，经采购人、监理单位审核通过后视情况组织项目验收。供应商要负责合同履行期间（含建设期和运维期）应用系统源代码版本管理、更新发布以及资产移交等工作。</w:t>
      </w:r>
    </w:p>
    <w:p w14:paraId="413B1644">
      <w:pPr>
        <w:pStyle w:val="973"/>
        <w:pageBreakBefore w:val="0"/>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lang w:val="en-US" w:eastAsia="zh-CN"/>
        </w:rPr>
      </w:pPr>
    </w:p>
    <w:p w14:paraId="62320B15">
      <w:pPr>
        <w:pStyle w:val="3"/>
        <w:pageBreakBefore w:val="0"/>
        <w:numPr>
          <w:ilvl w:val="0"/>
          <w:numId w:val="0"/>
        </w:numPr>
        <w:tabs>
          <w:tab w:val="left" w:pos="0"/>
          <w:tab w:val="clear" w:pos="432"/>
        </w:tabs>
        <w:kinsoku/>
        <w:wordWrap/>
        <w:overflowPunct/>
        <w:topLinePunct w:val="0"/>
        <w:bidi w:val="0"/>
        <w:spacing w:before="0" w:after="0" w:line="360" w:lineRule="auto"/>
        <w:ind w:left="0" w:leftChars="0" w:firstLine="422" w:firstLineChars="175"/>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三、商务要求</w:t>
      </w:r>
    </w:p>
    <w:p w14:paraId="66965192">
      <w:pPr>
        <w:pStyle w:val="3"/>
        <w:pageBreakBefore w:val="0"/>
        <w:numPr>
          <w:ilvl w:val="0"/>
          <w:numId w:val="6"/>
        </w:numPr>
        <w:tabs>
          <w:tab w:val="left" w:pos="0"/>
          <w:tab w:val="clear" w:pos="432"/>
        </w:tabs>
        <w:kinsoku/>
        <w:wordWrap/>
        <w:overflowPunct/>
        <w:topLinePunct w:val="0"/>
        <w:bidi w:val="0"/>
        <w:spacing w:before="0" w:after="0" w:line="360" w:lineRule="auto"/>
        <w:ind w:left="0" w:leftChars="0" w:firstLine="422" w:firstLineChars="175"/>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建设期</w:t>
      </w:r>
      <w:r>
        <w:rPr>
          <w:rFonts w:hint="eastAsia" w:ascii="宋体" w:hAnsi="宋体" w:eastAsia="宋体" w:cs="宋体"/>
          <w:color w:val="auto"/>
          <w:sz w:val="24"/>
          <w:szCs w:val="24"/>
          <w:highlight w:val="none"/>
        </w:rPr>
        <w:t>等要求</w:t>
      </w:r>
    </w:p>
    <w:p w14:paraId="3FDCA516">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0" w:leftChars="0" w:firstLine="420" w:firstLineChars="175"/>
        <w:textAlignment w:val="auto"/>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1.1</w:t>
      </w:r>
      <w:r>
        <w:rPr>
          <w:rFonts w:hint="eastAsia" w:ascii="宋体" w:hAnsi="宋体" w:eastAsia="宋体" w:cs="宋体"/>
          <w:color w:val="auto"/>
          <w:sz w:val="24"/>
          <w:szCs w:val="24"/>
          <w:highlight w:val="none"/>
          <w:lang w:val="en-US" w:eastAsia="zh-CN" w:bidi="ar"/>
        </w:rPr>
        <w:t>建设期</w:t>
      </w:r>
      <w:r>
        <w:rPr>
          <w:rFonts w:hint="eastAsia" w:ascii="宋体" w:hAnsi="宋体" w:eastAsia="宋体" w:cs="宋体"/>
          <w:color w:val="auto"/>
          <w:sz w:val="24"/>
          <w:szCs w:val="24"/>
          <w:highlight w:val="none"/>
          <w:lang w:bidi="ar"/>
        </w:rPr>
        <w:t>要求：标项1、2，</w:t>
      </w:r>
      <w:r>
        <w:rPr>
          <w:rFonts w:hint="eastAsia" w:ascii="宋体" w:hAnsi="宋体" w:cs="宋体"/>
          <w:color w:val="auto"/>
          <w:sz w:val="24"/>
          <w:szCs w:val="24"/>
          <w:highlight w:val="none"/>
          <w:lang w:eastAsia="zh-CN" w:bidi="ar"/>
        </w:rPr>
        <w:t>合同签订后</w:t>
      </w:r>
      <w:r>
        <w:rPr>
          <w:rFonts w:hint="eastAsia" w:ascii="宋体" w:hAnsi="宋体" w:cs="宋体"/>
          <w:color w:val="auto"/>
          <w:sz w:val="24"/>
          <w:szCs w:val="24"/>
          <w:highlight w:val="none"/>
          <w:lang w:val="en-US" w:eastAsia="zh-CN" w:bidi="ar"/>
        </w:rPr>
        <w:t>6个月内完成。</w:t>
      </w:r>
    </w:p>
    <w:p w14:paraId="3CF21B9C">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0" w:leftChars="0" w:firstLine="420" w:firstLineChars="175"/>
        <w:textAlignment w:val="auto"/>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1.2交付（实施）的地点：采购人指定地点。</w:t>
      </w:r>
    </w:p>
    <w:p w14:paraId="782B9E4D">
      <w:pPr>
        <w:pStyle w:val="3"/>
        <w:pageBreakBefore w:val="0"/>
        <w:numPr>
          <w:ilvl w:val="0"/>
          <w:numId w:val="6"/>
        </w:numPr>
        <w:tabs>
          <w:tab w:val="left" w:pos="0"/>
          <w:tab w:val="clear" w:pos="432"/>
        </w:tabs>
        <w:kinsoku/>
        <w:wordWrap/>
        <w:overflowPunct/>
        <w:topLinePunct w:val="0"/>
        <w:bidi w:val="0"/>
        <w:spacing w:before="0" w:after="0" w:line="360" w:lineRule="auto"/>
        <w:ind w:left="0" w:leftChars="0" w:firstLine="422" w:firstLineChars="175"/>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履约保证金及合同款支付</w:t>
      </w:r>
    </w:p>
    <w:p w14:paraId="7AC5BA4C">
      <w:pPr>
        <w:pageBreakBefore w:val="0"/>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2.1履约保证金</w:t>
      </w:r>
    </w:p>
    <w:p w14:paraId="10E52844">
      <w:pPr>
        <w:pageBreakBefore w:val="0"/>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标项1、2：</w:t>
      </w:r>
      <w:r>
        <w:rPr>
          <w:rFonts w:hint="eastAsia" w:ascii="宋体" w:hAnsi="宋体" w:eastAsia="宋体" w:cs="宋体"/>
          <w:color w:val="auto"/>
          <w:sz w:val="24"/>
          <w:szCs w:val="24"/>
          <w:highlight w:val="none"/>
        </w:rPr>
        <w:t>履约保证金</w:t>
      </w:r>
      <w:r>
        <w:rPr>
          <w:rFonts w:hint="eastAsia" w:ascii="宋体" w:hAnsi="宋体" w:eastAsia="宋体" w:cs="宋体"/>
          <w:color w:val="auto"/>
          <w:sz w:val="24"/>
          <w:szCs w:val="24"/>
          <w:highlight w:val="none"/>
          <w:lang w:val="en-US" w:eastAsia="zh-CN"/>
        </w:rPr>
        <w:t>为合同金额的</w:t>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履约保证金在合同签订之日起5个工作日内交至采购人指定银行账户，在合同约定交货验收合格满（1）个月之日起5个工作日内无息退还</w:t>
      </w:r>
      <w:r>
        <w:rPr>
          <w:rFonts w:hint="eastAsia" w:ascii="宋体" w:hAnsi="宋体" w:eastAsia="宋体" w:cs="宋体"/>
          <w:color w:val="auto"/>
          <w:sz w:val="24"/>
          <w:szCs w:val="24"/>
          <w:highlight w:val="none"/>
          <w:lang w:eastAsia="zh-CN"/>
        </w:rPr>
        <w:t>。</w:t>
      </w:r>
    </w:p>
    <w:p w14:paraId="0E36402C">
      <w:pPr>
        <w:pageBreakBefore w:val="0"/>
        <w:kinsoku/>
        <w:wordWrap/>
        <w:overflowPunct/>
        <w:topLinePunct w:val="0"/>
        <w:autoSpaceDE w:val="0"/>
        <w:autoSpaceDN w:val="0"/>
        <w:bidi w:val="0"/>
        <w:adjustRightInd w:val="0"/>
        <w:snapToGrid w:val="0"/>
        <w:spacing w:line="360" w:lineRule="auto"/>
        <w:ind w:left="0" w:leftChars="0" w:firstLine="420" w:firstLineChars="175"/>
        <w:textAlignment w:val="bottom"/>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2.2付款方式</w:t>
      </w:r>
    </w:p>
    <w:p w14:paraId="198DA75D">
      <w:pPr>
        <w:pageBreakBefore w:val="0"/>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标项1、2：</w:t>
      </w:r>
      <w:r>
        <w:rPr>
          <w:rFonts w:hint="eastAsia" w:ascii="宋体" w:hAnsi="宋体" w:eastAsia="宋体" w:cs="宋体"/>
          <w:color w:val="auto"/>
          <w:sz w:val="24"/>
          <w:szCs w:val="24"/>
          <w:highlight w:val="none"/>
        </w:rPr>
        <w:t>第一期付款：合同签订后且具备项目实施条件（应用场景概要设计方案经</w:t>
      </w:r>
      <w:r>
        <w:rPr>
          <w:rFonts w:hint="eastAsia" w:ascii="宋体" w:hAnsi="宋体" w:eastAsia="宋体" w:cs="宋体"/>
          <w:color w:val="auto"/>
          <w:sz w:val="24"/>
          <w:szCs w:val="24"/>
          <w:highlight w:val="none"/>
          <w:lang w:val="en-US" w:eastAsia="zh-CN"/>
        </w:rPr>
        <w:t>采购人</w:t>
      </w:r>
      <w:r>
        <w:rPr>
          <w:rFonts w:hint="eastAsia" w:ascii="宋体" w:hAnsi="宋体" w:eastAsia="宋体" w:cs="宋体"/>
          <w:color w:val="auto"/>
          <w:sz w:val="24"/>
          <w:szCs w:val="24"/>
          <w:highlight w:val="none"/>
        </w:rPr>
        <w:t>审查通过）后7个工作日内，支付合同金额40%的预付款项</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第二期付款：系统初验通过后</w:t>
      </w:r>
      <w:r>
        <w:rPr>
          <w:rFonts w:hint="eastAsia" w:ascii="宋体" w:hAnsi="宋体" w:eastAsia="宋体" w:cs="宋体"/>
          <w:color w:val="auto"/>
          <w:sz w:val="24"/>
          <w:szCs w:val="24"/>
          <w:highlight w:val="none"/>
          <w:lang w:val="en-US"/>
        </w:rPr>
        <w:t>7个工作日内</w:t>
      </w:r>
      <w:r>
        <w:rPr>
          <w:rFonts w:hint="eastAsia" w:ascii="宋体" w:hAnsi="宋体" w:eastAsia="宋体" w:cs="宋体"/>
          <w:color w:val="auto"/>
          <w:sz w:val="24"/>
          <w:szCs w:val="24"/>
          <w:highlight w:val="none"/>
        </w:rPr>
        <w:t>，支付合同金额</w:t>
      </w:r>
      <w:r>
        <w:rPr>
          <w:rFonts w:hint="eastAsia" w:ascii="宋体" w:hAnsi="宋体" w:eastAsia="宋体" w:cs="宋体"/>
          <w:color w:val="auto"/>
          <w:sz w:val="24"/>
          <w:szCs w:val="24"/>
          <w:highlight w:val="none"/>
          <w:lang w:val="en-US"/>
        </w:rPr>
        <w:t>40</w:t>
      </w:r>
      <w:r>
        <w:rPr>
          <w:rFonts w:hint="eastAsia" w:ascii="宋体" w:hAnsi="宋体" w:eastAsia="宋体" w:cs="宋体"/>
          <w:color w:val="auto"/>
          <w:sz w:val="24"/>
          <w:szCs w:val="24"/>
          <w:highlight w:val="none"/>
        </w:rPr>
        <w:t>%的款项。第三期付款：系统</w:t>
      </w:r>
      <w:r>
        <w:rPr>
          <w:rFonts w:hint="eastAsia" w:ascii="宋体" w:hAnsi="宋体" w:cs="宋体"/>
          <w:color w:val="auto"/>
          <w:sz w:val="24"/>
          <w:szCs w:val="24"/>
          <w:highlight w:val="none"/>
          <w:lang w:val="en-US" w:eastAsia="zh-CN"/>
        </w:rPr>
        <w:t>初验通过满一年可申请终验，</w:t>
      </w:r>
      <w:r>
        <w:rPr>
          <w:rFonts w:hint="eastAsia" w:ascii="宋体" w:hAnsi="宋体" w:eastAsia="宋体" w:cs="宋体"/>
          <w:color w:val="auto"/>
          <w:sz w:val="24"/>
          <w:szCs w:val="24"/>
          <w:highlight w:val="none"/>
        </w:rPr>
        <w:t>终验通过后</w:t>
      </w:r>
      <w:r>
        <w:rPr>
          <w:rFonts w:hint="eastAsia" w:ascii="宋体" w:hAnsi="宋体" w:eastAsia="宋体" w:cs="宋体"/>
          <w:color w:val="auto"/>
          <w:sz w:val="24"/>
          <w:szCs w:val="24"/>
          <w:highlight w:val="none"/>
          <w:lang w:val="en-US"/>
        </w:rPr>
        <w:t>7个工作日内</w:t>
      </w:r>
      <w:r>
        <w:rPr>
          <w:rFonts w:hint="eastAsia" w:ascii="宋体" w:hAnsi="宋体" w:eastAsia="宋体" w:cs="宋体"/>
          <w:color w:val="auto"/>
          <w:sz w:val="24"/>
          <w:szCs w:val="24"/>
          <w:highlight w:val="none"/>
        </w:rPr>
        <w:t>，支付合同金额的</w:t>
      </w:r>
      <w:r>
        <w:rPr>
          <w:rFonts w:hint="eastAsia" w:ascii="宋体" w:hAnsi="宋体" w:eastAsia="宋体" w:cs="宋体"/>
          <w:color w:val="auto"/>
          <w:sz w:val="24"/>
          <w:szCs w:val="24"/>
          <w:highlight w:val="none"/>
          <w:lang w:val="en-US"/>
        </w:rPr>
        <w:t>20%款项。</w:t>
      </w:r>
      <w:r>
        <w:rPr>
          <w:rFonts w:hint="eastAsia" w:ascii="宋体" w:hAnsi="宋体" w:eastAsia="宋体" w:cs="宋体"/>
          <w:color w:val="auto"/>
          <w:sz w:val="24"/>
          <w:szCs w:val="24"/>
          <w:highlight w:val="none"/>
        </w:rPr>
        <w:t>并退还履约保证金。</w:t>
      </w:r>
    </w:p>
    <w:p w14:paraId="62320B1E">
      <w:pPr>
        <w:pStyle w:val="3"/>
        <w:pageBreakBefore w:val="0"/>
        <w:numPr>
          <w:ilvl w:val="0"/>
          <w:numId w:val="6"/>
        </w:numPr>
        <w:tabs>
          <w:tab w:val="left" w:pos="0"/>
          <w:tab w:val="clear" w:pos="432"/>
        </w:tabs>
        <w:kinsoku/>
        <w:wordWrap/>
        <w:overflowPunct/>
        <w:topLinePunct w:val="0"/>
        <w:bidi w:val="0"/>
        <w:spacing w:before="0" w:after="0" w:line="360" w:lineRule="auto"/>
        <w:ind w:left="0" w:leftChars="0" w:firstLine="422" w:firstLineChars="175"/>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知识产权归属、处理方式</w:t>
      </w:r>
    </w:p>
    <w:p w14:paraId="62320B1F">
      <w:pPr>
        <w:pageBreakBefore w:val="0"/>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.1软件开发归属</w:t>
      </w:r>
    </w:p>
    <w:p w14:paraId="62320B20">
      <w:pPr>
        <w:pageBreakBefore w:val="0"/>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中标人须向采购人提供本项目定制开发的程序源代码，并按采购人要求提供所有相关文档，软件版权归采购人所有。</w:t>
      </w:r>
    </w:p>
    <w:p w14:paraId="446F0B51">
      <w:pPr>
        <w:pageBreakBefore w:val="0"/>
        <w:kinsoku/>
        <w:wordWrap/>
        <w:overflowPunct/>
        <w:topLinePunct w:val="0"/>
        <w:bidi w:val="0"/>
        <w:adjustRightInd/>
        <w:spacing w:line="360" w:lineRule="auto"/>
        <w:ind w:left="0" w:leftChars="0" w:firstLine="480" w:firstLineChars="200"/>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开发期间中标人提供的公司自有产权的平台和控件，须向采购人提供永久</w:t>
      </w:r>
      <w:r>
        <w:rPr>
          <w:rFonts w:hint="eastAsia" w:ascii="宋体" w:hAnsi="宋体" w:eastAsia="宋体" w:cs="宋体"/>
          <w:bCs/>
          <w:color w:val="auto"/>
          <w:sz w:val="24"/>
          <w:szCs w:val="24"/>
          <w:highlight w:val="none"/>
          <w:lang w:val="en-US" w:eastAsia="zh-CN"/>
        </w:rPr>
        <w:t>无偿</w:t>
      </w:r>
      <w:r>
        <w:rPr>
          <w:rFonts w:hint="eastAsia" w:ascii="宋体" w:hAnsi="宋体" w:eastAsia="宋体" w:cs="宋体"/>
          <w:bCs/>
          <w:color w:val="auto"/>
          <w:sz w:val="24"/>
          <w:szCs w:val="24"/>
          <w:highlight w:val="none"/>
        </w:rPr>
        <w:t>使用权。</w:t>
      </w:r>
    </w:p>
    <w:p w14:paraId="62320B22">
      <w:pPr>
        <w:pageBreakBefore w:val="0"/>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.2知识产权归属</w:t>
      </w:r>
    </w:p>
    <w:p w14:paraId="62320B23">
      <w:pPr>
        <w:pageBreakBefore w:val="0"/>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本合同项目技术成果的专利申请权、计算机软件的著作、技术秘密以及技术资料等知识产权归采购人所有，同时中标人放弃计算机软件著作权的署名权。</w:t>
      </w:r>
    </w:p>
    <w:p w14:paraId="62320B24">
      <w:pPr>
        <w:pageBreakBefore w:val="0"/>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中标人原有的嵌入本项目的功能模块的知识产权归中标人所有。</w:t>
      </w:r>
    </w:p>
    <w:p w14:paraId="62320B25">
      <w:pPr>
        <w:pageBreakBefore w:val="0"/>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中标人不得再将研究开发成果及非专利技术等成果泄露</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转让给第三方</w:t>
      </w:r>
      <w:r>
        <w:rPr>
          <w:rFonts w:hint="eastAsia" w:ascii="宋体" w:hAnsi="宋体" w:eastAsia="宋体" w:cs="宋体"/>
          <w:color w:val="auto"/>
          <w:sz w:val="22"/>
          <w:szCs w:val="28"/>
          <w:highlight w:val="none"/>
          <w:lang w:eastAsia="zh-CN"/>
        </w:rPr>
        <w:t>或自用</w:t>
      </w:r>
      <w:r>
        <w:rPr>
          <w:rFonts w:hint="eastAsia" w:ascii="宋体" w:hAnsi="宋体" w:eastAsia="宋体" w:cs="宋体"/>
          <w:color w:val="auto"/>
          <w:sz w:val="24"/>
          <w:szCs w:val="24"/>
          <w:highlight w:val="none"/>
        </w:rPr>
        <w:t>。</w:t>
      </w:r>
    </w:p>
    <w:p w14:paraId="62320B26">
      <w:pPr>
        <w:pageBreakBefore w:val="0"/>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在履行本合同期间及以后，中标人不得就本合同的研究开发项目与任何第三方签订或接受委托开发合同。中标人如重复签订研究开发项目合同，应对以后签订合同的无效及其对侵犯采购人的知识产权承担所有经济和法律的责任。</w:t>
      </w:r>
    </w:p>
    <w:p w14:paraId="743F5508">
      <w:pPr>
        <w:pageBreakBefore w:val="0"/>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本项目所产生成果（包括计算机软件、技术诀窍、秘密信息、技术资料和文件等）的知识产权归采购人所有。在本合同有效期内，采购人利用供应商提交的技术服务工作成果所完成的新的技术成果，归采购人所有。在本合同有效期内，供应商利用采购人提供的技术资料所完成的新的专用于采购人的技术成果，归采购人所有。</w:t>
      </w:r>
    </w:p>
    <w:p w14:paraId="0B501F67">
      <w:pPr>
        <w:pageBreakBefore w:val="0"/>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2.供应商保证采购人不受到第三方关于侵犯知识产权（包括版权和专利权、商标权等）的指控，任何第三方如果提出指控，供应商与第三方交涉，承担可能发生的一切法律责任、费用和后果。</w:t>
      </w:r>
    </w:p>
    <w:p w14:paraId="70A6D351">
      <w:pPr>
        <w:pageBreakBefore w:val="0"/>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除采购人授权外，供应商及其关联公司在本协议项目交付一年内，不得将所共享的项目定制化服务过程中所形成的专用于采购人的技术资产和成果用于采购人以外用户，基于本协议项目成果基础之上形成的后续研发成果，在同等采购条件下须优先应用于采购人的项目。</w:t>
      </w:r>
    </w:p>
    <w:p w14:paraId="62320B28">
      <w:pPr>
        <w:pStyle w:val="3"/>
        <w:pageBreakBefore w:val="0"/>
        <w:numPr>
          <w:ilvl w:val="0"/>
          <w:numId w:val="6"/>
        </w:numPr>
        <w:tabs>
          <w:tab w:val="left" w:pos="0"/>
          <w:tab w:val="clear" w:pos="432"/>
        </w:tabs>
        <w:kinsoku/>
        <w:wordWrap/>
        <w:overflowPunct/>
        <w:topLinePunct w:val="0"/>
        <w:bidi w:val="0"/>
        <w:spacing w:before="0" w:after="0" w:line="360" w:lineRule="auto"/>
        <w:ind w:left="0" w:leftChars="0" w:firstLine="422" w:firstLineChars="175"/>
        <w:jc w:val="left"/>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rPr>
        <w:t>培训</w:t>
      </w:r>
      <w:r>
        <w:rPr>
          <w:rFonts w:hint="eastAsia" w:ascii="宋体" w:hAnsi="宋体" w:eastAsia="宋体" w:cs="宋体"/>
          <w:bCs/>
          <w:color w:val="auto"/>
          <w:sz w:val="24"/>
          <w:szCs w:val="24"/>
          <w:highlight w:val="none"/>
        </w:rPr>
        <w:t>服务</w:t>
      </w:r>
    </w:p>
    <w:p w14:paraId="62320B29">
      <w:pPr>
        <w:pageBreakBefore w:val="0"/>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4.1</w:t>
      </w:r>
      <w:r>
        <w:rPr>
          <w:rFonts w:hint="eastAsia" w:ascii="宋体" w:hAnsi="宋体" w:eastAsia="宋体" w:cs="宋体"/>
          <w:color w:val="auto"/>
          <w:sz w:val="24"/>
          <w:szCs w:val="24"/>
          <w:highlight w:val="none"/>
        </w:rPr>
        <w:t>培训内容：介绍项目的背景、目标及预期成果，使参与者对整个项目有一个宏观的认识。并通过实际案例分享和模拟练习，提高工作人员解决实际问题的能力。</w:t>
      </w:r>
    </w:p>
    <w:p w14:paraId="62320B2A">
      <w:pPr>
        <w:pageBreakBefore w:val="0"/>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4.2</w:t>
      </w:r>
      <w:r>
        <w:rPr>
          <w:rFonts w:hint="eastAsia" w:ascii="宋体" w:hAnsi="宋体" w:eastAsia="宋体" w:cs="宋体"/>
          <w:color w:val="auto"/>
          <w:sz w:val="24"/>
          <w:szCs w:val="24"/>
          <w:highlight w:val="none"/>
        </w:rPr>
        <w:t>培训方式：按采购方要求提供不限次数的线上或线下培训服务，要求提供电子版材料供工作人员学习。</w:t>
      </w:r>
    </w:p>
    <w:p w14:paraId="62320B2B">
      <w:pPr>
        <w:pageBreakBefore w:val="0"/>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4.3</w:t>
      </w:r>
      <w:r>
        <w:rPr>
          <w:rFonts w:hint="eastAsia" w:ascii="宋体" w:hAnsi="宋体" w:eastAsia="宋体" w:cs="宋体"/>
          <w:color w:val="auto"/>
          <w:sz w:val="24"/>
          <w:szCs w:val="24"/>
          <w:highlight w:val="none"/>
        </w:rPr>
        <w:t>质量保证：培训讲师需参与履约相关平台开发或维护类工作三年以上，具备信息技术相关专业本科以上学历。</w:t>
      </w:r>
    </w:p>
    <w:p w14:paraId="4AA9F74B">
      <w:pPr>
        <w:pStyle w:val="3"/>
        <w:pageBreakBefore w:val="0"/>
        <w:numPr>
          <w:ilvl w:val="0"/>
          <w:numId w:val="6"/>
        </w:numPr>
        <w:tabs>
          <w:tab w:val="left" w:pos="0"/>
          <w:tab w:val="clear" w:pos="432"/>
        </w:tabs>
        <w:kinsoku/>
        <w:wordWrap/>
        <w:overflowPunct/>
        <w:topLinePunct w:val="0"/>
        <w:bidi w:val="0"/>
        <w:spacing w:before="0" w:after="0" w:line="360" w:lineRule="auto"/>
        <w:ind w:left="0" w:leftChars="0" w:firstLine="422" w:firstLineChars="175"/>
        <w:jc w:val="left"/>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技术指标要求</w:t>
      </w:r>
    </w:p>
    <w:p w14:paraId="4DC37ACA">
      <w:pPr>
        <w:pageBreakBefore w:val="0"/>
        <w:kinsoku/>
        <w:wordWrap/>
        <w:overflowPunct/>
        <w:topLinePunct w:val="0"/>
        <w:bidi w:val="0"/>
        <w:spacing w:line="360" w:lineRule="auto"/>
        <w:ind w:left="0" w:leftChars="0" w:firstLine="420" w:firstLineChars="175"/>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5.1</w:t>
      </w:r>
      <w:r>
        <w:rPr>
          <w:rFonts w:hint="default" w:ascii="宋体" w:hAnsi="宋体" w:eastAsia="宋体" w:cs="宋体"/>
          <w:color w:val="auto"/>
          <w:sz w:val="24"/>
          <w:szCs w:val="24"/>
          <w:highlight w:val="none"/>
          <w:lang w:val="en-US" w:eastAsia="zh-CN"/>
        </w:rPr>
        <w:t>本系统要满足常规性业务的日常查询、统计需求，查询和统计功能要支持多条件、可自定义的查询和统计（只有非常规性、偶发性的数据查询、统计等经采购人同意后才允许从系统后台数据库操作）。</w:t>
      </w:r>
    </w:p>
    <w:p w14:paraId="1119C47F">
      <w:pPr>
        <w:pageBreakBefore w:val="0"/>
        <w:kinsoku/>
        <w:wordWrap/>
        <w:overflowPunct/>
        <w:topLinePunct w:val="0"/>
        <w:bidi w:val="0"/>
        <w:spacing w:line="360" w:lineRule="auto"/>
        <w:ind w:left="0" w:leftChars="0" w:firstLine="420" w:firstLineChars="175"/>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5.2</w:t>
      </w:r>
      <w:r>
        <w:rPr>
          <w:rFonts w:hint="default" w:ascii="宋体" w:hAnsi="宋体" w:eastAsia="宋体" w:cs="宋体"/>
          <w:color w:val="auto"/>
          <w:sz w:val="24"/>
          <w:szCs w:val="24"/>
          <w:highlight w:val="none"/>
          <w:lang w:val="en-US" w:eastAsia="zh-CN"/>
        </w:rPr>
        <w:t>本系统日常使用频率较高的数据的操作如导入、导出和数据修改等工作，应在满足网络安全保障要求的基础上，以最小化原则（非必要不公开）在系统功能模块中实现相关功能，并做好相应的用户权限控制和日志记录，数据导入、导出、查询涉及到敏感信息数据要进行脱敏（只有非常规性、偶发性的数据导入、导出、修改等经采购人同意后才允许从系统后台数据库操作）。</w:t>
      </w:r>
    </w:p>
    <w:p w14:paraId="2DE06559">
      <w:pPr>
        <w:pageBreakBefore w:val="0"/>
        <w:kinsoku/>
        <w:wordWrap/>
        <w:overflowPunct/>
        <w:topLinePunct w:val="0"/>
        <w:bidi w:val="0"/>
        <w:spacing w:line="360" w:lineRule="auto"/>
        <w:ind w:left="0" w:leftChars="0" w:firstLine="420" w:firstLineChars="175"/>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5.3</w:t>
      </w:r>
      <w:r>
        <w:rPr>
          <w:rFonts w:hint="default" w:ascii="宋体" w:hAnsi="宋体" w:eastAsia="宋体" w:cs="宋体"/>
          <w:color w:val="auto"/>
          <w:sz w:val="24"/>
          <w:szCs w:val="24"/>
          <w:highlight w:val="none"/>
          <w:lang w:val="en-US" w:eastAsia="zh-CN"/>
        </w:rPr>
        <w:t>本系统的数据接口，要有异常报警和接口日志，定期监测和统计接口使用情况，长期不用的接口要及时配合清理和关闭。</w:t>
      </w:r>
    </w:p>
    <w:p w14:paraId="05CFE3F7">
      <w:pPr>
        <w:pageBreakBefore w:val="0"/>
        <w:kinsoku/>
        <w:wordWrap/>
        <w:overflowPunct/>
        <w:topLinePunct w:val="0"/>
        <w:bidi w:val="0"/>
        <w:spacing w:line="360" w:lineRule="auto"/>
        <w:ind w:left="0" w:leftChars="0" w:firstLine="420" w:firstLineChars="175"/>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5.4</w:t>
      </w:r>
      <w:r>
        <w:rPr>
          <w:rFonts w:hint="default" w:ascii="宋体" w:hAnsi="宋体" w:eastAsia="宋体" w:cs="宋体"/>
          <w:color w:val="auto"/>
          <w:sz w:val="24"/>
          <w:szCs w:val="24"/>
          <w:highlight w:val="none"/>
          <w:lang w:val="en-US" w:eastAsia="zh-CN"/>
        </w:rPr>
        <w:t>本系统涉及的上传文件，应在满足业务使用标准或需求的前提下，遵循最小化要求进行文件格式和大小限制。</w:t>
      </w:r>
    </w:p>
    <w:p w14:paraId="04C6D5B6">
      <w:pPr>
        <w:pageBreakBefore w:val="0"/>
        <w:kinsoku/>
        <w:wordWrap/>
        <w:overflowPunct/>
        <w:topLinePunct w:val="0"/>
        <w:bidi w:val="0"/>
        <w:spacing w:line="360" w:lineRule="auto"/>
        <w:ind w:left="0" w:leftChars="0" w:firstLine="420" w:firstLineChars="175"/>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5.5</w:t>
      </w:r>
      <w:r>
        <w:rPr>
          <w:rFonts w:hint="default" w:ascii="宋体" w:hAnsi="宋体" w:eastAsia="宋体" w:cs="宋体"/>
          <w:color w:val="auto"/>
          <w:sz w:val="24"/>
          <w:szCs w:val="24"/>
          <w:highlight w:val="none"/>
          <w:lang w:val="en-US" w:eastAsia="zh-CN"/>
        </w:rPr>
        <w:t>本系统产生的日志数据，应按照规范做好日志数据的采集和归集，并将应用的用户日志纳入一体化数字资源系统（IRS）统一管理。</w:t>
      </w:r>
    </w:p>
    <w:p w14:paraId="75CD2C71">
      <w:pPr>
        <w:pageBreakBefore w:val="0"/>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5.6 本项目应按照集约化要求开展建设，统一集成到浙江省全域数字法治监督应用，实现统一用户登录、统一消息待办和流程跟踪，统一在浙政钉上作为一个应用发布。</w:t>
      </w:r>
    </w:p>
    <w:p w14:paraId="7A5366B1">
      <w:pPr>
        <w:pageBreakBefore w:val="0"/>
        <w:kinsoku/>
        <w:wordWrap/>
        <w:overflowPunct/>
        <w:topLinePunct w:val="0"/>
        <w:bidi w:val="0"/>
        <w:spacing w:line="360" w:lineRule="auto"/>
        <w:ind w:left="0" w:leftChars="0" w:firstLine="420" w:firstLineChars="175"/>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5.7本项目相关功能需在统一套技术框架下建设，严格按照浙江省司法厅应用系统建设标准开发，软件代码需在试运行前部署到省司法厅统一代码库，并形成第三方无障碍阅读文档（并作为最终验收条件），代码库中的版本需与实际运行版本保持一致；应用系统生产库与前端系统独立部署，应用服务需支持以容器化形式统一发布至省司法厅容器集群管理系统中，生产数据库部署于省司法厅统一OceanBase分布式数据库中，以租户形式进行统一动态管理和运维；各功能需在主要功能下进行日常监测埋点（具体标准由省司法厅确定）。</w:t>
      </w:r>
    </w:p>
    <w:p w14:paraId="5AD03D27">
      <w:pPr>
        <w:pStyle w:val="3"/>
        <w:pageBreakBefore w:val="0"/>
        <w:numPr>
          <w:ilvl w:val="0"/>
          <w:numId w:val="6"/>
        </w:numPr>
        <w:tabs>
          <w:tab w:val="left" w:pos="0"/>
          <w:tab w:val="clear" w:pos="432"/>
        </w:tabs>
        <w:kinsoku/>
        <w:wordWrap/>
        <w:overflowPunct/>
        <w:topLinePunct w:val="0"/>
        <w:bidi w:val="0"/>
        <w:spacing w:before="0" w:after="0" w:line="360" w:lineRule="auto"/>
        <w:ind w:left="0" w:leftChars="0" w:firstLine="422" w:firstLineChars="175"/>
        <w:jc w:val="left"/>
        <w:rPr>
          <w:rFonts w:hint="eastAsia" w:ascii="宋体" w:hAnsi="宋体" w:eastAsia="宋体" w:cs="宋体"/>
          <w:color w:val="auto"/>
          <w:sz w:val="24"/>
          <w:szCs w:val="24"/>
          <w:highlight w:val="none"/>
          <w:lang w:val="en-US" w:eastAsia="zh-CN"/>
        </w:rPr>
      </w:pPr>
      <w:bookmarkStart w:id="34" w:name="_Toc181731154"/>
      <w:r>
        <w:rPr>
          <w:rFonts w:hint="eastAsia" w:ascii="宋体" w:hAnsi="宋体" w:eastAsia="宋体" w:cs="宋体"/>
          <w:color w:val="auto"/>
          <w:sz w:val="24"/>
          <w:szCs w:val="24"/>
          <w:highlight w:val="none"/>
        </w:rPr>
        <w:t>运维服务</w:t>
      </w:r>
      <w:bookmarkEnd w:id="34"/>
    </w:p>
    <w:p w14:paraId="0838A83C">
      <w:pPr>
        <w:pageBreakBefore w:val="0"/>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lang w:val="en-US" w:eastAsia="zh-CN"/>
        </w:rPr>
        <w:t>.1本项目免费维保期为一年，自验收合格之日起算，提供系统维护期不少于（含）一年，按照采购人要求配合开展统一运维工作。</w:t>
      </w:r>
    </w:p>
    <w:p w14:paraId="532AE886">
      <w:pPr>
        <w:pageBreakBefore w:val="0"/>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lang w:val="en-US" w:eastAsia="zh-CN"/>
        </w:rPr>
        <w:t xml:space="preserve">.2提供7×24小时电话响应服务。接到用户技术支持请求后，必须立即做出实质性响应。在用户要求的时限内到达现场处理并尽快恢复系统正常运行。 </w:t>
      </w:r>
    </w:p>
    <w:p w14:paraId="20C77795">
      <w:pPr>
        <w:pageBreakBefore w:val="0"/>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lang w:val="en-US" w:eastAsia="zh-CN"/>
        </w:rPr>
        <w:t>.3供应商应提供远程技术支持和现场技术支持两种方式，技术服务包括系统的功能完善、故障排除、性能调优、技术咨询等，并负责系统的开发、集成，处理、协调与各系统软件、硬件等供应商的关系。</w:t>
      </w:r>
    </w:p>
    <w:p w14:paraId="55F52481">
      <w:pPr>
        <w:pageBreakBefore w:val="0"/>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lang w:val="en-US" w:eastAsia="zh-CN"/>
        </w:rPr>
        <w:t xml:space="preserve">.4采购人需求在开发期和试运行期内，仍有可能不断完善，供应商须承诺在采购需求或政策法规范围内，随着采购人需求的变动随时作出响应，修改应用软件。正式验收通过后，若有需求变动，在免费维护期内，仍应免费按采购人需求对整个系统做出相应修改，以满足采购人的需求。 </w:t>
      </w:r>
    </w:p>
    <w:p w14:paraId="5394A2C2">
      <w:pPr>
        <w:pageBreakBefore w:val="0"/>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lang w:val="en-US" w:eastAsia="zh-CN"/>
        </w:rPr>
        <w:t>.5供应商应本着认真负责态度，组织技术队伍，做好参加投标的整体方案，并书面提出长期保修、维护、服务以及今后技术支持的措施计划和承诺，供应商需要具备一定的服务管理能力及技术支持能力。</w:t>
      </w:r>
    </w:p>
    <w:p w14:paraId="5175D9DC">
      <w:pPr>
        <w:pageBreakBefore w:val="0"/>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lang w:val="en-US" w:eastAsia="zh-CN"/>
        </w:rPr>
        <w:t>.6项目实施完成后，中标供应商提出试运行申请后进入试运行期，试运行期为1年，期间无故障的，安排验收。出现故障的，试运行期中断，并自故障解决之日起重新计算试运行期。试运行期三次中断的，如系服务缺陷的，采购人有权提出由第三方进行完成后续工作，如系设备缺陷的，中标供应商需更换符合要求的设备，由此产生的损失及费用由供应商承担。</w:t>
      </w:r>
    </w:p>
    <w:p w14:paraId="6EA9A41B">
      <w:pPr>
        <w:pageBreakBefore w:val="0"/>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lang w:val="en-US" w:eastAsia="zh-CN"/>
        </w:rPr>
        <w:t>.7供应商应承诺将按照采购人根据系统稳定、安全、可靠、有效运行所提出的要求和指标，及时制定、修改和完善系统运行维护方案，并确保系统运行维护方案有效执行。</w:t>
      </w:r>
    </w:p>
    <w:p w14:paraId="62320B49">
      <w:pPr>
        <w:pageBreakBefore w:val="0"/>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lang w:val="en-US" w:eastAsia="zh-CN"/>
        </w:rPr>
        <w:t>.8其它未尽售后服务内容包括服务响应时间、免费升级时限、服务优惠条件。如采购文件中遗漏了有关服务，请供应商在投标文件中指出，并提出解决方案供采购人、采购机构参考；中标供应商有义务保证采购人系统的完整性，如项目实施过程中因缺少有关服务导致项目无法正常推进，供应商须提供详细解决方案，同时供应商须承诺在项目建设过程中，接受采购人的全程监控和审核，包括阶段性文档和过程性工作等。</w:t>
      </w:r>
    </w:p>
    <w:p w14:paraId="2B879774">
      <w:pPr>
        <w:pageBreakBefore w:val="0"/>
        <w:numPr>
          <w:ilvl w:val="0"/>
          <w:numId w:val="0"/>
        </w:numPr>
        <w:kinsoku/>
        <w:wordWrap/>
        <w:overflowPunct/>
        <w:topLinePunct w:val="0"/>
        <w:bidi w:val="0"/>
        <w:adjustRightInd/>
        <w:spacing w:line="360" w:lineRule="auto"/>
        <w:ind w:left="0" w:leftChars="0" w:firstLine="480" w:firstLineChars="200"/>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6.9</w:t>
      </w:r>
      <w:r>
        <w:rPr>
          <w:rFonts w:hint="eastAsia" w:ascii="宋体" w:hAnsi="宋体" w:eastAsia="宋体" w:cs="宋体"/>
          <w:color w:val="auto"/>
          <w:sz w:val="24"/>
          <w:szCs w:val="24"/>
          <w:highlight w:val="none"/>
        </w:rPr>
        <w:t>运维期间系统代码调整和应及时在代码库中更新，涉及数据库调整的应用通过”司法大脑“ISV平台发起，第三方排查处的安全风险和隐患因在规定时限内完成整改。</w:t>
      </w:r>
    </w:p>
    <w:p w14:paraId="6E39D0D5">
      <w:pPr>
        <w:pStyle w:val="3"/>
        <w:pageBreakBefore w:val="0"/>
        <w:numPr>
          <w:ilvl w:val="0"/>
          <w:numId w:val="6"/>
        </w:numPr>
        <w:tabs>
          <w:tab w:val="left" w:pos="0"/>
          <w:tab w:val="clear" w:pos="432"/>
        </w:tabs>
        <w:kinsoku/>
        <w:wordWrap/>
        <w:overflowPunct/>
        <w:topLinePunct w:val="0"/>
        <w:bidi w:val="0"/>
        <w:spacing w:before="0" w:after="0" w:line="360" w:lineRule="auto"/>
        <w:ind w:left="0" w:leftChars="0" w:firstLine="422" w:firstLineChars="175"/>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其他管理要求</w:t>
      </w:r>
    </w:p>
    <w:p w14:paraId="4ACC3F49">
      <w:pPr>
        <w:pageBreakBefore w:val="0"/>
        <w:kinsoku/>
        <w:wordWrap/>
        <w:overflowPunct/>
        <w:topLinePunct w:val="0"/>
        <w:bidi w:val="0"/>
        <w:spacing w:line="360" w:lineRule="auto"/>
        <w:ind w:left="0" w:leftChars="0" w:firstLine="420" w:firstLineChars="175"/>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7.1需求规格说明书编制（软件及软件集成类项目）。需求规格说明书应按照项目可行性研究报告、采购文件和投标（响应）文件编制，结合实际调研，明确项目业务目标、建设规模、网络云资源需求、功能需求、性能需求、数据需求、安全需求等内容。</w:t>
      </w:r>
    </w:p>
    <w:p w14:paraId="604C628C">
      <w:pPr>
        <w:pageBreakBefore w:val="0"/>
        <w:kinsoku/>
        <w:wordWrap/>
        <w:overflowPunct/>
        <w:topLinePunct w:val="0"/>
        <w:bidi w:val="0"/>
        <w:spacing w:line="360" w:lineRule="auto"/>
        <w:ind w:left="0" w:leftChars="0" w:firstLine="420" w:firstLineChars="175"/>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7.2项目进度管理。项目实施过程中，供应商要实行严格的计划管理，明确各阶段详细计划表及人员岗位实施清单，提供项目半月报，并配合采购人与监理方的定期检查。项目因故需延期的，供应商应及时提出延期申请。</w:t>
      </w:r>
    </w:p>
    <w:p w14:paraId="267430AD">
      <w:pPr>
        <w:pageBreakBefore w:val="0"/>
        <w:kinsoku/>
        <w:wordWrap/>
        <w:overflowPunct/>
        <w:topLinePunct w:val="0"/>
        <w:bidi w:val="0"/>
        <w:spacing w:line="360" w:lineRule="auto"/>
        <w:ind w:left="0" w:leftChars="0" w:firstLine="420" w:firstLineChars="175"/>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7.3项目质量管理。供应商要配合采购人和监理方实施质量预控、过程监控和事后验控的全流程管理，确保实现项目质量目标。</w:t>
      </w:r>
    </w:p>
    <w:p w14:paraId="5183284D">
      <w:pPr>
        <w:pageBreakBefore w:val="0"/>
        <w:kinsoku/>
        <w:wordWrap/>
        <w:overflowPunct/>
        <w:topLinePunct w:val="0"/>
        <w:bidi w:val="0"/>
        <w:spacing w:line="360" w:lineRule="auto"/>
        <w:ind w:left="0" w:leftChars="0" w:firstLine="420" w:firstLineChars="175"/>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7.4项目人员管理。供应商应根据建设实际，提供项目管理、技术研发、集成测试、网络安全等必要岗位。核心岗位的人员严格按照招投标要求设置，若核心岗位人员变动，供应商应及时提出人员变更申请。项目实施前，供应商和项目人员均需签订《网络安全承诺书》。</w:t>
      </w:r>
    </w:p>
    <w:p w14:paraId="55109DD8">
      <w:pPr>
        <w:pageBreakBefore w:val="0"/>
        <w:kinsoku/>
        <w:wordWrap/>
        <w:overflowPunct/>
        <w:topLinePunct w:val="0"/>
        <w:bidi w:val="0"/>
        <w:spacing w:line="360" w:lineRule="auto"/>
        <w:ind w:left="0" w:leftChars="0" w:firstLine="420" w:firstLineChars="175"/>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7.5应用安全处罚。供应商如未按照规范开发设计，存在网络攻击、信息泄露、有害程序植入等较大风险隐患的，根据主管部门通报情况，对供应商按单次5000元扣罚，在履约保证金退还时予以扣除。履约保证金无需缴纳或余额不足的，在合同费用中扣除。</w:t>
      </w:r>
    </w:p>
    <w:p w14:paraId="562B22FD">
      <w:pPr>
        <w:pageBreakBefore w:val="0"/>
        <w:kinsoku/>
        <w:wordWrap/>
        <w:overflowPunct/>
        <w:topLinePunct w:val="0"/>
        <w:bidi w:val="0"/>
        <w:spacing w:line="360" w:lineRule="auto"/>
        <w:ind w:left="0" w:leftChars="0" w:firstLine="420" w:firstLineChars="175"/>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7.6信创实施要求。供应商应采用安全可靠的技术路线，部署在安全可靠的信创云环境，并承担相应的适配改造、数据迁移等费用。系统建成后对国产桌面终端必须具有完全的兼容性和适应性，且能在主流国产浏览器（红莲花、360、统信UOS、Firefox等）环境下正常访问和操作，以及对接外接设备（如果有，如扫描仪、打印机、高拍仪等）能正常使用。</w:t>
      </w:r>
    </w:p>
    <w:p w14:paraId="39323222">
      <w:pPr>
        <w:pStyle w:val="3"/>
        <w:numPr>
          <w:ilvl w:val="0"/>
          <w:numId w:val="0"/>
        </w:numPr>
        <w:tabs>
          <w:tab w:val="left" w:pos="0"/>
          <w:tab w:val="clear" w:pos="432"/>
        </w:tabs>
        <w:spacing w:before="0" w:after="0" w:line="360" w:lineRule="auto"/>
        <w:ind w:left="0" w:leftChars="0" w:firstLine="422" w:firstLineChars="175"/>
        <w:jc w:val="left"/>
        <w:rPr>
          <w:rFonts w:hint="eastAsia" w:ascii="宋体" w:hAnsi="宋体" w:cs="宋体"/>
          <w:b/>
          <w:bCs/>
          <w:color w:val="auto"/>
          <w:sz w:val="24"/>
          <w:szCs w:val="24"/>
          <w:highlight w:val="none"/>
          <w:lang w:val="en-US" w:eastAsia="zh-CN"/>
        </w:rPr>
      </w:pPr>
      <w:r>
        <w:rPr>
          <w:rFonts w:hint="eastAsia" w:ascii="宋体" w:hAnsi="宋体" w:cs="宋体"/>
          <w:b/>
          <w:bCs/>
          <w:color w:val="auto"/>
          <w:kern w:val="44"/>
          <w:sz w:val="24"/>
          <w:szCs w:val="24"/>
          <w:highlight w:val="none"/>
          <w:lang w:val="en-US" w:eastAsia="zh-CN" w:bidi="ar-SA"/>
        </w:rPr>
        <w:t>8</w:t>
      </w:r>
      <w:r>
        <w:rPr>
          <w:rFonts w:hint="eastAsia" w:ascii="宋体" w:hAnsi="宋体" w:eastAsia="宋体" w:cs="宋体"/>
          <w:b/>
          <w:bCs/>
          <w:color w:val="auto"/>
          <w:kern w:val="44"/>
          <w:sz w:val="24"/>
          <w:szCs w:val="24"/>
          <w:highlight w:val="none"/>
          <w:lang w:val="en-US" w:eastAsia="zh-CN" w:bidi="ar-SA"/>
        </w:rPr>
        <w:t>．</w:t>
      </w:r>
      <w:r>
        <w:rPr>
          <w:rFonts w:hint="eastAsia" w:ascii="宋体" w:hAnsi="宋体" w:cs="宋体"/>
          <w:b/>
          <w:bCs/>
          <w:color w:val="auto"/>
          <w:sz w:val="24"/>
          <w:szCs w:val="24"/>
          <w:highlight w:val="none"/>
          <w:lang w:val="en-US" w:eastAsia="zh-CN"/>
        </w:rPr>
        <w:t>本项目涉及采购人自有的原系统对接接口费用由采购人承担。</w:t>
      </w:r>
    </w:p>
    <w:p w14:paraId="62320B4A">
      <w:pPr>
        <w:spacing w:line="360" w:lineRule="auto"/>
        <w:ind w:left="715" w:leftChars="304" w:hanging="77" w:hangingChars="32"/>
        <w:jc w:val="center"/>
        <w:outlineLvl w:val="0"/>
        <w:rPr>
          <w:rFonts w:hint="eastAsia" w:ascii="宋体" w:hAnsi="宋体" w:cs="宋体"/>
          <w:b/>
          <w:color w:val="auto"/>
          <w:sz w:val="36"/>
          <w:szCs w:val="36"/>
          <w:highlight w:val="none"/>
        </w:rPr>
      </w:pPr>
      <w:r>
        <w:rPr>
          <w:rFonts w:hint="eastAsia" w:ascii="宋体" w:hAnsi="宋体" w:cs="宋体"/>
          <w:b/>
          <w:color w:val="auto"/>
          <w:sz w:val="24"/>
          <w:highlight w:val="none"/>
        </w:rPr>
        <w:br w:type="page"/>
      </w:r>
      <w:r>
        <w:rPr>
          <w:rFonts w:hint="eastAsia" w:ascii="宋体" w:hAnsi="宋体" w:cs="宋体"/>
          <w:b/>
          <w:color w:val="auto"/>
          <w:sz w:val="36"/>
          <w:szCs w:val="36"/>
          <w:highlight w:val="none"/>
        </w:rPr>
        <w:t xml:space="preserve">第四部分   </w:t>
      </w:r>
      <w:bookmarkStart w:id="35" w:name="_Toc184308074"/>
      <w:bookmarkEnd w:id="35"/>
      <w:bookmarkStart w:id="36" w:name="_Toc184308075"/>
      <w:bookmarkEnd w:id="36"/>
      <w:bookmarkStart w:id="37" w:name="_Toc184314451"/>
      <w:bookmarkEnd w:id="37"/>
      <w:bookmarkStart w:id="38" w:name="_Toc184310327"/>
      <w:bookmarkEnd w:id="38"/>
      <w:bookmarkStart w:id="39" w:name="_Toc184314441"/>
      <w:bookmarkEnd w:id="39"/>
      <w:bookmarkStart w:id="40" w:name="_Toc184313304"/>
      <w:bookmarkEnd w:id="40"/>
      <w:bookmarkStart w:id="41" w:name="_Toc184314427"/>
      <w:bookmarkEnd w:id="41"/>
      <w:bookmarkStart w:id="42" w:name="_Toc184310308"/>
      <w:bookmarkEnd w:id="42"/>
      <w:bookmarkStart w:id="43" w:name="_Toc184312068"/>
      <w:bookmarkEnd w:id="43"/>
      <w:bookmarkStart w:id="44" w:name="_Toc184313269"/>
      <w:bookmarkEnd w:id="44"/>
      <w:bookmarkStart w:id="45" w:name="_Toc184308059"/>
      <w:bookmarkEnd w:id="45"/>
      <w:bookmarkStart w:id="46" w:name="_Toc184314463"/>
      <w:bookmarkEnd w:id="46"/>
      <w:bookmarkStart w:id="47" w:name="_Toc184312095"/>
      <w:bookmarkEnd w:id="47"/>
      <w:bookmarkStart w:id="48" w:name="_Toc184314450"/>
      <w:bookmarkEnd w:id="48"/>
      <w:bookmarkStart w:id="49" w:name="_Toc184314449"/>
      <w:bookmarkEnd w:id="49"/>
      <w:bookmarkStart w:id="50" w:name="_Toc184313243"/>
      <w:bookmarkEnd w:id="50"/>
      <w:bookmarkStart w:id="51" w:name="_Toc184312137"/>
      <w:bookmarkEnd w:id="51"/>
      <w:bookmarkStart w:id="52" w:name="_Toc184313290"/>
      <w:bookmarkEnd w:id="52"/>
      <w:bookmarkStart w:id="53" w:name="_Toc184313297"/>
      <w:bookmarkEnd w:id="53"/>
      <w:bookmarkStart w:id="54" w:name="_Toc184312116"/>
      <w:bookmarkEnd w:id="54"/>
      <w:bookmarkStart w:id="55" w:name="_Toc184310326"/>
      <w:bookmarkEnd w:id="55"/>
      <w:bookmarkStart w:id="56" w:name="_Toc184312097"/>
      <w:bookmarkEnd w:id="56"/>
      <w:bookmarkStart w:id="57" w:name="_Toc184310291"/>
      <w:bookmarkEnd w:id="57"/>
      <w:bookmarkStart w:id="58" w:name="_Toc184310300"/>
      <w:bookmarkEnd w:id="58"/>
      <w:bookmarkStart w:id="59" w:name="_Toc184313268"/>
      <w:bookmarkEnd w:id="59"/>
      <w:bookmarkStart w:id="60" w:name="_Toc184313276"/>
      <w:bookmarkEnd w:id="60"/>
      <w:bookmarkStart w:id="61" w:name="_Toc184308088"/>
      <w:bookmarkEnd w:id="61"/>
      <w:bookmarkStart w:id="62" w:name="_Toc184313283"/>
      <w:bookmarkEnd w:id="62"/>
      <w:bookmarkStart w:id="63" w:name="_Toc184310303"/>
      <w:bookmarkEnd w:id="63"/>
      <w:bookmarkStart w:id="64" w:name="_Toc184310306"/>
      <w:bookmarkEnd w:id="64"/>
      <w:bookmarkStart w:id="65" w:name="_Toc184310332"/>
      <w:bookmarkEnd w:id="65"/>
      <w:bookmarkStart w:id="66" w:name="_Toc184312113"/>
      <w:bookmarkEnd w:id="66"/>
      <w:bookmarkStart w:id="67" w:name="_Toc184308095"/>
      <w:bookmarkEnd w:id="67"/>
      <w:bookmarkStart w:id="68" w:name="_Toc184313292"/>
      <w:bookmarkEnd w:id="68"/>
      <w:bookmarkStart w:id="69" w:name="_Toc184314457"/>
      <w:bookmarkEnd w:id="69"/>
      <w:bookmarkStart w:id="70" w:name="_Toc184314469"/>
      <w:bookmarkEnd w:id="70"/>
      <w:bookmarkStart w:id="71" w:name="_Toc184310339"/>
      <w:bookmarkEnd w:id="71"/>
      <w:bookmarkStart w:id="72" w:name="_Toc184310277"/>
      <w:bookmarkEnd w:id="72"/>
      <w:bookmarkStart w:id="73" w:name="_Toc184310334"/>
      <w:bookmarkEnd w:id="73"/>
      <w:bookmarkStart w:id="74" w:name="_Toc184313258"/>
      <w:bookmarkEnd w:id="74"/>
      <w:bookmarkStart w:id="75" w:name="_Toc184313279"/>
      <w:bookmarkEnd w:id="75"/>
      <w:bookmarkStart w:id="76" w:name="_Toc184312139"/>
      <w:bookmarkEnd w:id="76"/>
      <w:bookmarkStart w:id="77" w:name="_Toc184314472"/>
      <w:bookmarkEnd w:id="77"/>
      <w:bookmarkStart w:id="78" w:name="_Toc184310272"/>
      <w:bookmarkEnd w:id="78"/>
      <w:bookmarkStart w:id="79" w:name="_Toc184314481"/>
      <w:bookmarkEnd w:id="79"/>
      <w:bookmarkStart w:id="80" w:name="_Toc184310284"/>
      <w:bookmarkEnd w:id="80"/>
      <w:bookmarkStart w:id="81" w:name="_Toc184308083"/>
      <w:bookmarkEnd w:id="81"/>
      <w:bookmarkStart w:id="82" w:name="_Toc184308101"/>
      <w:bookmarkEnd w:id="82"/>
      <w:bookmarkStart w:id="83" w:name="_Toc184314461"/>
      <w:bookmarkEnd w:id="83"/>
      <w:bookmarkStart w:id="84" w:name="_Toc184308091"/>
      <w:bookmarkEnd w:id="84"/>
      <w:bookmarkStart w:id="85" w:name="_Toc184308048"/>
      <w:bookmarkEnd w:id="85"/>
      <w:bookmarkStart w:id="86" w:name="_Toc184310297"/>
      <w:bookmarkEnd w:id="86"/>
      <w:bookmarkStart w:id="87" w:name="_Toc184308077"/>
      <w:bookmarkEnd w:id="87"/>
      <w:bookmarkStart w:id="88" w:name="_Toc184310322"/>
      <w:bookmarkEnd w:id="88"/>
      <w:bookmarkStart w:id="89" w:name="_Toc184314424"/>
      <w:bookmarkEnd w:id="89"/>
      <w:bookmarkStart w:id="90" w:name="_Toc184312125"/>
      <w:bookmarkEnd w:id="90"/>
      <w:bookmarkStart w:id="91" w:name="_Toc184313310"/>
      <w:bookmarkEnd w:id="91"/>
      <w:bookmarkStart w:id="92" w:name="_Toc184313300"/>
      <w:bookmarkEnd w:id="92"/>
      <w:bookmarkStart w:id="93" w:name="_Toc184314437"/>
      <w:bookmarkEnd w:id="93"/>
      <w:bookmarkStart w:id="94" w:name="_Toc184314456"/>
      <w:bookmarkEnd w:id="94"/>
      <w:bookmarkStart w:id="95" w:name="_Toc184314464"/>
      <w:bookmarkEnd w:id="95"/>
      <w:bookmarkStart w:id="96" w:name="_Toc184312101"/>
      <w:bookmarkEnd w:id="96"/>
      <w:bookmarkStart w:id="97" w:name="_Toc184313271"/>
      <w:bookmarkEnd w:id="97"/>
      <w:bookmarkStart w:id="98" w:name="_Toc184312098"/>
      <w:bookmarkEnd w:id="98"/>
      <w:bookmarkStart w:id="99" w:name="_Toc184308047"/>
      <w:bookmarkEnd w:id="99"/>
      <w:bookmarkStart w:id="100" w:name="_Toc184314443"/>
      <w:bookmarkEnd w:id="100"/>
      <w:bookmarkStart w:id="101" w:name="_Toc184313244"/>
      <w:bookmarkEnd w:id="101"/>
      <w:bookmarkStart w:id="102" w:name="_Toc184312134"/>
      <w:bookmarkEnd w:id="102"/>
      <w:bookmarkStart w:id="103" w:name="_Toc184313253"/>
      <w:bookmarkEnd w:id="103"/>
      <w:bookmarkStart w:id="104" w:name="_Toc184313277"/>
      <w:bookmarkEnd w:id="104"/>
      <w:bookmarkStart w:id="105" w:name="_Toc184313281"/>
      <w:bookmarkEnd w:id="105"/>
      <w:bookmarkStart w:id="106" w:name="_Toc184314410"/>
      <w:bookmarkEnd w:id="106"/>
      <w:bookmarkStart w:id="107" w:name="_Toc184308073"/>
      <w:bookmarkEnd w:id="107"/>
      <w:bookmarkStart w:id="108" w:name="_Toc184310337"/>
      <w:bookmarkEnd w:id="108"/>
      <w:bookmarkStart w:id="109" w:name="_Toc184314421"/>
      <w:bookmarkEnd w:id="109"/>
      <w:bookmarkStart w:id="110" w:name="_Toc184314425"/>
      <w:bookmarkEnd w:id="110"/>
      <w:bookmarkStart w:id="111" w:name="_Toc184310314"/>
      <w:bookmarkEnd w:id="111"/>
      <w:bookmarkStart w:id="112" w:name="_Toc184310295"/>
      <w:bookmarkEnd w:id="112"/>
      <w:bookmarkStart w:id="113" w:name="_Toc184312124"/>
      <w:bookmarkEnd w:id="113"/>
      <w:bookmarkStart w:id="114" w:name="_Toc184312075"/>
      <w:bookmarkEnd w:id="114"/>
      <w:bookmarkStart w:id="115" w:name="_Toc184312099"/>
      <w:bookmarkEnd w:id="115"/>
      <w:bookmarkStart w:id="116" w:name="_Toc184314434"/>
      <w:bookmarkEnd w:id="116"/>
      <w:bookmarkStart w:id="117" w:name="_Toc184310279"/>
      <w:bookmarkEnd w:id="117"/>
      <w:bookmarkStart w:id="118" w:name="_Toc184310278"/>
      <w:bookmarkEnd w:id="118"/>
      <w:bookmarkStart w:id="119" w:name="_Toc184312088"/>
      <w:bookmarkEnd w:id="119"/>
      <w:bookmarkStart w:id="120" w:name="_Toc184312081"/>
      <w:bookmarkEnd w:id="120"/>
      <w:bookmarkStart w:id="121" w:name="_Toc184312085"/>
      <w:bookmarkEnd w:id="121"/>
      <w:bookmarkStart w:id="122" w:name="_Toc184308090"/>
      <w:bookmarkEnd w:id="122"/>
      <w:bookmarkStart w:id="123" w:name="_Toc184310275"/>
      <w:bookmarkEnd w:id="123"/>
      <w:bookmarkStart w:id="124" w:name="_Toc184314430"/>
      <w:bookmarkEnd w:id="124"/>
      <w:bookmarkStart w:id="125" w:name="_Toc184310330"/>
      <w:bookmarkEnd w:id="125"/>
      <w:bookmarkStart w:id="126" w:name="_Toc184310343"/>
      <w:bookmarkEnd w:id="126"/>
      <w:bookmarkStart w:id="127" w:name="_Toc184310317"/>
      <w:bookmarkEnd w:id="127"/>
      <w:bookmarkStart w:id="128" w:name="_Toc184310290"/>
      <w:bookmarkEnd w:id="128"/>
      <w:bookmarkStart w:id="129" w:name="_Toc184308052"/>
      <w:bookmarkEnd w:id="129"/>
      <w:bookmarkStart w:id="130" w:name="_Toc184314423"/>
      <w:bookmarkEnd w:id="130"/>
      <w:bookmarkStart w:id="131" w:name="_Toc184313294"/>
      <w:bookmarkEnd w:id="131"/>
      <w:bookmarkStart w:id="132" w:name="_Toc184310313"/>
      <w:bookmarkEnd w:id="132"/>
      <w:bookmarkStart w:id="133" w:name="_Toc184314442"/>
      <w:bookmarkEnd w:id="133"/>
      <w:bookmarkStart w:id="134" w:name="_Toc184312117"/>
      <w:bookmarkEnd w:id="134"/>
      <w:bookmarkStart w:id="135" w:name="_Toc184310273"/>
      <w:bookmarkEnd w:id="135"/>
      <w:bookmarkStart w:id="136" w:name="_Toc184312118"/>
      <w:bookmarkEnd w:id="136"/>
      <w:bookmarkStart w:id="137" w:name="_Toc184310324"/>
      <w:bookmarkEnd w:id="137"/>
      <w:bookmarkStart w:id="138" w:name="_Toc184314431"/>
      <w:bookmarkEnd w:id="138"/>
      <w:bookmarkStart w:id="139" w:name="_Toc184313305"/>
      <w:bookmarkEnd w:id="139"/>
      <w:bookmarkStart w:id="140" w:name="_Toc184314435"/>
      <w:bookmarkEnd w:id="140"/>
      <w:bookmarkStart w:id="141" w:name="_Toc184314411"/>
      <w:bookmarkEnd w:id="141"/>
      <w:bookmarkStart w:id="142" w:name="_Toc184312089"/>
      <w:bookmarkEnd w:id="142"/>
      <w:bookmarkStart w:id="143" w:name="_Toc184313272"/>
      <w:bookmarkEnd w:id="143"/>
      <w:bookmarkStart w:id="144" w:name="_Toc184308058"/>
      <w:bookmarkEnd w:id="144"/>
      <w:bookmarkStart w:id="145" w:name="_Toc184312073"/>
      <w:bookmarkEnd w:id="145"/>
      <w:bookmarkStart w:id="146" w:name="_Toc184312109"/>
      <w:bookmarkEnd w:id="146"/>
      <w:bookmarkStart w:id="147" w:name="_Toc184313285"/>
      <w:bookmarkEnd w:id="147"/>
      <w:bookmarkStart w:id="148" w:name="_Toc184313263"/>
      <w:bookmarkEnd w:id="148"/>
      <w:bookmarkStart w:id="149" w:name="_Toc184313282"/>
      <w:bookmarkEnd w:id="149"/>
      <w:bookmarkStart w:id="150" w:name="_Toc184310286"/>
      <w:bookmarkEnd w:id="150"/>
      <w:bookmarkStart w:id="151" w:name="_Toc184310309"/>
      <w:bookmarkEnd w:id="151"/>
      <w:bookmarkStart w:id="152" w:name="_Toc184313291"/>
      <w:bookmarkEnd w:id="152"/>
      <w:bookmarkStart w:id="153" w:name="_Toc184313284"/>
      <w:bookmarkEnd w:id="153"/>
      <w:bookmarkStart w:id="154" w:name="_Toc184313261"/>
      <w:bookmarkEnd w:id="154"/>
      <w:bookmarkStart w:id="155" w:name="_Toc184308104"/>
      <w:bookmarkEnd w:id="155"/>
      <w:bookmarkStart w:id="156" w:name="_Toc184308066"/>
      <w:bookmarkEnd w:id="156"/>
      <w:bookmarkStart w:id="157" w:name="_Toc184310325"/>
      <w:bookmarkEnd w:id="157"/>
      <w:bookmarkStart w:id="158" w:name="_Toc184310342"/>
      <w:bookmarkEnd w:id="158"/>
      <w:bookmarkStart w:id="159" w:name="_Toc184312100"/>
      <w:bookmarkEnd w:id="159"/>
      <w:bookmarkStart w:id="160" w:name="_Toc184314471"/>
      <w:bookmarkEnd w:id="160"/>
      <w:bookmarkStart w:id="161" w:name="_Toc184313247"/>
      <w:bookmarkEnd w:id="161"/>
      <w:bookmarkStart w:id="162" w:name="_Toc184314428"/>
      <w:bookmarkEnd w:id="162"/>
      <w:bookmarkStart w:id="163" w:name="_Toc184312102"/>
      <w:bookmarkEnd w:id="163"/>
      <w:bookmarkStart w:id="164" w:name="_Toc184312108"/>
      <w:bookmarkEnd w:id="164"/>
      <w:bookmarkStart w:id="165" w:name="_Toc184312131"/>
      <w:bookmarkEnd w:id="165"/>
      <w:bookmarkStart w:id="166" w:name="_Toc184314473"/>
      <w:bookmarkEnd w:id="166"/>
      <w:bookmarkStart w:id="167" w:name="_Toc184312132"/>
      <w:bookmarkEnd w:id="167"/>
      <w:bookmarkStart w:id="168" w:name="_Toc184312121"/>
      <w:bookmarkEnd w:id="168"/>
      <w:bookmarkStart w:id="169" w:name="_Toc184312092"/>
      <w:bookmarkEnd w:id="169"/>
      <w:bookmarkStart w:id="170" w:name="_Toc184310293"/>
      <w:bookmarkEnd w:id="170"/>
      <w:bookmarkStart w:id="171" w:name="_Toc184313286"/>
      <w:bookmarkEnd w:id="171"/>
      <w:bookmarkStart w:id="172" w:name="_Toc184313308"/>
      <w:bookmarkEnd w:id="172"/>
      <w:bookmarkStart w:id="173" w:name="_Toc184308079"/>
      <w:bookmarkEnd w:id="173"/>
      <w:bookmarkStart w:id="174" w:name="_Toc184308072"/>
      <w:bookmarkEnd w:id="174"/>
      <w:bookmarkStart w:id="175" w:name="_Toc184314460"/>
      <w:bookmarkEnd w:id="175"/>
      <w:bookmarkStart w:id="176" w:name="_Toc184308076"/>
      <w:bookmarkEnd w:id="176"/>
      <w:bookmarkStart w:id="177" w:name="_Toc184313296"/>
      <w:bookmarkEnd w:id="177"/>
      <w:bookmarkStart w:id="178" w:name="_Toc184308070"/>
      <w:bookmarkEnd w:id="178"/>
      <w:bookmarkStart w:id="179" w:name="_Toc184312130"/>
      <w:bookmarkEnd w:id="179"/>
      <w:bookmarkStart w:id="180" w:name="_Toc184308080"/>
      <w:bookmarkEnd w:id="180"/>
      <w:bookmarkStart w:id="181" w:name="_Toc184312114"/>
      <w:bookmarkEnd w:id="181"/>
      <w:bookmarkStart w:id="182" w:name="_Toc184312076"/>
      <w:bookmarkEnd w:id="182"/>
      <w:bookmarkStart w:id="183" w:name="_Toc184313307"/>
      <w:bookmarkEnd w:id="183"/>
      <w:bookmarkStart w:id="184" w:name="_Toc184308046"/>
      <w:bookmarkEnd w:id="184"/>
      <w:bookmarkStart w:id="185" w:name="_Toc184308038"/>
      <w:bookmarkEnd w:id="185"/>
      <w:bookmarkStart w:id="186" w:name="_Toc184312127"/>
      <w:bookmarkEnd w:id="186"/>
      <w:bookmarkStart w:id="187" w:name="_Toc184308108"/>
      <w:bookmarkEnd w:id="187"/>
      <w:bookmarkStart w:id="188" w:name="_Toc184312070"/>
      <w:bookmarkEnd w:id="188"/>
      <w:bookmarkStart w:id="189" w:name="_Toc184314455"/>
      <w:bookmarkEnd w:id="189"/>
      <w:bookmarkStart w:id="190" w:name="_Toc184312078"/>
      <w:bookmarkEnd w:id="190"/>
      <w:bookmarkStart w:id="191" w:name="_Toc184312096"/>
      <w:bookmarkEnd w:id="191"/>
      <w:bookmarkStart w:id="192" w:name="_Toc184312129"/>
      <w:bookmarkEnd w:id="192"/>
      <w:bookmarkStart w:id="193" w:name="_Toc184312123"/>
      <w:bookmarkEnd w:id="193"/>
      <w:bookmarkStart w:id="194" w:name="_Toc184314482"/>
      <w:bookmarkEnd w:id="194"/>
      <w:bookmarkStart w:id="195" w:name="_Toc184310288"/>
      <w:bookmarkEnd w:id="195"/>
      <w:bookmarkStart w:id="196" w:name="_Toc184314448"/>
      <w:bookmarkEnd w:id="196"/>
      <w:bookmarkStart w:id="197" w:name="_Toc184314426"/>
      <w:bookmarkEnd w:id="197"/>
      <w:bookmarkStart w:id="198" w:name="_Toc184312103"/>
      <w:bookmarkEnd w:id="198"/>
      <w:bookmarkStart w:id="199" w:name="_Toc184310281"/>
      <w:bookmarkEnd w:id="199"/>
      <w:bookmarkStart w:id="200" w:name="_Toc184313266"/>
      <w:bookmarkEnd w:id="200"/>
      <w:bookmarkStart w:id="201" w:name="_Toc184313309"/>
      <w:bookmarkEnd w:id="201"/>
      <w:bookmarkStart w:id="202" w:name="_Toc184314438"/>
      <w:bookmarkEnd w:id="202"/>
      <w:bookmarkStart w:id="203" w:name="_Toc184310323"/>
      <w:bookmarkEnd w:id="203"/>
      <w:bookmarkStart w:id="204" w:name="_Toc184313306"/>
      <w:bookmarkEnd w:id="204"/>
      <w:bookmarkStart w:id="205" w:name="_Toc184308092"/>
      <w:bookmarkEnd w:id="205"/>
      <w:bookmarkStart w:id="206" w:name="_Toc184308044"/>
      <w:bookmarkEnd w:id="206"/>
      <w:bookmarkStart w:id="207" w:name="_Toc184310341"/>
      <w:bookmarkEnd w:id="207"/>
      <w:bookmarkStart w:id="208" w:name="_Toc184314465"/>
      <w:bookmarkEnd w:id="208"/>
      <w:bookmarkStart w:id="209" w:name="_Toc184308055"/>
      <w:bookmarkEnd w:id="209"/>
      <w:bookmarkStart w:id="210" w:name="_Toc184310305"/>
      <w:bookmarkEnd w:id="210"/>
      <w:bookmarkStart w:id="211" w:name="_Toc184313270"/>
      <w:bookmarkEnd w:id="211"/>
      <w:bookmarkStart w:id="212" w:name="_Toc184312119"/>
      <w:bookmarkEnd w:id="212"/>
      <w:bookmarkStart w:id="213" w:name="_Toc184314433"/>
      <w:bookmarkEnd w:id="213"/>
      <w:bookmarkStart w:id="214" w:name="_Toc184314475"/>
      <w:bookmarkEnd w:id="214"/>
      <w:bookmarkStart w:id="215" w:name="_Toc184314422"/>
      <w:bookmarkEnd w:id="215"/>
      <w:bookmarkStart w:id="216" w:name="_Toc184312112"/>
      <w:bookmarkEnd w:id="216"/>
      <w:bookmarkStart w:id="217" w:name="_Toc184314444"/>
      <w:bookmarkEnd w:id="217"/>
      <w:bookmarkStart w:id="218" w:name="_Toc184312084"/>
      <w:bookmarkEnd w:id="218"/>
      <w:bookmarkStart w:id="219" w:name="_Toc184308050"/>
      <w:bookmarkEnd w:id="219"/>
      <w:bookmarkStart w:id="220" w:name="_Toc184308060"/>
      <w:bookmarkEnd w:id="220"/>
      <w:bookmarkStart w:id="221" w:name="_Toc184310301"/>
      <w:bookmarkEnd w:id="221"/>
      <w:bookmarkStart w:id="222" w:name="_Toc184313262"/>
      <w:bookmarkEnd w:id="222"/>
      <w:bookmarkStart w:id="223" w:name="_Toc184308084"/>
      <w:bookmarkEnd w:id="223"/>
      <w:bookmarkStart w:id="224" w:name="_Toc184308085"/>
      <w:bookmarkEnd w:id="224"/>
      <w:bookmarkStart w:id="225" w:name="_Toc184314454"/>
      <w:bookmarkEnd w:id="225"/>
      <w:bookmarkStart w:id="226" w:name="_Toc184308094"/>
      <w:bookmarkEnd w:id="226"/>
      <w:bookmarkStart w:id="227" w:name="_Toc184308065"/>
      <w:bookmarkEnd w:id="227"/>
      <w:bookmarkStart w:id="228" w:name="_Toc184314432"/>
      <w:bookmarkEnd w:id="228"/>
      <w:bookmarkStart w:id="229" w:name="_Toc184308053"/>
      <w:bookmarkEnd w:id="229"/>
      <w:bookmarkStart w:id="230" w:name="_Toc184314419"/>
      <w:bookmarkEnd w:id="230"/>
      <w:bookmarkStart w:id="231" w:name="_Toc184314413"/>
      <w:bookmarkEnd w:id="231"/>
      <w:bookmarkStart w:id="232" w:name="_Toc184313240"/>
      <w:bookmarkEnd w:id="232"/>
      <w:bookmarkStart w:id="233" w:name="_Toc184308062"/>
      <w:bookmarkEnd w:id="233"/>
      <w:bookmarkStart w:id="234" w:name="_Toc184313273"/>
      <w:bookmarkEnd w:id="234"/>
      <w:bookmarkStart w:id="235" w:name="_Toc184313295"/>
      <w:bookmarkEnd w:id="235"/>
      <w:bookmarkStart w:id="236" w:name="_Toc184313264"/>
      <w:bookmarkEnd w:id="236"/>
      <w:bookmarkStart w:id="237" w:name="_Toc184312115"/>
      <w:bookmarkEnd w:id="237"/>
      <w:bookmarkStart w:id="238" w:name="_Toc184313278"/>
      <w:bookmarkEnd w:id="238"/>
      <w:bookmarkStart w:id="239" w:name="_Toc184308036"/>
      <w:bookmarkEnd w:id="239"/>
      <w:bookmarkStart w:id="240" w:name="_Toc184308051"/>
      <w:bookmarkEnd w:id="240"/>
      <w:bookmarkStart w:id="241" w:name="_Toc184312128"/>
      <w:bookmarkEnd w:id="241"/>
      <w:bookmarkStart w:id="242" w:name="_Toc184308093"/>
      <w:bookmarkEnd w:id="242"/>
      <w:bookmarkStart w:id="243" w:name="_Toc184313299"/>
      <w:bookmarkEnd w:id="243"/>
      <w:bookmarkStart w:id="244" w:name="_Toc184310316"/>
      <w:bookmarkEnd w:id="244"/>
      <w:bookmarkStart w:id="245" w:name="_Toc184312107"/>
      <w:bookmarkEnd w:id="245"/>
      <w:bookmarkStart w:id="246" w:name="_Toc184310335"/>
      <w:bookmarkEnd w:id="246"/>
      <w:bookmarkStart w:id="247" w:name="_Toc184310329"/>
      <w:bookmarkEnd w:id="247"/>
      <w:bookmarkStart w:id="248" w:name="_Toc184313257"/>
      <w:bookmarkEnd w:id="248"/>
      <w:bookmarkStart w:id="249" w:name="_Toc184310276"/>
      <w:bookmarkEnd w:id="249"/>
      <w:bookmarkStart w:id="250" w:name="_Toc184312126"/>
      <w:bookmarkEnd w:id="250"/>
      <w:bookmarkStart w:id="251" w:name="_Toc184314447"/>
      <w:bookmarkEnd w:id="251"/>
      <w:bookmarkStart w:id="252" w:name="_Toc184314479"/>
      <w:bookmarkEnd w:id="252"/>
      <w:bookmarkStart w:id="253" w:name="_Toc184310283"/>
      <w:bookmarkEnd w:id="253"/>
      <w:bookmarkStart w:id="254" w:name="_Toc184308082"/>
      <w:bookmarkEnd w:id="254"/>
      <w:bookmarkStart w:id="255" w:name="_Toc184308069"/>
      <w:bookmarkEnd w:id="255"/>
      <w:bookmarkStart w:id="256" w:name="_Toc184310294"/>
      <w:bookmarkEnd w:id="256"/>
      <w:bookmarkStart w:id="257" w:name="_Toc184313238"/>
      <w:bookmarkEnd w:id="257"/>
      <w:bookmarkStart w:id="258" w:name="_Toc184312105"/>
      <w:bookmarkEnd w:id="258"/>
      <w:bookmarkStart w:id="259" w:name="_Toc184308100"/>
      <w:bookmarkEnd w:id="259"/>
      <w:bookmarkStart w:id="260" w:name="_Toc184314420"/>
      <w:bookmarkEnd w:id="260"/>
      <w:bookmarkStart w:id="261" w:name="_Toc184312110"/>
      <w:bookmarkEnd w:id="261"/>
      <w:bookmarkStart w:id="262" w:name="_Toc184314452"/>
      <w:bookmarkEnd w:id="262"/>
      <w:bookmarkStart w:id="263" w:name="_Toc184312083"/>
      <w:bookmarkEnd w:id="263"/>
      <w:bookmarkStart w:id="264" w:name="_Toc184310289"/>
      <w:bookmarkEnd w:id="264"/>
      <w:bookmarkStart w:id="265" w:name="_Toc184308086"/>
      <w:bookmarkEnd w:id="265"/>
      <w:bookmarkStart w:id="266" w:name="_Toc184314478"/>
      <w:bookmarkEnd w:id="266"/>
      <w:bookmarkStart w:id="267" w:name="_Toc184314417"/>
      <w:bookmarkEnd w:id="267"/>
      <w:bookmarkStart w:id="268" w:name="_Toc184314412"/>
      <w:bookmarkEnd w:id="268"/>
      <w:bookmarkStart w:id="269" w:name="_Toc184308041"/>
      <w:bookmarkEnd w:id="269"/>
      <w:bookmarkStart w:id="270" w:name="_Toc184308096"/>
      <w:bookmarkEnd w:id="270"/>
      <w:bookmarkStart w:id="271" w:name="_Toc184310292"/>
      <w:bookmarkEnd w:id="271"/>
      <w:bookmarkStart w:id="272" w:name="_Toc184313259"/>
      <w:bookmarkEnd w:id="272"/>
      <w:bookmarkStart w:id="273" w:name="_Toc184313280"/>
      <w:bookmarkEnd w:id="273"/>
      <w:bookmarkStart w:id="274" w:name="_Toc184313275"/>
      <w:bookmarkEnd w:id="274"/>
      <w:bookmarkStart w:id="275" w:name="_Toc184308040"/>
      <w:bookmarkEnd w:id="275"/>
      <w:bookmarkStart w:id="276" w:name="_Toc184313256"/>
      <w:bookmarkEnd w:id="276"/>
      <w:bookmarkStart w:id="277" w:name="_Toc184312136"/>
      <w:bookmarkEnd w:id="277"/>
      <w:bookmarkStart w:id="278" w:name="_Toc184310318"/>
      <w:bookmarkEnd w:id="278"/>
      <w:bookmarkStart w:id="279" w:name="_Toc184310328"/>
      <w:bookmarkEnd w:id="279"/>
      <w:bookmarkStart w:id="280" w:name="_Toc184313288"/>
      <w:bookmarkEnd w:id="280"/>
      <w:bookmarkStart w:id="281" w:name="_Toc184312138"/>
      <w:bookmarkEnd w:id="281"/>
      <w:bookmarkStart w:id="282" w:name="_Toc184314470"/>
      <w:bookmarkEnd w:id="282"/>
      <w:bookmarkStart w:id="283" w:name="_Toc184312111"/>
      <w:bookmarkEnd w:id="283"/>
      <w:bookmarkStart w:id="284" w:name="_Toc184310311"/>
      <w:bookmarkEnd w:id="284"/>
      <w:bookmarkStart w:id="285" w:name="_Toc184314418"/>
      <w:bookmarkEnd w:id="285"/>
      <w:bookmarkStart w:id="286" w:name="_Toc184312082"/>
      <w:bookmarkEnd w:id="286"/>
      <w:bookmarkStart w:id="287" w:name="_Toc184308097"/>
      <w:bookmarkEnd w:id="287"/>
      <w:bookmarkStart w:id="288" w:name="_Toc184308057"/>
      <w:bookmarkEnd w:id="288"/>
      <w:bookmarkStart w:id="289" w:name="_Toc184310320"/>
      <w:bookmarkEnd w:id="289"/>
      <w:bookmarkStart w:id="290" w:name="_Toc184308102"/>
      <w:bookmarkEnd w:id="290"/>
      <w:bookmarkStart w:id="291" w:name="_Toc184313248"/>
      <w:bookmarkEnd w:id="291"/>
      <w:bookmarkStart w:id="292" w:name="_Toc184313287"/>
      <w:bookmarkEnd w:id="292"/>
      <w:bookmarkStart w:id="293" w:name="_Toc184314467"/>
      <w:bookmarkEnd w:id="293"/>
      <w:bookmarkStart w:id="294" w:name="_Toc184313252"/>
      <w:bookmarkEnd w:id="294"/>
      <w:bookmarkStart w:id="295" w:name="_Toc184308049"/>
      <w:bookmarkEnd w:id="295"/>
      <w:bookmarkStart w:id="296" w:name="_Toc184313274"/>
      <w:bookmarkEnd w:id="296"/>
      <w:bookmarkStart w:id="297" w:name="_Toc184310285"/>
      <w:bookmarkEnd w:id="297"/>
      <w:bookmarkStart w:id="298" w:name="_Toc184308037"/>
      <w:bookmarkEnd w:id="298"/>
      <w:bookmarkStart w:id="299" w:name="_Toc184310310"/>
      <w:bookmarkEnd w:id="299"/>
      <w:bookmarkStart w:id="300" w:name="_Toc184312071"/>
      <w:bookmarkEnd w:id="300"/>
      <w:bookmarkStart w:id="301" w:name="_Toc184313260"/>
      <w:bookmarkEnd w:id="301"/>
      <w:bookmarkStart w:id="302" w:name="_Toc184314436"/>
      <w:bookmarkEnd w:id="302"/>
      <w:bookmarkStart w:id="303" w:name="_Toc184308039"/>
      <w:bookmarkEnd w:id="303"/>
      <w:bookmarkStart w:id="304" w:name="_Toc184313298"/>
      <w:bookmarkEnd w:id="304"/>
      <w:bookmarkStart w:id="305" w:name="_Toc184310331"/>
      <w:bookmarkEnd w:id="305"/>
      <w:bookmarkStart w:id="306" w:name="_Toc184313239"/>
      <w:bookmarkEnd w:id="306"/>
      <w:bookmarkStart w:id="307" w:name="_Toc184314416"/>
      <w:bookmarkEnd w:id="307"/>
      <w:bookmarkStart w:id="308" w:name="_Toc184310333"/>
      <w:bookmarkEnd w:id="308"/>
      <w:bookmarkStart w:id="309" w:name="_Toc184310340"/>
      <w:bookmarkEnd w:id="309"/>
      <w:bookmarkStart w:id="310" w:name="_Toc184308043"/>
      <w:bookmarkEnd w:id="310"/>
      <w:bookmarkStart w:id="311" w:name="_Toc184308089"/>
      <w:bookmarkEnd w:id="311"/>
      <w:bookmarkStart w:id="312" w:name="_Toc184308099"/>
      <w:bookmarkEnd w:id="312"/>
      <w:bookmarkStart w:id="313" w:name="_Toc184310312"/>
      <w:bookmarkEnd w:id="313"/>
      <w:bookmarkStart w:id="314" w:name="_Toc184308071"/>
      <w:bookmarkEnd w:id="314"/>
      <w:bookmarkStart w:id="315" w:name="_Toc184310344"/>
      <w:bookmarkEnd w:id="315"/>
      <w:bookmarkStart w:id="316" w:name="_Toc184312091"/>
      <w:bookmarkEnd w:id="316"/>
      <w:bookmarkStart w:id="317" w:name="_Toc184313303"/>
      <w:bookmarkEnd w:id="317"/>
      <w:bookmarkStart w:id="318" w:name="_Toc184312090"/>
      <w:bookmarkEnd w:id="318"/>
      <w:bookmarkStart w:id="319" w:name="_Toc184310338"/>
      <w:bookmarkEnd w:id="319"/>
      <w:bookmarkStart w:id="320" w:name="_Toc184312077"/>
      <w:bookmarkEnd w:id="320"/>
      <w:bookmarkStart w:id="321" w:name="_Toc184312074"/>
      <w:bookmarkEnd w:id="321"/>
      <w:bookmarkStart w:id="322" w:name="_Toc184310336"/>
      <w:bookmarkEnd w:id="322"/>
      <w:bookmarkStart w:id="323" w:name="_Toc184310319"/>
      <w:bookmarkEnd w:id="323"/>
      <w:bookmarkStart w:id="324" w:name="_Toc184313302"/>
      <w:bookmarkEnd w:id="324"/>
      <w:bookmarkStart w:id="325" w:name="_Toc184314480"/>
      <w:bookmarkEnd w:id="325"/>
      <w:bookmarkStart w:id="326" w:name="_Toc184313254"/>
      <w:bookmarkEnd w:id="326"/>
      <w:bookmarkStart w:id="327" w:name="_Toc184312067"/>
      <w:bookmarkEnd w:id="327"/>
      <w:bookmarkStart w:id="328" w:name="_Toc184308054"/>
      <w:bookmarkEnd w:id="328"/>
      <w:bookmarkStart w:id="329" w:name="_Toc184314466"/>
      <w:bookmarkEnd w:id="329"/>
      <w:bookmarkStart w:id="330" w:name="_Toc184310280"/>
      <w:bookmarkEnd w:id="330"/>
      <w:bookmarkStart w:id="331" w:name="_Toc184312106"/>
      <w:bookmarkEnd w:id="331"/>
      <w:bookmarkStart w:id="332" w:name="_Toc184308098"/>
      <w:bookmarkEnd w:id="332"/>
      <w:bookmarkStart w:id="333" w:name="_Toc184312087"/>
      <w:bookmarkEnd w:id="333"/>
      <w:bookmarkStart w:id="334" w:name="_Toc184312079"/>
      <w:bookmarkEnd w:id="334"/>
      <w:bookmarkStart w:id="335" w:name="_Toc184308042"/>
      <w:bookmarkEnd w:id="335"/>
      <w:bookmarkStart w:id="336" w:name="_Toc184312120"/>
      <w:bookmarkEnd w:id="336"/>
      <w:bookmarkStart w:id="337" w:name="_Toc184314415"/>
      <w:bookmarkEnd w:id="337"/>
      <w:bookmarkStart w:id="338" w:name="_Toc184312069"/>
      <w:bookmarkEnd w:id="338"/>
      <w:bookmarkStart w:id="339" w:name="_Toc184308103"/>
      <w:bookmarkEnd w:id="339"/>
      <w:bookmarkStart w:id="340" w:name="_Toc184310299"/>
      <w:bookmarkEnd w:id="340"/>
      <w:bookmarkStart w:id="341" w:name="_Toc184313242"/>
      <w:bookmarkEnd w:id="341"/>
      <w:bookmarkStart w:id="342" w:name="_Toc184314446"/>
      <w:bookmarkEnd w:id="342"/>
      <w:bookmarkStart w:id="343" w:name="_Toc184312072"/>
      <w:bookmarkEnd w:id="343"/>
      <w:bookmarkStart w:id="344" w:name="_Toc184310282"/>
      <w:bookmarkEnd w:id="344"/>
      <w:bookmarkStart w:id="345" w:name="_Toc184313265"/>
      <w:bookmarkEnd w:id="345"/>
      <w:bookmarkStart w:id="346" w:name="_Toc184314429"/>
      <w:bookmarkEnd w:id="346"/>
      <w:bookmarkStart w:id="347" w:name="_Toc184308107"/>
      <w:bookmarkEnd w:id="347"/>
      <w:bookmarkStart w:id="348" w:name="_Toc184308106"/>
      <w:bookmarkEnd w:id="348"/>
      <w:bookmarkStart w:id="349" w:name="_Toc184313251"/>
      <w:bookmarkEnd w:id="349"/>
      <w:bookmarkStart w:id="350" w:name="_Toc184314462"/>
      <w:bookmarkEnd w:id="350"/>
      <w:bookmarkStart w:id="351" w:name="_Toc184314474"/>
      <w:bookmarkEnd w:id="351"/>
      <w:bookmarkStart w:id="352" w:name="_Toc184313241"/>
      <w:bookmarkEnd w:id="352"/>
      <w:bookmarkStart w:id="353" w:name="_Toc184310307"/>
      <w:bookmarkEnd w:id="353"/>
      <w:bookmarkStart w:id="354" w:name="_Toc184313267"/>
      <w:bookmarkEnd w:id="354"/>
      <w:bookmarkStart w:id="355" w:name="_Toc184313250"/>
      <w:bookmarkEnd w:id="355"/>
      <w:bookmarkStart w:id="356" w:name="_Toc184312094"/>
      <w:bookmarkEnd w:id="356"/>
      <w:bookmarkStart w:id="357" w:name="_Toc184312080"/>
      <w:bookmarkEnd w:id="357"/>
      <w:bookmarkStart w:id="358" w:name="_Toc184308063"/>
      <w:bookmarkEnd w:id="358"/>
      <w:bookmarkStart w:id="359" w:name="_Toc184314440"/>
      <w:bookmarkEnd w:id="359"/>
      <w:bookmarkStart w:id="360" w:name="_Toc184308061"/>
      <w:bookmarkEnd w:id="360"/>
      <w:bookmarkStart w:id="361" w:name="_Toc184313246"/>
      <w:bookmarkEnd w:id="361"/>
      <w:bookmarkStart w:id="362" w:name="_Toc184308078"/>
      <w:bookmarkEnd w:id="362"/>
      <w:bookmarkStart w:id="363" w:name="_Toc184308045"/>
      <w:bookmarkEnd w:id="363"/>
      <w:bookmarkStart w:id="364" w:name="_Toc184310302"/>
      <w:bookmarkEnd w:id="364"/>
      <w:bookmarkStart w:id="365" w:name="_Toc184314445"/>
      <w:bookmarkEnd w:id="365"/>
      <w:bookmarkStart w:id="366" w:name="_Toc184312133"/>
      <w:bookmarkEnd w:id="366"/>
      <w:bookmarkStart w:id="367" w:name="_Toc184314439"/>
      <w:bookmarkEnd w:id="367"/>
      <w:bookmarkStart w:id="368" w:name="_Toc184308105"/>
      <w:bookmarkEnd w:id="368"/>
      <w:bookmarkStart w:id="369" w:name="_Toc184314468"/>
      <w:bookmarkEnd w:id="369"/>
      <w:bookmarkStart w:id="370" w:name="_Toc184314453"/>
      <w:bookmarkEnd w:id="370"/>
      <w:bookmarkStart w:id="371" w:name="_Toc184310321"/>
      <w:bookmarkEnd w:id="371"/>
      <w:bookmarkStart w:id="372" w:name="_Toc184312135"/>
      <w:bookmarkEnd w:id="372"/>
      <w:bookmarkStart w:id="373" w:name="_Toc184314459"/>
      <w:bookmarkEnd w:id="373"/>
      <w:bookmarkStart w:id="374" w:name="_Toc184313301"/>
      <w:bookmarkEnd w:id="374"/>
      <w:bookmarkStart w:id="375" w:name="_Toc184310287"/>
      <w:bookmarkEnd w:id="375"/>
      <w:bookmarkStart w:id="376" w:name="_Toc184308056"/>
      <w:bookmarkEnd w:id="376"/>
      <w:bookmarkStart w:id="377" w:name="_Toc184308064"/>
      <w:bookmarkEnd w:id="377"/>
      <w:bookmarkStart w:id="378" w:name="_Toc184312104"/>
      <w:bookmarkEnd w:id="378"/>
      <w:bookmarkStart w:id="379" w:name="_Toc184313255"/>
      <w:bookmarkEnd w:id="379"/>
      <w:bookmarkStart w:id="380" w:name="_Toc184314458"/>
      <w:bookmarkEnd w:id="380"/>
      <w:bookmarkStart w:id="381" w:name="_Toc184313289"/>
      <w:bookmarkEnd w:id="381"/>
      <w:bookmarkStart w:id="382" w:name="_Toc184310296"/>
      <w:bookmarkEnd w:id="382"/>
      <w:bookmarkStart w:id="383" w:name="_Toc184314477"/>
      <w:bookmarkEnd w:id="383"/>
      <w:bookmarkStart w:id="384" w:name="_Toc184308067"/>
      <w:bookmarkEnd w:id="384"/>
      <w:bookmarkStart w:id="385" w:name="_Toc184310298"/>
      <w:bookmarkEnd w:id="385"/>
      <w:bookmarkStart w:id="386" w:name="_Toc184308081"/>
      <w:bookmarkEnd w:id="386"/>
      <w:bookmarkStart w:id="387" w:name="_Toc184310274"/>
      <w:bookmarkEnd w:id="387"/>
      <w:bookmarkStart w:id="388" w:name="_Toc184310304"/>
      <w:bookmarkEnd w:id="388"/>
      <w:bookmarkStart w:id="389" w:name="_Toc184308068"/>
      <w:bookmarkEnd w:id="389"/>
      <w:bookmarkStart w:id="390" w:name="_Toc184312086"/>
      <w:bookmarkEnd w:id="390"/>
      <w:bookmarkStart w:id="391" w:name="_Toc184313249"/>
      <w:bookmarkEnd w:id="391"/>
      <w:bookmarkStart w:id="392" w:name="_Toc184312093"/>
      <w:bookmarkEnd w:id="392"/>
      <w:bookmarkStart w:id="393" w:name="_Toc184312122"/>
      <w:bookmarkEnd w:id="393"/>
      <w:bookmarkStart w:id="394" w:name="_Toc184308087"/>
      <w:bookmarkEnd w:id="394"/>
      <w:bookmarkStart w:id="395" w:name="_Toc184314476"/>
      <w:bookmarkEnd w:id="395"/>
      <w:bookmarkStart w:id="396" w:name="_Toc184314414"/>
      <w:bookmarkEnd w:id="396"/>
      <w:bookmarkStart w:id="397" w:name="_Toc184310315"/>
      <w:bookmarkEnd w:id="397"/>
      <w:bookmarkStart w:id="398" w:name="_Toc184313245"/>
      <w:bookmarkEnd w:id="398"/>
      <w:bookmarkStart w:id="399" w:name="_Toc184313293"/>
      <w:bookmarkEnd w:id="399"/>
      <w:r>
        <w:rPr>
          <w:rFonts w:hint="eastAsia" w:ascii="宋体" w:hAnsi="宋体" w:cs="宋体"/>
          <w:b/>
          <w:color w:val="auto"/>
          <w:sz w:val="36"/>
          <w:szCs w:val="36"/>
          <w:highlight w:val="none"/>
        </w:rPr>
        <w:t>评标办法</w:t>
      </w:r>
    </w:p>
    <w:p w14:paraId="62320B4B">
      <w:pPr>
        <w:snapToGrid w:val="0"/>
        <w:spacing w:line="360" w:lineRule="auto"/>
        <w:jc w:val="center"/>
        <w:rPr>
          <w:rFonts w:hint="eastAsia" w:ascii="宋体" w:hAnsi="宋体" w:cs="宋体"/>
          <w:b/>
          <w:color w:val="auto"/>
          <w:sz w:val="32"/>
          <w:szCs w:val="20"/>
          <w:highlight w:val="none"/>
        </w:rPr>
      </w:pPr>
      <w:r>
        <w:rPr>
          <w:rFonts w:hint="eastAsia" w:ascii="宋体" w:hAnsi="宋体" w:cs="宋体"/>
          <w:b/>
          <w:color w:val="auto"/>
          <w:sz w:val="32"/>
          <w:szCs w:val="20"/>
          <w:highlight w:val="none"/>
        </w:rPr>
        <w:t>评标办法前附表</w:t>
      </w:r>
    </w:p>
    <w:p w14:paraId="3F737956">
      <w:pPr>
        <w:bidi w:val="0"/>
        <w:jc w:val="center"/>
        <w:rPr>
          <w:rFonts w:hint="eastAsia"/>
          <w:b/>
          <w:bCs/>
          <w:color w:val="auto"/>
          <w:sz w:val="28"/>
          <w:szCs w:val="28"/>
          <w:highlight w:val="none"/>
          <w:lang w:val="en-US" w:eastAsia="zh-CN"/>
        </w:rPr>
      </w:pPr>
      <w:r>
        <w:rPr>
          <w:rFonts w:hint="eastAsia"/>
          <w:b/>
          <w:bCs/>
          <w:color w:val="auto"/>
          <w:sz w:val="28"/>
          <w:szCs w:val="28"/>
          <w:highlight w:val="none"/>
          <w:lang w:val="en-US" w:eastAsia="zh-CN"/>
        </w:rPr>
        <w:t>标项一</w:t>
      </w:r>
      <w:r>
        <w:rPr>
          <w:rFonts w:hint="eastAsia" w:ascii="宋体" w:hAnsi="宋体" w:cs="宋体"/>
          <w:b/>
          <w:bCs/>
          <w:color w:val="auto"/>
          <w:sz w:val="28"/>
          <w:szCs w:val="28"/>
          <w:highlight w:val="none"/>
        </w:rPr>
        <w:t>评标办法</w:t>
      </w:r>
    </w:p>
    <w:tbl>
      <w:tblPr>
        <w:tblStyle w:val="64"/>
        <w:tblW w:w="892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6"/>
        <w:gridCol w:w="6696"/>
        <w:gridCol w:w="513"/>
        <w:gridCol w:w="779"/>
      </w:tblGrid>
      <w:tr w14:paraId="633FEB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6" w:type="dxa"/>
            <w:vAlign w:val="center"/>
          </w:tcPr>
          <w:p w14:paraId="7AC402B0">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6696" w:type="dxa"/>
            <w:vAlign w:val="center"/>
          </w:tcPr>
          <w:p w14:paraId="0080FED3">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评标标准</w:t>
            </w:r>
          </w:p>
        </w:tc>
        <w:tc>
          <w:tcPr>
            <w:tcW w:w="513" w:type="dxa"/>
            <w:vAlign w:val="center"/>
          </w:tcPr>
          <w:p w14:paraId="7C834826">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iCs/>
                <w:color w:val="auto"/>
                <w:sz w:val="24"/>
                <w:szCs w:val="24"/>
                <w:highlight w:val="none"/>
              </w:rPr>
              <w:t>分值</w:t>
            </w:r>
          </w:p>
        </w:tc>
        <w:tc>
          <w:tcPr>
            <w:tcW w:w="779" w:type="dxa"/>
            <w:vAlign w:val="center"/>
          </w:tcPr>
          <w:p w14:paraId="3026A2B9">
            <w:pPr>
              <w:snapToGrid w:val="0"/>
              <w:spacing w:line="360" w:lineRule="auto"/>
              <w:jc w:val="center"/>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评分属性</w:t>
            </w:r>
          </w:p>
        </w:tc>
      </w:tr>
      <w:tr w14:paraId="673DA7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6" w:type="dxa"/>
            <w:vAlign w:val="center"/>
          </w:tcPr>
          <w:p w14:paraId="619E122F">
            <w:pPr>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w:t>
            </w:r>
          </w:p>
        </w:tc>
        <w:tc>
          <w:tcPr>
            <w:tcW w:w="6696" w:type="dxa"/>
            <w:vAlign w:val="center"/>
          </w:tcPr>
          <w:p w14:paraId="47AEBBD6">
            <w:pPr>
              <w:keepNext w:val="0"/>
              <w:keepLines w:val="0"/>
              <w:pageBreakBefore w:val="0"/>
              <w:widowControl w:val="0"/>
              <w:kinsoku/>
              <w:wordWrap/>
              <w:overflowPunct/>
              <w:topLinePunct w:val="0"/>
              <w:autoSpaceDE/>
              <w:autoSpaceDN/>
              <w:bidi w:val="0"/>
              <w:snapToGrid w:val="0"/>
              <w:spacing w:line="360" w:lineRule="auto"/>
              <w:ind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bidi="ar"/>
              </w:rPr>
              <w:t>供应商</w:t>
            </w:r>
            <w:r>
              <w:rPr>
                <w:rFonts w:hint="eastAsia" w:ascii="宋体" w:hAnsi="宋体" w:eastAsia="宋体" w:cs="宋体"/>
                <w:bCs/>
                <w:color w:val="auto"/>
                <w:sz w:val="24"/>
                <w:szCs w:val="24"/>
                <w:highlight w:val="none"/>
                <w:lang w:bidi="ar"/>
              </w:rPr>
              <w:t>具备质量管理体</w:t>
            </w:r>
            <w:r>
              <w:rPr>
                <w:rFonts w:hint="eastAsia" w:ascii="宋体" w:hAnsi="宋体" w:eastAsia="宋体" w:cs="宋体"/>
                <w:b w:val="0"/>
                <w:bCs/>
                <w:color w:val="auto"/>
                <w:sz w:val="24"/>
                <w:szCs w:val="24"/>
                <w:highlight w:val="none"/>
                <w:lang w:bidi="ar"/>
              </w:rPr>
              <w:t>系ISO 9001认证、信息安全管理体系ISO/IEC 27001认证、ISO/IEC 20000（信</w:t>
            </w:r>
            <w:r>
              <w:rPr>
                <w:rFonts w:hint="eastAsia" w:ascii="宋体" w:hAnsi="宋体" w:eastAsia="宋体" w:cs="宋体"/>
                <w:bCs/>
                <w:color w:val="auto"/>
                <w:sz w:val="24"/>
                <w:szCs w:val="24"/>
                <w:highlight w:val="none"/>
                <w:lang w:bidi="ar"/>
              </w:rPr>
              <w:t>息技术服务管理体系）认证</w:t>
            </w:r>
            <w:r>
              <w:rPr>
                <w:rFonts w:hint="eastAsia" w:ascii="宋体" w:hAnsi="宋体" w:eastAsia="宋体" w:cs="宋体"/>
                <w:bCs/>
                <w:color w:val="auto"/>
                <w:sz w:val="24"/>
                <w:szCs w:val="24"/>
                <w:highlight w:val="none"/>
                <w:lang w:val="en-US" w:eastAsia="zh-CN" w:bidi="ar"/>
              </w:rPr>
              <w:t>且认证范围</w:t>
            </w:r>
            <w:r>
              <w:rPr>
                <w:rFonts w:hint="eastAsia" w:ascii="宋体" w:hAnsi="宋体" w:eastAsia="宋体" w:cs="宋体"/>
                <w:bCs/>
                <w:color w:val="auto"/>
                <w:sz w:val="24"/>
                <w:szCs w:val="24"/>
                <w:highlight w:val="none"/>
                <w:lang w:val="en-US" w:eastAsia="zh-CN" w:bidi="ar"/>
              </w:rPr>
              <w:t>包含信息技术等与本项目合同履约相关的</w:t>
            </w:r>
            <w:r>
              <w:rPr>
                <w:rFonts w:hint="eastAsia" w:ascii="宋体" w:hAnsi="宋体" w:eastAsia="宋体" w:cs="宋体"/>
                <w:bCs/>
                <w:color w:val="auto"/>
                <w:sz w:val="24"/>
                <w:szCs w:val="24"/>
                <w:highlight w:val="none"/>
                <w:lang w:bidi="ar"/>
              </w:rPr>
              <w:t>，</w:t>
            </w:r>
            <w:r>
              <w:rPr>
                <w:rFonts w:hint="eastAsia" w:ascii="宋体" w:hAnsi="宋体" w:eastAsia="宋体" w:cs="宋体"/>
                <w:bCs/>
                <w:color w:val="auto"/>
                <w:sz w:val="24"/>
                <w:szCs w:val="24"/>
                <w:highlight w:val="none"/>
                <w:lang w:val="en-US" w:eastAsia="zh-CN" w:bidi="ar"/>
              </w:rPr>
              <w:t>每个证书得1分，最高得3分</w:t>
            </w:r>
            <w:r>
              <w:rPr>
                <w:rFonts w:hint="eastAsia" w:ascii="宋体" w:hAnsi="宋体" w:eastAsia="宋体" w:cs="宋体"/>
                <w:bCs/>
                <w:color w:val="auto"/>
                <w:sz w:val="24"/>
                <w:szCs w:val="24"/>
                <w:highlight w:val="none"/>
                <w:lang w:bidi="ar"/>
              </w:rPr>
              <w:t>（需提供全国认证认可信息公共服务平台http://cx.cnca.cn/CertECloud/result/skipResultList）查询结果截图作为证明材料，未提供或证明材料不完善的不得分）。</w:t>
            </w:r>
          </w:p>
        </w:tc>
        <w:tc>
          <w:tcPr>
            <w:tcW w:w="513" w:type="dxa"/>
            <w:vAlign w:val="center"/>
          </w:tcPr>
          <w:p w14:paraId="024AF9D6">
            <w:pPr>
              <w:snapToGrid w:val="0"/>
              <w:spacing w:line="360" w:lineRule="auto"/>
              <w:jc w:val="center"/>
              <w:rPr>
                <w:rFonts w:hint="eastAsia" w:ascii="宋体" w:hAnsi="宋体" w:eastAsia="宋体" w:cs="宋体"/>
                <w:iCs/>
                <w:color w:val="auto"/>
                <w:sz w:val="24"/>
                <w:szCs w:val="24"/>
                <w:highlight w:val="none"/>
                <w:lang w:val="en-US" w:eastAsia="zh-CN"/>
              </w:rPr>
            </w:pPr>
            <w:r>
              <w:rPr>
                <w:rFonts w:hint="eastAsia" w:ascii="宋体" w:hAnsi="宋体" w:cs="宋体"/>
                <w:iCs/>
                <w:color w:val="auto"/>
                <w:sz w:val="24"/>
                <w:szCs w:val="24"/>
                <w:highlight w:val="none"/>
                <w:lang w:val="en-US" w:eastAsia="zh-CN"/>
              </w:rPr>
              <w:t>3</w:t>
            </w:r>
          </w:p>
        </w:tc>
        <w:tc>
          <w:tcPr>
            <w:tcW w:w="779" w:type="dxa"/>
            <w:vAlign w:val="center"/>
          </w:tcPr>
          <w:p w14:paraId="591C1504">
            <w:pPr>
              <w:snapToGrid w:val="0"/>
              <w:spacing w:line="360" w:lineRule="auto"/>
              <w:jc w:val="center"/>
              <w:rPr>
                <w:rFonts w:hint="eastAsia" w:ascii="宋体" w:hAnsi="宋体" w:eastAsia="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客观分</w:t>
            </w:r>
          </w:p>
        </w:tc>
      </w:tr>
      <w:tr w14:paraId="5911C2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6" w:type="dxa"/>
            <w:vAlign w:val="center"/>
          </w:tcPr>
          <w:p w14:paraId="4A4CE35E">
            <w:pPr>
              <w:snapToGrid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2</w:t>
            </w:r>
          </w:p>
        </w:tc>
        <w:tc>
          <w:tcPr>
            <w:tcW w:w="6696" w:type="dxa"/>
          </w:tcPr>
          <w:p w14:paraId="28AB638A">
            <w:pPr>
              <w:widowControl/>
              <w:spacing w:line="360" w:lineRule="auto"/>
              <w:textAlignment w:val="top"/>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自</w:t>
            </w:r>
            <w:r>
              <w:rPr>
                <w:rFonts w:hint="eastAsia" w:ascii="宋体" w:hAnsi="宋体" w:cs="宋体"/>
                <w:color w:val="auto"/>
                <w:kern w:val="0"/>
                <w:sz w:val="24"/>
                <w:szCs w:val="24"/>
                <w:highlight w:val="none"/>
                <w:lang w:eastAsia="zh-CN" w:bidi="ar"/>
              </w:rPr>
              <w:t>2022年1月1日</w:t>
            </w:r>
            <w:r>
              <w:rPr>
                <w:rFonts w:hint="eastAsia" w:ascii="宋体" w:hAnsi="宋体" w:eastAsia="宋体" w:cs="宋体"/>
                <w:color w:val="auto"/>
                <w:kern w:val="0"/>
                <w:sz w:val="24"/>
                <w:szCs w:val="24"/>
                <w:highlight w:val="none"/>
                <w:lang w:bidi="ar"/>
              </w:rPr>
              <w:t>以来（以合同签订</w:t>
            </w:r>
            <w:r>
              <w:rPr>
                <w:rFonts w:hint="eastAsia" w:ascii="宋体" w:hAnsi="宋体" w:eastAsia="宋体" w:cs="宋体"/>
                <w:bCs/>
                <w:color w:val="auto"/>
                <w:sz w:val="24"/>
                <w:szCs w:val="24"/>
                <w:highlight w:val="none"/>
                <w:lang w:bidi="ar"/>
              </w:rPr>
              <w:t>的最晚落款时间为准</w:t>
            </w:r>
            <w:r>
              <w:rPr>
                <w:rFonts w:hint="eastAsia" w:ascii="宋体" w:hAnsi="宋体" w:eastAsia="宋体" w:cs="宋体"/>
                <w:color w:val="auto"/>
                <w:kern w:val="0"/>
                <w:sz w:val="24"/>
                <w:szCs w:val="24"/>
                <w:highlight w:val="none"/>
                <w:lang w:bidi="ar"/>
              </w:rPr>
              <w:t>），投标人</w:t>
            </w:r>
            <w:r>
              <w:rPr>
                <w:rFonts w:hint="eastAsia" w:ascii="宋体" w:hAnsi="宋体" w:cs="宋体"/>
                <w:color w:val="auto"/>
                <w:kern w:val="0"/>
                <w:sz w:val="24"/>
                <w:szCs w:val="24"/>
                <w:highlight w:val="none"/>
                <w:lang w:val="en-US" w:eastAsia="zh-CN" w:bidi="ar"/>
              </w:rPr>
              <w:t>具有</w:t>
            </w:r>
            <w:r>
              <w:rPr>
                <w:rFonts w:hint="eastAsia" w:ascii="宋体" w:hAnsi="宋体" w:eastAsia="宋体" w:cs="宋体"/>
                <w:color w:val="auto"/>
                <w:kern w:val="0"/>
                <w:sz w:val="24"/>
                <w:szCs w:val="24"/>
                <w:highlight w:val="none"/>
                <w:lang w:bidi="ar"/>
              </w:rPr>
              <w:t>相关类似电子政务业绩</w:t>
            </w:r>
            <w:r>
              <w:rPr>
                <w:rFonts w:hint="eastAsia" w:ascii="宋体" w:hAnsi="宋体" w:eastAsia="宋体" w:cs="宋体"/>
                <w:color w:val="auto"/>
                <w:kern w:val="0"/>
                <w:sz w:val="24"/>
                <w:szCs w:val="24"/>
                <w:highlight w:val="none"/>
                <w:lang w:bidi="ar"/>
              </w:rPr>
              <w:t>的，每提供一个业绩得0.5分，最</w:t>
            </w:r>
            <w:r>
              <w:rPr>
                <w:rFonts w:hint="eastAsia" w:ascii="宋体" w:hAnsi="宋体" w:cs="宋体"/>
                <w:color w:val="auto"/>
                <w:kern w:val="0"/>
                <w:sz w:val="24"/>
                <w:szCs w:val="24"/>
                <w:highlight w:val="none"/>
                <w:lang w:val="en-US" w:eastAsia="zh-CN" w:bidi="ar"/>
              </w:rPr>
              <w:t>高</w:t>
            </w:r>
            <w:r>
              <w:rPr>
                <w:rFonts w:hint="eastAsia" w:ascii="宋体" w:hAnsi="宋体" w:eastAsia="宋体" w:cs="宋体"/>
                <w:color w:val="auto"/>
                <w:kern w:val="0"/>
                <w:sz w:val="24"/>
                <w:szCs w:val="24"/>
                <w:highlight w:val="none"/>
                <w:lang w:bidi="ar"/>
              </w:rPr>
              <w:t>得1分</w:t>
            </w:r>
            <w:r>
              <w:rPr>
                <w:rFonts w:hint="eastAsia" w:ascii="宋体" w:hAnsi="宋体" w:eastAsia="宋体" w:cs="宋体"/>
                <w:bCs/>
                <w:color w:val="auto"/>
                <w:sz w:val="24"/>
                <w:szCs w:val="24"/>
                <w:highlight w:val="none"/>
                <w:lang w:bidi="ar"/>
              </w:rPr>
              <w:t>；须提供合同复印件等证明材料，</w:t>
            </w:r>
            <w:r>
              <w:rPr>
                <w:rFonts w:hint="eastAsia" w:ascii="宋体" w:hAnsi="宋体" w:eastAsia="宋体" w:cs="宋体"/>
                <w:color w:val="auto"/>
                <w:kern w:val="0"/>
                <w:sz w:val="24"/>
                <w:szCs w:val="24"/>
                <w:highlight w:val="none"/>
              </w:rPr>
              <w:t>提供的证明材料须能体现相关评审因素，不提供或无法提供有效证明材料的不得分</w:t>
            </w:r>
            <w:r>
              <w:rPr>
                <w:rFonts w:hint="eastAsia" w:ascii="宋体" w:hAnsi="宋体" w:eastAsia="宋体" w:cs="宋体"/>
                <w:bCs/>
                <w:color w:val="auto"/>
                <w:sz w:val="24"/>
                <w:szCs w:val="24"/>
                <w:highlight w:val="none"/>
                <w:lang w:bidi="ar"/>
              </w:rPr>
              <w:t>。</w:t>
            </w:r>
          </w:p>
        </w:tc>
        <w:tc>
          <w:tcPr>
            <w:tcW w:w="513" w:type="dxa"/>
            <w:shd w:val="clear" w:color="auto" w:fill="auto"/>
            <w:vAlign w:val="center"/>
          </w:tcPr>
          <w:p w14:paraId="0B48313E">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1</w:t>
            </w:r>
          </w:p>
        </w:tc>
        <w:tc>
          <w:tcPr>
            <w:tcW w:w="779" w:type="dxa"/>
            <w:vAlign w:val="center"/>
          </w:tcPr>
          <w:p w14:paraId="5F45030F">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客观分</w:t>
            </w:r>
          </w:p>
        </w:tc>
      </w:tr>
      <w:tr w14:paraId="265993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36" w:type="dxa"/>
            <w:vAlign w:val="center"/>
          </w:tcPr>
          <w:p w14:paraId="43380A68">
            <w:pPr>
              <w:snapToGrid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3</w:t>
            </w:r>
          </w:p>
        </w:tc>
        <w:tc>
          <w:tcPr>
            <w:tcW w:w="6696" w:type="dxa"/>
            <w:vAlign w:val="center"/>
          </w:tcPr>
          <w:p w14:paraId="29033753">
            <w:pPr>
              <w:widowControl/>
              <w:spacing w:line="360" w:lineRule="auto"/>
              <w:textAlignment w:val="top"/>
              <w:rPr>
                <w:rFonts w:hint="eastAsia" w:ascii="宋体" w:hAnsi="宋体" w:eastAsia="宋体" w:cs="宋体"/>
                <w:color w:val="auto"/>
                <w:sz w:val="24"/>
                <w:szCs w:val="24"/>
                <w:highlight w:val="none"/>
              </w:rPr>
            </w:pPr>
            <w:r>
              <w:rPr>
                <w:rStyle w:val="375"/>
                <w:rFonts w:hint="eastAsia" w:ascii="宋体" w:hAnsi="宋体" w:eastAsia="宋体" w:cs="宋体"/>
                <w:color w:val="auto"/>
                <w:sz w:val="24"/>
                <w:szCs w:val="24"/>
                <w:highlight w:val="none"/>
                <w:lang w:bidi="ar"/>
              </w:rPr>
              <w:t>根据投标人提供的重要难点的分析及对应措施内容进行评分。（分值：</w:t>
            </w:r>
            <w:r>
              <w:rPr>
                <w:rStyle w:val="375"/>
                <w:rFonts w:hint="eastAsia" w:ascii="宋体" w:hAnsi="宋体" w:cs="宋体"/>
                <w:color w:val="auto"/>
                <w:sz w:val="24"/>
                <w:szCs w:val="24"/>
                <w:highlight w:val="none"/>
                <w:lang w:val="en-US" w:eastAsia="zh-CN" w:bidi="ar"/>
              </w:rPr>
              <w:t>4，</w:t>
            </w:r>
            <w:r>
              <w:rPr>
                <w:rFonts w:hint="eastAsia" w:ascii="宋体" w:hAnsi="宋体" w:cs="宋体"/>
                <w:color w:val="auto"/>
                <w:kern w:val="0"/>
                <w:sz w:val="24"/>
                <w:szCs w:val="24"/>
                <w:highlight w:val="none"/>
                <w:lang w:val="en-US" w:eastAsia="zh-CN" w:bidi="ar"/>
              </w:rPr>
              <w:t>3</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2</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1</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0</w:t>
            </w:r>
            <w:r>
              <w:rPr>
                <w:rStyle w:val="375"/>
                <w:rFonts w:hint="eastAsia" w:ascii="宋体" w:hAnsi="宋体" w:eastAsia="宋体" w:cs="宋体"/>
                <w:color w:val="auto"/>
                <w:sz w:val="24"/>
                <w:szCs w:val="24"/>
                <w:highlight w:val="none"/>
                <w:lang w:bidi="ar"/>
              </w:rPr>
              <w:t>）</w:t>
            </w:r>
          </w:p>
        </w:tc>
        <w:tc>
          <w:tcPr>
            <w:tcW w:w="513" w:type="dxa"/>
            <w:shd w:val="clear" w:color="auto" w:fill="auto"/>
            <w:vAlign w:val="center"/>
          </w:tcPr>
          <w:p w14:paraId="2FF2BB63">
            <w:pPr>
              <w:widowControl/>
              <w:spacing w:line="360" w:lineRule="auto"/>
              <w:jc w:val="center"/>
              <w:textAlignment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4</w:t>
            </w:r>
          </w:p>
        </w:tc>
        <w:tc>
          <w:tcPr>
            <w:tcW w:w="779" w:type="dxa"/>
            <w:vAlign w:val="center"/>
          </w:tcPr>
          <w:p w14:paraId="4C226906">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主观分</w:t>
            </w:r>
          </w:p>
        </w:tc>
      </w:tr>
      <w:tr w14:paraId="120C3E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6" w:type="dxa"/>
            <w:vAlign w:val="center"/>
          </w:tcPr>
          <w:p w14:paraId="22AF08BF">
            <w:pPr>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4</w:t>
            </w:r>
          </w:p>
        </w:tc>
        <w:tc>
          <w:tcPr>
            <w:tcW w:w="6696" w:type="dxa"/>
            <w:vAlign w:val="center"/>
          </w:tcPr>
          <w:p w14:paraId="3D92330D">
            <w:pPr>
              <w:widowControl/>
              <w:spacing w:line="360" w:lineRule="auto"/>
              <w:textAlignment w:val="top"/>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根据投标人提供的项目整体建设方案（包括系统功能架构、技术方案）与采购需求中相应要求匹配情况进行评分。</w:t>
            </w:r>
            <w:r>
              <w:rPr>
                <w:rStyle w:val="375"/>
                <w:rFonts w:hint="eastAsia" w:ascii="宋体" w:hAnsi="宋体" w:eastAsia="宋体" w:cs="宋体"/>
                <w:color w:val="auto"/>
                <w:sz w:val="24"/>
                <w:szCs w:val="24"/>
                <w:highlight w:val="none"/>
                <w:lang w:bidi="ar"/>
              </w:rPr>
              <w:t>（分值：</w:t>
            </w:r>
            <w:r>
              <w:rPr>
                <w:rStyle w:val="375"/>
                <w:rFonts w:hint="eastAsia" w:ascii="宋体" w:hAnsi="宋体" w:cs="宋体"/>
                <w:color w:val="auto"/>
                <w:sz w:val="24"/>
                <w:szCs w:val="24"/>
                <w:highlight w:val="none"/>
                <w:lang w:val="en-US" w:eastAsia="zh-CN" w:bidi="ar"/>
              </w:rPr>
              <w:t>5，</w:t>
            </w:r>
            <w:r>
              <w:rPr>
                <w:rStyle w:val="375"/>
                <w:rFonts w:hint="eastAsia" w:ascii="宋体" w:hAnsi="宋体" w:eastAsia="宋体" w:cs="宋体"/>
                <w:color w:val="auto"/>
                <w:sz w:val="24"/>
                <w:szCs w:val="24"/>
                <w:highlight w:val="none"/>
                <w:lang w:bidi="ar"/>
              </w:rPr>
              <w:t>4，3，2，1，0）</w:t>
            </w:r>
          </w:p>
        </w:tc>
        <w:tc>
          <w:tcPr>
            <w:tcW w:w="513" w:type="dxa"/>
            <w:shd w:val="clear" w:color="auto" w:fill="auto"/>
            <w:vAlign w:val="center"/>
          </w:tcPr>
          <w:p w14:paraId="4E4F5179">
            <w:pPr>
              <w:widowControl/>
              <w:spacing w:line="360" w:lineRule="auto"/>
              <w:jc w:val="center"/>
              <w:textAlignment w:val="center"/>
              <w:rPr>
                <w:rFonts w:hint="eastAsia" w:ascii="宋体" w:hAnsi="宋体" w:eastAsia="宋体" w:cs="宋体"/>
                <w:color w:val="auto"/>
                <w:kern w:val="0"/>
                <w:sz w:val="24"/>
                <w:szCs w:val="24"/>
                <w:highlight w:val="none"/>
                <w:lang w:eastAsia="zh-CN" w:bidi="ar"/>
              </w:rPr>
            </w:pPr>
            <w:r>
              <w:rPr>
                <w:rFonts w:hint="eastAsia" w:ascii="宋体" w:hAnsi="宋体" w:cs="宋体"/>
                <w:color w:val="auto"/>
                <w:kern w:val="0"/>
                <w:sz w:val="24"/>
                <w:szCs w:val="24"/>
                <w:highlight w:val="none"/>
                <w:lang w:val="en-US" w:eastAsia="zh-CN" w:bidi="ar"/>
              </w:rPr>
              <w:t>5</w:t>
            </w:r>
          </w:p>
        </w:tc>
        <w:tc>
          <w:tcPr>
            <w:tcW w:w="779" w:type="dxa"/>
            <w:vAlign w:val="center"/>
          </w:tcPr>
          <w:p w14:paraId="33645295">
            <w:pPr>
              <w:snapToGrid w:val="0"/>
              <w:spacing w:line="360" w:lineRule="auto"/>
              <w:jc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主观分</w:t>
            </w:r>
          </w:p>
        </w:tc>
      </w:tr>
      <w:tr w14:paraId="174458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6" w:type="dxa"/>
            <w:vAlign w:val="center"/>
          </w:tcPr>
          <w:p w14:paraId="48E7B75A">
            <w:pPr>
              <w:widowControl/>
              <w:spacing w:line="360" w:lineRule="auto"/>
              <w:jc w:val="center"/>
              <w:textAlignment w:val="top"/>
              <w:rPr>
                <w:rFonts w:hint="eastAsia" w:ascii="宋体" w:hAnsi="宋体" w:eastAsia="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5</w:t>
            </w:r>
          </w:p>
        </w:tc>
        <w:tc>
          <w:tcPr>
            <w:tcW w:w="6696" w:type="dxa"/>
          </w:tcPr>
          <w:p w14:paraId="5C479A84">
            <w:pPr>
              <w:widowControl/>
              <w:spacing w:line="360" w:lineRule="auto"/>
              <w:textAlignment w:val="top"/>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功能设计及实施方案</w:t>
            </w:r>
          </w:p>
        </w:tc>
        <w:tc>
          <w:tcPr>
            <w:tcW w:w="513" w:type="dxa"/>
            <w:shd w:val="clear" w:color="auto" w:fill="auto"/>
            <w:vAlign w:val="center"/>
          </w:tcPr>
          <w:p w14:paraId="063949FA">
            <w:pPr>
              <w:widowControl/>
              <w:spacing w:line="36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w:t>
            </w:r>
          </w:p>
        </w:tc>
        <w:tc>
          <w:tcPr>
            <w:tcW w:w="779" w:type="dxa"/>
            <w:vAlign w:val="center"/>
          </w:tcPr>
          <w:p w14:paraId="001ED238">
            <w:pPr>
              <w:snapToGrid w:val="0"/>
              <w:spacing w:line="360" w:lineRule="auto"/>
              <w:jc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w:t>
            </w:r>
          </w:p>
        </w:tc>
      </w:tr>
      <w:tr w14:paraId="005202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6" w:type="dxa"/>
            <w:vAlign w:val="center"/>
          </w:tcPr>
          <w:p w14:paraId="4EF2C8D5">
            <w:pPr>
              <w:widowControl/>
              <w:spacing w:line="360" w:lineRule="auto"/>
              <w:jc w:val="center"/>
              <w:textAlignment w:val="top"/>
              <w:rPr>
                <w:rFonts w:hint="default" w:ascii="宋体" w:hAnsi="宋体" w:eastAsia="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5.1</w:t>
            </w:r>
          </w:p>
        </w:tc>
        <w:tc>
          <w:tcPr>
            <w:tcW w:w="6696" w:type="dxa"/>
          </w:tcPr>
          <w:p w14:paraId="2DEB2497">
            <w:pPr>
              <w:widowControl/>
              <w:spacing w:line="360" w:lineRule="auto"/>
              <w:textAlignment w:val="top"/>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投标人根据采购需求，需提供针对本项目的“法律依据加工管理”模块</w:t>
            </w:r>
            <w:r>
              <w:rPr>
                <w:rFonts w:hint="eastAsia" w:ascii="宋体" w:hAnsi="宋体" w:eastAsia="宋体" w:cs="宋体"/>
                <w:color w:val="auto"/>
                <w:sz w:val="24"/>
                <w:szCs w:val="24"/>
                <w:highlight w:val="none"/>
              </w:rPr>
              <w:t>（已作为演示项的内容除外）</w:t>
            </w:r>
            <w:r>
              <w:rPr>
                <w:rFonts w:hint="eastAsia" w:ascii="宋体" w:hAnsi="宋体" w:eastAsia="宋体" w:cs="宋体"/>
                <w:color w:val="auto"/>
                <w:kern w:val="0"/>
                <w:sz w:val="24"/>
                <w:szCs w:val="24"/>
                <w:highlight w:val="none"/>
                <w:lang w:bidi="ar"/>
              </w:rPr>
              <w:t>的功能设计及实施方案，评标委员会根据响应方案的业务要素、数据要素、功能界面、功能说明等内容进行评分。</w:t>
            </w:r>
            <w:r>
              <w:rPr>
                <w:rStyle w:val="375"/>
                <w:rFonts w:hint="eastAsia" w:ascii="宋体" w:hAnsi="宋体" w:eastAsia="宋体" w:cs="宋体"/>
                <w:color w:val="auto"/>
                <w:sz w:val="24"/>
                <w:szCs w:val="24"/>
                <w:highlight w:val="none"/>
                <w:lang w:bidi="ar"/>
              </w:rPr>
              <w:t>（分值：4，3，2，1，0）</w:t>
            </w:r>
          </w:p>
        </w:tc>
        <w:tc>
          <w:tcPr>
            <w:tcW w:w="513" w:type="dxa"/>
            <w:shd w:val="clear" w:color="auto" w:fill="auto"/>
            <w:vAlign w:val="center"/>
          </w:tcPr>
          <w:p w14:paraId="0E3646A9">
            <w:pPr>
              <w:widowControl/>
              <w:spacing w:line="360" w:lineRule="auto"/>
              <w:jc w:val="center"/>
              <w:textAlignment w:val="center"/>
              <w:rPr>
                <w:rFonts w:hint="eastAsia" w:ascii="宋体" w:hAnsi="宋体" w:eastAsia="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4</w:t>
            </w:r>
          </w:p>
        </w:tc>
        <w:tc>
          <w:tcPr>
            <w:tcW w:w="779" w:type="dxa"/>
            <w:vAlign w:val="center"/>
          </w:tcPr>
          <w:p w14:paraId="66232257">
            <w:pPr>
              <w:snapToGrid w:val="0"/>
              <w:spacing w:line="360" w:lineRule="auto"/>
              <w:jc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主观分</w:t>
            </w:r>
          </w:p>
        </w:tc>
      </w:tr>
      <w:tr w14:paraId="7D9701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6" w:type="dxa"/>
            <w:vAlign w:val="center"/>
          </w:tcPr>
          <w:p w14:paraId="71A69557">
            <w:pPr>
              <w:widowControl/>
              <w:spacing w:line="360" w:lineRule="auto"/>
              <w:jc w:val="center"/>
              <w:textAlignment w:val="top"/>
              <w:rPr>
                <w:rFonts w:hint="eastAsia" w:ascii="宋体" w:hAnsi="宋体" w:eastAsia="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5</w:t>
            </w:r>
            <w:r>
              <w:rPr>
                <w:rFonts w:hint="eastAsia" w:ascii="宋体" w:hAnsi="宋体" w:eastAsia="宋体" w:cs="宋体"/>
                <w:color w:val="auto"/>
                <w:kern w:val="0"/>
                <w:sz w:val="24"/>
                <w:szCs w:val="24"/>
                <w:highlight w:val="none"/>
                <w:lang w:bidi="ar"/>
              </w:rPr>
              <w:t>.</w:t>
            </w:r>
            <w:r>
              <w:rPr>
                <w:rFonts w:hint="eastAsia" w:ascii="宋体" w:hAnsi="宋体" w:cs="宋体"/>
                <w:color w:val="auto"/>
                <w:kern w:val="0"/>
                <w:sz w:val="24"/>
                <w:szCs w:val="24"/>
                <w:highlight w:val="none"/>
                <w:lang w:val="en-US" w:eastAsia="zh-CN" w:bidi="ar"/>
              </w:rPr>
              <w:t>2</w:t>
            </w:r>
          </w:p>
        </w:tc>
        <w:tc>
          <w:tcPr>
            <w:tcW w:w="6696" w:type="dxa"/>
          </w:tcPr>
          <w:p w14:paraId="169C0741">
            <w:pPr>
              <w:widowControl/>
              <w:spacing w:line="360" w:lineRule="auto"/>
              <w:textAlignment w:val="top"/>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投标人根据采购需求，需提供针对本项目的“法律依据入库管理</w:t>
            </w:r>
            <w:r>
              <w:rPr>
                <w:rFonts w:hint="eastAsia" w:ascii="宋体" w:hAnsi="宋体" w:cs="宋体"/>
                <w:color w:val="auto"/>
                <w:kern w:val="0"/>
                <w:sz w:val="24"/>
                <w:szCs w:val="24"/>
                <w:highlight w:val="none"/>
                <w:lang w:eastAsia="zh-CN" w:bidi="ar"/>
              </w:rPr>
              <w:t>、</w:t>
            </w:r>
            <w:r>
              <w:rPr>
                <w:rFonts w:hint="eastAsia" w:ascii="宋体" w:hAnsi="宋体" w:eastAsia="宋体" w:cs="宋体"/>
                <w:color w:val="auto"/>
                <w:kern w:val="0"/>
                <w:sz w:val="24"/>
                <w:szCs w:val="24"/>
                <w:highlight w:val="none"/>
                <w:lang w:bidi="ar"/>
              </w:rPr>
              <w:t>依据数据运营门户”模块</w:t>
            </w:r>
            <w:r>
              <w:rPr>
                <w:rFonts w:hint="eastAsia" w:ascii="宋体" w:hAnsi="宋体" w:eastAsia="宋体" w:cs="宋体"/>
                <w:color w:val="auto"/>
                <w:sz w:val="24"/>
                <w:szCs w:val="24"/>
                <w:highlight w:val="none"/>
              </w:rPr>
              <w:t>（已作为演示项的内容除外）</w:t>
            </w:r>
            <w:r>
              <w:rPr>
                <w:rFonts w:hint="eastAsia" w:ascii="宋体" w:hAnsi="宋体" w:eastAsia="宋体" w:cs="宋体"/>
                <w:color w:val="auto"/>
                <w:kern w:val="0"/>
                <w:sz w:val="24"/>
                <w:szCs w:val="24"/>
                <w:highlight w:val="none"/>
                <w:lang w:bidi="ar"/>
              </w:rPr>
              <w:t>的功能设计及实施方案，评标委员会根据响应方案的业务要素、数据要素、功能界面、功能说明等内容进行评分。</w:t>
            </w:r>
            <w:r>
              <w:rPr>
                <w:rStyle w:val="375"/>
                <w:rFonts w:hint="eastAsia" w:ascii="宋体" w:hAnsi="宋体" w:eastAsia="宋体" w:cs="宋体"/>
                <w:color w:val="auto"/>
                <w:sz w:val="24"/>
                <w:szCs w:val="24"/>
                <w:highlight w:val="none"/>
                <w:lang w:bidi="ar"/>
              </w:rPr>
              <w:t>（分值：</w:t>
            </w:r>
            <w:r>
              <w:rPr>
                <w:rStyle w:val="375"/>
                <w:rFonts w:hint="eastAsia" w:ascii="宋体" w:hAnsi="宋体" w:cs="宋体"/>
                <w:color w:val="auto"/>
                <w:sz w:val="24"/>
                <w:szCs w:val="24"/>
                <w:highlight w:val="none"/>
                <w:lang w:val="en-US" w:eastAsia="zh-CN" w:bidi="ar"/>
              </w:rPr>
              <w:t>4，</w:t>
            </w:r>
            <w:r>
              <w:rPr>
                <w:rStyle w:val="375"/>
                <w:rFonts w:hint="eastAsia" w:ascii="宋体" w:hAnsi="宋体" w:eastAsia="宋体" w:cs="宋体"/>
                <w:color w:val="auto"/>
                <w:sz w:val="24"/>
                <w:szCs w:val="24"/>
                <w:highlight w:val="none"/>
                <w:lang w:bidi="ar"/>
              </w:rPr>
              <w:t>3，2，1，0）</w:t>
            </w:r>
          </w:p>
        </w:tc>
        <w:tc>
          <w:tcPr>
            <w:tcW w:w="513" w:type="dxa"/>
            <w:shd w:val="clear" w:color="auto" w:fill="auto"/>
            <w:vAlign w:val="center"/>
          </w:tcPr>
          <w:p w14:paraId="18DD3B15">
            <w:pPr>
              <w:widowControl/>
              <w:spacing w:line="360" w:lineRule="auto"/>
              <w:jc w:val="center"/>
              <w:textAlignment w:val="top"/>
              <w:rPr>
                <w:rFonts w:hint="eastAsia" w:ascii="宋体" w:hAnsi="宋体" w:eastAsia="宋体" w:cs="宋体"/>
                <w:color w:val="auto"/>
                <w:kern w:val="0"/>
                <w:sz w:val="24"/>
                <w:szCs w:val="24"/>
                <w:highlight w:val="none"/>
                <w:lang w:eastAsia="zh-CN" w:bidi="ar"/>
              </w:rPr>
            </w:pPr>
            <w:r>
              <w:rPr>
                <w:rFonts w:hint="eastAsia" w:ascii="宋体" w:hAnsi="宋体" w:cs="宋体"/>
                <w:color w:val="auto"/>
                <w:kern w:val="0"/>
                <w:sz w:val="24"/>
                <w:szCs w:val="24"/>
                <w:highlight w:val="none"/>
                <w:lang w:val="en-US" w:eastAsia="zh-CN" w:bidi="ar"/>
              </w:rPr>
              <w:t>4</w:t>
            </w:r>
          </w:p>
        </w:tc>
        <w:tc>
          <w:tcPr>
            <w:tcW w:w="779" w:type="dxa"/>
            <w:vAlign w:val="center"/>
          </w:tcPr>
          <w:p w14:paraId="55EC62E1">
            <w:pPr>
              <w:snapToGrid w:val="0"/>
              <w:spacing w:line="360" w:lineRule="auto"/>
              <w:jc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主观分</w:t>
            </w:r>
          </w:p>
        </w:tc>
      </w:tr>
      <w:tr w14:paraId="0445D4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6" w:type="dxa"/>
            <w:vAlign w:val="center"/>
          </w:tcPr>
          <w:p w14:paraId="7FE0A505">
            <w:pPr>
              <w:widowControl/>
              <w:spacing w:line="360" w:lineRule="auto"/>
              <w:jc w:val="center"/>
              <w:textAlignment w:val="top"/>
              <w:rPr>
                <w:rFonts w:hint="default" w:ascii="宋体" w:hAnsi="宋体" w:eastAsia="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5.3</w:t>
            </w:r>
          </w:p>
        </w:tc>
        <w:tc>
          <w:tcPr>
            <w:tcW w:w="6696" w:type="dxa"/>
          </w:tcPr>
          <w:p w14:paraId="175C8AEB">
            <w:pPr>
              <w:widowControl/>
              <w:spacing w:line="360" w:lineRule="auto"/>
              <w:textAlignment w:val="top"/>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投标人根据采购需求，需提供针对本项目的“规范性文件库完善”模块</w:t>
            </w:r>
            <w:r>
              <w:rPr>
                <w:rFonts w:hint="eastAsia" w:ascii="宋体" w:hAnsi="宋体" w:eastAsia="宋体" w:cs="宋体"/>
                <w:color w:val="auto"/>
                <w:sz w:val="24"/>
                <w:szCs w:val="24"/>
                <w:highlight w:val="none"/>
              </w:rPr>
              <w:t>（已作为演示项的内容除外）</w:t>
            </w:r>
            <w:r>
              <w:rPr>
                <w:rFonts w:hint="eastAsia" w:ascii="宋体" w:hAnsi="宋体" w:eastAsia="宋体" w:cs="宋体"/>
                <w:color w:val="auto"/>
                <w:kern w:val="0"/>
                <w:sz w:val="24"/>
                <w:szCs w:val="24"/>
                <w:highlight w:val="none"/>
                <w:lang w:bidi="ar"/>
              </w:rPr>
              <w:t>的功能设计及实施方案，评标委员会根据响应方案的业务要素、数据要素、功能界面、功能说明等内容进行评分。</w:t>
            </w:r>
            <w:r>
              <w:rPr>
                <w:rStyle w:val="375"/>
                <w:rFonts w:hint="eastAsia" w:ascii="宋体" w:hAnsi="宋体" w:eastAsia="宋体" w:cs="宋体"/>
                <w:color w:val="auto"/>
                <w:sz w:val="24"/>
                <w:szCs w:val="24"/>
                <w:highlight w:val="none"/>
                <w:lang w:bidi="ar"/>
              </w:rPr>
              <w:t>（分值：4，3，2，1，0）</w:t>
            </w:r>
          </w:p>
        </w:tc>
        <w:tc>
          <w:tcPr>
            <w:tcW w:w="513" w:type="dxa"/>
            <w:shd w:val="clear" w:color="auto" w:fill="auto"/>
            <w:vAlign w:val="center"/>
          </w:tcPr>
          <w:p w14:paraId="08BFDB7A">
            <w:pPr>
              <w:widowControl/>
              <w:spacing w:line="360" w:lineRule="auto"/>
              <w:jc w:val="center"/>
              <w:textAlignment w:val="top"/>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4</w:t>
            </w:r>
          </w:p>
        </w:tc>
        <w:tc>
          <w:tcPr>
            <w:tcW w:w="779" w:type="dxa"/>
            <w:vAlign w:val="center"/>
          </w:tcPr>
          <w:p w14:paraId="57EFEA12">
            <w:pPr>
              <w:snapToGrid w:val="0"/>
              <w:spacing w:line="360" w:lineRule="auto"/>
              <w:jc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主观分</w:t>
            </w:r>
          </w:p>
        </w:tc>
      </w:tr>
      <w:tr w14:paraId="397006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6" w:type="dxa"/>
            <w:vAlign w:val="center"/>
          </w:tcPr>
          <w:p w14:paraId="12E257A6">
            <w:pPr>
              <w:widowControl/>
              <w:spacing w:line="360" w:lineRule="auto"/>
              <w:jc w:val="center"/>
              <w:textAlignment w:val="top"/>
              <w:rPr>
                <w:rFonts w:hint="default" w:ascii="宋体" w:hAnsi="宋体" w:eastAsia="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5.4</w:t>
            </w:r>
          </w:p>
        </w:tc>
        <w:tc>
          <w:tcPr>
            <w:tcW w:w="6696" w:type="dxa"/>
          </w:tcPr>
          <w:p w14:paraId="7CB8095E">
            <w:pPr>
              <w:widowControl/>
              <w:spacing w:line="360" w:lineRule="auto"/>
              <w:textAlignment w:val="top"/>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投标人根据采购需求，需提供针对本项目的“法治知识服务（法治数据中心优化）”模块</w:t>
            </w:r>
            <w:r>
              <w:rPr>
                <w:rFonts w:hint="eastAsia" w:ascii="宋体" w:hAnsi="宋体" w:eastAsia="宋体" w:cs="宋体"/>
                <w:color w:val="auto"/>
                <w:sz w:val="24"/>
                <w:szCs w:val="24"/>
                <w:highlight w:val="none"/>
              </w:rPr>
              <w:t>（已作为演示项的内容除外）</w:t>
            </w:r>
            <w:r>
              <w:rPr>
                <w:rFonts w:hint="eastAsia" w:ascii="宋体" w:hAnsi="宋体" w:eastAsia="宋体" w:cs="宋体"/>
                <w:color w:val="auto"/>
                <w:kern w:val="0"/>
                <w:sz w:val="24"/>
                <w:szCs w:val="24"/>
                <w:highlight w:val="none"/>
                <w:lang w:bidi="ar"/>
              </w:rPr>
              <w:t>的功能设计及实施方案，评标委员会根据响应方案的业务要素、数据要素、功能界面、功能说明等内容进行评分。</w:t>
            </w:r>
            <w:r>
              <w:rPr>
                <w:rStyle w:val="375"/>
                <w:rFonts w:hint="eastAsia" w:ascii="宋体" w:hAnsi="宋体" w:eastAsia="宋体" w:cs="宋体"/>
                <w:color w:val="auto"/>
                <w:sz w:val="24"/>
                <w:szCs w:val="24"/>
                <w:highlight w:val="none"/>
                <w:lang w:bidi="ar"/>
              </w:rPr>
              <w:t>（分值：4，3，2，1，0）</w:t>
            </w:r>
          </w:p>
        </w:tc>
        <w:tc>
          <w:tcPr>
            <w:tcW w:w="513" w:type="dxa"/>
            <w:shd w:val="clear" w:color="auto" w:fill="auto"/>
            <w:vAlign w:val="center"/>
          </w:tcPr>
          <w:p w14:paraId="39A63491">
            <w:pPr>
              <w:widowControl/>
              <w:spacing w:line="360" w:lineRule="auto"/>
              <w:jc w:val="center"/>
              <w:textAlignment w:val="top"/>
              <w:rPr>
                <w:rFonts w:hint="eastAsia" w:ascii="宋体" w:hAnsi="宋体" w:eastAsia="宋体" w:cs="宋体"/>
                <w:color w:val="auto"/>
                <w:kern w:val="0"/>
                <w:sz w:val="24"/>
                <w:szCs w:val="24"/>
                <w:highlight w:val="none"/>
                <w:lang w:bidi="ar"/>
              </w:rPr>
            </w:pPr>
            <w:r>
              <w:rPr>
                <w:rFonts w:hint="eastAsia" w:ascii="宋体" w:hAnsi="宋体" w:cs="宋体"/>
                <w:color w:val="auto"/>
                <w:kern w:val="0"/>
                <w:sz w:val="24"/>
                <w:szCs w:val="24"/>
                <w:highlight w:val="none"/>
                <w:lang w:val="en-US" w:eastAsia="zh-CN" w:bidi="ar"/>
              </w:rPr>
              <w:t>4</w:t>
            </w:r>
          </w:p>
        </w:tc>
        <w:tc>
          <w:tcPr>
            <w:tcW w:w="779" w:type="dxa"/>
            <w:vAlign w:val="center"/>
          </w:tcPr>
          <w:p w14:paraId="545020E0">
            <w:pPr>
              <w:snapToGrid w:val="0"/>
              <w:spacing w:line="360" w:lineRule="auto"/>
              <w:jc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主观分</w:t>
            </w:r>
          </w:p>
        </w:tc>
      </w:tr>
      <w:tr w14:paraId="569CD1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6" w:type="dxa"/>
            <w:vAlign w:val="center"/>
          </w:tcPr>
          <w:p w14:paraId="1F46D450">
            <w:pPr>
              <w:widowControl/>
              <w:spacing w:line="360" w:lineRule="auto"/>
              <w:jc w:val="center"/>
              <w:textAlignment w:val="top"/>
              <w:rPr>
                <w:rFonts w:hint="default" w:ascii="宋体" w:hAnsi="宋体" w:eastAsia="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5.5</w:t>
            </w:r>
          </w:p>
        </w:tc>
        <w:tc>
          <w:tcPr>
            <w:tcW w:w="6696" w:type="dxa"/>
          </w:tcPr>
          <w:p w14:paraId="4D4BA7F0">
            <w:pPr>
              <w:widowControl/>
              <w:spacing w:line="360" w:lineRule="auto"/>
              <w:textAlignment w:val="top"/>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投标人根据采购需求，需提供针对本项目的“日志审计”模块</w:t>
            </w:r>
            <w:r>
              <w:rPr>
                <w:rFonts w:hint="eastAsia" w:ascii="宋体" w:hAnsi="宋体" w:eastAsia="宋体" w:cs="宋体"/>
                <w:color w:val="auto"/>
                <w:sz w:val="24"/>
                <w:szCs w:val="24"/>
                <w:highlight w:val="none"/>
              </w:rPr>
              <w:t>（已作为演示项的内容除外）</w:t>
            </w:r>
            <w:r>
              <w:rPr>
                <w:rFonts w:hint="eastAsia" w:ascii="宋体" w:hAnsi="宋体" w:eastAsia="宋体" w:cs="宋体"/>
                <w:color w:val="auto"/>
                <w:kern w:val="0"/>
                <w:sz w:val="24"/>
                <w:szCs w:val="24"/>
                <w:highlight w:val="none"/>
                <w:lang w:bidi="ar"/>
              </w:rPr>
              <w:t>的功能设计及实施方案，评标委员会根据响应方案的业务要素、数据要素、功能界面、功能说明等内容进行评分。</w:t>
            </w:r>
            <w:r>
              <w:rPr>
                <w:rStyle w:val="375"/>
                <w:rFonts w:hint="eastAsia" w:ascii="宋体" w:hAnsi="宋体" w:eastAsia="宋体" w:cs="宋体"/>
                <w:color w:val="auto"/>
                <w:sz w:val="24"/>
                <w:szCs w:val="24"/>
                <w:highlight w:val="none"/>
                <w:lang w:bidi="ar"/>
              </w:rPr>
              <w:t>（分值：4，3，2，1，0）</w:t>
            </w:r>
          </w:p>
        </w:tc>
        <w:tc>
          <w:tcPr>
            <w:tcW w:w="513" w:type="dxa"/>
            <w:shd w:val="clear" w:color="auto" w:fill="auto"/>
            <w:vAlign w:val="center"/>
          </w:tcPr>
          <w:p w14:paraId="76E3EB9B">
            <w:pPr>
              <w:widowControl/>
              <w:spacing w:line="360" w:lineRule="auto"/>
              <w:jc w:val="center"/>
              <w:textAlignment w:val="top"/>
              <w:rPr>
                <w:rFonts w:hint="eastAsia" w:ascii="宋体" w:hAnsi="宋体" w:eastAsia="宋体" w:cs="宋体"/>
                <w:color w:val="auto"/>
                <w:kern w:val="0"/>
                <w:sz w:val="24"/>
                <w:szCs w:val="24"/>
                <w:highlight w:val="none"/>
                <w:lang w:eastAsia="zh-CN" w:bidi="ar"/>
              </w:rPr>
            </w:pPr>
            <w:r>
              <w:rPr>
                <w:rFonts w:hint="eastAsia" w:ascii="宋体" w:hAnsi="宋体" w:cs="宋体"/>
                <w:color w:val="auto"/>
                <w:kern w:val="0"/>
                <w:sz w:val="24"/>
                <w:szCs w:val="24"/>
                <w:highlight w:val="none"/>
                <w:lang w:val="en-US" w:eastAsia="zh-CN" w:bidi="ar"/>
              </w:rPr>
              <w:t>4</w:t>
            </w:r>
          </w:p>
        </w:tc>
        <w:tc>
          <w:tcPr>
            <w:tcW w:w="779" w:type="dxa"/>
            <w:vAlign w:val="center"/>
          </w:tcPr>
          <w:p w14:paraId="67E7D17B">
            <w:pPr>
              <w:snapToGrid w:val="0"/>
              <w:spacing w:line="360" w:lineRule="auto"/>
              <w:jc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主观分</w:t>
            </w:r>
          </w:p>
        </w:tc>
      </w:tr>
      <w:tr w14:paraId="403F21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6" w:type="dxa"/>
            <w:vAlign w:val="center"/>
          </w:tcPr>
          <w:p w14:paraId="37F010C6">
            <w:pPr>
              <w:widowControl/>
              <w:spacing w:line="360" w:lineRule="auto"/>
              <w:jc w:val="center"/>
              <w:textAlignment w:val="top"/>
              <w:rPr>
                <w:rFonts w:hint="default" w:ascii="宋体" w:hAnsi="宋体" w:eastAsia="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5.6</w:t>
            </w:r>
          </w:p>
        </w:tc>
        <w:tc>
          <w:tcPr>
            <w:tcW w:w="6696" w:type="dxa"/>
          </w:tcPr>
          <w:p w14:paraId="55204D06">
            <w:pPr>
              <w:widowControl/>
              <w:spacing w:line="360" w:lineRule="auto"/>
              <w:textAlignment w:val="top"/>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投标人根据采购需求，需提供针对本项目的“司法厅数字架构接入”模块</w:t>
            </w:r>
            <w:r>
              <w:rPr>
                <w:rFonts w:hint="eastAsia" w:ascii="宋体" w:hAnsi="宋体" w:eastAsia="宋体" w:cs="宋体"/>
                <w:color w:val="auto"/>
                <w:sz w:val="24"/>
                <w:szCs w:val="24"/>
                <w:highlight w:val="none"/>
              </w:rPr>
              <w:t>（已作为演示项的内容除外）</w:t>
            </w:r>
            <w:r>
              <w:rPr>
                <w:rFonts w:hint="eastAsia" w:ascii="宋体" w:hAnsi="宋体" w:eastAsia="宋体" w:cs="宋体"/>
                <w:color w:val="auto"/>
                <w:kern w:val="0"/>
                <w:sz w:val="24"/>
                <w:szCs w:val="24"/>
                <w:highlight w:val="none"/>
                <w:lang w:bidi="ar"/>
              </w:rPr>
              <w:t>的功能设计及实施方案，评标委员会根据响应方案的业务要素、数据要素、功能界面、功能说明等内容进行评分。</w:t>
            </w:r>
            <w:r>
              <w:rPr>
                <w:rStyle w:val="375"/>
                <w:rFonts w:hint="eastAsia" w:ascii="宋体" w:hAnsi="宋体" w:eastAsia="宋体" w:cs="宋体"/>
                <w:color w:val="auto"/>
                <w:sz w:val="24"/>
                <w:szCs w:val="24"/>
                <w:highlight w:val="none"/>
                <w:lang w:bidi="ar"/>
              </w:rPr>
              <w:t>（分值：4，3，2，1，0）</w:t>
            </w:r>
          </w:p>
        </w:tc>
        <w:tc>
          <w:tcPr>
            <w:tcW w:w="513" w:type="dxa"/>
            <w:shd w:val="clear" w:color="auto" w:fill="auto"/>
            <w:vAlign w:val="center"/>
          </w:tcPr>
          <w:p w14:paraId="55E032EC">
            <w:pPr>
              <w:widowControl/>
              <w:spacing w:line="360" w:lineRule="auto"/>
              <w:jc w:val="center"/>
              <w:textAlignment w:val="top"/>
              <w:rPr>
                <w:rFonts w:hint="eastAsia" w:ascii="宋体" w:hAnsi="宋体" w:eastAsia="宋体" w:cs="宋体"/>
                <w:color w:val="auto"/>
                <w:kern w:val="0"/>
                <w:sz w:val="24"/>
                <w:szCs w:val="24"/>
                <w:highlight w:val="none"/>
                <w:lang w:eastAsia="zh-CN" w:bidi="ar"/>
              </w:rPr>
            </w:pPr>
            <w:r>
              <w:rPr>
                <w:rFonts w:hint="eastAsia" w:ascii="宋体" w:hAnsi="宋体" w:cs="宋体"/>
                <w:color w:val="auto"/>
                <w:kern w:val="0"/>
                <w:sz w:val="24"/>
                <w:szCs w:val="24"/>
                <w:highlight w:val="none"/>
                <w:lang w:val="en-US" w:eastAsia="zh-CN" w:bidi="ar"/>
              </w:rPr>
              <w:t>4</w:t>
            </w:r>
          </w:p>
        </w:tc>
        <w:tc>
          <w:tcPr>
            <w:tcW w:w="779" w:type="dxa"/>
            <w:vAlign w:val="center"/>
          </w:tcPr>
          <w:p w14:paraId="1200D1EC">
            <w:pPr>
              <w:snapToGrid w:val="0"/>
              <w:spacing w:line="360" w:lineRule="auto"/>
              <w:jc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主观分</w:t>
            </w:r>
          </w:p>
        </w:tc>
      </w:tr>
      <w:tr w14:paraId="693C72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6" w:type="dxa"/>
            <w:vAlign w:val="center"/>
          </w:tcPr>
          <w:p w14:paraId="6D0E14AB">
            <w:pPr>
              <w:widowControl/>
              <w:spacing w:line="360" w:lineRule="auto"/>
              <w:jc w:val="center"/>
              <w:textAlignment w:val="top"/>
              <w:rPr>
                <w:rFonts w:hint="default" w:ascii="宋体" w:hAnsi="宋体" w:eastAsia="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5.7</w:t>
            </w:r>
          </w:p>
        </w:tc>
        <w:tc>
          <w:tcPr>
            <w:tcW w:w="6696" w:type="dxa"/>
          </w:tcPr>
          <w:p w14:paraId="111B02F5">
            <w:pPr>
              <w:widowControl/>
              <w:spacing w:line="360" w:lineRule="auto"/>
              <w:textAlignment w:val="top"/>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投标人根据采购需求，需提供针对本项目的“数据收录维护”模块</w:t>
            </w:r>
            <w:r>
              <w:rPr>
                <w:rFonts w:hint="eastAsia" w:ascii="宋体" w:hAnsi="宋体" w:eastAsia="宋体" w:cs="宋体"/>
                <w:color w:val="auto"/>
                <w:sz w:val="24"/>
                <w:szCs w:val="24"/>
                <w:highlight w:val="none"/>
              </w:rPr>
              <w:t>（已作为演示项的内容除外）</w:t>
            </w:r>
            <w:r>
              <w:rPr>
                <w:rFonts w:hint="eastAsia" w:ascii="宋体" w:hAnsi="宋体" w:eastAsia="宋体" w:cs="宋体"/>
                <w:color w:val="auto"/>
                <w:kern w:val="0"/>
                <w:sz w:val="24"/>
                <w:szCs w:val="24"/>
                <w:highlight w:val="none"/>
                <w:lang w:bidi="ar"/>
              </w:rPr>
              <w:t>的功能设计及实施方案，评标委员会根据响应方案的业务要素、数据要素、功能界面、功能说明等内容进行评分。</w:t>
            </w:r>
            <w:r>
              <w:rPr>
                <w:rStyle w:val="375"/>
                <w:rFonts w:hint="eastAsia" w:ascii="宋体" w:hAnsi="宋体" w:eastAsia="宋体" w:cs="宋体"/>
                <w:color w:val="auto"/>
                <w:sz w:val="24"/>
                <w:szCs w:val="24"/>
                <w:highlight w:val="none"/>
                <w:lang w:bidi="ar"/>
              </w:rPr>
              <w:t>（分值：4，3，2，1，0）</w:t>
            </w:r>
          </w:p>
        </w:tc>
        <w:tc>
          <w:tcPr>
            <w:tcW w:w="513" w:type="dxa"/>
            <w:shd w:val="clear" w:color="auto" w:fill="auto"/>
            <w:vAlign w:val="center"/>
          </w:tcPr>
          <w:p w14:paraId="2527659B">
            <w:pPr>
              <w:widowControl/>
              <w:spacing w:line="360" w:lineRule="auto"/>
              <w:jc w:val="center"/>
              <w:textAlignment w:val="top"/>
              <w:rPr>
                <w:rFonts w:hint="eastAsia" w:ascii="宋体" w:hAnsi="宋体" w:eastAsia="宋体" w:cs="宋体"/>
                <w:color w:val="auto"/>
                <w:kern w:val="0"/>
                <w:sz w:val="24"/>
                <w:szCs w:val="24"/>
                <w:highlight w:val="none"/>
                <w:lang w:eastAsia="zh-CN" w:bidi="ar"/>
              </w:rPr>
            </w:pPr>
            <w:r>
              <w:rPr>
                <w:rFonts w:hint="eastAsia" w:ascii="宋体" w:hAnsi="宋体" w:cs="宋体"/>
                <w:color w:val="auto"/>
                <w:kern w:val="0"/>
                <w:sz w:val="24"/>
                <w:szCs w:val="24"/>
                <w:highlight w:val="none"/>
                <w:lang w:val="en-US" w:eastAsia="zh-CN" w:bidi="ar"/>
              </w:rPr>
              <w:t>4</w:t>
            </w:r>
          </w:p>
        </w:tc>
        <w:tc>
          <w:tcPr>
            <w:tcW w:w="779" w:type="dxa"/>
            <w:vAlign w:val="center"/>
          </w:tcPr>
          <w:p w14:paraId="0F352227">
            <w:pPr>
              <w:snapToGrid w:val="0"/>
              <w:spacing w:line="360" w:lineRule="auto"/>
              <w:jc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主观分</w:t>
            </w:r>
          </w:p>
        </w:tc>
      </w:tr>
      <w:tr w14:paraId="7D9890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6" w:type="dxa"/>
            <w:vAlign w:val="center"/>
          </w:tcPr>
          <w:p w14:paraId="589EB4CE">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6696" w:type="dxa"/>
          </w:tcPr>
          <w:p w14:paraId="217692F1">
            <w:pPr>
              <w:widowControl/>
              <w:spacing w:line="360" w:lineRule="auto"/>
              <w:textAlignment w:val="top"/>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投标人根据采购需求，需提供针对本项目的组织实施方案（包括进度管理计划及具体方案、劳动力计划及具体方案、质量管理及措施等），评标委员会根据响应方案与采购需求中相应要求匹配情况进行评分。（</w:t>
            </w:r>
            <w:r>
              <w:rPr>
                <w:rStyle w:val="375"/>
                <w:rFonts w:hint="eastAsia" w:ascii="宋体" w:hAnsi="宋体" w:eastAsia="宋体" w:cs="宋体"/>
                <w:color w:val="auto"/>
                <w:sz w:val="24"/>
                <w:szCs w:val="24"/>
                <w:highlight w:val="none"/>
                <w:lang w:bidi="ar"/>
              </w:rPr>
              <w:t>分值：</w:t>
            </w:r>
            <w:r>
              <w:rPr>
                <w:rStyle w:val="375"/>
                <w:rFonts w:hint="eastAsia" w:ascii="宋体" w:hAnsi="宋体" w:cs="宋体"/>
                <w:color w:val="auto"/>
                <w:sz w:val="24"/>
                <w:szCs w:val="24"/>
                <w:highlight w:val="none"/>
                <w:lang w:val="en-US" w:eastAsia="zh-CN" w:bidi="ar"/>
              </w:rPr>
              <w:t>5，4，</w:t>
            </w:r>
            <w:r>
              <w:rPr>
                <w:rFonts w:hint="eastAsia" w:ascii="宋体" w:hAnsi="宋体" w:cs="宋体"/>
                <w:color w:val="auto"/>
                <w:kern w:val="0"/>
                <w:sz w:val="24"/>
                <w:szCs w:val="24"/>
                <w:highlight w:val="none"/>
                <w:lang w:val="en-US" w:eastAsia="zh-CN" w:bidi="ar"/>
              </w:rPr>
              <w:t>3</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2</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1</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0</w:t>
            </w:r>
            <w:r>
              <w:rPr>
                <w:rFonts w:hint="eastAsia" w:ascii="宋体" w:hAnsi="宋体" w:eastAsia="宋体" w:cs="宋体"/>
                <w:color w:val="auto"/>
                <w:kern w:val="0"/>
                <w:sz w:val="24"/>
                <w:szCs w:val="24"/>
                <w:highlight w:val="none"/>
                <w:lang w:bidi="ar"/>
              </w:rPr>
              <w:t>）</w:t>
            </w:r>
          </w:p>
        </w:tc>
        <w:tc>
          <w:tcPr>
            <w:tcW w:w="513" w:type="dxa"/>
            <w:shd w:val="clear" w:color="auto" w:fill="auto"/>
            <w:vAlign w:val="center"/>
          </w:tcPr>
          <w:p w14:paraId="4D3BA6ED">
            <w:pPr>
              <w:widowControl/>
              <w:spacing w:line="360" w:lineRule="auto"/>
              <w:jc w:val="center"/>
              <w:textAlignment w:val="top"/>
              <w:rPr>
                <w:rFonts w:hint="eastAsia" w:ascii="宋体" w:hAnsi="宋体" w:eastAsia="宋体" w:cs="宋体"/>
                <w:color w:val="auto"/>
                <w:kern w:val="0"/>
                <w:sz w:val="24"/>
                <w:szCs w:val="24"/>
                <w:highlight w:val="none"/>
                <w:lang w:eastAsia="zh-CN" w:bidi="ar"/>
              </w:rPr>
            </w:pPr>
            <w:r>
              <w:rPr>
                <w:rFonts w:hint="eastAsia" w:ascii="宋体" w:hAnsi="宋体" w:cs="宋体"/>
                <w:color w:val="auto"/>
                <w:kern w:val="0"/>
                <w:sz w:val="24"/>
                <w:szCs w:val="24"/>
                <w:highlight w:val="none"/>
                <w:lang w:val="en-US" w:eastAsia="zh-CN" w:bidi="ar"/>
              </w:rPr>
              <w:t>5</w:t>
            </w:r>
          </w:p>
        </w:tc>
        <w:tc>
          <w:tcPr>
            <w:tcW w:w="779" w:type="dxa"/>
            <w:vAlign w:val="center"/>
          </w:tcPr>
          <w:p w14:paraId="75F6589F">
            <w:pPr>
              <w:snapToGrid w:val="0"/>
              <w:spacing w:line="360" w:lineRule="auto"/>
              <w:jc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主观分</w:t>
            </w:r>
          </w:p>
        </w:tc>
      </w:tr>
      <w:tr w14:paraId="251276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6" w:type="dxa"/>
            <w:vAlign w:val="center"/>
          </w:tcPr>
          <w:p w14:paraId="583D7D19">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p>
        </w:tc>
        <w:tc>
          <w:tcPr>
            <w:tcW w:w="6696" w:type="dxa"/>
          </w:tcPr>
          <w:p w14:paraId="21F8506C">
            <w:pPr>
              <w:widowControl/>
              <w:spacing w:line="360" w:lineRule="auto"/>
              <w:textAlignment w:val="top"/>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投标人根据采购需求，需提供针对本项目的运维服务方案</w:t>
            </w:r>
            <w:r>
              <w:rPr>
                <w:rFonts w:hint="eastAsia" w:ascii="宋体" w:hAnsi="宋体" w:cs="宋体"/>
                <w:color w:val="auto"/>
                <w:kern w:val="0"/>
                <w:sz w:val="24"/>
                <w:szCs w:val="24"/>
                <w:highlight w:val="none"/>
                <w:lang w:eastAsia="zh-CN" w:bidi="ar"/>
              </w:rPr>
              <w:t>（</w:t>
            </w:r>
            <w:r>
              <w:rPr>
                <w:rFonts w:hint="eastAsia" w:ascii="宋体" w:hAnsi="宋体" w:eastAsia="宋体" w:cs="宋体"/>
                <w:color w:val="auto"/>
                <w:kern w:val="0"/>
                <w:sz w:val="24"/>
                <w:szCs w:val="24"/>
                <w:highlight w:val="none"/>
                <w:lang w:bidi="ar"/>
              </w:rPr>
              <w:t>包括服务体系、服务内容、故障解决方案、专业技术人员保障等)，评标委员会根据响应方案与采购需求中相应要求匹配情况进行评分。（</w:t>
            </w:r>
            <w:r>
              <w:rPr>
                <w:rStyle w:val="375"/>
                <w:rFonts w:hint="eastAsia" w:ascii="宋体" w:hAnsi="宋体" w:eastAsia="宋体" w:cs="宋体"/>
                <w:color w:val="auto"/>
                <w:sz w:val="24"/>
                <w:szCs w:val="24"/>
                <w:highlight w:val="none"/>
                <w:lang w:bidi="ar"/>
              </w:rPr>
              <w:t>分值：</w:t>
            </w:r>
            <w:r>
              <w:rPr>
                <w:rStyle w:val="375"/>
                <w:rFonts w:hint="eastAsia" w:ascii="宋体" w:hAnsi="宋体" w:cs="宋体"/>
                <w:color w:val="auto"/>
                <w:sz w:val="24"/>
                <w:szCs w:val="24"/>
                <w:highlight w:val="none"/>
                <w:lang w:val="en-US" w:eastAsia="zh-CN" w:bidi="ar"/>
              </w:rPr>
              <w:t>5，4，</w:t>
            </w:r>
            <w:r>
              <w:rPr>
                <w:rFonts w:hint="eastAsia" w:ascii="宋体" w:hAnsi="宋体" w:cs="宋体"/>
                <w:color w:val="auto"/>
                <w:kern w:val="0"/>
                <w:sz w:val="24"/>
                <w:szCs w:val="24"/>
                <w:highlight w:val="none"/>
                <w:lang w:val="en-US" w:eastAsia="zh-CN" w:bidi="ar"/>
              </w:rPr>
              <w:t>3</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2</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1</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0</w:t>
            </w:r>
            <w:r>
              <w:rPr>
                <w:rFonts w:hint="eastAsia" w:ascii="宋体" w:hAnsi="宋体" w:eastAsia="宋体" w:cs="宋体"/>
                <w:color w:val="auto"/>
                <w:kern w:val="0"/>
                <w:sz w:val="24"/>
                <w:szCs w:val="24"/>
                <w:highlight w:val="none"/>
                <w:lang w:bidi="ar"/>
              </w:rPr>
              <w:t>）</w:t>
            </w:r>
          </w:p>
        </w:tc>
        <w:tc>
          <w:tcPr>
            <w:tcW w:w="513" w:type="dxa"/>
            <w:shd w:val="clear" w:color="auto" w:fill="auto"/>
            <w:vAlign w:val="center"/>
          </w:tcPr>
          <w:p w14:paraId="027FE9EE">
            <w:pPr>
              <w:widowControl/>
              <w:spacing w:line="360" w:lineRule="auto"/>
              <w:jc w:val="center"/>
              <w:textAlignment w:val="top"/>
              <w:rPr>
                <w:rFonts w:hint="eastAsia" w:ascii="宋体" w:hAnsi="宋体" w:eastAsia="宋体" w:cs="宋体"/>
                <w:color w:val="auto"/>
                <w:sz w:val="24"/>
                <w:szCs w:val="24"/>
                <w:highlight w:val="none"/>
                <w:lang w:eastAsia="zh-CN"/>
              </w:rPr>
            </w:pPr>
            <w:r>
              <w:rPr>
                <w:rFonts w:hint="eastAsia" w:ascii="宋体" w:hAnsi="宋体" w:cs="宋体"/>
                <w:color w:val="auto"/>
                <w:kern w:val="0"/>
                <w:sz w:val="24"/>
                <w:szCs w:val="24"/>
                <w:highlight w:val="none"/>
                <w:lang w:val="en-US" w:eastAsia="zh-CN" w:bidi="ar"/>
              </w:rPr>
              <w:t>5</w:t>
            </w:r>
          </w:p>
        </w:tc>
        <w:tc>
          <w:tcPr>
            <w:tcW w:w="779" w:type="dxa"/>
            <w:vAlign w:val="center"/>
          </w:tcPr>
          <w:p w14:paraId="352CC6AD">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主观分</w:t>
            </w:r>
          </w:p>
        </w:tc>
      </w:tr>
      <w:tr w14:paraId="194199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6" w:type="dxa"/>
            <w:vAlign w:val="center"/>
          </w:tcPr>
          <w:p w14:paraId="42055592">
            <w:pPr>
              <w:snapToGrid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8</w:t>
            </w:r>
          </w:p>
        </w:tc>
        <w:tc>
          <w:tcPr>
            <w:tcW w:w="6696" w:type="dxa"/>
          </w:tcPr>
          <w:p w14:paraId="546196AC">
            <w:pPr>
              <w:widowControl/>
              <w:spacing w:line="360" w:lineRule="auto"/>
              <w:textAlignment w:val="top"/>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投标人根据采购需求，需提供针对本项目的培训方案（包括培训计划、培训内容、培训时间等），评标委员会根据响应方案与采购需求中相应要求匹配情况进行评分。（</w:t>
            </w:r>
            <w:r>
              <w:rPr>
                <w:rStyle w:val="375"/>
                <w:rFonts w:hint="eastAsia" w:ascii="宋体" w:hAnsi="宋体" w:eastAsia="宋体" w:cs="宋体"/>
                <w:color w:val="auto"/>
                <w:sz w:val="24"/>
                <w:szCs w:val="24"/>
                <w:highlight w:val="none"/>
                <w:lang w:bidi="ar"/>
              </w:rPr>
              <w:t>分值：</w:t>
            </w:r>
            <w:r>
              <w:rPr>
                <w:rStyle w:val="375"/>
                <w:rFonts w:hint="eastAsia" w:ascii="宋体" w:hAnsi="宋体" w:cs="宋体"/>
                <w:color w:val="auto"/>
                <w:sz w:val="24"/>
                <w:szCs w:val="24"/>
                <w:highlight w:val="none"/>
                <w:lang w:val="en-US" w:eastAsia="zh-CN" w:bidi="ar"/>
              </w:rPr>
              <w:t>5，4，</w:t>
            </w:r>
            <w:r>
              <w:rPr>
                <w:rFonts w:hint="eastAsia" w:ascii="宋体" w:hAnsi="宋体" w:cs="宋体"/>
                <w:color w:val="auto"/>
                <w:kern w:val="0"/>
                <w:sz w:val="24"/>
                <w:szCs w:val="24"/>
                <w:highlight w:val="none"/>
                <w:lang w:val="en-US" w:eastAsia="zh-CN" w:bidi="ar"/>
              </w:rPr>
              <w:t>3</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2</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1</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0</w:t>
            </w:r>
            <w:r>
              <w:rPr>
                <w:rFonts w:hint="eastAsia" w:ascii="宋体" w:hAnsi="宋体" w:eastAsia="宋体" w:cs="宋体"/>
                <w:color w:val="auto"/>
                <w:kern w:val="0"/>
                <w:sz w:val="24"/>
                <w:szCs w:val="24"/>
                <w:highlight w:val="none"/>
                <w:lang w:bidi="ar"/>
              </w:rPr>
              <w:t>）</w:t>
            </w:r>
          </w:p>
        </w:tc>
        <w:tc>
          <w:tcPr>
            <w:tcW w:w="513" w:type="dxa"/>
            <w:shd w:val="clear" w:color="auto" w:fill="auto"/>
            <w:vAlign w:val="center"/>
          </w:tcPr>
          <w:p w14:paraId="4B3746AB">
            <w:pPr>
              <w:widowControl/>
              <w:spacing w:line="360" w:lineRule="auto"/>
              <w:jc w:val="center"/>
              <w:textAlignment w:val="top"/>
              <w:rPr>
                <w:rFonts w:hint="eastAsia" w:ascii="宋体" w:hAnsi="宋体" w:eastAsia="宋体" w:cs="宋体"/>
                <w:color w:val="auto"/>
                <w:sz w:val="24"/>
                <w:szCs w:val="24"/>
                <w:highlight w:val="none"/>
                <w:lang w:eastAsia="zh-CN"/>
              </w:rPr>
            </w:pPr>
            <w:r>
              <w:rPr>
                <w:rFonts w:hint="eastAsia" w:ascii="宋体" w:hAnsi="宋体" w:cs="宋体"/>
                <w:color w:val="auto"/>
                <w:kern w:val="0"/>
                <w:sz w:val="24"/>
                <w:szCs w:val="24"/>
                <w:highlight w:val="none"/>
                <w:lang w:val="en-US" w:eastAsia="zh-CN" w:bidi="ar"/>
              </w:rPr>
              <w:t>5</w:t>
            </w:r>
          </w:p>
        </w:tc>
        <w:tc>
          <w:tcPr>
            <w:tcW w:w="779" w:type="dxa"/>
            <w:vAlign w:val="center"/>
          </w:tcPr>
          <w:p w14:paraId="4A2CE908">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主观分</w:t>
            </w:r>
          </w:p>
        </w:tc>
      </w:tr>
      <w:tr w14:paraId="18DCAC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6" w:type="dxa"/>
            <w:vAlign w:val="center"/>
          </w:tcPr>
          <w:p w14:paraId="25F9AB7D">
            <w:pPr>
              <w:snapToGrid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9</w:t>
            </w:r>
          </w:p>
        </w:tc>
        <w:tc>
          <w:tcPr>
            <w:tcW w:w="6696" w:type="dxa"/>
          </w:tcPr>
          <w:p w14:paraId="220307E5">
            <w:pPr>
              <w:widowControl/>
              <w:spacing w:line="360" w:lineRule="auto"/>
              <w:textAlignment w:val="top"/>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开发团队（须为本单位在职员工，提供近三个月内任意时间本单位社保缴纳证明，否则不得分）</w:t>
            </w:r>
          </w:p>
        </w:tc>
        <w:tc>
          <w:tcPr>
            <w:tcW w:w="513" w:type="dxa"/>
            <w:shd w:val="clear" w:color="auto" w:fill="auto"/>
            <w:vAlign w:val="center"/>
          </w:tcPr>
          <w:p w14:paraId="1E545BCA">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779" w:type="dxa"/>
            <w:vAlign w:val="center"/>
          </w:tcPr>
          <w:p w14:paraId="63A443E4">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r>
      <w:tr w14:paraId="26C8C0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936" w:type="dxa"/>
            <w:vAlign w:val="center"/>
          </w:tcPr>
          <w:p w14:paraId="5A91DC74">
            <w:pPr>
              <w:snapToGrid w:val="0"/>
              <w:spacing w:line="360" w:lineRule="auto"/>
              <w:jc w:val="center"/>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9</w:t>
            </w:r>
            <w:r>
              <w:rPr>
                <w:rFonts w:hint="eastAsia" w:ascii="宋体" w:hAnsi="宋体" w:eastAsia="宋体" w:cs="宋体"/>
                <w:color w:val="auto"/>
                <w:sz w:val="24"/>
                <w:szCs w:val="24"/>
                <w:highlight w:val="none"/>
              </w:rPr>
              <w:t>.1</w:t>
            </w:r>
          </w:p>
        </w:tc>
        <w:tc>
          <w:tcPr>
            <w:tcW w:w="6696" w:type="dxa"/>
          </w:tcPr>
          <w:p w14:paraId="7AE1AA45">
            <w:pPr>
              <w:widowControl/>
              <w:spacing w:line="360" w:lineRule="auto"/>
              <w:textAlignment w:val="top"/>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项目经理</w:t>
            </w:r>
          </w:p>
        </w:tc>
        <w:tc>
          <w:tcPr>
            <w:tcW w:w="513" w:type="dxa"/>
            <w:shd w:val="clear" w:color="auto" w:fill="auto"/>
            <w:vAlign w:val="center"/>
          </w:tcPr>
          <w:p w14:paraId="3B1BC6D3">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779" w:type="dxa"/>
            <w:vAlign w:val="center"/>
          </w:tcPr>
          <w:p w14:paraId="5FB05D06">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r>
      <w:tr w14:paraId="5EB5F3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936" w:type="dxa"/>
            <w:shd w:val="clear" w:color="auto" w:fill="auto"/>
            <w:vAlign w:val="center"/>
          </w:tcPr>
          <w:p w14:paraId="180D3932">
            <w:pPr>
              <w:snapToGrid w:val="0"/>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9.1.1</w:t>
            </w:r>
          </w:p>
        </w:tc>
        <w:tc>
          <w:tcPr>
            <w:tcW w:w="6696" w:type="dxa"/>
          </w:tcPr>
          <w:p w14:paraId="3B13B90C">
            <w:pPr>
              <w:widowControl/>
              <w:spacing w:line="360" w:lineRule="auto"/>
              <w:textAlignment w:val="top"/>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项目经理近三年（自</w:t>
            </w:r>
            <w:r>
              <w:rPr>
                <w:rFonts w:hint="eastAsia" w:ascii="宋体" w:hAnsi="宋体" w:cs="宋体"/>
                <w:color w:val="auto"/>
                <w:sz w:val="24"/>
                <w:szCs w:val="24"/>
                <w:highlight w:val="none"/>
                <w:lang w:eastAsia="zh-CN"/>
              </w:rPr>
              <w:t>2022年1月1日</w:t>
            </w:r>
            <w:r>
              <w:rPr>
                <w:rFonts w:hint="eastAsia" w:ascii="宋体" w:hAnsi="宋体" w:eastAsia="宋体" w:cs="宋体"/>
                <w:color w:val="auto"/>
                <w:sz w:val="24"/>
                <w:szCs w:val="24"/>
                <w:highlight w:val="none"/>
              </w:rPr>
              <w:t>以来）具有同类电子政务项目实施经验的</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每有1个得1分，最高得3分；提供合同复印件</w:t>
            </w:r>
            <w:r>
              <w:rPr>
                <w:rFonts w:hint="eastAsia" w:ascii="宋体" w:hAnsi="宋体" w:cs="宋体"/>
                <w:color w:val="auto"/>
                <w:sz w:val="24"/>
                <w:szCs w:val="24"/>
                <w:highlight w:val="none"/>
                <w:lang w:val="en-US" w:eastAsia="zh-CN"/>
              </w:rPr>
              <w:t>或</w:t>
            </w:r>
            <w:r>
              <w:rPr>
                <w:rFonts w:hint="eastAsia" w:ascii="宋体" w:hAnsi="宋体" w:eastAsia="宋体" w:cs="宋体"/>
                <w:color w:val="auto"/>
                <w:sz w:val="24"/>
                <w:szCs w:val="24"/>
                <w:highlight w:val="none"/>
              </w:rPr>
              <w:t>业主证明等材料，否则不得分。</w:t>
            </w:r>
          </w:p>
        </w:tc>
        <w:tc>
          <w:tcPr>
            <w:tcW w:w="513" w:type="dxa"/>
            <w:shd w:val="clear" w:color="auto" w:fill="auto"/>
            <w:vAlign w:val="center"/>
          </w:tcPr>
          <w:p w14:paraId="6B25F386">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779" w:type="dxa"/>
            <w:vAlign w:val="center"/>
          </w:tcPr>
          <w:p w14:paraId="4114AE5E">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客观分</w:t>
            </w:r>
          </w:p>
        </w:tc>
      </w:tr>
      <w:tr w14:paraId="26561C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6" w:type="dxa"/>
            <w:shd w:val="clear" w:color="auto" w:fill="auto"/>
            <w:vAlign w:val="center"/>
          </w:tcPr>
          <w:p w14:paraId="0CB7255B">
            <w:pPr>
              <w:snapToGrid w:val="0"/>
              <w:spacing w:line="360" w:lineRule="auto"/>
              <w:jc w:val="center"/>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9</w:t>
            </w:r>
            <w:r>
              <w:rPr>
                <w:rFonts w:hint="eastAsia" w:ascii="宋体" w:hAnsi="宋体" w:eastAsia="宋体" w:cs="宋体"/>
                <w:color w:val="auto"/>
                <w:sz w:val="24"/>
                <w:szCs w:val="24"/>
                <w:highlight w:val="none"/>
              </w:rPr>
              <w:t>.1.2</w:t>
            </w:r>
          </w:p>
        </w:tc>
        <w:tc>
          <w:tcPr>
            <w:tcW w:w="6696" w:type="dxa"/>
          </w:tcPr>
          <w:p w14:paraId="545028F4">
            <w:pPr>
              <w:widowControl/>
              <w:spacing w:line="360" w:lineRule="auto"/>
              <w:textAlignment w:val="top"/>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项目经理具有计算机等履约相关专业本科或以上学历得2分，其他不得分；须提供证书等证明材料，否则不得分。</w:t>
            </w:r>
          </w:p>
        </w:tc>
        <w:tc>
          <w:tcPr>
            <w:tcW w:w="513" w:type="dxa"/>
            <w:shd w:val="clear" w:color="auto" w:fill="auto"/>
            <w:vAlign w:val="center"/>
          </w:tcPr>
          <w:p w14:paraId="791073F9">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779" w:type="dxa"/>
            <w:vAlign w:val="center"/>
          </w:tcPr>
          <w:p w14:paraId="3C18A5AD">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客观分</w:t>
            </w:r>
          </w:p>
        </w:tc>
      </w:tr>
      <w:tr w14:paraId="47010E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6" w:type="dxa"/>
            <w:shd w:val="clear" w:color="auto" w:fill="auto"/>
            <w:vAlign w:val="center"/>
          </w:tcPr>
          <w:p w14:paraId="6A8BF495">
            <w:pPr>
              <w:snapToGrid w:val="0"/>
              <w:spacing w:line="360" w:lineRule="auto"/>
              <w:jc w:val="center"/>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9</w:t>
            </w:r>
            <w:r>
              <w:rPr>
                <w:rFonts w:hint="eastAsia" w:ascii="宋体" w:hAnsi="宋体" w:eastAsia="宋体" w:cs="宋体"/>
                <w:color w:val="auto"/>
                <w:sz w:val="24"/>
                <w:szCs w:val="24"/>
                <w:highlight w:val="none"/>
              </w:rPr>
              <w:t>.1.3</w:t>
            </w:r>
          </w:p>
        </w:tc>
        <w:tc>
          <w:tcPr>
            <w:tcW w:w="6696" w:type="dxa"/>
          </w:tcPr>
          <w:p w14:paraId="29EBDD10">
            <w:pPr>
              <w:widowControl/>
              <w:spacing w:line="360" w:lineRule="auto"/>
              <w:textAlignment w:val="top"/>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项目经理具全国软考的信息系统项目管理师得2分，其他不得分；须提供证书等证明材料，否则不得分。</w:t>
            </w:r>
          </w:p>
        </w:tc>
        <w:tc>
          <w:tcPr>
            <w:tcW w:w="513" w:type="dxa"/>
            <w:shd w:val="clear" w:color="auto" w:fill="auto"/>
            <w:vAlign w:val="center"/>
          </w:tcPr>
          <w:p w14:paraId="51309B0E">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779" w:type="dxa"/>
            <w:vAlign w:val="center"/>
          </w:tcPr>
          <w:p w14:paraId="135691E2">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客观分</w:t>
            </w:r>
          </w:p>
        </w:tc>
      </w:tr>
      <w:tr w14:paraId="062344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6" w:type="dxa"/>
            <w:vAlign w:val="center"/>
          </w:tcPr>
          <w:p w14:paraId="58A772A3">
            <w:pPr>
              <w:snapToGrid w:val="0"/>
              <w:spacing w:line="360" w:lineRule="auto"/>
              <w:jc w:val="center"/>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9</w:t>
            </w:r>
            <w:r>
              <w:rPr>
                <w:rFonts w:hint="eastAsia" w:ascii="宋体" w:hAnsi="宋体" w:eastAsia="宋体" w:cs="宋体"/>
                <w:color w:val="auto"/>
                <w:sz w:val="24"/>
                <w:szCs w:val="24"/>
                <w:highlight w:val="none"/>
              </w:rPr>
              <w:t>.2</w:t>
            </w:r>
          </w:p>
        </w:tc>
        <w:tc>
          <w:tcPr>
            <w:tcW w:w="6696" w:type="dxa"/>
          </w:tcPr>
          <w:p w14:paraId="3433C6DD">
            <w:pPr>
              <w:widowControl/>
              <w:spacing w:line="360" w:lineRule="auto"/>
              <w:textAlignment w:val="top"/>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项目技术负责人</w:t>
            </w:r>
          </w:p>
        </w:tc>
        <w:tc>
          <w:tcPr>
            <w:tcW w:w="513" w:type="dxa"/>
            <w:shd w:val="clear" w:color="auto" w:fill="auto"/>
            <w:vAlign w:val="center"/>
          </w:tcPr>
          <w:p w14:paraId="47CAE190">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779" w:type="dxa"/>
            <w:vAlign w:val="center"/>
          </w:tcPr>
          <w:p w14:paraId="34317CA9">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r>
      <w:tr w14:paraId="1CEE3B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6" w:type="dxa"/>
            <w:vAlign w:val="center"/>
          </w:tcPr>
          <w:p w14:paraId="13B70315">
            <w:pPr>
              <w:snapToGrid w:val="0"/>
              <w:spacing w:line="360" w:lineRule="auto"/>
              <w:jc w:val="center"/>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9</w:t>
            </w:r>
            <w:r>
              <w:rPr>
                <w:rFonts w:hint="eastAsia" w:ascii="宋体" w:hAnsi="宋体" w:eastAsia="宋体" w:cs="宋体"/>
                <w:color w:val="auto"/>
                <w:sz w:val="24"/>
                <w:szCs w:val="24"/>
                <w:highlight w:val="none"/>
              </w:rPr>
              <w:t>.2.1</w:t>
            </w:r>
          </w:p>
        </w:tc>
        <w:tc>
          <w:tcPr>
            <w:tcW w:w="6696" w:type="dxa"/>
          </w:tcPr>
          <w:p w14:paraId="4E155318">
            <w:pPr>
              <w:widowControl/>
              <w:spacing w:line="360" w:lineRule="auto"/>
              <w:textAlignment w:val="top"/>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技术负责人近三年（自</w:t>
            </w:r>
            <w:r>
              <w:rPr>
                <w:rFonts w:hint="eastAsia" w:ascii="宋体" w:hAnsi="宋体" w:cs="宋体"/>
                <w:color w:val="auto"/>
                <w:sz w:val="24"/>
                <w:szCs w:val="24"/>
                <w:highlight w:val="none"/>
                <w:lang w:eastAsia="zh-CN"/>
              </w:rPr>
              <w:t>2022年1月1日</w:t>
            </w:r>
            <w:r>
              <w:rPr>
                <w:rFonts w:hint="eastAsia" w:ascii="宋体" w:hAnsi="宋体" w:eastAsia="宋体" w:cs="宋体"/>
                <w:color w:val="auto"/>
                <w:sz w:val="24"/>
                <w:szCs w:val="24"/>
                <w:highlight w:val="none"/>
              </w:rPr>
              <w:t>以来）具有同类电子政务项目实施经验的</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每有1个得1分，最高得3分；提供合同复印件</w:t>
            </w:r>
            <w:r>
              <w:rPr>
                <w:rFonts w:hint="eastAsia" w:ascii="宋体" w:hAnsi="宋体" w:cs="宋体"/>
                <w:color w:val="auto"/>
                <w:sz w:val="24"/>
                <w:szCs w:val="24"/>
                <w:highlight w:val="none"/>
                <w:lang w:val="en-US" w:eastAsia="zh-CN"/>
              </w:rPr>
              <w:t>或</w:t>
            </w:r>
            <w:r>
              <w:rPr>
                <w:rFonts w:hint="eastAsia" w:ascii="宋体" w:hAnsi="宋体" w:eastAsia="宋体" w:cs="宋体"/>
                <w:color w:val="auto"/>
                <w:sz w:val="24"/>
                <w:szCs w:val="24"/>
                <w:highlight w:val="none"/>
              </w:rPr>
              <w:t>业主证明等材料，否则不得分。</w:t>
            </w:r>
          </w:p>
        </w:tc>
        <w:tc>
          <w:tcPr>
            <w:tcW w:w="513" w:type="dxa"/>
            <w:shd w:val="clear" w:color="auto" w:fill="auto"/>
            <w:vAlign w:val="center"/>
          </w:tcPr>
          <w:p w14:paraId="1F91660C">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779" w:type="dxa"/>
            <w:vAlign w:val="center"/>
          </w:tcPr>
          <w:p w14:paraId="045FBB60">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客观分</w:t>
            </w:r>
          </w:p>
        </w:tc>
      </w:tr>
      <w:tr w14:paraId="4CD71A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6" w:type="dxa"/>
            <w:vAlign w:val="center"/>
          </w:tcPr>
          <w:p w14:paraId="1100DB2C">
            <w:pPr>
              <w:snapToGrid w:val="0"/>
              <w:spacing w:line="360" w:lineRule="auto"/>
              <w:jc w:val="center"/>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9</w:t>
            </w:r>
            <w:r>
              <w:rPr>
                <w:rFonts w:hint="eastAsia" w:ascii="宋体" w:hAnsi="宋体" w:eastAsia="宋体" w:cs="宋体"/>
                <w:color w:val="auto"/>
                <w:sz w:val="24"/>
                <w:szCs w:val="24"/>
                <w:highlight w:val="none"/>
              </w:rPr>
              <w:t>.2.2</w:t>
            </w:r>
          </w:p>
        </w:tc>
        <w:tc>
          <w:tcPr>
            <w:tcW w:w="6696" w:type="dxa"/>
          </w:tcPr>
          <w:p w14:paraId="1D0C5AB1">
            <w:pPr>
              <w:widowControl/>
              <w:spacing w:line="360" w:lineRule="auto"/>
              <w:textAlignment w:val="top"/>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技术负责人具有计算机等履约相关专业本科或以上学历得2分，其他不得分；须提供证书等证明材料，否则不得分。</w:t>
            </w:r>
          </w:p>
        </w:tc>
        <w:tc>
          <w:tcPr>
            <w:tcW w:w="513" w:type="dxa"/>
            <w:shd w:val="clear" w:color="auto" w:fill="auto"/>
            <w:vAlign w:val="center"/>
          </w:tcPr>
          <w:p w14:paraId="646435F1">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779" w:type="dxa"/>
            <w:vAlign w:val="center"/>
          </w:tcPr>
          <w:p w14:paraId="42D4806D">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客观分</w:t>
            </w:r>
          </w:p>
        </w:tc>
      </w:tr>
      <w:tr w14:paraId="1A7899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6" w:type="dxa"/>
            <w:vAlign w:val="center"/>
          </w:tcPr>
          <w:p w14:paraId="41DA4DD6">
            <w:pPr>
              <w:snapToGrid w:val="0"/>
              <w:spacing w:line="360" w:lineRule="auto"/>
              <w:jc w:val="center"/>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9</w:t>
            </w:r>
            <w:r>
              <w:rPr>
                <w:rFonts w:hint="eastAsia" w:ascii="宋体" w:hAnsi="宋体" w:eastAsia="宋体" w:cs="宋体"/>
                <w:color w:val="auto"/>
                <w:sz w:val="24"/>
                <w:szCs w:val="24"/>
                <w:highlight w:val="none"/>
              </w:rPr>
              <w:t>.2.3</w:t>
            </w:r>
          </w:p>
        </w:tc>
        <w:tc>
          <w:tcPr>
            <w:tcW w:w="6696" w:type="dxa"/>
          </w:tcPr>
          <w:p w14:paraId="2D6D03CB">
            <w:pPr>
              <w:widowControl/>
              <w:spacing w:line="360" w:lineRule="auto"/>
              <w:textAlignment w:val="top"/>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技术负责人具有软件开发行业5年及以上从业经验得2分，其他不得分；须提供从业履历等证明材料，否则不得分。</w:t>
            </w:r>
          </w:p>
        </w:tc>
        <w:tc>
          <w:tcPr>
            <w:tcW w:w="513" w:type="dxa"/>
            <w:shd w:val="clear" w:color="auto" w:fill="auto"/>
            <w:vAlign w:val="center"/>
          </w:tcPr>
          <w:p w14:paraId="6E325A92">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779" w:type="dxa"/>
            <w:vAlign w:val="center"/>
          </w:tcPr>
          <w:p w14:paraId="66FB057D">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客观分</w:t>
            </w:r>
          </w:p>
        </w:tc>
      </w:tr>
      <w:tr w14:paraId="575E35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6" w:type="dxa"/>
            <w:vAlign w:val="center"/>
          </w:tcPr>
          <w:p w14:paraId="634C1928">
            <w:pPr>
              <w:snapToGrid w:val="0"/>
              <w:spacing w:line="360" w:lineRule="auto"/>
              <w:jc w:val="center"/>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9</w:t>
            </w:r>
            <w:r>
              <w:rPr>
                <w:rFonts w:hint="eastAsia" w:ascii="宋体" w:hAnsi="宋体" w:eastAsia="宋体" w:cs="宋体"/>
                <w:color w:val="auto"/>
                <w:sz w:val="24"/>
                <w:szCs w:val="24"/>
                <w:highlight w:val="none"/>
              </w:rPr>
              <w:t>.3</w:t>
            </w:r>
          </w:p>
        </w:tc>
        <w:tc>
          <w:tcPr>
            <w:tcW w:w="6696" w:type="dxa"/>
            <w:vAlign w:val="center"/>
          </w:tcPr>
          <w:p w14:paraId="64035A7B">
            <w:pPr>
              <w:widowControl/>
              <w:spacing w:line="360" w:lineRule="auto"/>
              <w:textAlignment w:val="top"/>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项目其他成员（除项目经理和技术负责人外）：</w:t>
            </w:r>
          </w:p>
        </w:tc>
        <w:tc>
          <w:tcPr>
            <w:tcW w:w="513" w:type="dxa"/>
            <w:shd w:val="clear" w:color="auto" w:fill="auto"/>
            <w:vAlign w:val="center"/>
          </w:tcPr>
          <w:p w14:paraId="025629D9">
            <w:pPr>
              <w:widowControl/>
              <w:spacing w:line="360" w:lineRule="auto"/>
              <w:jc w:val="both"/>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779" w:type="dxa"/>
            <w:vAlign w:val="center"/>
          </w:tcPr>
          <w:p w14:paraId="35A76456">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客观</w:t>
            </w:r>
          </w:p>
          <w:p w14:paraId="6C751F0E">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w:t>
            </w:r>
          </w:p>
        </w:tc>
      </w:tr>
      <w:tr w14:paraId="7416B0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6" w:type="dxa"/>
            <w:vAlign w:val="center"/>
          </w:tcPr>
          <w:p w14:paraId="7DF183DF">
            <w:pPr>
              <w:snapToGrid w:val="0"/>
              <w:spacing w:line="360" w:lineRule="auto"/>
              <w:jc w:val="center"/>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9.3.1</w:t>
            </w:r>
          </w:p>
        </w:tc>
        <w:tc>
          <w:tcPr>
            <w:tcW w:w="6696" w:type="dxa"/>
          </w:tcPr>
          <w:p w14:paraId="12599F42">
            <w:pPr>
              <w:widowControl/>
              <w:numPr>
                <w:ilvl w:val="0"/>
                <w:numId w:val="0"/>
              </w:numPr>
              <w:spacing w:line="360" w:lineRule="auto"/>
              <w:textAlignment w:val="top"/>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项目其他成员（除项目经理和技术负责人外）中每有1人具有信息技术等履约相关专业本科以上学历（提供证书复印件或相关证明材料）的得0.5分，最高得2分；须提供证书复印件，否则不得分。</w:t>
            </w:r>
          </w:p>
        </w:tc>
        <w:tc>
          <w:tcPr>
            <w:tcW w:w="513" w:type="dxa"/>
            <w:shd w:val="clear" w:color="auto" w:fill="auto"/>
            <w:vAlign w:val="center"/>
          </w:tcPr>
          <w:p w14:paraId="4D3C64BC">
            <w:pPr>
              <w:widowControl/>
              <w:spacing w:line="360" w:lineRule="auto"/>
              <w:jc w:val="center"/>
              <w:textAlignment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w:t>
            </w:r>
          </w:p>
        </w:tc>
        <w:tc>
          <w:tcPr>
            <w:tcW w:w="779" w:type="dxa"/>
            <w:vAlign w:val="center"/>
          </w:tcPr>
          <w:p w14:paraId="660AADFF">
            <w:pPr>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客观分</w:t>
            </w:r>
          </w:p>
        </w:tc>
      </w:tr>
      <w:tr w14:paraId="5E146A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6" w:type="dxa"/>
            <w:vAlign w:val="center"/>
          </w:tcPr>
          <w:p w14:paraId="13573062">
            <w:pPr>
              <w:snapToGrid w:val="0"/>
              <w:spacing w:line="360" w:lineRule="auto"/>
              <w:jc w:val="center"/>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9.3.2</w:t>
            </w:r>
          </w:p>
        </w:tc>
        <w:tc>
          <w:tcPr>
            <w:tcW w:w="6696" w:type="dxa"/>
          </w:tcPr>
          <w:p w14:paraId="7EAD6295">
            <w:pPr>
              <w:widowControl/>
              <w:numPr>
                <w:ilvl w:val="0"/>
                <w:numId w:val="0"/>
              </w:numPr>
              <w:spacing w:line="360" w:lineRule="auto"/>
              <w:textAlignment w:val="top"/>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项目其他成员（除项目经理和技术负责人外）中每有1人具有近三年（自</w:t>
            </w:r>
            <w:r>
              <w:rPr>
                <w:rFonts w:hint="eastAsia" w:ascii="宋体" w:hAnsi="宋体" w:cs="宋体"/>
                <w:color w:val="auto"/>
                <w:sz w:val="24"/>
                <w:szCs w:val="24"/>
                <w:highlight w:val="none"/>
                <w:lang w:eastAsia="zh-CN"/>
              </w:rPr>
              <w:t>2022年1月1日</w:t>
            </w:r>
            <w:r>
              <w:rPr>
                <w:rFonts w:hint="eastAsia" w:ascii="宋体" w:hAnsi="宋体" w:eastAsia="宋体" w:cs="宋体"/>
                <w:color w:val="auto"/>
                <w:sz w:val="24"/>
                <w:szCs w:val="24"/>
                <w:highlight w:val="none"/>
              </w:rPr>
              <w:t>以来）同类电子</w:t>
            </w:r>
            <w:r>
              <w:rPr>
                <w:rFonts w:hint="eastAsia" w:ascii="宋体" w:hAnsi="宋体" w:cs="宋体"/>
                <w:color w:val="auto"/>
                <w:sz w:val="24"/>
                <w:szCs w:val="24"/>
                <w:highlight w:val="none"/>
                <w:lang w:val="en-US" w:eastAsia="zh-CN"/>
              </w:rPr>
              <w:t>政务</w:t>
            </w:r>
            <w:r>
              <w:rPr>
                <w:rFonts w:hint="eastAsia" w:ascii="宋体" w:hAnsi="宋体" w:eastAsia="宋体" w:cs="宋体"/>
                <w:color w:val="auto"/>
                <w:sz w:val="24"/>
                <w:szCs w:val="24"/>
                <w:highlight w:val="none"/>
              </w:rPr>
              <w:t>实施经验（业绩）的得0.5分，最高得2分；须提供合同复印件或业主证明等材料，否则不得分。</w:t>
            </w:r>
          </w:p>
        </w:tc>
        <w:tc>
          <w:tcPr>
            <w:tcW w:w="513" w:type="dxa"/>
            <w:shd w:val="clear" w:color="auto" w:fill="auto"/>
            <w:vAlign w:val="center"/>
          </w:tcPr>
          <w:p w14:paraId="643D749B">
            <w:pPr>
              <w:widowControl/>
              <w:spacing w:line="360" w:lineRule="auto"/>
              <w:jc w:val="center"/>
              <w:textAlignment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w:t>
            </w:r>
          </w:p>
        </w:tc>
        <w:tc>
          <w:tcPr>
            <w:tcW w:w="779" w:type="dxa"/>
            <w:vAlign w:val="center"/>
          </w:tcPr>
          <w:p w14:paraId="15A61F75">
            <w:pPr>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客观分</w:t>
            </w:r>
          </w:p>
        </w:tc>
      </w:tr>
      <w:tr w14:paraId="3E8DB2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6" w:type="dxa"/>
            <w:vAlign w:val="center"/>
          </w:tcPr>
          <w:p w14:paraId="1720424B">
            <w:pPr>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1</w:t>
            </w:r>
            <w:r>
              <w:rPr>
                <w:rFonts w:hint="eastAsia" w:ascii="宋体" w:hAnsi="宋体" w:cs="宋体"/>
                <w:color w:val="auto"/>
                <w:sz w:val="24"/>
                <w:szCs w:val="24"/>
                <w:highlight w:val="none"/>
                <w:lang w:val="en-US" w:eastAsia="zh-CN"/>
              </w:rPr>
              <w:t>0</w:t>
            </w:r>
          </w:p>
        </w:tc>
        <w:tc>
          <w:tcPr>
            <w:tcW w:w="6696" w:type="dxa"/>
          </w:tcPr>
          <w:p w14:paraId="6D3ABBC8">
            <w:pPr>
              <w:widowControl/>
              <w:spacing w:line="360" w:lineRule="auto"/>
              <w:textAlignment w:val="top"/>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系统演示</w:t>
            </w:r>
          </w:p>
        </w:tc>
        <w:tc>
          <w:tcPr>
            <w:tcW w:w="513" w:type="dxa"/>
            <w:shd w:val="clear" w:color="auto" w:fill="auto"/>
            <w:vAlign w:val="center"/>
          </w:tcPr>
          <w:p w14:paraId="32BF3765">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779" w:type="dxa"/>
            <w:vAlign w:val="center"/>
          </w:tcPr>
          <w:p w14:paraId="602A8667">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r>
      <w:tr w14:paraId="514DDC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6" w:type="dxa"/>
            <w:vAlign w:val="center"/>
          </w:tcPr>
          <w:p w14:paraId="51EE5993">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cs="宋体"/>
                <w:color w:val="auto"/>
                <w:sz w:val="24"/>
                <w:szCs w:val="24"/>
                <w:highlight w:val="none"/>
                <w:lang w:val="en-US" w:eastAsia="zh-CN"/>
              </w:rPr>
              <w:t>0</w:t>
            </w:r>
            <w:r>
              <w:rPr>
                <w:rFonts w:hint="eastAsia" w:ascii="宋体" w:hAnsi="宋体" w:eastAsia="宋体" w:cs="宋体"/>
                <w:color w:val="auto"/>
                <w:sz w:val="24"/>
                <w:szCs w:val="24"/>
                <w:highlight w:val="none"/>
              </w:rPr>
              <w:t>.1</w:t>
            </w:r>
          </w:p>
        </w:tc>
        <w:tc>
          <w:tcPr>
            <w:tcW w:w="6696" w:type="dxa"/>
          </w:tcPr>
          <w:p w14:paraId="1B02FCC2">
            <w:pPr>
              <w:snapToGrid w:val="0"/>
              <w:spacing w:line="360" w:lineRule="auto"/>
              <w:rPr>
                <w:rFonts w:hint="eastAsia" w:ascii="宋体" w:hAnsi="宋体" w:eastAsia="宋体" w:cs="宋体"/>
                <w:b/>
                <w:bCs/>
                <w:color w:val="auto"/>
                <w:sz w:val="24"/>
                <w:szCs w:val="24"/>
                <w:highlight w:val="none"/>
                <w:lang w:bidi="ar"/>
              </w:rPr>
            </w:pPr>
            <w:r>
              <w:rPr>
                <w:rFonts w:hint="eastAsia" w:ascii="宋体" w:hAnsi="宋体" w:eastAsia="宋体" w:cs="宋体"/>
                <w:b/>
                <w:bCs/>
                <w:color w:val="auto"/>
                <w:sz w:val="24"/>
                <w:szCs w:val="24"/>
                <w:highlight w:val="none"/>
                <w:lang w:bidi="ar"/>
              </w:rPr>
              <w:t>演示内容和要求：</w:t>
            </w:r>
          </w:p>
          <w:p w14:paraId="10D3FA84">
            <w:pPr>
              <w:snapToGrid w:val="0"/>
              <w:spacing w:line="360" w:lineRule="auto"/>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（一）演示内容</w:t>
            </w:r>
          </w:p>
          <w:p w14:paraId="6BBF1466">
            <w:pPr>
              <w:snapToGrid w:val="0"/>
              <w:spacing w:line="360" w:lineRule="auto"/>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演示法规数据采集管理模块，包括采集数据管理列表、手动采集和补录数据等；</w:t>
            </w:r>
          </w:p>
          <w:p w14:paraId="6BB18268">
            <w:pPr>
              <w:snapToGrid w:val="0"/>
              <w:spacing w:line="360" w:lineRule="auto"/>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（二）评分要求</w:t>
            </w:r>
          </w:p>
          <w:p w14:paraId="61F90BA1">
            <w:pPr>
              <w:snapToGrid w:val="0"/>
              <w:spacing w:line="360" w:lineRule="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bidi="ar"/>
              </w:rPr>
              <w:t>演示内容完全满足采购需求的得2分；功能、演示内容与采购需求有偏差的得1分；无演示或演示全部不满足采购需求的不得分。</w:t>
            </w:r>
          </w:p>
        </w:tc>
        <w:tc>
          <w:tcPr>
            <w:tcW w:w="513" w:type="dxa"/>
            <w:shd w:val="clear" w:color="auto" w:fill="auto"/>
            <w:vAlign w:val="center"/>
          </w:tcPr>
          <w:p w14:paraId="26A1F475">
            <w:pPr>
              <w:widowControl/>
              <w:spacing w:line="360" w:lineRule="auto"/>
              <w:jc w:val="center"/>
              <w:textAlignment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2</w:t>
            </w:r>
          </w:p>
        </w:tc>
        <w:tc>
          <w:tcPr>
            <w:tcW w:w="779" w:type="dxa"/>
            <w:vAlign w:val="center"/>
          </w:tcPr>
          <w:p w14:paraId="20B27177">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客观分</w:t>
            </w:r>
          </w:p>
        </w:tc>
      </w:tr>
      <w:tr w14:paraId="39D4A6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6" w:type="dxa"/>
            <w:vAlign w:val="center"/>
          </w:tcPr>
          <w:p w14:paraId="10201A04">
            <w:pPr>
              <w:snapToGrid w:val="0"/>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10.2</w:t>
            </w:r>
          </w:p>
        </w:tc>
        <w:tc>
          <w:tcPr>
            <w:tcW w:w="6696" w:type="dxa"/>
          </w:tcPr>
          <w:p w14:paraId="2DB635C5">
            <w:pPr>
              <w:snapToGrid w:val="0"/>
              <w:spacing w:line="360" w:lineRule="auto"/>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（一）演示内容</w:t>
            </w:r>
          </w:p>
          <w:p w14:paraId="26B00ED2">
            <w:pPr>
              <w:snapToGrid w:val="0"/>
              <w:spacing w:line="360" w:lineRule="auto"/>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演示法规数据加工管理模块，包括文本自动识别解析、解析结果校对、法规沿革关系管理、法规关联关系管理、通用标签维护等；且需提供法规沿革关系缺失数据处理机制说明或整体流程。</w:t>
            </w:r>
          </w:p>
          <w:p w14:paraId="1FA12997">
            <w:pPr>
              <w:snapToGrid w:val="0"/>
              <w:spacing w:line="360" w:lineRule="auto"/>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（二）评分要求</w:t>
            </w:r>
          </w:p>
          <w:p w14:paraId="623D173F">
            <w:pPr>
              <w:snapToGrid w:val="0"/>
              <w:spacing w:line="360" w:lineRule="auto"/>
              <w:rPr>
                <w:rFonts w:hint="eastAsia" w:ascii="宋体" w:hAnsi="宋体" w:eastAsia="宋体" w:cs="宋体"/>
                <w:color w:val="auto"/>
                <w:sz w:val="24"/>
                <w:szCs w:val="24"/>
                <w:highlight w:val="none"/>
                <w:lang w:eastAsia="zh-CN" w:bidi="ar"/>
              </w:rPr>
            </w:pPr>
            <w:r>
              <w:rPr>
                <w:rFonts w:hint="eastAsia" w:ascii="宋体" w:hAnsi="宋体" w:cs="宋体"/>
                <w:color w:val="auto"/>
                <w:sz w:val="24"/>
                <w:szCs w:val="24"/>
                <w:highlight w:val="none"/>
                <w:lang w:eastAsia="zh-CN" w:bidi="ar"/>
              </w:rPr>
              <w:t>演示内容完全满足采购需求的得2分；功能、演示内容与采购需求有偏差的得1分；无演示或演示全部不满足采购需求的不得分。</w:t>
            </w:r>
          </w:p>
        </w:tc>
        <w:tc>
          <w:tcPr>
            <w:tcW w:w="513" w:type="dxa"/>
            <w:shd w:val="clear" w:color="auto" w:fill="auto"/>
            <w:vAlign w:val="center"/>
          </w:tcPr>
          <w:p w14:paraId="2CA84FED">
            <w:pPr>
              <w:widowControl/>
              <w:spacing w:line="360" w:lineRule="auto"/>
              <w:jc w:val="center"/>
              <w:textAlignment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w:t>
            </w:r>
          </w:p>
        </w:tc>
        <w:tc>
          <w:tcPr>
            <w:tcW w:w="779" w:type="dxa"/>
            <w:vAlign w:val="center"/>
          </w:tcPr>
          <w:p w14:paraId="2535D5F2">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客观分</w:t>
            </w:r>
          </w:p>
        </w:tc>
      </w:tr>
      <w:tr w14:paraId="0179BB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6" w:type="dxa"/>
            <w:vAlign w:val="center"/>
          </w:tcPr>
          <w:p w14:paraId="2CF4977C">
            <w:pPr>
              <w:snapToGrid w:val="0"/>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10.3</w:t>
            </w:r>
          </w:p>
        </w:tc>
        <w:tc>
          <w:tcPr>
            <w:tcW w:w="6696" w:type="dxa"/>
          </w:tcPr>
          <w:p w14:paraId="7FB5A20D">
            <w:pPr>
              <w:snapToGrid w:val="0"/>
              <w:spacing w:line="360" w:lineRule="auto"/>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（一）演示内容</w:t>
            </w:r>
          </w:p>
          <w:p w14:paraId="1F841883">
            <w:pPr>
              <w:snapToGrid w:val="0"/>
              <w:spacing w:line="360" w:lineRule="auto"/>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演示</w:t>
            </w:r>
            <w:r>
              <w:rPr>
                <w:rFonts w:hint="eastAsia" w:ascii="宋体" w:hAnsi="宋体" w:cs="宋体"/>
                <w:color w:val="auto"/>
                <w:sz w:val="24"/>
                <w:szCs w:val="24"/>
                <w:highlight w:val="none"/>
                <w:lang w:val="en-US" w:eastAsia="zh-CN" w:bidi="ar"/>
              </w:rPr>
              <w:t>法规</w:t>
            </w:r>
            <w:r>
              <w:rPr>
                <w:rFonts w:hint="eastAsia" w:ascii="宋体" w:hAnsi="宋体" w:eastAsia="宋体" w:cs="宋体"/>
                <w:color w:val="auto"/>
                <w:sz w:val="24"/>
                <w:szCs w:val="24"/>
                <w:highlight w:val="none"/>
                <w:lang w:bidi="ar"/>
              </w:rPr>
              <w:t>数据入库管理模块，包括法律法规字典（入库数据列表）。</w:t>
            </w:r>
          </w:p>
          <w:p w14:paraId="12CF4168">
            <w:pPr>
              <w:snapToGrid w:val="0"/>
              <w:spacing w:line="360" w:lineRule="auto"/>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（二）评分要求</w:t>
            </w:r>
          </w:p>
          <w:p w14:paraId="3E459A65">
            <w:pPr>
              <w:snapToGrid w:val="0"/>
              <w:spacing w:line="360" w:lineRule="auto"/>
              <w:rPr>
                <w:rFonts w:hint="eastAsia" w:ascii="宋体" w:hAnsi="宋体" w:eastAsia="宋体" w:cs="宋体"/>
                <w:color w:val="auto"/>
                <w:sz w:val="24"/>
                <w:szCs w:val="24"/>
                <w:highlight w:val="none"/>
                <w:lang w:eastAsia="zh-CN" w:bidi="ar"/>
              </w:rPr>
            </w:pPr>
            <w:r>
              <w:rPr>
                <w:rFonts w:hint="eastAsia" w:ascii="宋体" w:hAnsi="宋体" w:cs="宋体"/>
                <w:color w:val="auto"/>
                <w:sz w:val="24"/>
                <w:szCs w:val="24"/>
                <w:highlight w:val="none"/>
                <w:lang w:eastAsia="zh-CN" w:bidi="ar"/>
              </w:rPr>
              <w:t>演示内容完全满足采购需求的得2分；功能、演示内容与采购需求有偏差的得1分；无演示或演示全部不满足采购需求的不得分。</w:t>
            </w:r>
          </w:p>
        </w:tc>
        <w:tc>
          <w:tcPr>
            <w:tcW w:w="513" w:type="dxa"/>
            <w:shd w:val="clear" w:color="auto" w:fill="auto"/>
            <w:vAlign w:val="center"/>
          </w:tcPr>
          <w:p w14:paraId="5033D4A8">
            <w:pPr>
              <w:widowControl/>
              <w:spacing w:line="360" w:lineRule="auto"/>
              <w:jc w:val="center"/>
              <w:textAlignment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w:t>
            </w:r>
          </w:p>
        </w:tc>
        <w:tc>
          <w:tcPr>
            <w:tcW w:w="779" w:type="dxa"/>
            <w:vAlign w:val="center"/>
          </w:tcPr>
          <w:p w14:paraId="58E5A72A">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客观分</w:t>
            </w:r>
          </w:p>
        </w:tc>
      </w:tr>
      <w:tr w14:paraId="67F8A5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6" w:type="dxa"/>
            <w:vAlign w:val="center"/>
          </w:tcPr>
          <w:p w14:paraId="3FBED0B7">
            <w:pPr>
              <w:snapToGrid w:val="0"/>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10.4</w:t>
            </w:r>
          </w:p>
        </w:tc>
        <w:tc>
          <w:tcPr>
            <w:tcW w:w="6696" w:type="dxa"/>
          </w:tcPr>
          <w:p w14:paraId="41EE4513">
            <w:pPr>
              <w:snapToGrid w:val="0"/>
              <w:spacing w:line="360" w:lineRule="auto"/>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（一）演示内容</w:t>
            </w:r>
          </w:p>
          <w:p w14:paraId="48108ABA">
            <w:pPr>
              <w:snapToGrid w:val="0"/>
              <w:spacing w:line="360" w:lineRule="auto"/>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演示法规数据运营门户模块，包括法律法规数据概览。</w:t>
            </w:r>
          </w:p>
          <w:p w14:paraId="174D9C7B">
            <w:pPr>
              <w:snapToGrid w:val="0"/>
              <w:spacing w:line="360" w:lineRule="auto"/>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（二）评分要求</w:t>
            </w:r>
          </w:p>
          <w:p w14:paraId="5530E45A">
            <w:pPr>
              <w:snapToGrid w:val="0"/>
              <w:spacing w:line="360" w:lineRule="auto"/>
              <w:rPr>
                <w:rFonts w:hint="eastAsia" w:ascii="宋体" w:hAnsi="宋体" w:eastAsia="宋体" w:cs="宋体"/>
                <w:color w:val="auto"/>
                <w:sz w:val="24"/>
                <w:szCs w:val="24"/>
                <w:highlight w:val="none"/>
                <w:lang w:eastAsia="zh-CN" w:bidi="ar"/>
              </w:rPr>
            </w:pPr>
            <w:r>
              <w:rPr>
                <w:rFonts w:hint="eastAsia" w:ascii="宋体" w:hAnsi="宋体" w:cs="宋体"/>
                <w:color w:val="auto"/>
                <w:sz w:val="24"/>
                <w:szCs w:val="24"/>
                <w:highlight w:val="none"/>
                <w:lang w:eastAsia="zh-CN" w:bidi="ar"/>
              </w:rPr>
              <w:t>演示内容完全满足采购需求的得2分；功能、演示内容与采购需求有偏差的得1分；无演示或演示全部不满足采购需求的不得分。</w:t>
            </w:r>
          </w:p>
        </w:tc>
        <w:tc>
          <w:tcPr>
            <w:tcW w:w="513" w:type="dxa"/>
            <w:shd w:val="clear" w:color="auto" w:fill="auto"/>
            <w:vAlign w:val="center"/>
          </w:tcPr>
          <w:p w14:paraId="48872BEB">
            <w:pPr>
              <w:widowControl/>
              <w:spacing w:line="360" w:lineRule="auto"/>
              <w:jc w:val="center"/>
              <w:textAlignment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w:t>
            </w:r>
          </w:p>
        </w:tc>
        <w:tc>
          <w:tcPr>
            <w:tcW w:w="779" w:type="dxa"/>
            <w:vAlign w:val="center"/>
          </w:tcPr>
          <w:p w14:paraId="321A8B13">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客观分</w:t>
            </w:r>
          </w:p>
        </w:tc>
      </w:tr>
      <w:tr w14:paraId="3D9309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6" w:type="dxa"/>
            <w:vAlign w:val="center"/>
          </w:tcPr>
          <w:p w14:paraId="24BC7B5F">
            <w:pPr>
              <w:snapToGrid w:val="0"/>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10.5</w:t>
            </w:r>
          </w:p>
        </w:tc>
        <w:tc>
          <w:tcPr>
            <w:tcW w:w="6696" w:type="dxa"/>
          </w:tcPr>
          <w:p w14:paraId="52AE062F">
            <w:pPr>
              <w:snapToGrid w:val="0"/>
              <w:spacing w:line="360" w:lineRule="auto"/>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（一）演示内容</w:t>
            </w:r>
          </w:p>
          <w:p w14:paraId="63AF9CAC">
            <w:pPr>
              <w:snapToGrid w:val="0"/>
              <w:spacing w:line="360" w:lineRule="auto"/>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法律依据加工管理模块，包含关键词标签体系管理、依据数据自动解析、依据数据解析结果校对。</w:t>
            </w:r>
          </w:p>
          <w:p w14:paraId="468C870E">
            <w:pPr>
              <w:snapToGrid w:val="0"/>
              <w:spacing w:line="360" w:lineRule="auto"/>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（二）评分要求</w:t>
            </w:r>
          </w:p>
          <w:p w14:paraId="3148109E">
            <w:pPr>
              <w:snapToGrid w:val="0"/>
              <w:spacing w:line="360" w:lineRule="auto"/>
              <w:rPr>
                <w:rFonts w:hint="eastAsia" w:ascii="宋体" w:hAnsi="宋体" w:eastAsia="宋体" w:cs="宋体"/>
                <w:color w:val="auto"/>
                <w:sz w:val="24"/>
                <w:szCs w:val="24"/>
                <w:highlight w:val="none"/>
                <w:lang w:eastAsia="zh-CN" w:bidi="ar"/>
              </w:rPr>
            </w:pPr>
            <w:r>
              <w:rPr>
                <w:rFonts w:hint="eastAsia" w:ascii="宋体" w:hAnsi="宋体" w:cs="宋体"/>
                <w:color w:val="auto"/>
                <w:sz w:val="24"/>
                <w:szCs w:val="24"/>
                <w:highlight w:val="none"/>
                <w:lang w:eastAsia="zh-CN" w:bidi="ar"/>
              </w:rPr>
              <w:t>演示内容完全满足采购需求的得2分；功能、演示内容与采购需求有偏差的得1分；无演示或演示全部不满足采购需求的不得分。</w:t>
            </w:r>
          </w:p>
        </w:tc>
        <w:tc>
          <w:tcPr>
            <w:tcW w:w="513" w:type="dxa"/>
            <w:shd w:val="clear" w:color="auto" w:fill="auto"/>
            <w:vAlign w:val="center"/>
          </w:tcPr>
          <w:p w14:paraId="6A65FE5F">
            <w:pPr>
              <w:widowControl/>
              <w:spacing w:line="360" w:lineRule="auto"/>
              <w:jc w:val="center"/>
              <w:textAlignment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w:t>
            </w:r>
          </w:p>
        </w:tc>
        <w:tc>
          <w:tcPr>
            <w:tcW w:w="779" w:type="dxa"/>
            <w:vAlign w:val="center"/>
          </w:tcPr>
          <w:p w14:paraId="1175AECD">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客观分</w:t>
            </w:r>
          </w:p>
        </w:tc>
      </w:tr>
      <w:tr w14:paraId="2E0920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6" w:type="dxa"/>
            <w:vAlign w:val="center"/>
          </w:tcPr>
          <w:p w14:paraId="3CC20D68">
            <w:pPr>
              <w:snapToGrid w:val="0"/>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10.6</w:t>
            </w:r>
          </w:p>
        </w:tc>
        <w:tc>
          <w:tcPr>
            <w:tcW w:w="6696" w:type="dxa"/>
          </w:tcPr>
          <w:p w14:paraId="58956BE1">
            <w:pPr>
              <w:numPr>
                <w:ilvl w:val="-1"/>
                <w:numId w:val="0"/>
              </w:numPr>
              <w:snapToGrid w:val="0"/>
              <w:spacing w:line="360" w:lineRule="auto"/>
              <w:rPr>
                <w:rFonts w:hint="eastAsia" w:ascii="宋体" w:hAnsi="宋体" w:eastAsia="宋体" w:cs="宋体"/>
                <w:color w:val="auto"/>
                <w:sz w:val="24"/>
                <w:szCs w:val="24"/>
                <w:highlight w:val="none"/>
                <w:lang w:bidi="ar"/>
              </w:rPr>
            </w:pPr>
            <w:r>
              <w:rPr>
                <w:rFonts w:hint="eastAsia" w:ascii="宋体" w:hAnsi="宋体" w:cs="宋体"/>
                <w:color w:val="auto"/>
                <w:sz w:val="24"/>
                <w:szCs w:val="24"/>
                <w:highlight w:val="none"/>
                <w:lang w:eastAsia="zh-CN" w:bidi="ar"/>
              </w:rPr>
              <w:t>（</w:t>
            </w:r>
            <w:r>
              <w:rPr>
                <w:rFonts w:hint="eastAsia" w:ascii="宋体" w:hAnsi="宋体" w:cs="宋体"/>
                <w:color w:val="auto"/>
                <w:sz w:val="24"/>
                <w:szCs w:val="24"/>
                <w:highlight w:val="none"/>
                <w:lang w:val="en-US" w:eastAsia="zh-CN" w:bidi="ar"/>
              </w:rPr>
              <w:t>一）</w:t>
            </w:r>
            <w:r>
              <w:rPr>
                <w:rFonts w:hint="eastAsia" w:ascii="宋体" w:hAnsi="宋体" w:eastAsia="宋体" w:cs="宋体"/>
                <w:color w:val="auto"/>
                <w:sz w:val="24"/>
                <w:szCs w:val="24"/>
                <w:highlight w:val="none"/>
                <w:lang w:bidi="ar"/>
              </w:rPr>
              <w:t>演示内容</w:t>
            </w:r>
          </w:p>
          <w:p w14:paraId="689A031E">
            <w:pPr>
              <w:pStyle w:val="62"/>
              <w:numPr>
                <w:ilvl w:val="0"/>
                <w:numId w:val="0"/>
              </w:numPr>
              <w:rPr>
                <w:rFonts w:hint="eastAsia" w:eastAsia="宋体"/>
                <w:color w:val="auto"/>
                <w:highlight w:val="none"/>
                <w:lang w:eastAsia="zh-CN"/>
              </w:rPr>
            </w:pPr>
            <w:r>
              <w:rPr>
                <w:rFonts w:hint="eastAsia" w:ascii="宋体" w:hAnsi="宋体" w:eastAsia="宋体" w:cs="宋体"/>
                <w:color w:val="auto"/>
                <w:sz w:val="24"/>
                <w:szCs w:val="24"/>
                <w:highlight w:val="none"/>
                <w:lang w:val="en-US" w:eastAsia="zh-CN"/>
              </w:rPr>
              <w:t>演示</w:t>
            </w:r>
            <w:r>
              <w:rPr>
                <w:rFonts w:hint="eastAsia" w:ascii="宋体" w:hAnsi="宋体" w:eastAsia="宋体" w:cs="宋体"/>
                <w:color w:val="auto"/>
                <w:sz w:val="24"/>
                <w:szCs w:val="24"/>
                <w:highlight w:val="none"/>
              </w:rPr>
              <w:t>法治知识查询前台</w:t>
            </w:r>
            <w:r>
              <w:rPr>
                <w:rFonts w:hint="eastAsia" w:ascii="宋体" w:hAnsi="宋体" w:eastAsia="宋体" w:cs="宋体"/>
                <w:color w:val="auto"/>
                <w:sz w:val="24"/>
                <w:szCs w:val="24"/>
                <w:highlight w:val="none"/>
                <w:lang w:val="en-US" w:eastAsia="zh-CN"/>
              </w:rPr>
              <w:t>模块</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包括</w:t>
            </w:r>
            <w:r>
              <w:rPr>
                <w:rFonts w:hint="eastAsia" w:ascii="宋体" w:hAnsi="宋体" w:eastAsia="宋体" w:cs="宋体"/>
                <w:color w:val="auto"/>
                <w:sz w:val="24"/>
                <w:szCs w:val="24"/>
                <w:highlight w:val="none"/>
              </w:rPr>
              <w:t>历史沿革、引用关系、法规比对</w:t>
            </w:r>
            <w:r>
              <w:rPr>
                <w:rFonts w:hint="eastAsia" w:ascii="宋体" w:hAnsi="宋体" w:eastAsia="宋体" w:cs="宋体"/>
                <w:color w:val="auto"/>
                <w:sz w:val="24"/>
                <w:szCs w:val="24"/>
                <w:highlight w:val="none"/>
                <w:woUserID w:val="1"/>
              </w:rPr>
              <w:t>、规范性文件详情</w:t>
            </w:r>
            <w:r>
              <w:rPr>
                <w:rFonts w:hint="eastAsia" w:cs="宋体"/>
                <w:color w:val="auto"/>
                <w:sz w:val="24"/>
                <w:szCs w:val="24"/>
                <w:highlight w:val="none"/>
                <w:lang w:eastAsia="zh-CN"/>
                <w:woUserID w:val="1"/>
              </w:rPr>
              <w:t>。</w:t>
            </w:r>
          </w:p>
          <w:p w14:paraId="0A992B3C">
            <w:pPr>
              <w:snapToGrid w:val="0"/>
              <w:spacing w:line="360" w:lineRule="auto"/>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（二）评分要求</w:t>
            </w:r>
          </w:p>
          <w:p w14:paraId="1C574EAC">
            <w:pPr>
              <w:snapToGrid w:val="0"/>
              <w:spacing w:line="360" w:lineRule="auto"/>
              <w:rPr>
                <w:rFonts w:hint="eastAsia" w:ascii="宋体" w:hAnsi="宋体" w:eastAsia="宋体" w:cs="宋体"/>
                <w:color w:val="auto"/>
                <w:sz w:val="24"/>
                <w:szCs w:val="24"/>
                <w:highlight w:val="none"/>
                <w:lang w:eastAsia="zh-CN" w:bidi="ar"/>
              </w:rPr>
            </w:pPr>
            <w:r>
              <w:rPr>
                <w:rFonts w:hint="eastAsia" w:ascii="宋体" w:hAnsi="宋体" w:cs="宋体"/>
                <w:color w:val="auto"/>
                <w:sz w:val="24"/>
                <w:szCs w:val="24"/>
                <w:highlight w:val="none"/>
                <w:lang w:eastAsia="zh-CN" w:bidi="ar"/>
              </w:rPr>
              <w:t>演示内容完全满足采购需求的得2分；功能、演示内容与采购需求有偏差的得1分；无演示或演示全部不满足采购需求的不得分。</w:t>
            </w:r>
          </w:p>
        </w:tc>
        <w:tc>
          <w:tcPr>
            <w:tcW w:w="513" w:type="dxa"/>
            <w:shd w:val="clear" w:color="auto" w:fill="auto"/>
            <w:vAlign w:val="center"/>
          </w:tcPr>
          <w:p w14:paraId="28D2E82F">
            <w:pPr>
              <w:widowControl/>
              <w:spacing w:line="360" w:lineRule="auto"/>
              <w:jc w:val="center"/>
              <w:textAlignment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w:t>
            </w:r>
          </w:p>
        </w:tc>
        <w:tc>
          <w:tcPr>
            <w:tcW w:w="779" w:type="dxa"/>
            <w:vAlign w:val="center"/>
          </w:tcPr>
          <w:p w14:paraId="4A0F9D0C">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客观分</w:t>
            </w:r>
          </w:p>
        </w:tc>
      </w:tr>
      <w:tr w14:paraId="76C857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6" w:type="dxa"/>
            <w:shd w:val="clear" w:color="auto" w:fill="auto"/>
            <w:vAlign w:val="center"/>
          </w:tcPr>
          <w:p w14:paraId="407682C9">
            <w:pPr>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1</w:t>
            </w:r>
            <w:r>
              <w:rPr>
                <w:rFonts w:hint="eastAsia" w:ascii="宋体" w:hAnsi="宋体" w:cs="宋体"/>
                <w:color w:val="auto"/>
                <w:sz w:val="24"/>
                <w:szCs w:val="24"/>
                <w:highlight w:val="none"/>
                <w:lang w:val="en-US" w:eastAsia="zh-CN"/>
              </w:rPr>
              <w:t>1</w:t>
            </w:r>
          </w:p>
        </w:tc>
        <w:tc>
          <w:tcPr>
            <w:tcW w:w="6696" w:type="dxa"/>
            <w:shd w:val="clear" w:color="auto" w:fill="auto"/>
          </w:tcPr>
          <w:p w14:paraId="613AF341">
            <w:pPr>
              <w:widowControl/>
              <w:spacing w:line="360" w:lineRule="auto"/>
              <w:textAlignment w:val="top"/>
              <w:rPr>
                <w:rFonts w:hint="eastAsia" w:ascii="宋体" w:hAnsi="宋体" w:eastAsia="宋体" w:cs="宋体"/>
                <w:color w:val="auto"/>
                <w:sz w:val="24"/>
                <w:szCs w:val="24"/>
                <w:highlight w:val="none"/>
                <w:lang w:bidi="ar"/>
              </w:rPr>
            </w:pPr>
            <w:r>
              <w:rPr>
                <w:rFonts w:hint="eastAsia" w:ascii="宋体" w:hAnsi="宋体" w:eastAsia="宋体" w:cs="宋体"/>
                <w:color w:val="auto"/>
                <w:kern w:val="0"/>
                <w:sz w:val="24"/>
                <w:szCs w:val="24"/>
                <w:highlight w:val="none"/>
                <w:lang w:bidi="ar"/>
              </w:rPr>
              <w:t>投标人根据采购需求，需提供针对本项目的保密方案</w:t>
            </w:r>
            <w:r>
              <w:rPr>
                <w:rFonts w:hint="eastAsia" w:ascii="宋体" w:hAnsi="宋体" w:cs="宋体"/>
                <w:color w:val="auto"/>
                <w:kern w:val="0"/>
                <w:sz w:val="24"/>
                <w:szCs w:val="24"/>
                <w:highlight w:val="none"/>
                <w:lang w:eastAsia="zh-CN" w:bidi="ar"/>
              </w:rPr>
              <w:t>（</w:t>
            </w:r>
            <w:r>
              <w:rPr>
                <w:rFonts w:hint="eastAsia" w:ascii="宋体" w:hAnsi="宋体" w:eastAsia="宋体" w:cs="宋体"/>
                <w:color w:val="auto"/>
                <w:kern w:val="0"/>
                <w:sz w:val="24"/>
                <w:szCs w:val="24"/>
                <w:highlight w:val="none"/>
                <w:lang w:bidi="ar"/>
              </w:rPr>
              <w:t>包括保密制度、针对流程的保密措施、针对人员的保密措施、针对工作内容的保密措施等)，评标委员会根据响应方案与项目实际要求匹配情况进行评分。（</w:t>
            </w:r>
            <w:r>
              <w:rPr>
                <w:rStyle w:val="375"/>
                <w:rFonts w:hint="eastAsia" w:ascii="宋体" w:hAnsi="宋体" w:eastAsia="宋体" w:cs="宋体"/>
                <w:color w:val="auto"/>
                <w:sz w:val="24"/>
                <w:szCs w:val="24"/>
                <w:highlight w:val="none"/>
                <w:lang w:bidi="ar"/>
              </w:rPr>
              <w:t>分值：</w:t>
            </w:r>
            <w:r>
              <w:rPr>
                <w:rStyle w:val="375"/>
                <w:rFonts w:hint="eastAsia" w:ascii="宋体" w:hAnsi="宋体" w:cs="宋体"/>
                <w:color w:val="auto"/>
                <w:sz w:val="24"/>
                <w:szCs w:val="24"/>
                <w:highlight w:val="none"/>
                <w:lang w:val="en-US" w:eastAsia="zh-CN" w:bidi="ar"/>
              </w:rPr>
              <w:t>4,3，</w:t>
            </w:r>
            <w:r>
              <w:rPr>
                <w:rFonts w:hint="eastAsia" w:ascii="宋体" w:hAnsi="宋体" w:eastAsia="宋体" w:cs="宋体"/>
                <w:color w:val="auto"/>
                <w:kern w:val="0"/>
                <w:sz w:val="24"/>
                <w:szCs w:val="24"/>
                <w:highlight w:val="none"/>
                <w:lang w:bidi="ar"/>
              </w:rPr>
              <w:t>2,1,0）</w:t>
            </w:r>
          </w:p>
        </w:tc>
        <w:tc>
          <w:tcPr>
            <w:tcW w:w="513" w:type="dxa"/>
            <w:shd w:val="clear" w:color="auto" w:fill="auto"/>
            <w:vAlign w:val="center"/>
          </w:tcPr>
          <w:p w14:paraId="28B34906">
            <w:pPr>
              <w:widowControl/>
              <w:spacing w:line="360" w:lineRule="auto"/>
              <w:jc w:val="center"/>
              <w:textAlignment w:val="top"/>
              <w:rPr>
                <w:rFonts w:hint="eastAsia" w:ascii="宋体" w:hAnsi="宋体" w:eastAsia="宋体" w:cs="宋体"/>
                <w:color w:val="auto"/>
                <w:sz w:val="24"/>
                <w:szCs w:val="24"/>
                <w:highlight w:val="none"/>
              </w:rPr>
            </w:pPr>
            <w:r>
              <w:rPr>
                <w:rFonts w:hint="eastAsia" w:ascii="宋体" w:hAnsi="宋体" w:cs="宋体"/>
                <w:color w:val="auto"/>
                <w:kern w:val="0"/>
                <w:sz w:val="24"/>
                <w:szCs w:val="24"/>
                <w:highlight w:val="none"/>
                <w:lang w:val="en-US" w:eastAsia="zh-CN" w:bidi="ar"/>
              </w:rPr>
              <w:t>4</w:t>
            </w:r>
          </w:p>
        </w:tc>
        <w:tc>
          <w:tcPr>
            <w:tcW w:w="779" w:type="dxa"/>
            <w:shd w:val="clear" w:color="auto" w:fill="auto"/>
            <w:vAlign w:val="center"/>
          </w:tcPr>
          <w:p w14:paraId="12F2F060">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主观分</w:t>
            </w:r>
          </w:p>
        </w:tc>
      </w:tr>
      <w:tr w14:paraId="2A21B0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5" w:hRule="atLeast"/>
        </w:trPr>
        <w:tc>
          <w:tcPr>
            <w:tcW w:w="936" w:type="dxa"/>
            <w:vAlign w:val="center"/>
          </w:tcPr>
          <w:p w14:paraId="539BE907">
            <w:pPr>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1</w:t>
            </w:r>
            <w:r>
              <w:rPr>
                <w:rFonts w:hint="eastAsia" w:ascii="宋体" w:hAnsi="宋体" w:cs="宋体"/>
                <w:color w:val="auto"/>
                <w:sz w:val="24"/>
                <w:szCs w:val="24"/>
                <w:highlight w:val="none"/>
                <w:lang w:val="en-US" w:eastAsia="zh-CN"/>
              </w:rPr>
              <w:t>2</w:t>
            </w:r>
          </w:p>
        </w:tc>
        <w:tc>
          <w:tcPr>
            <w:tcW w:w="6696" w:type="dxa"/>
          </w:tcPr>
          <w:p w14:paraId="5496DE1E">
            <w:pPr>
              <w:widowControl/>
              <w:shd w:val="clear" w:color="auto" w:fill="FFFFFF"/>
              <w:adjustRightInd/>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有效投标报价的最低价作为评标基准价，其最低报价为满分；按［投标报价得分=（评标基准价/投标报价）*10］的计算公式计算。</w:t>
            </w:r>
          </w:p>
          <w:p w14:paraId="7C1228B1">
            <w:pPr>
              <w:widowControl/>
              <w:shd w:val="clear" w:color="auto" w:fill="FFFFFF"/>
              <w:adjustRightInd/>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评标过程中，不得去掉报价中的最高报价和最低报价。</w:t>
            </w:r>
          </w:p>
          <w:p w14:paraId="0EAFE1A4">
            <w:pPr>
              <w:widowControl/>
              <w:shd w:val="clear" w:color="auto" w:fill="FFFFFF"/>
              <w:adjustRightInd/>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w:t>
            </w:r>
          </w:p>
        </w:tc>
        <w:tc>
          <w:tcPr>
            <w:tcW w:w="513" w:type="dxa"/>
            <w:vAlign w:val="center"/>
          </w:tcPr>
          <w:p w14:paraId="0AFAF2A2">
            <w:pPr>
              <w:spacing w:line="360" w:lineRule="auto"/>
              <w:jc w:val="center"/>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w:t>
            </w:r>
          </w:p>
        </w:tc>
        <w:tc>
          <w:tcPr>
            <w:tcW w:w="779" w:type="dxa"/>
            <w:vAlign w:val="center"/>
          </w:tcPr>
          <w:p w14:paraId="7D6C0B38">
            <w:pPr>
              <w:spacing w:line="360" w:lineRule="auto"/>
              <w:jc w:val="center"/>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统一评分</w:t>
            </w:r>
          </w:p>
        </w:tc>
      </w:tr>
    </w:tbl>
    <w:p w14:paraId="5066E8D0">
      <w:pPr>
        <w:pStyle w:val="24"/>
        <w:rPr>
          <w:rFonts w:hint="default"/>
          <w:color w:val="auto"/>
          <w:highlight w:val="none"/>
          <w:lang w:val="en-US" w:eastAsia="zh-CN"/>
        </w:rPr>
      </w:pPr>
    </w:p>
    <w:p w14:paraId="36B3879C">
      <w:pPr>
        <w:pStyle w:val="25"/>
        <w:ind w:left="0" w:leftChars="0" w:firstLine="0" w:firstLineChars="0"/>
        <w:jc w:val="center"/>
        <w:rPr>
          <w:rFonts w:hint="eastAsia" w:hAnsi="宋体" w:cs="宋体"/>
          <w:b/>
          <w:color w:val="auto"/>
          <w:sz w:val="32"/>
          <w:highlight w:val="none"/>
          <w:lang w:val="en-US" w:eastAsia="zh-CN"/>
        </w:rPr>
      </w:pPr>
      <w:r>
        <w:rPr>
          <w:rFonts w:hint="eastAsia" w:hAnsi="宋体" w:cs="宋体"/>
          <w:b/>
          <w:color w:val="auto"/>
          <w:sz w:val="32"/>
          <w:highlight w:val="none"/>
          <w:lang w:val="en-US" w:eastAsia="zh-CN"/>
        </w:rPr>
        <w:t>标项二</w:t>
      </w:r>
      <w:r>
        <w:rPr>
          <w:rFonts w:hint="eastAsia" w:ascii="宋体" w:hAnsi="宋体" w:cs="宋体"/>
          <w:b/>
          <w:color w:val="auto"/>
          <w:sz w:val="32"/>
          <w:szCs w:val="20"/>
          <w:highlight w:val="none"/>
        </w:rPr>
        <w:t>评标办法</w:t>
      </w:r>
    </w:p>
    <w:tbl>
      <w:tblPr>
        <w:tblStyle w:val="63"/>
        <w:tblW w:w="960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6"/>
        <w:gridCol w:w="700"/>
        <w:gridCol w:w="6980"/>
        <w:gridCol w:w="509"/>
        <w:gridCol w:w="887"/>
      </w:tblGrid>
      <w:tr w14:paraId="1DEACF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526" w:type="dxa"/>
            <w:tcBorders>
              <w:top w:val="single" w:color="auto" w:sz="4" w:space="0"/>
              <w:left w:val="single" w:color="auto" w:sz="4" w:space="0"/>
              <w:bottom w:val="single" w:color="auto" w:sz="4" w:space="0"/>
              <w:right w:val="single" w:color="auto" w:sz="4" w:space="0"/>
            </w:tcBorders>
            <w:noWrap w:val="0"/>
            <w:vAlign w:val="center"/>
          </w:tcPr>
          <w:p w14:paraId="5CFE625F">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7680" w:type="dxa"/>
            <w:gridSpan w:val="2"/>
            <w:tcBorders>
              <w:top w:val="single" w:color="auto" w:sz="4" w:space="0"/>
              <w:left w:val="single" w:color="auto" w:sz="4" w:space="0"/>
              <w:bottom w:val="single" w:color="auto" w:sz="4" w:space="0"/>
              <w:right w:val="single" w:color="auto" w:sz="4" w:space="0"/>
            </w:tcBorders>
            <w:noWrap w:val="0"/>
            <w:vAlign w:val="center"/>
          </w:tcPr>
          <w:p w14:paraId="0D7D8197">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评分内容</w:t>
            </w:r>
          </w:p>
        </w:tc>
        <w:tc>
          <w:tcPr>
            <w:tcW w:w="509" w:type="dxa"/>
            <w:tcBorders>
              <w:top w:val="single" w:color="auto" w:sz="4" w:space="0"/>
              <w:left w:val="single" w:color="auto" w:sz="4" w:space="0"/>
              <w:bottom w:val="single" w:color="auto" w:sz="4" w:space="0"/>
              <w:right w:val="single" w:color="auto" w:sz="4" w:space="0"/>
            </w:tcBorders>
            <w:noWrap w:val="0"/>
            <w:vAlign w:val="center"/>
          </w:tcPr>
          <w:p w14:paraId="4050897A">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分值</w:t>
            </w:r>
          </w:p>
        </w:tc>
        <w:tc>
          <w:tcPr>
            <w:tcW w:w="887" w:type="dxa"/>
            <w:tcBorders>
              <w:top w:val="single" w:color="auto" w:sz="4" w:space="0"/>
              <w:left w:val="single" w:color="auto" w:sz="4" w:space="0"/>
              <w:bottom w:val="single" w:color="auto" w:sz="4" w:space="0"/>
              <w:right w:val="single" w:color="auto" w:sz="4" w:space="0"/>
            </w:tcBorders>
            <w:noWrap w:val="0"/>
            <w:vAlign w:val="center"/>
          </w:tcPr>
          <w:p w14:paraId="33BC9F5B">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评分属性</w:t>
            </w:r>
          </w:p>
        </w:tc>
      </w:tr>
      <w:tr w14:paraId="475E78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26" w:type="dxa"/>
            <w:tcBorders>
              <w:top w:val="single" w:color="auto" w:sz="4" w:space="0"/>
              <w:left w:val="single" w:color="auto" w:sz="4" w:space="0"/>
              <w:bottom w:val="single" w:color="auto" w:sz="4" w:space="0"/>
              <w:right w:val="single" w:color="auto" w:sz="4" w:space="0"/>
            </w:tcBorders>
            <w:noWrap w:val="0"/>
            <w:vAlign w:val="center"/>
          </w:tcPr>
          <w:p w14:paraId="6F826648">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23AC7044">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商务</w:t>
            </w:r>
          </w:p>
        </w:tc>
        <w:tc>
          <w:tcPr>
            <w:tcW w:w="6980" w:type="dxa"/>
            <w:tcBorders>
              <w:top w:val="single" w:color="auto" w:sz="4" w:space="0"/>
              <w:left w:val="single" w:color="auto" w:sz="4" w:space="0"/>
              <w:bottom w:val="single" w:color="auto" w:sz="4" w:space="0"/>
              <w:right w:val="single" w:color="auto" w:sz="4" w:space="0"/>
            </w:tcBorders>
            <w:noWrap w:val="0"/>
            <w:vAlign w:val="center"/>
          </w:tcPr>
          <w:p w14:paraId="1AF8E3BF">
            <w:pPr>
              <w:keepNext w:val="0"/>
              <w:keepLines w:val="0"/>
              <w:pageBreakBefore w:val="0"/>
              <w:widowControl w:val="0"/>
              <w:kinsoku/>
              <w:wordWrap/>
              <w:overflowPunct/>
              <w:topLinePunct w:val="0"/>
              <w:autoSpaceDE/>
              <w:autoSpaceDN/>
              <w:bidi w:val="0"/>
              <w:snapToGrid w:val="0"/>
              <w:spacing w:line="360" w:lineRule="auto"/>
              <w:ind w:firstLine="0" w:firstLineChars="0"/>
              <w:jc w:val="left"/>
              <w:textAlignment w:val="auto"/>
              <w:rPr>
                <w:rFonts w:hint="eastAsia" w:ascii="宋体" w:hAnsi="宋体" w:eastAsia="宋体" w:cs="宋体"/>
                <w:bCs/>
                <w:color w:val="auto"/>
                <w:sz w:val="24"/>
                <w:szCs w:val="24"/>
                <w:highlight w:val="none"/>
                <w:lang w:val="en-US" w:eastAsia="zh-CN" w:bidi="ar"/>
              </w:rPr>
            </w:pPr>
            <w:r>
              <w:rPr>
                <w:rFonts w:hint="eastAsia" w:ascii="宋体" w:hAnsi="宋体" w:cs="宋体"/>
                <w:bCs/>
                <w:color w:val="auto"/>
                <w:sz w:val="24"/>
                <w:szCs w:val="24"/>
                <w:highlight w:val="none"/>
                <w:lang w:val="en-US" w:eastAsia="zh-CN" w:bidi="ar"/>
              </w:rPr>
              <w:t>投标人</w:t>
            </w:r>
            <w:r>
              <w:rPr>
                <w:rFonts w:hint="eastAsia" w:ascii="宋体" w:hAnsi="宋体" w:eastAsia="宋体" w:cs="宋体"/>
                <w:bCs/>
                <w:color w:val="auto"/>
                <w:sz w:val="24"/>
                <w:szCs w:val="24"/>
                <w:highlight w:val="none"/>
                <w:lang w:bidi="ar"/>
              </w:rPr>
              <w:t>具备质量管理体</w:t>
            </w:r>
            <w:r>
              <w:rPr>
                <w:rFonts w:hint="eastAsia" w:ascii="宋体" w:hAnsi="宋体" w:eastAsia="宋体" w:cs="宋体"/>
                <w:b w:val="0"/>
                <w:bCs/>
                <w:color w:val="auto"/>
                <w:sz w:val="24"/>
                <w:szCs w:val="24"/>
                <w:highlight w:val="none"/>
                <w:lang w:bidi="ar"/>
              </w:rPr>
              <w:t>系ISO 9001认证、信息安全管理体系ISO/IEC 27001认证、ISO/IEC 20000（信</w:t>
            </w:r>
            <w:r>
              <w:rPr>
                <w:rFonts w:hint="eastAsia" w:ascii="宋体" w:hAnsi="宋体" w:eastAsia="宋体" w:cs="宋体"/>
                <w:bCs/>
                <w:color w:val="auto"/>
                <w:sz w:val="24"/>
                <w:szCs w:val="24"/>
                <w:highlight w:val="none"/>
                <w:lang w:bidi="ar"/>
              </w:rPr>
              <w:t>息技术服务管理体系）认证</w:t>
            </w:r>
            <w:r>
              <w:rPr>
                <w:rFonts w:hint="eastAsia" w:ascii="宋体" w:hAnsi="宋体" w:eastAsia="宋体" w:cs="宋体"/>
                <w:bCs/>
                <w:color w:val="auto"/>
                <w:sz w:val="24"/>
                <w:szCs w:val="24"/>
                <w:highlight w:val="none"/>
                <w:lang w:val="en-US" w:eastAsia="zh-CN" w:bidi="ar"/>
              </w:rPr>
              <w:t>包含信息技术等与本项目合同履约相关</w:t>
            </w:r>
            <w:r>
              <w:rPr>
                <w:rFonts w:hint="eastAsia" w:ascii="宋体" w:hAnsi="宋体" w:eastAsia="宋体" w:cs="宋体"/>
                <w:bCs/>
                <w:color w:val="auto"/>
                <w:sz w:val="24"/>
                <w:szCs w:val="24"/>
                <w:highlight w:val="none"/>
                <w:lang w:bidi="ar"/>
              </w:rPr>
              <w:t>的，</w:t>
            </w:r>
            <w:r>
              <w:rPr>
                <w:rFonts w:hint="eastAsia" w:ascii="宋体" w:hAnsi="宋体" w:eastAsia="宋体" w:cs="宋体"/>
                <w:bCs/>
                <w:color w:val="auto"/>
                <w:sz w:val="24"/>
                <w:szCs w:val="24"/>
                <w:highlight w:val="none"/>
                <w:lang w:val="en-US" w:eastAsia="zh-CN" w:bidi="ar"/>
              </w:rPr>
              <w:t>每个证书得1分，最高得3分</w:t>
            </w:r>
            <w:r>
              <w:rPr>
                <w:rFonts w:hint="eastAsia" w:ascii="宋体" w:hAnsi="宋体" w:eastAsia="宋体" w:cs="宋体"/>
                <w:bCs/>
                <w:color w:val="auto"/>
                <w:sz w:val="24"/>
                <w:szCs w:val="24"/>
                <w:highlight w:val="none"/>
                <w:lang w:bidi="ar"/>
              </w:rPr>
              <w:t>（需提供全国认证认可信息公共服务平台http://cx.cnca.cn/CertECloud/result/skipResultList）查询结果截图作为证明材料，未提供或证明材料不完善的不得分）。</w:t>
            </w:r>
          </w:p>
        </w:tc>
        <w:tc>
          <w:tcPr>
            <w:tcW w:w="509" w:type="dxa"/>
            <w:tcBorders>
              <w:top w:val="single" w:color="auto" w:sz="4" w:space="0"/>
              <w:left w:val="single" w:color="auto" w:sz="4" w:space="0"/>
              <w:bottom w:val="single" w:color="auto" w:sz="4" w:space="0"/>
              <w:right w:val="single" w:color="auto" w:sz="4" w:space="0"/>
            </w:tcBorders>
            <w:noWrap w:val="0"/>
            <w:vAlign w:val="center"/>
          </w:tcPr>
          <w:p w14:paraId="27475B40">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p>
        </w:tc>
        <w:tc>
          <w:tcPr>
            <w:tcW w:w="887" w:type="dxa"/>
            <w:tcBorders>
              <w:top w:val="single" w:color="auto" w:sz="4" w:space="0"/>
              <w:left w:val="single" w:color="auto" w:sz="4" w:space="0"/>
              <w:bottom w:val="single" w:color="auto" w:sz="4" w:space="0"/>
              <w:right w:val="single" w:color="auto" w:sz="4" w:space="0"/>
            </w:tcBorders>
            <w:noWrap w:val="0"/>
            <w:vAlign w:val="center"/>
          </w:tcPr>
          <w:p w14:paraId="64D5E211">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客观分</w:t>
            </w:r>
          </w:p>
        </w:tc>
      </w:tr>
      <w:tr w14:paraId="30926F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26" w:type="dxa"/>
            <w:tcBorders>
              <w:top w:val="single" w:color="auto" w:sz="4" w:space="0"/>
              <w:left w:val="single" w:color="auto" w:sz="4" w:space="0"/>
              <w:bottom w:val="single" w:color="auto" w:sz="4" w:space="0"/>
              <w:right w:val="single" w:color="auto" w:sz="4" w:space="0"/>
            </w:tcBorders>
            <w:noWrap w:val="0"/>
            <w:vAlign w:val="center"/>
          </w:tcPr>
          <w:p w14:paraId="152915AA">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00ECE199">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商务</w:t>
            </w:r>
          </w:p>
        </w:tc>
        <w:tc>
          <w:tcPr>
            <w:tcW w:w="6980" w:type="dxa"/>
            <w:tcBorders>
              <w:top w:val="single" w:color="auto" w:sz="4" w:space="0"/>
              <w:left w:val="single" w:color="auto" w:sz="4" w:space="0"/>
              <w:bottom w:val="single" w:color="auto" w:sz="4" w:space="0"/>
              <w:right w:val="single" w:color="auto" w:sz="4" w:space="0"/>
            </w:tcBorders>
            <w:noWrap w:val="0"/>
            <w:vAlign w:val="center"/>
          </w:tcPr>
          <w:p w14:paraId="5CA797D9">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bidi="ar"/>
              </w:rPr>
              <w:t>自</w:t>
            </w:r>
            <w:r>
              <w:rPr>
                <w:rFonts w:hint="eastAsia" w:ascii="宋体" w:hAnsi="宋体" w:eastAsia="宋体" w:cs="宋体"/>
                <w:bCs/>
                <w:color w:val="auto"/>
                <w:sz w:val="24"/>
                <w:szCs w:val="24"/>
                <w:highlight w:val="none"/>
                <w:lang w:bidi="ar"/>
              </w:rPr>
              <w:t>202</w:t>
            </w:r>
            <w:r>
              <w:rPr>
                <w:rFonts w:hint="eastAsia" w:ascii="宋体" w:hAnsi="宋体" w:cs="宋体"/>
                <w:bCs/>
                <w:color w:val="auto"/>
                <w:sz w:val="24"/>
                <w:szCs w:val="24"/>
                <w:highlight w:val="none"/>
                <w:lang w:val="en-US" w:eastAsia="zh-CN" w:bidi="ar"/>
              </w:rPr>
              <w:t>2</w:t>
            </w:r>
            <w:r>
              <w:rPr>
                <w:rFonts w:hint="eastAsia" w:ascii="宋体" w:hAnsi="宋体" w:eastAsia="宋体" w:cs="宋体"/>
                <w:bCs/>
                <w:color w:val="auto"/>
                <w:sz w:val="24"/>
                <w:szCs w:val="24"/>
                <w:highlight w:val="none"/>
                <w:lang w:bidi="ar"/>
              </w:rPr>
              <w:t>年1月1日（以合同签订的最晚落款时间为准）以来，</w:t>
            </w:r>
            <w:r>
              <w:rPr>
                <w:rFonts w:hint="eastAsia" w:ascii="宋体" w:hAnsi="宋体" w:cs="宋体"/>
                <w:bCs/>
                <w:color w:val="auto"/>
                <w:sz w:val="24"/>
                <w:szCs w:val="24"/>
                <w:highlight w:val="none"/>
                <w:lang w:val="en-US" w:eastAsia="zh-CN" w:bidi="ar"/>
              </w:rPr>
              <w:t>投标人</w:t>
            </w:r>
            <w:r>
              <w:rPr>
                <w:rFonts w:hint="eastAsia" w:ascii="宋体" w:hAnsi="宋体" w:eastAsia="宋体" w:cs="宋体"/>
                <w:bCs/>
                <w:color w:val="auto"/>
                <w:sz w:val="24"/>
                <w:szCs w:val="24"/>
                <w:highlight w:val="none"/>
                <w:lang w:bidi="ar"/>
              </w:rPr>
              <w:t>具有相关类似电子政务业绩的，</w:t>
            </w:r>
            <w:r>
              <w:rPr>
                <w:rFonts w:hint="eastAsia" w:ascii="宋体" w:hAnsi="宋体" w:eastAsia="宋体" w:cs="宋体"/>
                <w:color w:val="auto"/>
                <w:kern w:val="0"/>
                <w:sz w:val="24"/>
                <w:szCs w:val="24"/>
                <w:highlight w:val="none"/>
                <w:lang w:bidi="ar"/>
              </w:rPr>
              <w:t>每提供一个业绩</w:t>
            </w:r>
            <w:r>
              <w:rPr>
                <w:rFonts w:hint="eastAsia" w:ascii="宋体" w:hAnsi="宋体" w:eastAsia="宋体" w:cs="宋体"/>
                <w:bCs/>
                <w:color w:val="auto"/>
                <w:sz w:val="24"/>
                <w:szCs w:val="24"/>
                <w:highlight w:val="none"/>
                <w:lang w:bidi="ar"/>
              </w:rPr>
              <w:t>得 0.</w:t>
            </w:r>
            <w:r>
              <w:rPr>
                <w:rFonts w:hint="eastAsia" w:ascii="宋体" w:hAnsi="宋体" w:eastAsia="宋体" w:cs="宋体"/>
                <w:bCs/>
                <w:color w:val="auto"/>
                <w:sz w:val="24"/>
                <w:szCs w:val="24"/>
                <w:highlight w:val="none"/>
                <w:lang w:val="en-US" w:eastAsia="zh-CN" w:bidi="ar"/>
              </w:rPr>
              <w:t>2</w:t>
            </w:r>
            <w:r>
              <w:rPr>
                <w:rFonts w:hint="eastAsia" w:ascii="宋体" w:hAnsi="宋体" w:eastAsia="宋体" w:cs="宋体"/>
                <w:bCs/>
                <w:color w:val="auto"/>
                <w:sz w:val="24"/>
                <w:szCs w:val="24"/>
                <w:highlight w:val="none"/>
                <w:lang w:bidi="ar"/>
              </w:rPr>
              <w:t>分，最高得 1 分；须提供合同复印件等证明材料，</w:t>
            </w:r>
            <w:r>
              <w:rPr>
                <w:rFonts w:hint="eastAsia" w:ascii="宋体" w:hAnsi="宋体" w:eastAsia="宋体" w:cs="宋体"/>
                <w:color w:val="auto"/>
                <w:kern w:val="0"/>
                <w:sz w:val="24"/>
                <w:szCs w:val="24"/>
                <w:highlight w:val="none"/>
              </w:rPr>
              <w:t>提供的证明材料须能体现相关评审因素，不提供或无法提供有效证明材料的不得分</w:t>
            </w:r>
            <w:r>
              <w:rPr>
                <w:rFonts w:hint="eastAsia" w:ascii="宋体" w:hAnsi="宋体" w:eastAsia="宋体" w:cs="宋体"/>
                <w:bCs/>
                <w:color w:val="auto"/>
                <w:sz w:val="24"/>
                <w:szCs w:val="24"/>
                <w:highlight w:val="none"/>
                <w:lang w:bidi="ar"/>
              </w:rPr>
              <w:t>。</w:t>
            </w:r>
          </w:p>
        </w:tc>
        <w:tc>
          <w:tcPr>
            <w:tcW w:w="509" w:type="dxa"/>
            <w:tcBorders>
              <w:top w:val="single" w:color="auto" w:sz="4" w:space="0"/>
              <w:left w:val="single" w:color="auto" w:sz="4" w:space="0"/>
              <w:bottom w:val="single" w:color="auto" w:sz="4" w:space="0"/>
              <w:right w:val="single" w:color="auto" w:sz="4" w:space="0"/>
            </w:tcBorders>
            <w:noWrap w:val="0"/>
            <w:vAlign w:val="center"/>
          </w:tcPr>
          <w:p w14:paraId="4CD3B9D2">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p>
        </w:tc>
        <w:tc>
          <w:tcPr>
            <w:tcW w:w="887" w:type="dxa"/>
            <w:tcBorders>
              <w:top w:val="single" w:color="auto" w:sz="4" w:space="0"/>
              <w:left w:val="single" w:color="auto" w:sz="4" w:space="0"/>
              <w:bottom w:val="single" w:color="auto" w:sz="4" w:space="0"/>
              <w:right w:val="single" w:color="auto" w:sz="4" w:space="0"/>
            </w:tcBorders>
            <w:noWrap w:val="0"/>
            <w:vAlign w:val="center"/>
          </w:tcPr>
          <w:p w14:paraId="4218B8CB">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客观分</w:t>
            </w:r>
          </w:p>
        </w:tc>
      </w:tr>
      <w:tr w14:paraId="35651E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 w:hRule="atLeast"/>
        </w:trPr>
        <w:tc>
          <w:tcPr>
            <w:tcW w:w="526" w:type="dxa"/>
            <w:tcBorders>
              <w:top w:val="single" w:color="auto" w:sz="4" w:space="0"/>
              <w:left w:val="single" w:color="auto" w:sz="4" w:space="0"/>
              <w:bottom w:val="single" w:color="auto" w:sz="4" w:space="0"/>
              <w:right w:val="single" w:color="auto" w:sz="4" w:space="0"/>
            </w:tcBorders>
            <w:noWrap w:val="0"/>
            <w:vAlign w:val="center"/>
          </w:tcPr>
          <w:p w14:paraId="5DC89E99">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eastAsia="宋体" w:cs="宋体"/>
                <w:strike/>
                <w:color w:val="auto"/>
                <w:sz w:val="24"/>
                <w:szCs w:val="24"/>
                <w:highlight w:val="none"/>
                <w:lang w:eastAsia="zh-CN"/>
              </w:rPr>
            </w:pPr>
            <w:r>
              <w:rPr>
                <w:rFonts w:hint="eastAsia" w:ascii="宋体" w:hAnsi="宋体" w:eastAsia="宋体" w:cs="宋体"/>
                <w:color w:val="auto"/>
                <w:sz w:val="24"/>
                <w:szCs w:val="24"/>
                <w:highlight w:val="none"/>
                <w:lang w:val="en-US" w:eastAsia="zh-CN"/>
              </w:rPr>
              <w:t>3</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7935372E">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w:t>
            </w:r>
          </w:p>
        </w:tc>
        <w:tc>
          <w:tcPr>
            <w:tcW w:w="6980" w:type="dxa"/>
            <w:tcBorders>
              <w:top w:val="single" w:color="auto" w:sz="4" w:space="0"/>
              <w:left w:val="single" w:color="auto" w:sz="4" w:space="0"/>
              <w:bottom w:val="single" w:color="auto" w:sz="4" w:space="0"/>
              <w:right w:val="single" w:color="auto" w:sz="4" w:space="0"/>
            </w:tcBorders>
            <w:noWrap w:val="0"/>
            <w:vAlign w:val="center"/>
          </w:tcPr>
          <w:p w14:paraId="16136DCD">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项目理解</w:t>
            </w:r>
            <w:r>
              <w:rPr>
                <w:rFonts w:hint="eastAsia" w:ascii="宋体" w:hAnsi="宋体" w:eastAsia="宋体" w:cs="宋体"/>
                <w:color w:val="auto"/>
                <w:kern w:val="0"/>
                <w:sz w:val="24"/>
                <w:szCs w:val="24"/>
                <w:highlight w:val="none"/>
                <w:lang w:eastAsia="zh-CN"/>
              </w:rPr>
              <w:t>：</w:t>
            </w:r>
          </w:p>
          <w:p w14:paraId="74C7D897">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对本项目背景、</w:t>
            </w:r>
            <w:r>
              <w:rPr>
                <w:rFonts w:hint="eastAsia" w:ascii="宋体" w:hAnsi="宋体" w:eastAsia="宋体" w:cs="宋体"/>
                <w:color w:val="auto"/>
                <w:sz w:val="24"/>
                <w:szCs w:val="24"/>
                <w:highlight w:val="none"/>
                <w:lang w:val="en-US" w:eastAsia="zh-CN"/>
              </w:rPr>
              <w:t>现阶段存在的问题</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社会问题分析、本期主要建设内容</w:t>
            </w:r>
            <w:r>
              <w:rPr>
                <w:rFonts w:hint="eastAsia" w:ascii="宋体" w:hAnsi="宋体" w:eastAsia="宋体" w:cs="宋体"/>
                <w:color w:val="auto"/>
                <w:sz w:val="24"/>
                <w:szCs w:val="24"/>
                <w:highlight w:val="none"/>
              </w:rPr>
              <w:t>的理解情况进行</w:t>
            </w:r>
            <w:r>
              <w:rPr>
                <w:rFonts w:hint="eastAsia" w:ascii="宋体" w:hAnsi="宋体" w:eastAsia="宋体" w:cs="宋体"/>
                <w:color w:val="auto"/>
                <w:kern w:val="0"/>
                <w:sz w:val="24"/>
                <w:szCs w:val="24"/>
                <w:highlight w:val="none"/>
                <w:lang w:bidi="ar"/>
              </w:rPr>
              <w:t>评分。（</w:t>
            </w:r>
            <w:r>
              <w:rPr>
                <w:rStyle w:val="375"/>
                <w:rFonts w:hint="eastAsia" w:ascii="宋体" w:hAnsi="宋体" w:eastAsia="宋体" w:cs="宋体"/>
                <w:color w:val="auto"/>
                <w:sz w:val="24"/>
                <w:szCs w:val="24"/>
                <w:highlight w:val="none"/>
                <w:lang w:bidi="ar"/>
              </w:rPr>
              <w:t>分值：</w:t>
            </w:r>
            <w:r>
              <w:rPr>
                <w:rStyle w:val="375"/>
                <w:rFonts w:hint="eastAsia" w:ascii="宋体" w:hAnsi="宋体" w:cs="宋体"/>
                <w:color w:val="auto"/>
                <w:sz w:val="24"/>
                <w:szCs w:val="24"/>
                <w:highlight w:val="none"/>
                <w:lang w:val="en-US" w:eastAsia="zh-CN" w:bidi="ar"/>
              </w:rPr>
              <w:t>5，4，</w:t>
            </w:r>
            <w:r>
              <w:rPr>
                <w:rFonts w:hint="eastAsia" w:ascii="宋体" w:hAnsi="宋体" w:cs="宋体"/>
                <w:color w:val="auto"/>
                <w:kern w:val="0"/>
                <w:sz w:val="24"/>
                <w:szCs w:val="24"/>
                <w:highlight w:val="none"/>
                <w:lang w:val="en-US" w:eastAsia="zh-CN" w:bidi="ar"/>
              </w:rPr>
              <w:t>3</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2</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1</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0</w:t>
            </w:r>
            <w:r>
              <w:rPr>
                <w:rFonts w:hint="eastAsia" w:ascii="宋体" w:hAnsi="宋体" w:eastAsia="宋体" w:cs="宋体"/>
                <w:color w:val="auto"/>
                <w:kern w:val="0"/>
                <w:sz w:val="24"/>
                <w:szCs w:val="24"/>
                <w:highlight w:val="none"/>
                <w:lang w:bidi="ar"/>
              </w:rPr>
              <w:t>）</w:t>
            </w:r>
          </w:p>
        </w:tc>
        <w:tc>
          <w:tcPr>
            <w:tcW w:w="509" w:type="dxa"/>
            <w:tcBorders>
              <w:top w:val="single" w:color="auto" w:sz="4" w:space="0"/>
              <w:left w:val="single" w:color="auto" w:sz="4" w:space="0"/>
              <w:bottom w:val="single" w:color="auto" w:sz="4" w:space="0"/>
              <w:right w:val="single" w:color="auto" w:sz="4" w:space="0"/>
            </w:tcBorders>
            <w:noWrap w:val="0"/>
            <w:vAlign w:val="center"/>
          </w:tcPr>
          <w:p w14:paraId="4D38C19D">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5</w:t>
            </w:r>
          </w:p>
        </w:tc>
        <w:tc>
          <w:tcPr>
            <w:tcW w:w="887" w:type="dxa"/>
            <w:tcBorders>
              <w:top w:val="single" w:color="auto" w:sz="4" w:space="0"/>
              <w:left w:val="single" w:color="auto" w:sz="4" w:space="0"/>
              <w:bottom w:val="single" w:color="auto" w:sz="4" w:space="0"/>
              <w:right w:val="single" w:color="auto" w:sz="4" w:space="0"/>
            </w:tcBorders>
            <w:noWrap w:val="0"/>
            <w:vAlign w:val="center"/>
          </w:tcPr>
          <w:p w14:paraId="05C72D3E">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主观分</w:t>
            </w:r>
          </w:p>
        </w:tc>
      </w:tr>
      <w:tr w14:paraId="5FB86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26" w:type="dxa"/>
            <w:tcBorders>
              <w:top w:val="single" w:color="auto" w:sz="4" w:space="0"/>
              <w:left w:val="single" w:color="auto" w:sz="4" w:space="0"/>
              <w:bottom w:val="single" w:color="auto" w:sz="4" w:space="0"/>
              <w:right w:val="single" w:color="auto" w:sz="4" w:space="0"/>
            </w:tcBorders>
            <w:noWrap w:val="0"/>
            <w:vAlign w:val="center"/>
          </w:tcPr>
          <w:p w14:paraId="425B4028">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eastAsia="宋体" w:cs="宋体"/>
                <w:strike/>
                <w:color w:val="auto"/>
                <w:sz w:val="24"/>
                <w:szCs w:val="24"/>
                <w:highlight w:val="none"/>
                <w:lang w:eastAsia="zh-CN"/>
              </w:rPr>
            </w:pPr>
            <w:r>
              <w:rPr>
                <w:rFonts w:hint="eastAsia" w:ascii="宋体" w:hAnsi="宋体" w:eastAsia="宋体" w:cs="宋体"/>
                <w:color w:val="auto"/>
                <w:sz w:val="24"/>
                <w:szCs w:val="24"/>
                <w:highlight w:val="none"/>
                <w:lang w:val="en-US" w:eastAsia="zh-CN"/>
              </w:rPr>
              <w:t>4</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57584B2B">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w:t>
            </w:r>
          </w:p>
        </w:tc>
        <w:tc>
          <w:tcPr>
            <w:tcW w:w="6980" w:type="dxa"/>
            <w:tcBorders>
              <w:top w:val="single" w:color="auto" w:sz="4" w:space="0"/>
              <w:left w:val="single" w:color="auto" w:sz="4" w:space="0"/>
              <w:bottom w:val="single" w:color="auto" w:sz="4" w:space="0"/>
              <w:right w:val="single" w:color="auto" w:sz="4" w:space="0"/>
            </w:tcBorders>
            <w:noWrap w:val="0"/>
            <w:vAlign w:val="center"/>
          </w:tcPr>
          <w:p w14:paraId="041A3C23">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总体方案</w:t>
            </w:r>
            <w:r>
              <w:rPr>
                <w:rFonts w:hint="eastAsia" w:ascii="宋体" w:hAnsi="宋体" w:eastAsia="宋体" w:cs="宋体"/>
                <w:color w:val="auto"/>
                <w:kern w:val="0"/>
                <w:sz w:val="24"/>
                <w:szCs w:val="24"/>
                <w:highlight w:val="none"/>
                <w:lang w:eastAsia="zh-CN"/>
              </w:rPr>
              <w:t>：</w:t>
            </w:r>
          </w:p>
          <w:p w14:paraId="21B67E79">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kern w:val="0"/>
                <w:sz w:val="24"/>
                <w:szCs w:val="24"/>
                <w:highlight w:val="none"/>
                <w:lang w:val="en-US" w:eastAsia="zh-CN"/>
              </w:rPr>
              <w:t>投标文件中针对本项目的</w:t>
            </w:r>
            <w:r>
              <w:rPr>
                <w:rFonts w:hint="eastAsia" w:ascii="宋体" w:hAnsi="宋体" w:eastAsia="宋体" w:cs="宋体"/>
                <w:color w:val="auto"/>
                <w:kern w:val="0"/>
                <w:sz w:val="24"/>
                <w:szCs w:val="24"/>
                <w:highlight w:val="none"/>
              </w:rPr>
              <w:t>总体建设目标、</w:t>
            </w:r>
            <w:r>
              <w:rPr>
                <w:rFonts w:hint="eastAsia" w:ascii="宋体" w:hAnsi="宋体" w:eastAsia="宋体" w:cs="宋体"/>
                <w:color w:val="auto"/>
                <w:kern w:val="0"/>
                <w:sz w:val="24"/>
                <w:szCs w:val="24"/>
                <w:highlight w:val="none"/>
                <w:lang w:val="en-US" w:eastAsia="zh-CN"/>
              </w:rPr>
              <w:t>政务目标、业务目标、总体架构</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业务功能分析、业务流程分析、性能需求、安全要求</w:t>
            </w:r>
            <w:r>
              <w:rPr>
                <w:rFonts w:hint="eastAsia" w:ascii="宋体" w:hAnsi="宋体" w:cs="宋体"/>
                <w:color w:val="auto"/>
                <w:kern w:val="0"/>
                <w:sz w:val="24"/>
                <w:szCs w:val="24"/>
                <w:highlight w:val="none"/>
                <w:lang w:val="en-US" w:eastAsia="zh-CN"/>
              </w:rPr>
              <w:t>进行</w:t>
            </w:r>
            <w:r>
              <w:rPr>
                <w:rFonts w:hint="eastAsia" w:ascii="宋体" w:hAnsi="宋体" w:eastAsia="宋体" w:cs="宋体"/>
                <w:color w:val="auto"/>
                <w:kern w:val="0"/>
                <w:sz w:val="24"/>
                <w:szCs w:val="24"/>
                <w:highlight w:val="none"/>
                <w:lang w:bidi="ar"/>
              </w:rPr>
              <w:t>评分。（</w:t>
            </w:r>
            <w:r>
              <w:rPr>
                <w:rStyle w:val="375"/>
                <w:rFonts w:hint="eastAsia" w:ascii="宋体" w:hAnsi="宋体" w:eastAsia="宋体" w:cs="宋体"/>
                <w:color w:val="auto"/>
                <w:sz w:val="24"/>
                <w:szCs w:val="24"/>
                <w:highlight w:val="none"/>
                <w:lang w:bidi="ar"/>
              </w:rPr>
              <w:t>分值：</w:t>
            </w:r>
            <w:r>
              <w:rPr>
                <w:rStyle w:val="375"/>
                <w:rFonts w:hint="eastAsia" w:ascii="宋体" w:hAnsi="宋体" w:cs="宋体"/>
                <w:color w:val="auto"/>
                <w:sz w:val="24"/>
                <w:szCs w:val="24"/>
                <w:highlight w:val="none"/>
                <w:lang w:val="en-US" w:eastAsia="zh-CN" w:bidi="ar"/>
              </w:rPr>
              <w:t>5，4，</w:t>
            </w:r>
            <w:r>
              <w:rPr>
                <w:rFonts w:hint="eastAsia" w:ascii="宋体" w:hAnsi="宋体" w:cs="宋体"/>
                <w:color w:val="auto"/>
                <w:kern w:val="0"/>
                <w:sz w:val="24"/>
                <w:szCs w:val="24"/>
                <w:highlight w:val="none"/>
                <w:lang w:val="en-US" w:eastAsia="zh-CN" w:bidi="ar"/>
              </w:rPr>
              <w:t>3</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2</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1</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0</w:t>
            </w:r>
            <w:r>
              <w:rPr>
                <w:rFonts w:hint="eastAsia" w:ascii="宋体" w:hAnsi="宋体" w:eastAsia="宋体" w:cs="宋体"/>
                <w:color w:val="auto"/>
                <w:kern w:val="0"/>
                <w:sz w:val="24"/>
                <w:szCs w:val="24"/>
                <w:highlight w:val="none"/>
                <w:lang w:bidi="ar"/>
              </w:rPr>
              <w:t>）</w:t>
            </w:r>
            <w:r>
              <w:rPr>
                <w:rFonts w:hint="eastAsia" w:ascii="宋体" w:hAnsi="宋体" w:eastAsia="宋体" w:cs="宋体"/>
                <w:color w:val="auto"/>
                <w:kern w:val="0"/>
                <w:sz w:val="24"/>
                <w:szCs w:val="24"/>
                <w:highlight w:val="none"/>
              </w:rPr>
              <w:t>。</w:t>
            </w:r>
          </w:p>
        </w:tc>
        <w:tc>
          <w:tcPr>
            <w:tcW w:w="509" w:type="dxa"/>
            <w:tcBorders>
              <w:top w:val="single" w:color="auto" w:sz="4" w:space="0"/>
              <w:left w:val="single" w:color="auto" w:sz="4" w:space="0"/>
              <w:bottom w:val="single" w:color="auto" w:sz="4" w:space="0"/>
              <w:right w:val="single" w:color="auto" w:sz="4" w:space="0"/>
            </w:tcBorders>
            <w:noWrap w:val="0"/>
            <w:vAlign w:val="center"/>
          </w:tcPr>
          <w:p w14:paraId="67986D34">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5</w:t>
            </w:r>
          </w:p>
        </w:tc>
        <w:tc>
          <w:tcPr>
            <w:tcW w:w="887" w:type="dxa"/>
            <w:tcBorders>
              <w:top w:val="single" w:color="auto" w:sz="4" w:space="0"/>
              <w:left w:val="single" w:color="auto" w:sz="4" w:space="0"/>
              <w:bottom w:val="single" w:color="auto" w:sz="4" w:space="0"/>
              <w:right w:val="single" w:color="auto" w:sz="4" w:space="0"/>
            </w:tcBorders>
            <w:noWrap w:val="0"/>
            <w:vAlign w:val="center"/>
          </w:tcPr>
          <w:p w14:paraId="6C636E6B">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主观分</w:t>
            </w:r>
          </w:p>
        </w:tc>
      </w:tr>
      <w:tr w14:paraId="3D7088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7" w:hRule="atLeast"/>
        </w:trPr>
        <w:tc>
          <w:tcPr>
            <w:tcW w:w="526" w:type="dxa"/>
            <w:tcBorders>
              <w:top w:val="single" w:color="auto" w:sz="4" w:space="0"/>
              <w:left w:val="single" w:color="auto" w:sz="4" w:space="0"/>
              <w:bottom w:val="single" w:color="auto" w:sz="4" w:space="0"/>
              <w:right w:val="single" w:color="auto" w:sz="4" w:space="0"/>
            </w:tcBorders>
            <w:noWrap w:val="0"/>
            <w:vAlign w:val="center"/>
          </w:tcPr>
          <w:p w14:paraId="00C174BD">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6E6F9C5A">
            <w:pPr>
              <w:keepNext w:val="0"/>
              <w:keepLines w:val="0"/>
              <w:pageBreakBefore w:val="0"/>
              <w:widowControl w:val="0"/>
              <w:kinsoku/>
              <w:wordWrap/>
              <w:overflowPunct/>
              <w:topLinePunct w:val="0"/>
              <w:autoSpaceDE/>
              <w:autoSpaceDN/>
              <w:bidi w:val="0"/>
              <w:adjustRightInd/>
              <w:snapToGrid w:val="0"/>
              <w:spacing w:line="360" w:lineRule="auto"/>
              <w:ind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技术</w:t>
            </w:r>
          </w:p>
        </w:tc>
        <w:tc>
          <w:tcPr>
            <w:tcW w:w="6980" w:type="dxa"/>
            <w:tcBorders>
              <w:top w:val="single" w:color="auto" w:sz="4" w:space="0"/>
              <w:left w:val="single" w:color="auto" w:sz="4" w:space="0"/>
              <w:bottom w:val="single" w:color="auto" w:sz="4" w:space="0"/>
              <w:right w:val="single" w:color="auto" w:sz="4" w:space="0"/>
            </w:tcBorders>
            <w:noWrap w:val="0"/>
            <w:vAlign w:val="center"/>
          </w:tcPr>
          <w:p w14:paraId="5FDB0FF5">
            <w:pPr>
              <w:keepNext w:val="0"/>
              <w:keepLines w:val="0"/>
              <w:pageBreakBefore w:val="0"/>
              <w:widowControl w:val="0"/>
              <w:kinsoku/>
              <w:wordWrap/>
              <w:overflowPunct/>
              <w:topLinePunct w:val="0"/>
              <w:autoSpaceDE/>
              <w:autoSpaceDN/>
              <w:bidi w:val="0"/>
              <w:adjustRightInd/>
              <w:snapToGrid w:val="0"/>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初步建设实施方案：</w:t>
            </w:r>
            <w:r>
              <w:rPr>
                <w:rFonts w:hint="eastAsia" w:ascii="宋体" w:hAnsi="宋体" w:eastAsia="宋体" w:cs="宋体"/>
                <w:color w:val="auto"/>
                <w:sz w:val="24"/>
                <w:szCs w:val="24"/>
                <w:highlight w:val="none"/>
              </w:rPr>
              <w:br w:type="textWrapping"/>
            </w:r>
            <w:r>
              <w:rPr>
                <w:rFonts w:hint="eastAsia" w:ascii="宋体" w:hAnsi="宋体" w:eastAsia="宋体" w:cs="宋体"/>
                <w:color w:val="auto"/>
                <w:sz w:val="24"/>
                <w:szCs w:val="24"/>
                <w:highlight w:val="none"/>
              </w:rPr>
              <w:t>（1）</w:t>
            </w:r>
            <w:r>
              <w:rPr>
                <w:rFonts w:hint="eastAsia" w:ascii="宋体" w:hAnsi="宋体" w:eastAsia="宋体" w:cs="宋体"/>
                <w:b/>
                <w:bCs/>
                <w:color w:val="auto"/>
                <w:sz w:val="24"/>
                <w:szCs w:val="24"/>
                <w:highlight w:val="none"/>
                <w:lang w:val="en-US" w:eastAsia="zh-CN"/>
              </w:rPr>
              <w:t>基础信息管理模块</w:t>
            </w:r>
            <w:r>
              <w:rPr>
                <w:rFonts w:hint="eastAsia" w:ascii="宋体" w:hAnsi="宋体" w:eastAsia="宋体" w:cs="宋体"/>
                <w:color w:val="auto"/>
                <w:sz w:val="24"/>
                <w:szCs w:val="24"/>
                <w:highlight w:val="none"/>
              </w:rPr>
              <w:t>（已作为演示项的内容除外）</w:t>
            </w:r>
            <w:r>
              <w:rPr>
                <w:rFonts w:hint="eastAsia" w:ascii="宋体" w:hAnsi="宋体" w:eastAsia="宋体" w:cs="宋体"/>
                <w:color w:val="auto"/>
                <w:sz w:val="24"/>
                <w:szCs w:val="24"/>
                <w:highlight w:val="none"/>
                <w:lang w:val="en-US" w:eastAsia="zh-CN"/>
              </w:rPr>
              <w:t>的初步建设实施方案</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以图文（原型图或流程图）结合形式对基础信息管理模块的初步建设实施方案进行</w:t>
            </w:r>
            <w:r>
              <w:rPr>
                <w:rFonts w:hint="eastAsia" w:ascii="宋体" w:hAnsi="宋体" w:eastAsia="宋体" w:cs="宋体"/>
                <w:color w:val="auto"/>
                <w:kern w:val="0"/>
                <w:sz w:val="24"/>
                <w:szCs w:val="24"/>
                <w:highlight w:val="none"/>
                <w:lang w:bidi="ar"/>
              </w:rPr>
              <w:t>评分。（</w:t>
            </w:r>
            <w:r>
              <w:rPr>
                <w:rStyle w:val="375"/>
                <w:rFonts w:hint="eastAsia" w:ascii="宋体" w:hAnsi="宋体" w:eastAsia="宋体" w:cs="宋体"/>
                <w:color w:val="auto"/>
                <w:sz w:val="24"/>
                <w:szCs w:val="24"/>
                <w:highlight w:val="none"/>
                <w:lang w:bidi="ar"/>
              </w:rPr>
              <w:t>分值：</w:t>
            </w:r>
            <w:r>
              <w:rPr>
                <w:rStyle w:val="375"/>
                <w:rFonts w:hint="eastAsia" w:ascii="宋体" w:hAnsi="宋体" w:cs="宋体"/>
                <w:color w:val="auto"/>
                <w:sz w:val="24"/>
                <w:szCs w:val="24"/>
                <w:highlight w:val="none"/>
                <w:lang w:val="en-US" w:eastAsia="zh-CN" w:bidi="ar"/>
              </w:rPr>
              <w:t>5，4，</w:t>
            </w:r>
            <w:r>
              <w:rPr>
                <w:rFonts w:hint="eastAsia" w:ascii="宋体" w:hAnsi="宋体" w:cs="宋体"/>
                <w:color w:val="auto"/>
                <w:kern w:val="0"/>
                <w:sz w:val="24"/>
                <w:szCs w:val="24"/>
                <w:highlight w:val="none"/>
                <w:lang w:val="en-US" w:eastAsia="zh-CN" w:bidi="ar"/>
              </w:rPr>
              <w:t>3</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2</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1</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0</w:t>
            </w:r>
            <w:r>
              <w:rPr>
                <w:rFonts w:hint="eastAsia" w:ascii="宋体" w:hAnsi="宋体" w:eastAsia="宋体" w:cs="宋体"/>
                <w:color w:val="auto"/>
                <w:kern w:val="0"/>
                <w:sz w:val="24"/>
                <w:szCs w:val="24"/>
                <w:highlight w:val="none"/>
                <w:lang w:bidi="ar"/>
              </w:rPr>
              <w:t>）</w:t>
            </w:r>
            <w:r>
              <w:rPr>
                <w:rFonts w:hint="eastAsia" w:ascii="宋体" w:hAnsi="宋体" w:eastAsia="宋体" w:cs="宋体"/>
                <w:color w:val="auto"/>
                <w:sz w:val="24"/>
                <w:szCs w:val="24"/>
                <w:highlight w:val="none"/>
                <w:lang w:val="en-US" w:eastAsia="zh-CN"/>
              </w:rPr>
              <w:t>。</w:t>
            </w:r>
          </w:p>
          <w:p w14:paraId="130A74E3">
            <w:pPr>
              <w:keepNext w:val="0"/>
              <w:keepLines w:val="0"/>
              <w:pageBreakBefore w:val="0"/>
              <w:widowControl w:val="0"/>
              <w:kinsoku/>
              <w:wordWrap/>
              <w:overflowPunct/>
              <w:topLinePunct w:val="0"/>
              <w:autoSpaceDE/>
              <w:autoSpaceDN/>
              <w:bidi w:val="0"/>
              <w:adjustRightInd/>
              <w:snapToGrid w:val="0"/>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w:t>
            </w:r>
            <w:r>
              <w:rPr>
                <w:rFonts w:hint="eastAsia" w:ascii="宋体" w:hAnsi="宋体" w:eastAsia="宋体" w:cs="宋体"/>
                <w:b/>
                <w:bCs/>
                <w:color w:val="auto"/>
                <w:sz w:val="24"/>
                <w:szCs w:val="24"/>
                <w:highlight w:val="none"/>
                <w:lang w:val="en-US" w:eastAsia="zh-CN"/>
              </w:rPr>
              <w:t>乡镇（街道）合法性审查管理</w:t>
            </w:r>
            <w:r>
              <w:rPr>
                <w:rFonts w:hint="eastAsia" w:ascii="宋体" w:hAnsi="宋体" w:cs="宋体"/>
                <w:b/>
                <w:bCs/>
                <w:color w:val="auto"/>
                <w:sz w:val="24"/>
                <w:szCs w:val="24"/>
                <w:highlight w:val="none"/>
                <w:lang w:val="en-US" w:eastAsia="zh-CN"/>
              </w:rPr>
              <w:t>－</w:t>
            </w:r>
            <w:r>
              <w:rPr>
                <w:rFonts w:hint="eastAsia" w:ascii="宋体" w:hAnsi="宋体" w:eastAsia="宋体" w:cs="宋体"/>
                <w:b/>
                <w:bCs/>
                <w:color w:val="auto"/>
                <w:sz w:val="24"/>
                <w:szCs w:val="24"/>
                <w:highlight w:val="none"/>
                <w:lang w:val="en-US" w:eastAsia="zh-CN"/>
              </w:rPr>
              <w:t>任务总览、事项总览模块</w:t>
            </w:r>
            <w:r>
              <w:rPr>
                <w:rFonts w:hint="eastAsia" w:ascii="宋体" w:hAnsi="宋体" w:eastAsia="宋体" w:cs="宋体"/>
                <w:color w:val="auto"/>
                <w:sz w:val="24"/>
                <w:szCs w:val="24"/>
                <w:highlight w:val="none"/>
              </w:rPr>
              <w:t>（已作为演示项的内容除外）</w:t>
            </w:r>
            <w:r>
              <w:rPr>
                <w:rFonts w:hint="eastAsia" w:ascii="宋体" w:hAnsi="宋体" w:eastAsia="宋体" w:cs="宋体"/>
                <w:color w:val="auto"/>
                <w:sz w:val="24"/>
                <w:szCs w:val="24"/>
                <w:highlight w:val="none"/>
                <w:lang w:val="en-US" w:eastAsia="zh-CN"/>
              </w:rPr>
              <w:t>的初步建设实施方案</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以图文（原型图或流程图）结合形式对业务工作台、事项总览模块的初步建设实施方案进行</w:t>
            </w:r>
            <w:r>
              <w:rPr>
                <w:rFonts w:hint="eastAsia" w:ascii="宋体" w:hAnsi="宋体" w:eastAsia="宋体" w:cs="宋体"/>
                <w:color w:val="auto"/>
                <w:kern w:val="0"/>
                <w:sz w:val="24"/>
                <w:szCs w:val="24"/>
                <w:highlight w:val="none"/>
                <w:lang w:bidi="ar"/>
              </w:rPr>
              <w:t>评分。（</w:t>
            </w:r>
            <w:r>
              <w:rPr>
                <w:rStyle w:val="375"/>
                <w:rFonts w:hint="eastAsia" w:ascii="宋体" w:hAnsi="宋体" w:eastAsia="宋体" w:cs="宋体"/>
                <w:color w:val="auto"/>
                <w:sz w:val="24"/>
                <w:szCs w:val="24"/>
                <w:highlight w:val="none"/>
                <w:lang w:bidi="ar"/>
              </w:rPr>
              <w:t>分值：</w:t>
            </w:r>
            <w:r>
              <w:rPr>
                <w:rStyle w:val="375"/>
                <w:rFonts w:hint="eastAsia" w:ascii="宋体" w:hAnsi="宋体" w:cs="宋体"/>
                <w:color w:val="auto"/>
                <w:sz w:val="24"/>
                <w:szCs w:val="24"/>
                <w:highlight w:val="none"/>
                <w:lang w:val="en-US" w:eastAsia="zh-CN" w:bidi="ar"/>
              </w:rPr>
              <w:t>5，4，</w:t>
            </w:r>
            <w:r>
              <w:rPr>
                <w:rFonts w:hint="eastAsia" w:ascii="宋体" w:hAnsi="宋体" w:cs="宋体"/>
                <w:color w:val="auto"/>
                <w:kern w:val="0"/>
                <w:sz w:val="24"/>
                <w:szCs w:val="24"/>
                <w:highlight w:val="none"/>
                <w:lang w:val="en-US" w:eastAsia="zh-CN" w:bidi="ar"/>
              </w:rPr>
              <w:t>3</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2</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1</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0</w:t>
            </w:r>
            <w:r>
              <w:rPr>
                <w:rFonts w:hint="eastAsia" w:ascii="宋体" w:hAnsi="宋体" w:eastAsia="宋体" w:cs="宋体"/>
                <w:color w:val="auto"/>
                <w:kern w:val="0"/>
                <w:sz w:val="24"/>
                <w:szCs w:val="24"/>
                <w:highlight w:val="none"/>
                <w:lang w:bidi="ar"/>
              </w:rPr>
              <w:t>）</w:t>
            </w:r>
            <w:r>
              <w:rPr>
                <w:rFonts w:hint="eastAsia" w:ascii="宋体" w:hAnsi="宋体" w:eastAsia="宋体" w:cs="宋体"/>
                <w:color w:val="auto"/>
                <w:sz w:val="24"/>
                <w:szCs w:val="24"/>
                <w:highlight w:val="none"/>
                <w:lang w:val="en-US" w:eastAsia="zh-CN"/>
              </w:rPr>
              <w:t>。</w:t>
            </w:r>
          </w:p>
          <w:p w14:paraId="0E18473C">
            <w:pPr>
              <w:keepNext w:val="0"/>
              <w:keepLines w:val="0"/>
              <w:pageBreakBefore w:val="0"/>
              <w:widowControl w:val="0"/>
              <w:kinsoku/>
              <w:wordWrap/>
              <w:overflowPunct/>
              <w:topLinePunct w:val="0"/>
              <w:autoSpaceDE/>
              <w:autoSpaceDN/>
              <w:bidi w:val="0"/>
              <w:adjustRightInd/>
              <w:snapToGrid w:val="0"/>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w:t>
            </w:r>
            <w:r>
              <w:rPr>
                <w:rFonts w:hint="eastAsia" w:ascii="宋体" w:hAnsi="宋体" w:eastAsia="宋体" w:cs="宋体"/>
                <w:b/>
                <w:bCs/>
                <w:color w:val="auto"/>
                <w:sz w:val="24"/>
                <w:szCs w:val="24"/>
                <w:highlight w:val="none"/>
                <w:lang w:val="en-US" w:eastAsia="zh-CN"/>
              </w:rPr>
              <w:t>乡镇（街道）合法性审查管理</w:t>
            </w:r>
            <w:r>
              <w:rPr>
                <w:rFonts w:hint="eastAsia" w:ascii="宋体" w:hAnsi="宋体" w:cs="宋体"/>
                <w:b/>
                <w:bCs/>
                <w:color w:val="auto"/>
                <w:sz w:val="24"/>
                <w:szCs w:val="24"/>
                <w:highlight w:val="none"/>
                <w:lang w:val="en-US" w:eastAsia="zh-CN"/>
              </w:rPr>
              <w:t>－</w:t>
            </w:r>
            <w:r>
              <w:rPr>
                <w:rFonts w:hint="eastAsia" w:ascii="宋体" w:hAnsi="宋体" w:eastAsia="宋体" w:cs="宋体"/>
                <w:b/>
                <w:bCs/>
                <w:color w:val="auto"/>
                <w:sz w:val="24"/>
                <w:szCs w:val="24"/>
                <w:highlight w:val="none"/>
                <w:lang w:val="en-US" w:eastAsia="zh-CN"/>
              </w:rPr>
              <w:t>合法性审查模块</w:t>
            </w:r>
            <w:r>
              <w:rPr>
                <w:rFonts w:hint="eastAsia" w:ascii="宋体" w:hAnsi="宋体" w:eastAsia="宋体" w:cs="宋体"/>
                <w:color w:val="auto"/>
                <w:sz w:val="24"/>
                <w:szCs w:val="24"/>
                <w:highlight w:val="none"/>
              </w:rPr>
              <w:t>（已作为演示项的内容除外）</w:t>
            </w:r>
            <w:r>
              <w:rPr>
                <w:rFonts w:hint="eastAsia" w:ascii="宋体" w:hAnsi="宋体" w:eastAsia="宋体" w:cs="宋体"/>
                <w:color w:val="auto"/>
                <w:sz w:val="24"/>
                <w:szCs w:val="24"/>
                <w:highlight w:val="none"/>
                <w:lang w:val="en-US" w:eastAsia="zh-CN"/>
              </w:rPr>
              <w:t>的初步建设实施方案</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以图文（原型图或流程图）结合形式对合法性审查模块的初步建设实施方案进行</w:t>
            </w:r>
            <w:r>
              <w:rPr>
                <w:rFonts w:hint="eastAsia" w:ascii="宋体" w:hAnsi="宋体" w:eastAsia="宋体" w:cs="宋体"/>
                <w:color w:val="auto"/>
                <w:kern w:val="0"/>
                <w:sz w:val="24"/>
                <w:szCs w:val="24"/>
                <w:highlight w:val="none"/>
                <w:lang w:bidi="ar"/>
              </w:rPr>
              <w:t>评分。（</w:t>
            </w:r>
            <w:r>
              <w:rPr>
                <w:rStyle w:val="375"/>
                <w:rFonts w:hint="eastAsia" w:ascii="宋体" w:hAnsi="宋体" w:eastAsia="宋体" w:cs="宋体"/>
                <w:color w:val="auto"/>
                <w:sz w:val="24"/>
                <w:szCs w:val="24"/>
                <w:highlight w:val="none"/>
                <w:lang w:bidi="ar"/>
              </w:rPr>
              <w:t>分值：</w:t>
            </w:r>
            <w:r>
              <w:rPr>
                <w:rStyle w:val="375"/>
                <w:rFonts w:hint="eastAsia" w:ascii="宋体" w:hAnsi="宋体" w:cs="宋体"/>
                <w:color w:val="auto"/>
                <w:sz w:val="24"/>
                <w:szCs w:val="24"/>
                <w:highlight w:val="none"/>
                <w:lang w:val="en-US" w:eastAsia="zh-CN" w:bidi="ar"/>
              </w:rPr>
              <w:t>5，4，</w:t>
            </w:r>
            <w:r>
              <w:rPr>
                <w:rFonts w:hint="eastAsia" w:ascii="宋体" w:hAnsi="宋体" w:cs="宋体"/>
                <w:color w:val="auto"/>
                <w:kern w:val="0"/>
                <w:sz w:val="24"/>
                <w:szCs w:val="24"/>
                <w:highlight w:val="none"/>
                <w:lang w:val="en-US" w:eastAsia="zh-CN" w:bidi="ar"/>
              </w:rPr>
              <w:t>3</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2</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1</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0</w:t>
            </w:r>
            <w:r>
              <w:rPr>
                <w:rFonts w:hint="eastAsia" w:ascii="宋体" w:hAnsi="宋体" w:eastAsia="宋体" w:cs="宋体"/>
                <w:color w:val="auto"/>
                <w:kern w:val="0"/>
                <w:sz w:val="24"/>
                <w:szCs w:val="24"/>
                <w:highlight w:val="none"/>
                <w:lang w:bidi="ar"/>
              </w:rPr>
              <w:t>）</w:t>
            </w:r>
            <w:r>
              <w:rPr>
                <w:rFonts w:hint="eastAsia" w:ascii="宋体" w:hAnsi="宋体" w:eastAsia="宋体" w:cs="宋体"/>
                <w:color w:val="auto"/>
                <w:sz w:val="24"/>
                <w:szCs w:val="24"/>
                <w:highlight w:val="none"/>
                <w:lang w:val="en-US" w:eastAsia="zh-CN"/>
              </w:rPr>
              <w:t>。</w:t>
            </w:r>
          </w:p>
          <w:p w14:paraId="779F94BE">
            <w:pPr>
              <w:keepNext w:val="0"/>
              <w:keepLines w:val="0"/>
              <w:pageBreakBefore w:val="0"/>
              <w:widowControl w:val="0"/>
              <w:kinsoku/>
              <w:wordWrap/>
              <w:overflowPunct/>
              <w:topLinePunct w:val="0"/>
              <w:autoSpaceDE/>
              <w:autoSpaceDN/>
              <w:bidi w:val="0"/>
              <w:adjustRightInd/>
              <w:snapToGrid w:val="0"/>
              <w:spacing w:after="0" w:line="360" w:lineRule="auto"/>
              <w:ind w:left="0" w:lef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w:t>
            </w:r>
            <w:r>
              <w:rPr>
                <w:rFonts w:hint="eastAsia" w:ascii="宋体" w:hAnsi="宋体" w:eastAsia="宋体" w:cs="宋体"/>
                <w:b/>
                <w:bCs/>
                <w:color w:val="auto"/>
                <w:sz w:val="24"/>
                <w:szCs w:val="24"/>
                <w:highlight w:val="none"/>
                <w:lang w:val="en-US" w:eastAsia="zh-CN"/>
              </w:rPr>
              <w:t>乡镇（街道）合法性审查管理</w:t>
            </w:r>
            <w:r>
              <w:rPr>
                <w:rFonts w:hint="eastAsia" w:ascii="宋体" w:hAnsi="宋体" w:cs="宋体"/>
                <w:b/>
                <w:bCs/>
                <w:color w:val="auto"/>
                <w:sz w:val="24"/>
                <w:szCs w:val="24"/>
                <w:highlight w:val="none"/>
                <w:lang w:val="en-US" w:eastAsia="zh-CN"/>
              </w:rPr>
              <w:t>－</w:t>
            </w:r>
            <w:r>
              <w:rPr>
                <w:rFonts w:hint="eastAsia" w:ascii="宋体" w:hAnsi="宋体" w:eastAsia="宋体" w:cs="宋体"/>
                <w:b/>
                <w:bCs/>
                <w:color w:val="auto"/>
                <w:sz w:val="24"/>
                <w:szCs w:val="24"/>
                <w:highlight w:val="none"/>
                <w:lang w:val="en-US" w:eastAsia="zh-CN"/>
              </w:rPr>
              <w:t>备案审查模块</w:t>
            </w:r>
            <w:r>
              <w:rPr>
                <w:rFonts w:hint="eastAsia" w:ascii="宋体" w:hAnsi="宋体" w:eastAsia="宋体" w:cs="宋体"/>
                <w:color w:val="auto"/>
                <w:sz w:val="24"/>
                <w:szCs w:val="24"/>
                <w:highlight w:val="none"/>
              </w:rPr>
              <w:t>（已作为演示项的内容除外）</w:t>
            </w:r>
            <w:r>
              <w:rPr>
                <w:rFonts w:hint="eastAsia" w:ascii="宋体" w:hAnsi="宋体" w:eastAsia="宋体" w:cs="宋体"/>
                <w:color w:val="auto"/>
                <w:sz w:val="24"/>
                <w:szCs w:val="24"/>
                <w:highlight w:val="none"/>
                <w:lang w:val="en-US" w:eastAsia="zh-CN"/>
              </w:rPr>
              <w:t>的初步建设实施方案</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以图文（原型图或流程图）结合形式对备案审查模块的初步建设实施方案进行</w:t>
            </w:r>
            <w:r>
              <w:rPr>
                <w:rFonts w:hint="eastAsia" w:ascii="宋体" w:hAnsi="宋体" w:eastAsia="宋体" w:cs="宋体"/>
                <w:color w:val="auto"/>
                <w:kern w:val="0"/>
                <w:sz w:val="24"/>
                <w:szCs w:val="24"/>
                <w:highlight w:val="none"/>
                <w:lang w:bidi="ar"/>
              </w:rPr>
              <w:t>评分。（</w:t>
            </w:r>
            <w:r>
              <w:rPr>
                <w:rStyle w:val="375"/>
                <w:rFonts w:hint="eastAsia" w:ascii="宋体" w:hAnsi="宋体" w:eastAsia="宋体" w:cs="宋体"/>
                <w:color w:val="auto"/>
                <w:sz w:val="24"/>
                <w:szCs w:val="24"/>
                <w:highlight w:val="none"/>
                <w:lang w:bidi="ar"/>
              </w:rPr>
              <w:t>分值：</w:t>
            </w:r>
            <w:r>
              <w:rPr>
                <w:rStyle w:val="375"/>
                <w:rFonts w:hint="eastAsia" w:ascii="宋体" w:hAnsi="宋体" w:cs="宋体"/>
                <w:color w:val="auto"/>
                <w:sz w:val="24"/>
                <w:szCs w:val="24"/>
                <w:highlight w:val="none"/>
                <w:lang w:val="en-US" w:eastAsia="zh-CN" w:bidi="ar"/>
              </w:rPr>
              <w:t>5，4，</w:t>
            </w:r>
            <w:r>
              <w:rPr>
                <w:rFonts w:hint="eastAsia" w:ascii="宋体" w:hAnsi="宋体" w:cs="宋体"/>
                <w:color w:val="auto"/>
                <w:kern w:val="0"/>
                <w:sz w:val="24"/>
                <w:szCs w:val="24"/>
                <w:highlight w:val="none"/>
                <w:lang w:val="en-US" w:eastAsia="zh-CN" w:bidi="ar"/>
              </w:rPr>
              <w:t>3</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2</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1</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0</w:t>
            </w:r>
            <w:r>
              <w:rPr>
                <w:rFonts w:hint="eastAsia" w:ascii="宋体" w:hAnsi="宋体" w:eastAsia="宋体" w:cs="宋体"/>
                <w:color w:val="auto"/>
                <w:kern w:val="0"/>
                <w:sz w:val="24"/>
                <w:szCs w:val="24"/>
                <w:highlight w:val="none"/>
                <w:lang w:bidi="ar"/>
              </w:rPr>
              <w:t>）</w:t>
            </w:r>
            <w:r>
              <w:rPr>
                <w:rFonts w:hint="eastAsia" w:ascii="宋体" w:hAnsi="宋体" w:eastAsia="宋体" w:cs="宋体"/>
                <w:color w:val="auto"/>
                <w:sz w:val="24"/>
                <w:szCs w:val="24"/>
                <w:highlight w:val="none"/>
                <w:lang w:val="en-US" w:eastAsia="zh-CN"/>
              </w:rPr>
              <w:t>。</w:t>
            </w:r>
          </w:p>
          <w:p w14:paraId="19F66C08">
            <w:pPr>
              <w:keepNext w:val="0"/>
              <w:keepLines w:val="0"/>
              <w:pageBreakBefore w:val="0"/>
              <w:widowControl w:val="0"/>
              <w:kinsoku/>
              <w:wordWrap/>
              <w:overflowPunct/>
              <w:topLinePunct w:val="0"/>
              <w:autoSpaceDE/>
              <w:autoSpaceDN/>
              <w:bidi w:val="0"/>
              <w:adjustRightInd/>
              <w:snapToGrid w:val="0"/>
              <w:spacing w:after="0" w:line="360" w:lineRule="auto"/>
              <w:ind w:left="0" w:lef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w:t>
            </w:r>
            <w:r>
              <w:rPr>
                <w:rFonts w:hint="eastAsia" w:ascii="宋体" w:hAnsi="宋体" w:eastAsia="宋体" w:cs="宋体"/>
                <w:b/>
                <w:bCs/>
                <w:color w:val="auto"/>
                <w:sz w:val="24"/>
                <w:szCs w:val="24"/>
                <w:highlight w:val="none"/>
                <w:lang w:val="en-US" w:eastAsia="zh-CN"/>
              </w:rPr>
              <w:t>乡镇（街道）合法性审查管理</w:t>
            </w:r>
            <w:r>
              <w:rPr>
                <w:rFonts w:hint="eastAsia" w:ascii="宋体" w:hAnsi="宋体" w:cs="宋体"/>
                <w:b/>
                <w:bCs/>
                <w:color w:val="auto"/>
                <w:sz w:val="24"/>
                <w:szCs w:val="24"/>
                <w:highlight w:val="none"/>
                <w:lang w:val="en-US" w:eastAsia="zh-CN"/>
              </w:rPr>
              <w:t>－</w:t>
            </w:r>
            <w:r>
              <w:rPr>
                <w:rFonts w:hint="eastAsia" w:ascii="宋体" w:hAnsi="宋体" w:eastAsia="宋体" w:cs="宋体"/>
                <w:b/>
                <w:bCs/>
                <w:color w:val="auto"/>
                <w:sz w:val="24"/>
                <w:szCs w:val="24"/>
                <w:highlight w:val="none"/>
                <w:lang w:val="en-US" w:eastAsia="zh-CN"/>
              </w:rPr>
              <w:t>审查/备案移动端模块</w:t>
            </w:r>
            <w:r>
              <w:rPr>
                <w:rFonts w:hint="eastAsia" w:ascii="宋体" w:hAnsi="宋体" w:eastAsia="宋体" w:cs="宋体"/>
                <w:color w:val="auto"/>
                <w:sz w:val="24"/>
                <w:szCs w:val="24"/>
                <w:highlight w:val="none"/>
              </w:rPr>
              <w:t>（已作为演示项的内容除外）</w:t>
            </w:r>
            <w:r>
              <w:rPr>
                <w:rFonts w:hint="eastAsia" w:ascii="宋体" w:hAnsi="宋体" w:eastAsia="宋体" w:cs="宋体"/>
                <w:color w:val="auto"/>
                <w:sz w:val="24"/>
                <w:szCs w:val="24"/>
                <w:highlight w:val="none"/>
                <w:lang w:val="en-US" w:eastAsia="zh-CN"/>
              </w:rPr>
              <w:t>的初步建设实施方案</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以图文（原型图或流程图）结合形式对审查/备案移动端模块的初步建设实施方案进行</w:t>
            </w:r>
            <w:r>
              <w:rPr>
                <w:rFonts w:hint="eastAsia" w:ascii="宋体" w:hAnsi="宋体" w:eastAsia="宋体" w:cs="宋体"/>
                <w:color w:val="auto"/>
                <w:kern w:val="0"/>
                <w:sz w:val="24"/>
                <w:szCs w:val="24"/>
                <w:highlight w:val="none"/>
                <w:lang w:bidi="ar"/>
              </w:rPr>
              <w:t>评分。（</w:t>
            </w:r>
            <w:r>
              <w:rPr>
                <w:rStyle w:val="375"/>
                <w:rFonts w:hint="eastAsia" w:ascii="宋体" w:hAnsi="宋体" w:eastAsia="宋体" w:cs="宋体"/>
                <w:color w:val="auto"/>
                <w:sz w:val="24"/>
                <w:szCs w:val="24"/>
                <w:highlight w:val="none"/>
                <w:lang w:bidi="ar"/>
              </w:rPr>
              <w:t>分值：</w:t>
            </w:r>
            <w:r>
              <w:rPr>
                <w:rStyle w:val="375"/>
                <w:rFonts w:hint="eastAsia" w:ascii="宋体" w:hAnsi="宋体" w:cs="宋体"/>
                <w:color w:val="auto"/>
                <w:sz w:val="24"/>
                <w:szCs w:val="24"/>
                <w:highlight w:val="none"/>
                <w:lang w:val="en-US" w:eastAsia="zh-CN" w:bidi="ar"/>
              </w:rPr>
              <w:t>5，4，</w:t>
            </w:r>
            <w:r>
              <w:rPr>
                <w:rFonts w:hint="eastAsia" w:ascii="宋体" w:hAnsi="宋体" w:cs="宋体"/>
                <w:color w:val="auto"/>
                <w:kern w:val="0"/>
                <w:sz w:val="24"/>
                <w:szCs w:val="24"/>
                <w:highlight w:val="none"/>
                <w:lang w:val="en-US" w:eastAsia="zh-CN" w:bidi="ar"/>
              </w:rPr>
              <w:t>3</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2</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1</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0</w:t>
            </w:r>
            <w:r>
              <w:rPr>
                <w:rFonts w:hint="eastAsia" w:ascii="宋体" w:hAnsi="宋体" w:eastAsia="宋体" w:cs="宋体"/>
                <w:color w:val="auto"/>
                <w:kern w:val="0"/>
                <w:sz w:val="24"/>
                <w:szCs w:val="24"/>
                <w:highlight w:val="none"/>
                <w:lang w:bidi="ar"/>
              </w:rPr>
              <w:t>）</w:t>
            </w:r>
            <w:r>
              <w:rPr>
                <w:rFonts w:hint="eastAsia" w:ascii="宋体" w:hAnsi="宋体" w:eastAsia="宋体" w:cs="宋体"/>
                <w:color w:val="auto"/>
                <w:sz w:val="24"/>
                <w:szCs w:val="24"/>
                <w:highlight w:val="none"/>
                <w:lang w:val="en-US" w:eastAsia="zh-CN"/>
              </w:rPr>
              <w:t>。</w:t>
            </w:r>
          </w:p>
          <w:p w14:paraId="749EECBD">
            <w:pPr>
              <w:keepNext w:val="0"/>
              <w:keepLines w:val="0"/>
              <w:pageBreakBefore w:val="0"/>
              <w:widowControl w:val="0"/>
              <w:kinsoku/>
              <w:wordWrap/>
              <w:overflowPunct/>
              <w:topLinePunct w:val="0"/>
              <w:autoSpaceDE/>
              <w:autoSpaceDN/>
              <w:bidi w:val="0"/>
              <w:adjustRightInd/>
              <w:snapToGrid w:val="0"/>
              <w:spacing w:after="0" w:line="360" w:lineRule="auto"/>
              <w:ind w:left="0" w:leftChars="0"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w:t>
            </w:r>
            <w:r>
              <w:rPr>
                <w:rFonts w:hint="eastAsia" w:ascii="宋体" w:hAnsi="宋体" w:eastAsia="宋体" w:cs="宋体"/>
                <w:b/>
                <w:bCs/>
                <w:color w:val="auto"/>
                <w:sz w:val="24"/>
                <w:szCs w:val="24"/>
                <w:highlight w:val="none"/>
                <w:lang w:val="en-US" w:eastAsia="zh-CN"/>
              </w:rPr>
              <w:t>乡镇（街道）智能审查模块</w:t>
            </w:r>
            <w:r>
              <w:rPr>
                <w:rFonts w:hint="eastAsia" w:ascii="宋体" w:hAnsi="宋体" w:eastAsia="宋体" w:cs="宋体"/>
                <w:color w:val="auto"/>
                <w:sz w:val="24"/>
                <w:szCs w:val="24"/>
                <w:highlight w:val="none"/>
              </w:rPr>
              <w:t>（已作为演示项的内容除外）</w:t>
            </w:r>
            <w:r>
              <w:rPr>
                <w:rFonts w:hint="eastAsia" w:ascii="宋体" w:hAnsi="宋体" w:eastAsia="宋体" w:cs="宋体"/>
                <w:color w:val="auto"/>
                <w:sz w:val="24"/>
                <w:szCs w:val="24"/>
                <w:highlight w:val="none"/>
                <w:lang w:val="en-US" w:eastAsia="zh-CN"/>
              </w:rPr>
              <w:t>的初步建设实施方案</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以图文（原型图或流程图）结合形式对乡镇（街道）智能审查模块的初步建设实施方案进行</w:t>
            </w:r>
            <w:r>
              <w:rPr>
                <w:rFonts w:hint="eastAsia" w:ascii="宋体" w:hAnsi="宋体" w:eastAsia="宋体" w:cs="宋体"/>
                <w:color w:val="auto"/>
                <w:kern w:val="0"/>
                <w:sz w:val="24"/>
                <w:szCs w:val="24"/>
                <w:highlight w:val="none"/>
                <w:lang w:bidi="ar"/>
              </w:rPr>
              <w:t>评分。（</w:t>
            </w:r>
            <w:r>
              <w:rPr>
                <w:rStyle w:val="375"/>
                <w:rFonts w:hint="eastAsia" w:ascii="宋体" w:hAnsi="宋体" w:eastAsia="宋体" w:cs="宋体"/>
                <w:color w:val="auto"/>
                <w:sz w:val="24"/>
                <w:szCs w:val="24"/>
                <w:highlight w:val="none"/>
                <w:lang w:bidi="ar"/>
              </w:rPr>
              <w:t>分值：</w:t>
            </w:r>
            <w:r>
              <w:rPr>
                <w:rStyle w:val="375"/>
                <w:rFonts w:hint="eastAsia" w:ascii="宋体" w:hAnsi="宋体" w:cs="宋体"/>
                <w:color w:val="auto"/>
                <w:sz w:val="24"/>
                <w:szCs w:val="24"/>
                <w:highlight w:val="none"/>
                <w:lang w:val="en-US" w:eastAsia="zh-CN" w:bidi="ar"/>
              </w:rPr>
              <w:t>4，</w:t>
            </w:r>
            <w:r>
              <w:rPr>
                <w:rFonts w:hint="eastAsia" w:ascii="宋体" w:hAnsi="宋体" w:cs="宋体"/>
                <w:color w:val="auto"/>
                <w:kern w:val="0"/>
                <w:sz w:val="24"/>
                <w:szCs w:val="24"/>
                <w:highlight w:val="none"/>
                <w:lang w:val="en-US" w:eastAsia="zh-CN" w:bidi="ar"/>
              </w:rPr>
              <w:t>3</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2</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1</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0</w:t>
            </w:r>
            <w:r>
              <w:rPr>
                <w:rFonts w:hint="eastAsia" w:ascii="宋体" w:hAnsi="宋体" w:eastAsia="宋体" w:cs="宋体"/>
                <w:color w:val="auto"/>
                <w:kern w:val="0"/>
                <w:sz w:val="24"/>
                <w:szCs w:val="24"/>
                <w:highlight w:val="none"/>
                <w:lang w:bidi="ar"/>
              </w:rPr>
              <w:t>）</w:t>
            </w:r>
            <w:r>
              <w:rPr>
                <w:rFonts w:hint="eastAsia" w:ascii="宋体" w:hAnsi="宋体" w:eastAsia="宋体" w:cs="宋体"/>
                <w:color w:val="auto"/>
                <w:kern w:val="0"/>
                <w:sz w:val="24"/>
                <w:szCs w:val="24"/>
                <w:highlight w:val="none"/>
                <w:lang w:eastAsia="zh-CN" w:bidi="ar"/>
              </w:rPr>
              <w:t>。</w:t>
            </w:r>
          </w:p>
          <w:p w14:paraId="23597247">
            <w:pPr>
              <w:snapToGrid w:val="0"/>
              <w:spacing w:after="0" w:line="360" w:lineRule="auto"/>
              <w:ind w:left="0" w:leftChars="0" w:firstLine="0" w:firstLineChars="0"/>
              <w:rPr>
                <w:rFonts w:hint="eastAsia" w:eastAsia="宋体"/>
                <w:color w:val="auto"/>
                <w:highlight w:val="none"/>
                <w:lang w:val="en-US" w:eastAsia="zh-CN"/>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w:t>
            </w:r>
            <w:r>
              <w:rPr>
                <w:rFonts w:hint="eastAsia" w:ascii="宋体" w:hAnsi="宋体" w:eastAsia="宋体" w:cs="宋体"/>
                <w:b/>
                <w:bCs/>
                <w:color w:val="auto"/>
                <w:sz w:val="24"/>
                <w:highlight w:val="none"/>
              </w:rPr>
              <w:t>审查动态评价</w:t>
            </w:r>
            <w:r>
              <w:rPr>
                <w:rFonts w:hint="eastAsia" w:ascii="宋体" w:hAnsi="宋体" w:eastAsia="宋体" w:cs="宋体"/>
                <w:color w:val="auto"/>
                <w:sz w:val="24"/>
                <w:szCs w:val="24"/>
                <w:highlight w:val="none"/>
              </w:rPr>
              <w:t>（已作为演示项的内容除外）</w:t>
            </w:r>
            <w:r>
              <w:rPr>
                <w:rFonts w:hint="eastAsia" w:ascii="宋体" w:hAnsi="宋体" w:eastAsia="宋体" w:cs="宋体"/>
                <w:color w:val="auto"/>
                <w:sz w:val="24"/>
                <w:szCs w:val="24"/>
                <w:highlight w:val="none"/>
                <w:lang w:val="en-US" w:eastAsia="zh-CN"/>
              </w:rPr>
              <w:t>的初步建设实施方案</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以图文（原型图或流程图）结合形式对乡镇（街道）智能审查模块的初步建设实施方案进行</w:t>
            </w:r>
            <w:r>
              <w:rPr>
                <w:rFonts w:hint="eastAsia" w:ascii="宋体" w:hAnsi="宋体" w:eastAsia="宋体" w:cs="宋体"/>
                <w:color w:val="auto"/>
                <w:kern w:val="0"/>
                <w:sz w:val="24"/>
                <w:szCs w:val="24"/>
                <w:highlight w:val="none"/>
                <w:lang w:bidi="ar"/>
              </w:rPr>
              <w:t>评分。（</w:t>
            </w:r>
            <w:r>
              <w:rPr>
                <w:rStyle w:val="375"/>
                <w:rFonts w:hint="eastAsia" w:ascii="宋体" w:hAnsi="宋体" w:eastAsia="宋体" w:cs="宋体"/>
                <w:color w:val="auto"/>
                <w:sz w:val="24"/>
                <w:szCs w:val="24"/>
                <w:highlight w:val="none"/>
                <w:lang w:bidi="ar"/>
              </w:rPr>
              <w:t>分值：</w:t>
            </w:r>
            <w:r>
              <w:rPr>
                <w:rStyle w:val="375"/>
                <w:rFonts w:hint="eastAsia" w:ascii="宋体" w:hAnsi="宋体" w:cs="宋体"/>
                <w:color w:val="auto"/>
                <w:sz w:val="24"/>
                <w:szCs w:val="24"/>
                <w:highlight w:val="none"/>
                <w:lang w:val="en-US" w:eastAsia="zh-CN" w:bidi="ar"/>
              </w:rPr>
              <w:t>4，</w:t>
            </w:r>
            <w:r>
              <w:rPr>
                <w:rFonts w:hint="eastAsia" w:ascii="宋体" w:hAnsi="宋体" w:cs="宋体"/>
                <w:color w:val="auto"/>
                <w:kern w:val="0"/>
                <w:sz w:val="24"/>
                <w:szCs w:val="24"/>
                <w:highlight w:val="none"/>
                <w:lang w:val="en-US" w:eastAsia="zh-CN" w:bidi="ar"/>
              </w:rPr>
              <w:t>3</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2</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1</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0</w:t>
            </w:r>
            <w:r>
              <w:rPr>
                <w:rFonts w:hint="eastAsia" w:ascii="宋体" w:hAnsi="宋体" w:eastAsia="宋体" w:cs="宋体"/>
                <w:color w:val="auto"/>
                <w:kern w:val="0"/>
                <w:sz w:val="24"/>
                <w:szCs w:val="24"/>
                <w:highlight w:val="none"/>
                <w:lang w:bidi="ar"/>
              </w:rPr>
              <w:t>）</w:t>
            </w:r>
            <w:r>
              <w:rPr>
                <w:rFonts w:hint="eastAsia" w:ascii="宋体" w:hAnsi="宋体" w:eastAsia="宋体" w:cs="宋体"/>
                <w:color w:val="auto"/>
                <w:kern w:val="0"/>
                <w:sz w:val="24"/>
                <w:szCs w:val="24"/>
                <w:highlight w:val="none"/>
                <w:lang w:eastAsia="zh-CN" w:bidi="ar"/>
              </w:rPr>
              <w:t>。</w:t>
            </w:r>
          </w:p>
        </w:tc>
        <w:tc>
          <w:tcPr>
            <w:tcW w:w="509" w:type="dxa"/>
            <w:tcBorders>
              <w:top w:val="single" w:color="auto" w:sz="4" w:space="0"/>
              <w:left w:val="single" w:color="auto" w:sz="4" w:space="0"/>
              <w:bottom w:val="single" w:color="auto" w:sz="4" w:space="0"/>
              <w:right w:val="single" w:color="auto" w:sz="4" w:space="0"/>
            </w:tcBorders>
            <w:noWrap w:val="0"/>
            <w:vAlign w:val="center"/>
          </w:tcPr>
          <w:p w14:paraId="478271FB">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r>
              <w:rPr>
                <w:rFonts w:hint="eastAsia" w:ascii="宋体" w:hAnsi="宋体" w:cs="宋体"/>
                <w:color w:val="auto"/>
                <w:sz w:val="24"/>
                <w:szCs w:val="24"/>
                <w:highlight w:val="none"/>
                <w:lang w:val="en-US" w:eastAsia="zh-CN"/>
              </w:rPr>
              <w:t>3</w:t>
            </w:r>
          </w:p>
        </w:tc>
        <w:tc>
          <w:tcPr>
            <w:tcW w:w="887" w:type="dxa"/>
            <w:tcBorders>
              <w:top w:val="single" w:color="auto" w:sz="4" w:space="0"/>
              <w:left w:val="single" w:color="auto" w:sz="4" w:space="0"/>
              <w:bottom w:val="single" w:color="auto" w:sz="4" w:space="0"/>
              <w:right w:val="single" w:color="auto" w:sz="4" w:space="0"/>
            </w:tcBorders>
            <w:noWrap w:val="0"/>
            <w:vAlign w:val="center"/>
          </w:tcPr>
          <w:p w14:paraId="507B70E4">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主观分</w:t>
            </w:r>
          </w:p>
        </w:tc>
      </w:tr>
      <w:tr w14:paraId="717A62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7" w:hRule="atLeast"/>
        </w:trPr>
        <w:tc>
          <w:tcPr>
            <w:tcW w:w="526" w:type="dxa"/>
            <w:tcBorders>
              <w:top w:val="single" w:color="auto" w:sz="4" w:space="0"/>
              <w:left w:val="single" w:color="auto" w:sz="4" w:space="0"/>
              <w:bottom w:val="single" w:color="auto" w:sz="4" w:space="0"/>
              <w:right w:val="single" w:color="auto" w:sz="4" w:space="0"/>
            </w:tcBorders>
            <w:noWrap w:val="0"/>
            <w:vAlign w:val="center"/>
          </w:tcPr>
          <w:p w14:paraId="2074B8C2">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6</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7BD2581E">
            <w:pPr>
              <w:keepNext w:val="0"/>
              <w:keepLines w:val="0"/>
              <w:pageBreakBefore w:val="0"/>
              <w:widowControl w:val="0"/>
              <w:kinsoku/>
              <w:wordWrap/>
              <w:overflowPunct/>
              <w:topLinePunct w:val="0"/>
              <w:autoSpaceDE/>
              <w:autoSpaceDN/>
              <w:bidi w:val="0"/>
              <w:adjustRightInd/>
              <w:snapToGrid w:val="0"/>
              <w:spacing w:line="360" w:lineRule="auto"/>
              <w:ind w:firstLine="0" w:firstLineChars="0"/>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技术</w:t>
            </w:r>
          </w:p>
        </w:tc>
        <w:tc>
          <w:tcPr>
            <w:tcW w:w="6980" w:type="dxa"/>
            <w:tcBorders>
              <w:top w:val="single" w:color="auto" w:sz="4" w:space="0"/>
              <w:left w:val="single" w:color="auto" w:sz="4" w:space="0"/>
              <w:bottom w:val="single" w:color="auto" w:sz="4" w:space="0"/>
              <w:right w:val="single" w:color="auto" w:sz="4" w:space="0"/>
            </w:tcBorders>
            <w:noWrap w:val="0"/>
            <w:vAlign w:val="center"/>
          </w:tcPr>
          <w:p w14:paraId="0D1F9F96">
            <w:pPr>
              <w:keepNext w:val="0"/>
              <w:keepLines w:val="0"/>
              <w:pageBreakBefore w:val="0"/>
              <w:widowControl w:val="0"/>
              <w:kinsoku/>
              <w:wordWrap/>
              <w:overflowPunct/>
              <w:topLinePunct w:val="0"/>
              <w:autoSpaceDE/>
              <w:autoSpaceDN/>
              <w:bidi w:val="0"/>
              <w:adjustRightInd/>
              <w:snapToGrid w:val="0"/>
              <w:spacing w:after="0" w:line="360" w:lineRule="auto"/>
              <w:ind w:left="0" w:leftChars="0" w:firstLine="0" w:firstLineChars="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i w:val="0"/>
                <w:iCs w:val="0"/>
                <w:color w:val="auto"/>
                <w:kern w:val="0"/>
                <w:sz w:val="24"/>
                <w:szCs w:val="24"/>
                <w:highlight w:val="none"/>
                <w:u w:val="none"/>
                <w:lang w:val="en-US" w:eastAsia="zh-CN" w:bidi="ar"/>
              </w:rPr>
              <w:t>投标人根据采购需求，提供针对本项目的接口对接方案，评标委员会根据响应方案与采购需求中相应要求匹配情况进行评分。（</w:t>
            </w:r>
            <w:r>
              <w:rPr>
                <w:rFonts w:hint="eastAsia" w:ascii="宋体" w:hAnsi="宋体" w:cs="宋体"/>
                <w:i w:val="0"/>
                <w:iCs w:val="0"/>
                <w:color w:val="auto"/>
                <w:kern w:val="0"/>
                <w:sz w:val="24"/>
                <w:szCs w:val="24"/>
                <w:highlight w:val="none"/>
                <w:u w:val="none"/>
                <w:lang w:val="en-US" w:eastAsia="zh-CN" w:bidi="ar"/>
              </w:rPr>
              <w:t>分值：</w:t>
            </w:r>
            <w:r>
              <w:rPr>
                <w:rFonts w:hint="eastAsia" w:ascii="宋体" w:hAnsi="宋体" w:eastAsia="宋体" w:cs="宋体"/>
                <w:i w:val="0"/>
                <w:iCs w:val="0"/>
                <w:color w:val="auto"/>
                <w:kern w:val="0"/>
                <w:sz w:val="24"/>
                <w:szCs w:val="24"/>
                <w:highlight w:val="none"/>
                <w:u w:val="none"/>
                <w:lang w:val="en-US" w:eastAsia="zh-CN" w:bidi="ar"/>
              </w:rPr>
              <w:t>5,4,3,2,1,0）</w:t>
            </w:r>
          </w:p>
        </w:tc>
        <w:tc>
          <w:tcPr>
            <w:tcW w:w="509" w:type="dxa"/>
            <w:tcBorders>
              <w:top w:val="single" w:color="auto" w:sz="4" w:space="0"/>
              <w:left w:val="single" w:color="auto" w:sz="4" w:space="0"/>
              <w:bottom w:val="single" w:color="auto" w:sz="4" w:space="0"/>
              <w:right w:val="single" w:color="auto" w:sz="4" w:space="0"/>
            </w:tcBorders>
            <w:noWrap w:val="0"/>
            <w:vAlign w:val="center"/>
          </w:tcPr>
          <w:p w14:paraId="49CE31DB">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5</w:t>
            </w:r>
          </w:p>
        </w:tc>
        <w:tc>
          <w:tcPr>
            <w:tcW w:w="887" w:type="dxa"/>
            <w:tcBorders>
              <w:top w:val="single" w:color="auto" w:sz="4" w:space="0"/>
              <w:left w:val="single" w:color="auto" w:sz="4" w:space="0"/>
              <w:bottom w:val="single" w:color="auto" w:sz="4" w:space="0"/>
              <w:right w:val="single" w:color="auto" w:sz="4" w:space="0"/>
            </w:tcBorders>
            <w:noWrap w:val="0"/>
            <w:vAlign w:val="center"/>
          </w:tcPr>
          <w:p w14:paraId="43F94920">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主观分</w:t>
            </w:r>
          </w:p>
        </w:tc>
      </w:tr>
      <w:tr w14:paraId="7866DA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26" w:type="dxa"/>
            <w:tcBorders>
              <w:top w:val="single" w:color="auto" w:sz="4" w:space="0"/>
              <w:left w:val="single" w:color="auto" w:sz="4" w:space="0"/>
              <w:bottom w:val="single" w:color="auto" w:sz="4" w:space="0"/>
              <w:right w:val="single" w:color="auto" w:sz="4" w:space="0"/>
            </w:tcBorders>
            <w:noWrap w:val="0"/>
            <w:vAlign w:val="center"/>
          </w:tcPr>
          <w:p w14:paraId="6E5A6FFF">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7</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0300005F">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w:t>
            </w:r>
          </w:p>
        </w:tc>
        <w:tc>
          <w:tcPr>
            <w:tcW w:w="6980" w:type="dxa"/>
            <w:tcBorders>
              <w:top w:val="single" w:color="auto" w:sz="4" w:space="0"/>
              <w:left w:val="single" w:color="auto" w:sz="4" w:space="0"/>
              <w:bottom w:val="single" w:color="auto" w:sz="4" w:space="0"/>
              <w:right w:val="single" w:color="auto" w:sz="4" w:space="0"/>
            </w:tcBorders>
            <w:noWrap w:val="0"/>
            <w:vAlign w:val="center"/>
          </w:tcPr>
          <w:p w14:paraId="68BBEA4D">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项目团队（均须本单位在职人员，提供近一个月内的社保缴纳证明，</w:t>
            </w:r>
            <w:r>
              <w:rPr>
                <w:rFonts w:hint="eastAsia" w:ascii="宋体" w:hAnsi="宋体" w:cs="宋体"/>
                <w:color w:val="auto"/>
                <w:sz w:val="24"/>
                <w:szCs w:val="24"/>
                <w:highlight w:val="none"/>
                <w:lang w:val="en-US" w:eastAsia="zh-CN"/>
              </w:rPr>
              <w:t>还须提供相应证书影印件，</w:t>
            </w:r>
            <w:r>
              <w:rPr>
                <w:rFonts w:hint="eastAsia" w:ascii="宋体" w:hAnsi="宋体" w:eastAsia="宋体" w:cs="宋体"/>
                <w:color w:val="auto"/>
                <w:sz w:val="24"/>
                <w:szCs w:val="24"/>
                <w:highlight w:val="none"/>
                <w:lang w:val="en-US" w:eastAsia="zh-CN"/>
              </w:rPr>
              <w:t>否则不得分）</w:t>
            </w:r>
            <w:r>
              <w:rPr>
                <w:rFonts w:hint="eastAsia" w:ascii="宋体" w:hAnsi="宋体" w:eastAsia="宋体" w:cs="宋体"/>
                <w:color w:val="auto"/>
                <w:sz w:val="24"/>
                <w:szCs w:val="24"/>
                <w:highlight w:val="none"/>
              </w:rPr>
              <w:t>：</w:t>
            </w:r>
          </w:p>
          <w:p w14:paraId="1775E813">
            <w:pPr>
              <w:keepNext w:val="0"/>
              <w:keepLines w:val="0"/>
              <w:pageBreakBefore w:val="0"/>
              <w:widowControl w:val="0"/>
              <w:numPr>
                <w:ilvl w:val="0"/>
                <w:numId w:val="7"/>
              </w:numPr>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拟派本项目的项目经理具有人社部门颁发的信息系统项目管理师（高级）证书</w:t>
            </w:r>
            <w:r>
              <w:rPr>
                <w:rFonts w:hint="eastAsia" w:ascii="宋体" w:hAnsi="宋体" w:cs="宋体"/>
                <w:color w:val="auto"/>
                <w:sz w:val="24"/>
                <w:szCs w:val="24"/>
                <w:highlight w:val="none"/>
                <w:lang w:val="en-US" w:eastAsia="zh-CN"/>
              </w:rPr>
              <w:t>、信息安全工程师（中级）证书</w:t>
            </w:r>
            <w:r>
              <w:rPr>
                <w:rFonts w:hint="eastAsia" w:ascii="宋体" w:hAnsi="宋体" w:eastAsia="宋体" w:cs="宋体"/>
                <w:color w:val="auto"/>
                <w:sz w:val="24"/>
                <w:szCs w:val="24"/>
                <w:highlight w:val="none"/>
                <w:lang w:val="en-US" w:eastAsia="zh-CN"/>
              </w:rPr>
              <w:t>的得</w:t>
            </w:r>
            <w:r>
              <w:rPr>
                <w:rFonts w:hint="eastAsia" w:ascii="宋体" w:hAnsi="宋体" w:eastAsia="宋体" w:cs="宋体"/>
                <w:color w:val="auto"/>
                <w:sz w:val="24"/>
                <w:szCs w:val="24"/>
                <w:highlight w:val="none"/>
                <w:lang w:val="en-US" w:eastAsia="zh-CN"/>
              </w:rPr>
              <w:t>2分，缺1项扣1分，其他情况不得分</w:t>
            </w:r>
            <w:r>
              <w:rPr>
                <w:rFonts w:hint="eastAsia" w:ascii="宋体" w:hAnsi="宋体" w:eastAsia="宋体" w:cs="宋体"/>
                <w:color w:val="auto"/>
                <w:sz w:val="24"/>
                <w:szCs w:val="24"/>
                <w:highlight w:val="none"/>
              </w:rPr>
              <w:t>。</w:t>
            </w:r>
          </w:p>
          <w:p w14:paraId="7A402ABC">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、拟投入本次项目</w:t>
            </w:r>
            <w:r>
              <w:rPr>
                <w:rFonts w:hint="eastAsia" w:ascii="宋体" w:hAnsi="宋体" w:cs="宋体"/>
                <w:color w:val="auto"/>
                <w:sz w:val="24"/>
                <w:szCs w:val="24"/>
                <w:highlight w:val="none"/>
                <w:lang w:eastAsia="zh-CN"/>
              </w:rPr>
              <w:t>技术负责人具</w:t>
            </w:r>
            <w:r>
              <w:rPr>
                <w:rFonts w:hint="eastAsia" w:ascii="宋体" w:hAnsi="宋体" w:eastAsia="宋体" w:cs="宋体"/>
                <w:color w:val="auto"/>
                <w:sz w:val="24"/>
                <w:szCs w:val="24"/>
                <w:highlight w:val="none"/>
              </w:rPr>
              <w:t>有</w:t>
            </w:r>
            <w:r>
              <w:rPr>
                <w:rFonts w:hint="eastAsia" w:ascii="宋体" w:hAnsi="宋体" w:eastAsia="宋体" w:cs="宋体"/>
                <w:color w:val="auto"/>
                <w:sz w:val="24"/>
                <w:szCs w:val="24"/>
                <w:highlight w:val="none"/>
                <w:lang w:val="en-US" w:eastAsia="zh-CN"/>
              </w:rPr>
              <w:t>人社部门颁发的</w:t>
            </w:r>
            <w:r>
              <w:rPr>
                <w:rFonts w:hint="eastAsia" w:ascii="宋体" w:hAnsi="宋体" w:eastAsia="宋体" w:cs="宋体"/>
                <w:color w:val="auto"/>
                <w:sz w:val="24"/>
                <w:szCs w:val="24"/>
                <w:highlight w:val="none"/>
                <w:lang w:eastAsia="zh-CN"/>
              </w:rPr>
              <w:t>正高级工程师</w:t>
            </w:r>
            <w:r>
              <w:rPr>
                <w:rFonts w:hint="eastAsia" w:ascii="宋体" w:hAnsi="宋体" w:cs="宋体"/>
                <w:color w:val="auto"/>
                <w:sz w:val="24"/>
                <w:szCs w:val="24"/>
                <w:highlight w:val="none"/>
                <w:lang w:eastAsia="zh-CN"/>
              </w:rPr>
              <w:t>证书</w:t>
            </w:r>
            <w:r>
              <w:rPr>
                <w:rFonts w:hint="eastAsia" w:ascii="宋体" w:hAnsi="宋体" w:eastAsia="宋体" w:cs="宋体"/>
                <w:color w:val="auto"/>
                <w:sz w:val="24"/>
                <w:szCs w:val="24"/>
                <w:highlight w:val="none"/>
                <w:lang w:eastAsia="zh-CN"/>
              </w:rPr>
              <w:t>且专业为信息技术（技术开发）</w:t>
            </w:r>
            <w:r>
              <w:rPr>
                <w:rFonts w:hint="eastAsia" w:ascii="宋体" w:hAnsi="宋体" w:cs="宋体"/>
                <w:color w:val="auto"/>
                <w:sz w:val="24"/>
                <w:szCs w:val="24"/>
                <w:highlight w:val="none"/>
                <w:lang w:val="en-US" w:eastAsia="zh-CN"/>
              </w:rPr>
              <w:t>相关专业</w:t>
            </w:r>
            <w:r>
              <w:rPr>
                <w:rFonts w:hint="eastAsia"/>
                <w:color w:val="auto"/>
                <w:highlight w:val="none"/>
                <w:lang w:eastAsia="zh-CN"/>
              </w:rPr>
              <w:t>的</w:t>
            </w:r>
            <w:r>
              <w:rPr>
                <w:rFonts w:hint="eastAsia" w:ascii="宋体" w:hAnsi="宋体" w:eastAsia="宋体" w:cs="宋体"/>
                <w:color w:val="auto"/>
                <w:sz w:val="24"/>
                <w:szCs w:val="24"/>
                <w:highlight w:val="none"/>
              </w:rPr>
              <w:t>得2分</w:t>
            </w:r>
            <w:r>
              <w:rPr>
                <w:rFonts w:hint="eastAsia" w:ascii="宋体" w:hAnsi="宋体" w:eastAsia="宋体" w:cs="宋体"/>
                <w:color w:val="auto"/>
                <w:sz w:val="24"/>
                <w:szCs w:val="24"/>
                <w:highlight w:val="none"/>
                <w:lang w:eastAsia="zh-CN"/>
              </w:rPr>
              <w:t>。</w:t>
            </w:r>
          </w:p>
          <w:p w14:paraId="77D6F4F5">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、拟投入本次项目团队成员（项目</w:t>
            </w:r>
            <w:r>
              <w:rPr>
                <w:rFonts w:hint="eastAsia" w:ascii="宋体" w:hAnsi="宋体" w:cs="宋体"/>
                <w:color w:val="auto"/>
                <w:sz w:val="24"/>
                <w:szCs w:val="24"/>
                <w:highlight w:val="none"/>
                <w:lang w:eastAsia="zh-CN"/>
              </w:rPr>
              <w:t>经理、技术</w:t>
            </w:r>
            <w:r>
              <w:rPr>
                <w:rFonts w:hint="eastAsia" w:ascii="宋体" w:hAnsi="宋体" w:eastAsia="宋体" w:cs="宋体"/>
                <w:color w:val="auto"/>
                <w:sz w:val="24"/>
                <w:szCs w:val="24"/>
                <w:highlight w:val="none"/>
              </w:rPr>
              <w:t>负责人除外）中有</w:t>
            </w:r>
            <w:r>
              <w:rPr>
                <w:rFonts w:hint="eastAsia" w:ascii="宋体" w:hAnsi="宋体" w:eastAsia="宋体" w:cs="宋体"/>
                <w:color w:val="auto"/>
                <w:sz w:val="24"/>
                <w:szCs w:val="24"/>
                <w:highlight w:val="none"/>
                <w:lang w:val="en-US" w:eastAsia="zh-CN"/>
              </w:rPr>
              <w:t>人社部门颁发</w:t>
            </w:r>
            <w:r>
              <w:rPr>
                <w:rFonts w:hint="eastAsia" w:ascii="宋体" w:hAnsi="宋体" w:cs="宋体"/>
                <w:color w:val="auto"/>
                <w:sz w:val="24"/>
                <w:szCs w:val="24"/>
                <w:highlight w:val="none"/>
                <w:lang w:val="en-US" w:eastAsia="zh-CN"/>
              </w:rPr>
              <w:t>的</w:t>
            </w:r>
            <w:r>
              <w:rPr>
                <w:rFonts w:hint="eastAsia" w:ascii="宋体" w:hAnsi="宋体" w:eastAsia="宋体" w:cs="宋体"/>
                <w:color w:val="auto"/>
                <w:sz w:val="24"/>
                <w:szCs w:val="24"/>
                <w:highlight w:val="none"/>
              </w:rPr>
              <w:t>软件设计师（中级）资质人员</w:t>
            </w:r>
            <w:r>
              <w:rPr>
                <w:rFonts w:hint="eastAsia" w:ascii="宋体" w:hAnsi="宋体" w:cs="宋体"/>
                <w:color w:val="auto"/>
                <w:sz w:val="24"/>
                <w:szCs w:val="24"/>
                <w:highlight w:val="none"/>
                <w:lang w:val="en-US" w:eastAsia="zh-CN"/>
              </w:rPr>
              <w:t>的</w:t>
            </w:r>
            <w:r>
              <w:rPr>
                <w:rFonts w:hint="eastAsia" w:ascii="宋体" w:hAnsi="宋体" w:eastAsia="宋体" w:cs="宋体"/>
                <w:color w:val="auto"/>
                <w:sz w:val="24"/>
                <w:szCs w:val="24"/>
                <w:highlight w:val="none"/>
              </w:rPr>
              <w:t>，每个得1分，最多得3分</w:t>
            </w:r>
            <w:r>
              <w:rPr>
                <w:rFonts w:hint="eastAsia" w:ascii="宋体" w:hAnsi="宋体" w:eastAsia="宋体" w:cs="宋体"/>
                <w:color w:val="auto"/>
                <w:sz w:val="24"/>
                <w:szCs w:val="24"/>
                <w:highlight w:val="none"/>
                <w:lang w:eastAsia="zh-CN"/>
              </w:rPr>
              <w:t>。</w:t>
            </w:r>
          </w:p>
          <w:p w14:paraId="1D52BB1C">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4、拟投入本次项目团队成员（项目</w:t>
            </w:r>
            <w:r>
              <w:rPr>
                <w:rFonts w:hint="eastAsia" w:ascii="宋体" w:hAnsi="宋体" w:cs="宋体"/>
                <w:color w:val="auto"/>
                <w:sz w:val="24"/>
                <w:szCs w:val="24"/>
                <w:highlight w:val="none"/>
                <w:lang w:val="en-US" w:eastAsia="zh-CN"/>
              </w:rPr>
              <w:t>经理、技术</w:t>
            </w:r>
            <w:r>
              <w:rPr>
                <w:rFonts w:hint="eastAsia" w:ascii="宋体" w:hAnsi="宋体" w:eastAsia="宋体" w:cs="宋体"/>
                <w:color w:val="auto"/>
                <w:sz w:val="24"/>
                <w:szCs w:val="24"/>
                <w:highlight w:val="none"/>
                <w:lang w:val="en-US" w:eastAsia="zh-CN"/>
              </w:rPr>
              <w:t>负责人除外）中有人社部门颁发</w:t>
            </w:r>
            <w:r>
              <w:rPr>
                <w:rFonts w:hint="eastAsia" w:ascii="宋体" w:hAnsi="宋体" w:cs="宋体"/>
                <w:color w:val="auto"/>
                <w:sz w:val="24"/>
                <w:szCs w:val="24"/>
                <w:highlight w:val="none"/>
                <w:lang w:val="en-US" w:eastAsia="zh-CN"/>
              </w:rPr>
              <w:t>的</w:t>
            </w:r>
            <w:r>
              <w:rPr>
                <w:rFonts w:hint="eastAsia" w:ascii="宋体" w:hAnsi="宋体" w:eastAsia="宋体" w:cs="宋体"/>
                <w:color w:val="auto"/>
                <w:sz w:val="24"/>
                <w:szCs w:val="24"/>
                <w:highlight w:val="none"/>
                <w:lang w:val="en-US" w:eastAsia="zh-CN"/>
              </w:rPr>
              <w:t>系统分析师（高级）资质人员</w:t>
            </w:r>
            <w:r>
              <w:rPr>
                <w:rFonts w:hint="eastAsia" w:ascii="宋体" w:hAnsi="宋体" w:cs="宋体"/>
                <w:color w:val="auto"/>
                <w:sz w:val="24"/>
                <w:szCs w:val="24"/>
                <w:highlight w:val="none"/>
                <w:lang w:val="en-US" w:eastAsia="zh-CN"/>
              </w:rPr>
              <w:t>的</w:t>
            </w:r>
            <w:r>
              <w:rPr>
                <w:rFonts w:hint="eastAsia" w:ascii="宋体" w:hAnsi="宋体" w:eastAsia="宋体" w:cs="宋体"/>
                <w:color w:val="auto"/>
                <w:sz w:val="24"/>
                <w:szCs w:val="24"/>
                <w:highlight w:val="none"/>
                <w:lang w:val="en-US" w:eastAsia="zh-CN"/>
              </w:rPr>
              <w:t>得1分。</w:t>
            </w:r>
          </w:p>
        </w:tc>
        <w:tc>
          <w:tcPr>
            <w:tcW w:w="509" w:type="dxa"/>
            <w:tcBorders>
              <w:top w:val="single" w:color="auto" w:sz="4" w:space="0"/>
              <w:left w:val="single" w:color="auto" w:sz="4" w:space="0"/>
              <w:bottom w:val="single" w:color="auto" w:sz="4" w:space="0"/>
              <w:right w:val="single" w:color="auto" w:sz="4" w:space="0"/>
            </w:tcBorders>
            <w:noWrap w:val="0"/>
            <w:vAlign w:val="center"/>
          </w:tcPr>
          <w:p w14:paraId="3505C3F3">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8</w:t>
            </w:r>
          </w:p>
        </w:tc>
        <w:tc>
          <w:tcPr>
            <w:tcW w:w="887" w:type="dxa"/>
            <w:tcBorders>
              <w:top w:val="single" w:color="auto" w:sz="4" w:space="0"/>
              <w:left w:val="single" w:color="auto" w:sz="4" w:space="0"/>
              <w:bottom w:val="single" w:color="auto" w:sz="4" w:space="0"/>
              <w:right w:val="single" w:color="auto" w:sz="4" w:space="0"/>
            </w:tcBorders>
            <w:noWrap w:val="0"/>
            <w:vAlign w:val="center"/>
          </w:tcPr>
          <w:p w14:paraId="6EED4F83">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客观分</w:t>
            </w:r>
          </w:p>
        </w:tc>
      </w:tr>
      <w:tr w14:paraId="1957AE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26" w:type="dxa"/>
            <w:tcBorders>
              <w:top w:val="single" w:color="auto" w:sz="4" w:space="0"/>
              <w:left w:val="single" w:color="auto" w:sz="4" w:space="0"/>
              <w:bottom w:val="single" w:color="auto" w:sz="4" w:space="0"/>
              <w:right w:val="single" w:color="auto" w:sz="4" w:space="0"/>
            </w:tcBorders>
            <w:noWrap w:val="0"/>
            <w:vAlign w:val="center"/>
          </w:tcPr>
          <w:p w14:paraId="295798FE">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8</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4E93912A">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w:t>
            </w:r>
          </w:p>
        </w:tc>
        <w:tc>
          <w:tcPr>
            <w:tcW w:w="6980" w:type="dxa"/>
            <w:tcBorders>
              <w:top w:val="single" w:color="auto" w:sz="4" w:space="0"/>
              <w:left w:val="single" w:color="auto" w:sz="4" w:space="0"/>
              <w:bottom w:val="single" w:color="auto" w:sz="4" w:space="0"/>
              <w:right w:val="single" w:color="auto" w:sz="4" w:space="0"/>
            </w:tcBorders>
            <w:noWrap w:val="0"/>
            <w:vAlign w:val="center"/>
          </w:tcPr>
          <w:p w14:paraId="57AEF3DD">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对</w:t>
            </w:r>
            <w:r>
              <w:rPr>
                <w:rFonts w:hint="eastAsia" w:ascii="宋体" w:hAnsi="宋体" w:eastAsia="宋体" w:cs="宋体"/>
                <w:color w:val="auto"/>
                <w:sz w:val="24"/>
                <w:szCs w:val="24"/>
                <w:highlight w:val="none"/>
              </w:rPr>
              <w:t>项目组织实施方案（包括系统设计、系统集成、试运行、测试、调优、应用管理培训、系统运行维护培训等内容，以及组织机构、实施场所、工作时间进度表、工作程序和步骤、管理和协调方法、关键步骤的思路和要点等的详细程度及针对性）</w:t>
            </w:r>
            <w:r>
              <w:rPr>
                <w:rFonts w:hint="eastAsia" w:ascii="宋体" w:hAnsi="宋体" w:cs="宋体"/>
                <w:color w:val="auto"/>
                <w:sz w:val="24"/>
                <w:szCs w:val="24"/>
                <w:highlight w:val="none"/>
                <w:lang w:val="en-US" w:eastAsia="zh-CN"/>
              </w:rPr>
              <w:t>进行</w:t>
            </w:r>
            <w:r>
              <w:rPr>
                <w:rFonts w:hint="eastAsia" w:ascii="宋体" w:hAnsi="宋体" w:eastAsia="宋体" w:cs="宋体"/>
                <w:color w:val="auto"/>
                <w:kern w:val="0"/>
                <w:sz w:val="24"/>
                <w:szCs w:val="24"/>
                <w:highlight w:val="none"/>
                <w:lang w:bidi="ar"/>
              </w:rPr>
              <w:t>评分。（</w:t>
            </w:r>
            <w:r>
              <w:rPr>
                <w:rStyle w:val="375"/>
                <w:rFonts w:hint="eastAsia" w:ascii="宋体" w:hAnsi="宋体" w:eastAsia="宋体" w:cs="宋体"/>
                <w:color w:val="auto"/>
                <w:sz w:val="24"/>
                <w:szCs w:val="24"/>
                <w:highlight w:val="none"/>
                <w:lang w:bidi="ar"/>
              </w:rPr>
              <w:t>分值：</w:t>
            </w:r>
            <w:r>
              <w:rPr>
                <w:rStyle w:val="375"/>
                <w:rFonts w:hint="eastAsia" w:ascii="宋体" w:hAnsi="宋体" w:cs="宋体"/>
                <w:color w:val="auto"/>
                <w:sz w:val="24"/>
                <w:szCs w:val="24"/>
                <w:highlight w:val="none"/>
                <w:lang w:val="en-US" w:eastAsia="zh-CN" w:bidi="ar"/>
              </w:rPr>
              <w:t>3，</w:t>
            </w:r>
            <w:r>
              <w:rPr>
                <w:rFonts w:hint="eastAsia" w:ascii="宋体" w:hAnsi="宋体" w:cs="宋体"/>
                <w:color w:val="auto"/>
                <w:kern w:val="0"/>
                <w:sz w:val="24"/>
                <w:szCs w:val="24"/>
                <w:highlight w:val="none"/>
                <w:lang w:val="en-US" w:eastAsia="zh-CN" w:bidi="ar"/>
              </w:rPr>
              <w:t>2</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1</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0</w:t>
            </w:r>
            <w:r>
              <w:rPr>
                <w:rFonts w:hint="eastAsia" w:ascii="宋体" w:hAnsi="宋体" w:eastAsia="宋体" w:cs="宋体"/>
                <w:color w:val="auto"/>
                <w:kern w:val="0"/>
                <w:sz w:val="24"/>
                <w:szCs w:val="24"/>
                <w:highlight w:val="none"/>
                <w:lang w:bidi="ar"/>
              </w:rPr>
              <w:t>）</w:t>
            </w:r>
          </w:p>
        </w:tc>
        <w:tc>
          <w:tcPr>
            <w:tcW w:w="509" w:type="dxa"/>
            <w:tcBorders>
              <w:top w:val="single" w:color="auto" w:sz="4" w:space="0"/>
              <w:left w:val="single" w:color="auto" w:sz="4" w:space="0"/>
              <w:bottom w:val="single" w:color="auto" w:sz="4" w:space="0"/>
              <w:right w:val="single" w:color="auto" w:sz="4" w:space="0"/>
            </w:tcBorders>
            <w:noWrap w:val="0"/>
            <w:vAlign w:val="center"/>
          </w:tcPr>
          <w:p w14:paraId="018E08B9">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3</w:t>
            </w:r>
          </w:p>
        </w:tc>
        <w:tc>
          <w:tcPr>
            <w:tcW w:w="887" w:type="dxa"/>
            <w:tcBorders>
              <w:top w:val="single" w:color="auto" w:sz="4" w:space="0"/>
              <w:left w:val="single" w:color="auto" w:sz="4" w:space="0"/>
              <w:bottom w:val="single" w:color="auto" w:sz="4" w:space="0"/>
              <w:right w:val="single" w:color="auto" w:sz="4" w:space="0"/>
            </w:tcBorders>
            <w:noWrap w:val="0"/>
            <w:vAlign w:val="center"/>
          </w:tcPr>
          <w:p w14:paraId="5B19EA2E">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主观分</w:t>
            </w:r>
          </w:p>
        </w:tc>
      </w:tr>
      <w:tr w14:paraId="4B7BBC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26" w:type="dxa"/>
            <w:tcBorders>
              <w:top w:val="single" w:color="auto" w:sz="4" w:space="0"/>
              <w:left w:val="single" w:color="auto" w:sz="4" w:space="0"/>
              <w:bottom w:val="single" w:color="auto" w:sz="4" w:space="0"/>
              <w:right w:val="single" w:color="auto" w:sz="4" w:space="0"/>
            </w:tcBorders>
            <w:noWrap w:val="0"/>
            <w:vAlign w:val="center"/>
          </w:tcPr>
          <w:p w14:paraId="5FE78397">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9</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0C410965">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w:t>
            </w:r>
          </w:p>
        </w:tc>
        <w:tc>
          <w:tcPr>
            <w:tcW w:w="6980" w:type="dxa"/>
            <w:tcBorders>
              <w:top w:val="single" w:color="auto" w:sz="4" w:space="0"/>
              <w:left w:val="single" w:color="auto" w:sz="4" w:space="0"/>
              <w:bottom w:val="single" w:color="auto" w:sz="4" w:space="0"/>
              <w:right w:val="single" w:color="auto" w:sz="4" w:space="0"/>
            </w:tcBorders>
            <w:noWrap w:val="0"/>
            <w:vAlign w:val="center"/>
          </w:tcPr>
          <w:p w14:paraId="3755AC67">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bidi="ar"/>
              </w:rPr>
              <w:t>投标人根据采购需求，需提供针对本项目</w:t>
            </w:r>
            <w:r>
              <w:rPr>
                <w:rFonts w:hint="eastAsia" w:ascii="宋体" w:hAnsi="宋体" w:eastAsia="宋体" w:cs="宋体"/>
                <w:color w:val="auto"/>
                <w:sz w:val="24"/>
                <w:szCs w:val="24"/>
                <w:highlight w:val="none"/>
                <w:lang w:val="en-US" w:eastAsia="zh-CN"/>
              </w:rPr>
              <w:t>软件</w:t>
            </w:r>
            <w:r>
              <w:rPr>
                <w:rFonts w:hint="eastAsia" w:ascii="宋体" w:hAnsi="宋体" w:eastAsia="宋体" w:cs="宋体"/>
                <w:color w:val="auto"/>
                <w:sz w:val="24"/>
                <w:szCs w:val="24"/>
                <w:highlight w:val="none"/>
              </w:rPr>
              <w:t>测试、</w:t>
            </w:r>
            <w:r>
              <w:rPr>
                <w:rFonts w:hint="eastAsia" w:ascii="宋体" w:hAnsi="宋体" w:cs="宋体"/>
                <w:color w:val="auto"/>
                <w:sz w:val="24"/>
                <w:szCs w:val="24"/>
                <w:highlight w:val="none"/>
                <w:lang w:val="en-US" w:eastAsia="zh-CN"/>
              </w:rPr>
              <w:t>交付</w:t>
            </w:r>
            <w:r>
              <w:rPr>
                <w:rFonts w:hint="eastAsia" w:ascii="宋体" w:hAnsi="宋体" w:eastAsia="宋体" w:cs="宋体"/>
                <w:color w:val="auto"/>
                <w:sz w:val="24"/>
                <w:szCs w:val="24"/>
                <w:highlight w:val="none"/>
                <w:lang w:val="en-US" w:eastAsia="zh-CN"/>
              </w:rPr>
              <w:t>方案</w:t>
            </w:r>
            <w:r>
              <w:rPr>
                <w:rFonts w:hint="eastAsia" w:ascii="宋体" w:hAnsi="宋体" w:cs="宋体"/>
                <w:color w:val="auto"/>
                <w:sz w:val="24"/>
                <w:szCs w:val="24"/>
                <w:highlight w:val="none"/>
                <w:lang w:val="en-US" w:eastAsia="zh-CN"/>
              </w:rPr>
              <w:t>，评</w:t>
            </w:r>
            <w:r>
              <w:rPr>
                <w:rFonts w:hint="eastAsia" w:ascii="宋体" w:hAnsi="宋体" w:eastAsia="宋体" w:cs="宋体"/>
                <w:color w:val="auto"/>
                <w:kern w:val="0"/>
                <w:sz w:val="24"/>
                <w:szCs w:val="24"/>
                <w:highlight w:val="none"/>
                <w:lang w:bidi="ar"/>
              </w:rPr>
              <w:t>标委员会根据响应方案与采购需求中相应要求匹配情况进行评分。（</w:t>
            </w:r>
            <w:r>
              <w:rPr>
                <w:rStyle w:val="375"/>
                <w:rFonts w:hint="eastAsia" w:ascii="宋体" w:hAnsi="宋体" w:eastAsia="宋体" w:cs="宋体"/>
                <w:color w:val="auto"/>
                <w:sz w:val="24"/>
                <w:szCs w:val="24"/>
                <w:highlight w:val="none"/>
                <w:lang w:bidi="ar"/>
              </w:rPr>
              <w:t>分值：</w:t>
            </w:r>
            <w:r>
              <w:rPr>
                <w:rStyle w:val="375"/>
                <w:rFonts w:hint="eastAsia" w:ascii="宋体" w:hAnsi="宋体" w:cs="宋体"/>
                <w:color w:val="auto"/>
                <w:sz w:val="24"/>
                <w:szCs w:val="24"/>
                <w:highlight w:val="none"/>
                <w:lang w:val="en-US" w:eastAsia="zh-CN" w:bidi="ar"/>
              </w:rPr>
              <w:t>3，</w:t>
            </w:r>
            <w:r>
              <w:rPr>
                <w:rFonts w:hint="eastAsia" w:ascii="宋体" w:hAnsi="宋体" w:cs="宋体"/>
                <w:color w:val="auto"/>
                <w:kern w:val="0"/>
                <w:sz w:val="24"/>
                <w:szCs w:val="24"/>
                <w:highlight w:val="none"/>
                <w:lang w:val="en-US" w:eastAsia="zh-CN" w:bidi="ar"/>
              </w:rPr>
              <w:t>2</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1</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0</w:t>
            </w:r>
            <w:r>
              <w:rPr>
                <w:rFonts w:hint="eastAsia" w:ascii="宋体" w:hAnsi="宋体" w:eastAsia="宋体" w:cs="宋体"/>
                <w:color w:val="auto"/>
                <w:kern w:val="0"/>
                <w:sz w:val="24"/>
                <w:szCs w:val="24"/>
                <w:highlight w:val="none"/>
                <w:lang w:bidi="ar"/>
              </w:rPr>
              <w:t>）</w:t>
            </w:r>
          </w:p>
        </w:tc>
        <w:tc>
          <w:tcPr>
            <w:tcW w:w="509" w:type="dxa"/>
            <w:tcBorders>
              <w:top w:val="single" w:color="auto" w:sz="4" w:space="0"/>
              <w:left w:val="single" w:color="auto" w:sz="4" w:space="0"/>
              <w:bottom w:val="single" w:color="auto" w:sz="4" w:space="0"/>
              <w:right w:val="single" w:color="auto" w:sz="4" w:space="0"/>
            </w:tcBorders>
            <w:noWrap w:val="0"/>
            <w:vAlign w:val="center"/>
          </w:tcPr>
          <w:p w14:paraId="12788D49">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p>
        </w:tc>
        <w:tc>
          <w:tcPr>
            <w:tcW w:w="887" w:type="dxa"/>
            <w:tcBorders>
              <w:top w:val="single" w:color="auto" w:sz="4" w:space="0"/>
              <w:left w:val="single" w:color="auto" w:sz="4" w:space="0"/>
              <w:bottom w:val="single" w:color="auto" w:sz="4" w:space="0"/>
              <w:right w:val="single" w:color="auto" w:sz="4" w:space="0"/>
            </w:tcBorders>
            <w:noWrap w:val="0"/>
            <w:vAlign w:val="center"/>
          </w:tcPr>
          <w:p w14:paraId="3159604D">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主观分</w:t>
            </w:r>
          </w:p>
        </w:tc>
      </w:tr>
      <w:tr w14:paraId="68B2A5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7" w:hRule="atLeast"/>
        </w:trPr>
        <w:tc>
          <w:tcPr>
            <w:tcW w:w="526" w:type="dxa"/>
            <w:tcBorders>
              <w:top w:val="single" w:color="auto" w:sz="4" w:space="0"/>
              <w:left w:val="single" w:color="auto" w:sz="4" w:space="0"/>
              <w:bottom w:val="single" w:color="auto" w:sz="4" w:space="0"/>
              <w:right w:val="single" w:color="auto" w:sz="4" w:space="0"/>
            </w:tcBorders>
            <w:noWrap w:val="0"/>
            <w:vAlign w:val="center"/>
          </w:tcPr>
          <w:p w14:paraId="71C6302C">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10</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18F48E16">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w:t>
            </w:r>
          </w:p>
        </w:tc>
        <w:tc>
          <w:tcPr>
            <w:tcW w:w="6980" w:type="dxa"/>
            <w:tcBorders>
              <w:top w:val="single" w:color="auto" w:sz="4" w:space="0"/>
              <w:left w:val="single" w:color="auto" w:sz="4" w:space="0"/>
              <w:bottom w:val="single" w:color="auto" w:sz="4" w:space="0"/>
              <w:right w:val="single" w:color="auto" w:sz="4" w:space="0"/>
            </w:tcBorders>
            <w:noWrap w:val="0"/>
            <w:vAlign w:val="center"/>
          </w:tcPr>
          <w:p w14:paraId="4A4680D2">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投标人根据采购需求，需提供针对本项目的培训方案（包括培训计划、培训内容、培训时间等），评标委员会根据响应方案与采购需求中相应要求匹配情况进行评分。（</w:t>
            </w:r>
            <w:r>
              <w:rPr>
                <w:rStyle w:val="375"/>
                <w:rFonts w:hint="eastAsia" w:ascii="宋体" w:hAnsi="宋体" w:eastAsia="宋体" w:cs="宋体"/>
                <w:color w:val="auto"/>
                <w:sz w:val="24"/>
                <w:szCs w:val="24"/>
                <w:highlight w:val="none"/>
                <w:lang w:bidi="ar"/>
              </w:rPr>
              <w:t>分值：</w:t>
            </w:r>
            <w:r>
              <w:rPr>
                <w:rStyle w:val="375"/>
                <w:rFonts w:hint="eastAsia" w:ascii="宋体" w:hAnsi="宋体" w:cs="宋体"/>
                <w:color w:val="auto"/>
                <w:sz w:val="24"/>
                <w:szCs w:val="24"/>
                <w:highlight w:val="none"/>
                <w:lang w:val="en-US" w:eastAsia="zh-CN" w:bidi="ar"/>
              </w:rPr>
              <w:t>3，</w:t>
            </w:r>
            <w:r>
              <w:rPr>
                <w:rFonts w:hint="eastAsia" w:ascii="宋体" w:hAnsi="宋体" w:cs="宋体"/>
                <w:color w:val="auto"/>
                <w:kern w:val="0"/>
                <w:sz w:val="24"/>
                <w:szCs w:val="24"/>
                <w:highlight w:val="none"/>
                <w:lang w:val="en-US" w:eastAsia="zh-CN" w:bidi="ar"/>
              </w:rPr>
              <w:t>2</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1</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0</w:t>
            </w:r>
            <w:r>
              <w:rPr>
                <w:rFonts w:hint="eastAsia" w:ascii="宋体" w:hAnsi="宋体" w:eastAsia="宋体" w:cs="宋体"/>
                <w:color w:val="auto"/>
                <w:kern w:val="0"/>
                <w:sz w:val="24"/>
                <w:szCs w:val="24"/>
                <w:highlight w:val="none"/>
                <w:lang w:bidi="ar"/>
              </w:rPr>
              <w:t>）</w:t>
            </w:r>
          </w:p>
        </w:tc>
        <w:tc>
          <w:tcPr>
            <w:tcW w:w="509" w:type="dxa"/>
            <w:tcBorders>
              <w:top w:val="single" w:color="auto" w:sz="4" w:space="0"/>
              <w:left w:val="single" w:color="auto" w:sz="4" w:space="0"/>
              <w:bottom w:val="single" w:color="auto" w:sz="4" w:space="0"/>
              <w:right w:val="single" w:color="auto" w:sz="4" w:space="0"/>
            </w:tcBorders>
            <w:noWrap w:val="0"/>
            <w:vAlign w:val="center"/>
          </w:tcPr>
          <w:p w14:paraId="6910F2A8">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3</w:t>
            </w:r>
          </w:p>
        </w:tc>
        <w:tc>
          <w:tcPr>
            <w:tcW w:w="887" w:type="dxa"/>
            <w:tcBorders>
              <w:top w:val="single" w:color="auto" w:sz="4" w:space="0"/>
              <w:left w:val="single" w:color="auto" w:sz="4" w:space="0"/>
              <w:bottom w:val="single" w:color="auto" w:sz="4" w:space="0"/>
              <w:right w:val="single" w:color="auto" w:sz="4" w:space="0"/>
            </w:tcBorders>
            <w:noWrap w:val="0"/>
            <w:vAlign w:val="center"/>
          </w:tcPr>
          <w:p w14:paraId="02AB5043">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主观分</w:t>
            </w:r>
          </w:p>
        </w:tc>
      </w:tr>
      <w:tr w14:paraId="635CD9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7" w:hRule="atLeast"/>
        </w:trPr>
        <w:tc>
          <w:tcPr>
            <w:tcW w:w="526" w:type="dxa"/>
            <w:tcBorders>
              <w:top w:val="single" w:color="auto" w:sz="4" w:space="0"/>
              <w:left w:val="single" w:color="auto" w:sz="4" w:space="0"/>
              <w:bottom w:val="single" w:color="auto" w:sz="4" w:space="0"/>
              <w:right w:val="single" w:color="auto" w:sz="4" w:space="0"/>
            </w:tcBorders>
            <w:noWrap w:val="0"/>
            <w:vAlign w:val="center"/>
          </w:tcPr>
          <w:p w14:paraId="5AEC5377">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r>
              <w:rPr>
                <w:rFonts w:hint="eastAsia" w:ascii="宋体" w:hAnsi="宋体" w:cs="宋体"/>
                <w:color w:val="auto"/>
                <w:sz w:val="24"/>
                <w:szCs w:val="24"/>
                <w:highlight w:val="none"/>
                <w:lang w:val="en-US" w:eastAsia="zh-CN"/>
              </w:rPr>
              <w:t>1</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472385F1">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w:t>
            </w:r>
          </w:p>
        </w:tc>
        <w:tc>
          <w:tcPr>
            <w:tcW w:w="6980" w:type="dxa"/>
            <w:tcBorders>
              <w:top w:val="single" w:color="auto" w:sz="4" w:space="0"/>
              <w:left w:val="single" w:color="auto" w:sz="4" w:space="0"/>
              <w:bottom w:val="single" w:color="auto" w:sz="4" w:space="0"/>
              <w:right w:val="single" w:color="auto" w:sz="4" w:space="0"/>
            </w:tcBorders>
            <w:noWrap w:val="0"/>
            <w:vAlign w:val="center"/>
          </w:tcPr>
          <w:p w14:paraId="300EC157">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对</w:t>
            </w:r>
            <w:r>
              <w:rPr>
                <w:rFonts w:hint="eastAsia" w:ascii="宋体" w:hAnsi="宋体" w:eastAsia="宋体" w:cs="宋体"/>
                <w:color w:val="auto"/>
                <w:sz w:val="24"/>
                <w:szCs w:val="24"/>
                <w:highlight w:val="none"/>
              </w:rPr>
              <w:t>投标人提供的售后服务</w:t>
            </w:r>
            <w:r>
              <w:rPr>
                <w:rFonts w:hint="eastAsia" w:ascii="宋体" w:hAnsi="宋体" w:cs="宋体"/>
                <w:color w:val="auto"/>
                <w:sz w:val="24"/>
                <w:szCs w:val="24"/>
                <w:highlight w:val="none"/>
                <w:lang w:val="en-US" w:eastAsia="zh-CN"/>
              </w:rPr>
              <w:t>实施</w:t>
            </w:r>
            <w:r>
              <w:rPr>
                <w:rFonts w:hint="eastAsia" w:ascii="宋体" w:hAnsi="宋体" w:eastAsia="宋体" w:cs="宋体"/>
                <w:color w:val="auto"/>
                <w:sz w:val="24"/>
                <w:szCs w:val="24"/>
                <w:highlight w:val="none"/>
              </w:rPr>
              <w:t>方案</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包括</w:t>
            </w:r>
            <w:r>
              <w:rPr>
                <w:rFonts w:hint="eastAsia" w:ascii="宋体" w:hAnsi="宋体" w:eastAsia="宋体" w:cs="宋体"/>
                <w:color w:val="auto"/>
                <w:sz w:val="24"/>
                <w:szCs w:val="24"/>
                <w:highlight w:val="none"/>
              </w:rPr>
              <w:t>售后服务承诺</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服务承诺落实的保障措施</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维护期内外的</w:t>
            </w:r>
            <w:bookmarkStart w:id="410" w:name="_GoBack"/>
            <w:bookmarkEnd w:id="410"/>
            <w:r>
              <w:rPr>
                <w:rFonts w:hint="eastAsia" w:ascii="宋体" w:hAnsi="宋体" w:eastAsia="宋体" w:cs="宋体"/>
                <w:color w:val="auto"/>
                <w:sz w:val="24"/>
                <w:szCs w:val="24"/>
                <w:highlight w:val="none"/>
              </w:rPr>
              <w:t>后续技术支持和维护</w:t>
            </w:r>
            <w:r>
              <w:rPr>
                <w:rFonts w:hint="eastAsia" w:ascii="宋体" w:hAnsi="宋体" w:cs="宋体"/>
                <w:color w:val="auto"/>
                <w:sz w:val="24"/>
                <w:szCs w:val="24"/>
                <w:highlight w:val="none"/>
                <w:lang w:val="en-US" w:eastAsia="zh-CN"/>
              </w:rPr>
              <w:t>方案</w:t>
            </w:r>
            <w:r>
              <w:rPr>
                <w:rFonts w:hint="eastAsia" w:ascii="宋体" w:hAnsi="宋体" w:eastAsia="宋体" w:cs="宋体"/>
                <w:color w:val="auto"/>
                <w:sz w:val="24"/>
                <w:szCs w:val="24"/>
                <w:highlight w:val="none"/>
              </w:rPr>
              <w:t>售后维护机构和人员等</w:t>
            </w:r>
            <w:r>
              <w:rPr>
                <w:rFonts w:hint="eastAsia" w:ascii="宋体" w:hAnsi="宋体" w:cs="宋体"/>
                <w:color w:val="auto"/>
                <w:sz w:val="24"/>
                <w:szCs w:val="24"/>
                <w:highlight w:val="none"/>
                <w:lang w:eastAsia="zh-CN"/>
              </w:rPr>
              <w:t>）</w:t>
            </w:r>
            <w:r>
              <w:rPr>
                <w:rFonts w:hint="eastAsia" w:ascii="宋体" w:hAnsi="宋体" w:eastAsia="宋体" w:cs="宋体"/>
                <w:color w:val="auto"/>
                <w:kern w:val="0"/>
                <w:sz w:val="24"/>
                <w:szCs w:val="24"/>
                <w:highlight w:val="none"/>
                <w:lang w:bidi="ar"/>
              </w:rPr>
              <w:t>与</w:t>
            </w:r>
            <w:r>
              <w:rPr>
                <w:rFonts w:hint="eastAsia" w:ascii="宋体" w:hAnsi="宋体" w:cs="宋体"/>
                <w:color w:val="auto"/>
                <w:kern w:val="0"/>
                <w:sz w:val="24"/>
                <w:szCs w:val="24"/>
                <w:highlight w:val="none"/>
                <w:lang w:val="en-US" w:eastAsia="zh-CN" w:bidi="ar"/>
              </w:rPr>
              <w:t>项目实施</w:t>
            </w:r>
            <w:r>
              <w:rPr>
                <w:rFonts w:hint="eastAsia" w:ascii="宋体" w:hAnsi="宋体" w:eastAsia="宋体" w:cs="宋体"/>
                <w:color w:val="auto"/>
                <w:kern w:val="0"/>
                <w:sz w:val="24"/>
                <w:szCs w:val="24"/>
                <w:highlight w:val="none"/>
                <w:lang w:bidi="ar"/>
              </w:rPr>
              <w:t>要求匹配</w:t>
            </w:r>
            <w:r>
              <w:rPr>
                <w:rFonts w:hint="eastAsia" w:ascii="宋体" w:hAnsi="宋体" w:eastAsia="宋体" w:cs="宋体"/>
                <w:color w:val="auto"/>
                <w:sz w:val="24"/>
                <w:szCs w:val="24"/>
                <w:highlight w:val="none"/>
              </w:rPr>
              <w:t>情况进行</w:t>
            </w:r>
            <w:r>
              <w:rPr>
                <w:rFonts w:hint="eastAsia" w:ascii="宋体" w:hAnsi="宋体" w:eastAsia="宋体" w:cs="宋体"/>
                <w:color w:val="auto"/>
                <w:kern w:val="0"/>
                <w:sz w:val="24"/>
                <w:szCs w:val="24"/>
                <w:highlight w:val="none"/>
                <w:lang w:bidi="ar"/>
              </w:rPr>
              <w:t>评分。（</w:t>
            </w:r>
            <w:r>
              <w:rPr>
                <w:rStyle w:val="375"/>
                <w:rFonts w:hint="eastAsia" w:ascii="宋体" w:hAnsi="宋体" w:eastAsia="宋体" w:cs="宋体"/>
                <w:color w:val="auto"/>
                <w:sz w:val="24"/>
                <w:szCs w:val="24"/>
                <w:highlight w:val="none"/>
                <w:lang w:bidi="ar"/>
              </w:rPr>
              <w:t>分值：</w:t>
            </w:r>
            <w:r>
              <w:rPr>
                <w:rStyle w:val="375"/>
                <w:rFonts w:hint="eastAsia" w:ascii="宋体" w:hAnsi="宋体" w:cs="宋体"/>
                <w:color w:val="auto"/>
                <w:sz w:val="24"/>
                <w:szCs w:val="24"/>
                <w:highlight w:val="none"/>
                <w:lang w:val="en-US" w:eastAsia="zh-CN" w:bidi="ar"/>
              </w:rPr>
              <w:t>3，2，</w:t>
            </w:r>
            <w:r>
              <w:rPr>
                <w:rFonts w:hint="eastAsia" w:ascii="宋体" w:hAnsi="宋体" w:cs="宋体"/>
                <w:color w:val="auto"/>
                <w:kern w:val="0"/>
                <w:sz w:val="24"/>
                <w:szCs w:val="24"/>
                <w:highlight w:val="none"/>
                <w:lang w:val="en-US" w:eastAsia="zh-CN" w:bidi="ar"/>
              </w:rPr>
              <w:t>1</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0</w:t>
            </w:r>
            <w:r>
              <w:rPr>
                <w:rFonts w:hint="eastAsia" w:ascii="宋体" w:hAnsi="宋体" w:eastAsia="宋体" w:cs="宋体"/>
                <w:color w:val="auto"/>
                <w:kern w:val="0"/>
                <w:sz w:val="24"/>
                <w:szCs w:val="24"/>
                <w:highlight w:val="none"/>
                <w:lang w:bidi="ar"/>
              </w:rPr>
              <w:t>）</w:t>
            </w:r>
          </w:p>
        </w:tc>
        <w:tc>
          <w:tcPr>
            <w:tcW w:w="509" w:type="dxa"/>
            <w:tcBorders>
              <w:top w:val="single" w:color="auto" w:sz="4" w:space="0"/>
              <w:left w:val="single" w:color="auto" w:sz="4" w:space="0"/>
              <w:bottom w:val="single" w:color="auto" w:sz="4" w:space="0"/>
              <w:right w:val="single" w:color="auto" w:sz="4" w:space="0"/>
            </w:tcBorders>
            <w:noWrap w:val="0"/>
            <w:vAlign w:val="center"/>
          </w:tcPr>
          <w:p w14:paraId="25852BF9">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3</w:t>
            </w:r>
          </w:p>
        </w:tc>
        <w:tc>
          <w:tcPr>
            <w:tcW w:w="887" w:type="dxa"/>
            <w:tcBorders>
              <w:top w:val="single" w:color="auto" w:sz="4" w:space="0"/>
              <w:left w:val="single" w:color="auto" w:sz="4" w:space="0"/>
              <w:bottom w:val="single" w:color="auto" w:sz="4" w:space="0"/>
              <w:right w:val="single" w:color="auto" w:sz="4" w:space="0"/>
            </w:tcBorders>
            <w:noWrap w:val="0"/>
            <w:vAlign w:val="center"/>
          </w:tcPr>
          <w:p w14:paraId="79390376">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主观分</w:t>
            </w:r>
          </w:p>
        </w:tc>
      </w:tr>
      <w:tr w14:paraId="3693EE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7" w:hRule="atLeast"/>
        </w:trPr>
        <w:tc>
          <w:tcPr>
            <w:tcW w:w="526" w:type="dxa"/>
            <w:tcBorders>
              <w:top w:val="single" w:color="auto" w:sz="4" w:space="0"/>
              <w:left w:val="single" w:color="auto" w:sz="4" w:space="0"/>
              <w:bottom w:val="single" w:color="auto" w:sz="4" w:space="0"/>
              <w:right w:val="single" w:color="auto" w:sz="4" w:space="0"/>
            </w:tcBorders>
            <w:noWrap w:val="0"/>
            <w:vAlign w:val="center"/>
          </w:tcPr>
          <w:p w14:paraId="511F6C88">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r>
              <w:rPr>
                <w:rFonts w:hint="eastAsia" w:ascii="宋体" w:hAnsi="宋体" w:cs="宋体"/>
                <w:color w:val="auto"/>
                <w:sz w:val="24"/>
                <w:szCs w:val="24"/>
                <w:highlight w:val="none"/>
                <w:lang w:val="en-US" w:eastAsia="zh-CN"/>
              </w:rPr>
              <w:t>2</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6C84DEFF">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w:t>
            </w:r>
          </w:p>
        </w:tc>
        <w:tc>
          <w:tcPr>
            <w:tcW w:w="6980" w:type="dxa"/>
            <w:tcBorders>
              <w:top w:val="single" w:color="auto" w:sz="4" w:space="0"/>
              <w:left w:val="single" w:color="auto" w:sz="4" w:space="0"/>
              <w:bottom w:val="single" w:color="auto" w:sz="4" w:space="0"/>
              <w:right w:val="single" w:color="auto" w:sz="4" w:space="0"/>
            </w:tcBorders>
            <w:noWrap w:val="0"/>
            <w:vAlign w:val="center"/>
          </w:tcPr>
          <w:p w14:paraId="20D900BF">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投标人提供的质量保证措施</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包括</w:t>
            </w:r>
            <w:r>
              <w:rPr>
                <w:rFonts w:hint="eastAsia" w:ascii="宋体" w:hAnsi="宋体" w:eastAsia="宋体" w:cs="宋体"/>
                <w:color w:val="auto"/>
                <w:sz w:val="24"/>
                <w:szCs w:val="24"/>
                <w:highlight w:val="none"/>
              </w:rPr>
              <w:t>质量保证目标，质量保证措施</w:t>
            </w:r>
            <w:r>
              <w:rPr>
                <w:rFonts w:hint="eastAsia" w:ascii="宋体" w:hAnsi="宋体" w:cs="宋体"/>
                <w:color w:val="auto"/>
                <w:sz w:val="24"/>
                <w:szCs w:val="24"/>
                <w:highlight w:val="none"/>
                <w:lang w:val="en-US" w:eastAsia="zh-CN"/>
              </w:rPr>
              <w:t>等</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和建设工期情况</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按采购要求完成软件开发、安装调试、系统上线运行、验收，确保按时交付、正常运行的措施情况</w:t>
            </w:r>
            <w:r>
              <w:rPr>
                <w:rFonts w:hint="eastAsia" w:ascii="宋体" w:hAnsi="宋体" w:cs="宋体"/>
                <w:color w:val="auto"/>
                <w:sz w:val="24"/>
                <w:szCs w:val="24"/>
                <w:highlight w:val="none"/>
                <w:lang w:eastAsia="zh-CN"/>
              </w:rPr>
              <w:t>）</w:t>
            </w:r>
            <w:r>
              <w:rPr>
                <w:rFonts w:hint="eastAsia" w:ascii="宋体" w:hAnsi="宋体" w:eastAsia="宋体" w:cs="宋体"/>
                <w:color w:val="auto"/>
                <w:kern w:val="0"/>
                <w:sz w:val="24"/>
                <w:szCs w:val="24"/>
                <w:highlight w:val="none"/>
                <w:lang w:bidi="ar"/>
              </w:rPr>
              <w:t>与</w:t>
            </w:r>
            <w:r>
              <w:rPr>
                <w:rFonts w:hint="eastAsia" w:ascii="宋体" w:hAnsi="宋体" w:cs="宋体"/>
                <w:color w:val="auto"/>
                <w:kern w:val="0"/>
                <w:sz w:val="24"/>
                <w:szCs w:val="24"/>
                <w:highlight w:val="none"/>
                <w:lang w:val="en-US" w:eastAsia="zh-CN" w:bidi="ar"/>
              </w:rPr>
              <w:t>项目实施</w:t>
            </w:r>
            <w:r>
              <w:rPr>
                <w:rFonts w:hint="eastAsia" w:ascii="宋体" w:hAnsi="宋体" w:eastAsia="宋体" w:cs="宋体"/>
                <w:color w:val="auto"/>
                <w:kern w:val="0"/>
                <w:sz w:val="24"/>
                <w:szCs w:val="24"/>
                <w:highlight w:val="none"/>
                <w:lang w:bidi="ar"/>
              </w:rPr>
              <w:t>要求匹配</w:t>
            </w:r>
            <w:r>
              <w:rPr>
                <w:rFonts w:hint="eastAsia" w:ascii="宋体" w:hAnsi="宋体" w:eastAsia="宋体" w:cs="宋体"/>
                <w:color w:val="auto"/>
                <w:sz w:val="24"/>
                <w:szCs w:val="24"/>
                <w:highlight w:val="none"/>
              </w:rPr>
              <w:t>情况进行</w:t>
            </w:r>
            <w:r>
              <w:rPr>
                <w:rFonts w:hint="eastAsia" w:ascii="宋体" w:hAnsi="宋体" w:eastAsia="宋体" w:cs="宋体"/>
                <w:color w:val="auto"/>
                <w:kern w:val="0"/>
                <w:sz w:val="24"/>
                <w:szCs w:val="24"/>
                <w:highlight w:val="none"/>
                <w:lang w:bidi="ar"/>
              </w:rPr>
              <w:t>评分。（</w:t>
            </w:r>
            <w:r>
              <w:rPr>
                <w:rStyle w:val="375"/>
                <w:rFonts w:hint="eastAsia" w:ascii="宋体" w:hAnsi="宋体" w:eastAsia="宋体" w:cs="宋体"/>
                <w:color w:val="auto"/>
                <w:sz w:val="24"/>
                <w:szCs w:val="24"/>
                <w:highlight w:val="none"/>
                <w:lang w:bidi="ar"/>
              </w:rPr>
              <w:t>分值：</w:t>
            </w:r>
            <w:r>
              <w:rPr>
                <w:rStyle w:val="375"/>
                <w:rFonts w:hint="eastAsia" w:ascii="宋体" w:hAnsi="宋体" w:cs="宋体"/>
                <w:color w:val="auto"/>
                <w:sz w:val="24"/>
                <w:szCs w:val="24"/>
                <w:highlight w:val="none"/>
                <w:lang w:val="en-US" w:eastAsia="zh-CN" w:bidi="ar"/>
              </w:rPr>
              <w:t>3，2，</w:t>
            </w:r>
            <w:r>
              <w:rPr>
                <w:rFonts w:hint="eastAsia" w:ascii="宋体" w:hAnsi="宋体" w:cs="宋体"/>
                <w:color w:val="auto"/>
                <w:kern w:val="0"/>
                <w:sz w:val="24"/>
                <w:szCs w:val="24"/>
                <w:highlight w:val="none"/>
                <w:lang w:val="en-US" w:eastAsia="zh-CN" w:bidi="ar"/>
              </w:rPr>
              <w:t>1</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0</w:t>
            </w:r>
            <w:r>
              <w:rPr>
                <w:rFonts w:hint="eastAsia" w:ascii="宋体" w:hAnsi="宋体" w:eastAsia="宋体" w:cs="宋体"/>
                <w:color w:val="auto"/>
                <w:kern w:val="0"/>
                <w:sz w:val="24"/>
                <w:szCs w:val="24"/>
                <w:highlight w:val="none"/>
                <w:lang w:bidi="ar"/>
              </w:rPr>
              <w:t>）</w:t>
            </w:r>
          </w:p>
        </w:tc>
        <w:tc>
          <w:tcPr>
            <w:tcW w:w="509" w:type="dxa"/>
            <w:tcBorders>
              <w:top w:val="single" w:color="auto" w:sz="4" w:space="0"/>
              <w:left w:val="single" w:color="auto" w:sz="4" w:space="0"/>
              <w:bottom w:val="single" w:color="auto" w:sz="4" w:space="0"/>
              <w:right w:val="single" w:color="auto" w:sz="4" w:space="0"/>
            </w:tcBorders>
            <w:noWrap w:val="0"/>
            <w:vAlign w:val="center"/>
          </w:tcPr>
          <w:p w14:paraId="3F77A78A">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p>
        </w:tc>
        <w:tc>
          <w:tcPr>
            <w:tcW w:w="887" w:type="dxa"/>
            <w:tcBorders>
              <w:top w:val="single" w:color="auto" w:sz="4" w:space="0"/>
              <w:left w:val="single" w:color="auto" w:sz="4" w:space="0"/>
              <w:bottom w:val="single" w:color="auto" w:sz="4" w:space="0"/>
              <w:right w:val="single" w:color="auto" w:sz="4" w:space="0"/>
            </w:tcBorders>
            <w:noWrap w:val="0"/>
            <w:vAlign w:val="center"/>
          </w:tcPr>
          <w:p w14:paraId="42F6FD4C">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主观分</w:t>
            </w:r>
          </w:p>
        </w:tc>
      </w:tr>
      <w:tr w14:paraId="6378F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7" w:hRule="atLeast"/>
        </w:trPr>
        <w:tc>
          <w:tcPr>
            <w:tcW w:w="526" w:type="dxa"/>
            <w:tcBorders>
              <w:top w:val="single" w:color="auto" w:sz="4" w:space="0"/>
              <w:left w:val="single" w:color="auto" w:sz="4" w:space="0"/>
              <w:bottom w:val="single" w:color="auto" w:sz="4" w:space="0"/>
              <w:right w:val="single" w:color="auto" w:sz="4" w:space="0"/>
            </w:tcBorders>
            <w:noWrap w:val="0"/>
            <w:vAlign w:val="center"/>
          </w:tcPr>
          <w:p w14:paraId="6FA42FB5">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13</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441D5B3C">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技术</w:t>
            </w:r>
          </w:p>
        </w:tc>
        <w:tc>
          <w:tcPr>
            <w:tcW w:w="6980" w:type="dxa"/>
            <w:tcBorders>
              <w:top w:val="single" w:color="auto" w:sz="4" w:space="0"/>
              <w:left w:val="single" w:color="auto" w:sz="4" w:space="0"/>
              <w:bottom w:val="single" w:color="auto" w:sz="4" w:space="0"/>
              <w:right w:val="single" w:color="auto" w:sz="4" w:space="0"/>
            </w:tcBorders>
            <w:noWrap w:val="0"/>
            <w:vAlign w:val="center"/>
          </w:tcPr>
          <w:p w14:paraId="603784CE">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现场</w:t>
            </w:r>
            <w:r>
              <w:rPr>
                <w:rFonts w:hint="eastAsia" w:ascii="宋体" w:hAnsi="宋体" w:eastAsia="宋体" w:cs="宋体"/>
                <w:color w:val="auto"/>
                <w:sz w:val="24"/>
                <w:szCs w:val="24"/>
                <w:highlight w:val="none"/>
              </w:rPr>
              <w:t>系统演示</w:t>
            </w:r>
            <w:r>
              <w:rPr>
                <w:rFonts w:hint="eastAsia" w:ascii="宋体" w:hAnsi="宋体" w:eastAsia="宋体" w:cs="宋体"/>
                <w:color w:val="auto"/>
                <w:sz w:val="24"/>
                <w:szCs w:val="24"/>
                <w:highlight w:val="none"/>
                <w:lang w:eastAsia="zh-CN"/>
              </w:rPr>
              <w:t>，演示数据和演示环境由投标人自行准备，具体功能演示内容如下</w:t>
            </w:r>
            <w:r>
              <w:rPr>
                <w:rFonts w:hint="eastAsia" w:ascii="宋体" w:hAnsi="宋体" w:cs="宋体"/>
                <w:color w:val="auto"/>
                <w:sz w:val="24"/>
                <w:szCs w:val="24"/>
                <w:highlight w:val="none"/>
                <w:lang w:eastAsia="zh-CN"/>
              </w:rPr>
              <w:t>：</w:t>
            </w:r>
          </w:p>
        </w:tc>
        <w:tc>
          <w:tcPr>
            <w:tcW w:w="509" w:type="dxa"/>
            <w:tcBorders>
              <w:top w:val="single" w:color="auto" w:sz="4" w:space="0"/>
              <w:left w:val="single" w:color="auto" w:sz="4" w:space="0"/>
              <w:bottom w:val="single" w:color="auto" w:sz="4" w:space="0"/>
              <w:right w:val="single" w:color="auto" w:sz="4" w:space="0"/>
            </w:tcBorders>
            <w:noWrap w:val="0"/>
            <w:vAlign w:val="center"/>
          </w:tcPr>
          <w:p w14:paraId="2307CDC8">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w:t>
            </w:r>
          </w:p>
        </w:tc>
        <w:tc>
          <w:tcPr>
            <w:tcW w:w="887" w:type="dxa"/>
            <w:tcBorders>
              <w:top w:val="single" w:color="auto" w:sz="4" w:space="0"/>
              <w:left w:val="single" w:color="auto" w:sz="4" w:space="0"/>
              <w:bottom w:val="single" w:color="auto" w:sz="4" w:space="0"/>
              <w:right w:val="single" w:color="auto" w:sz="4" w:space="0"/>
            </w:tcBorders>
            <w:noWrap w:val="0"/>
            <w:vAlign w:val="center"/>
          </w:tcPr>
          <w:p w14:paraId="1CE37357">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w:t>
            </w:r>
          </w:p>
        </w:tc>
      </w:tr>
      <w:tr w14:paraId="792E39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1" w:hRule="atLeast"/>
        </w:trPr>
        <w:tc>
          <w:tcPr>
            <w:tcW w:w="526" w:type="dxa"/>
            <w:tcBorders>
              <w:top w:val="single" w:color="auto" w:sz="4" w:space="0"/>
              <w:left w:val="single" w:color="auto" w:sz="4" w:space="0"/>
              <w:bottom w:val="single" w:color="auto" w:sz="4" w:space="0"/>
              <w:right w:val="single" w:color="auto" w:sz="4" w:space="0"/>
            </w:tcBorders>
            <w:noWrap w:val="0"/>
            <w:vAlign w:val="center"/>
          </w:tcPr>
          <w:p w14:paraId="3D4EDD03">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r>
              <w:rPr>
                <w:rFonts w:hint="eastAsia" w:ascii="宋体" w:hAnsi="宋体" w:cs="宋体"/>
                <w:color w:val="auto"/>
                <w:sz w:val="24"/>
                <w:szCs w:val="24"/>
                <w:highlight w:val="none"/>
                <w:lang w:val="en-US" w:eastAsia="zh-CN"/>
              </w:rPr>
              <w:t>3.1</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5E59438F">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w:t>
            </w:r>
          </w:p>
        </w:tc>
        <w:tc>
          <w:tcPr>
            <w:tcW w:w="6980" w:type="dxa"/>
            <w:tcBorders>
              <w:top w:val="single" w:color="auto" w:sz="4" w:space="0"/>
              <w:left w:val="single" w:color="auto" w:sz="4" w:space="0"/>
              <w:bottom w:val="single" w:color="auto" w:sz="4" w:space="0"/>
              <w:right w:val="single" w:color="auto" w:sz="4" w:space="0"/>
            </w:tcBorders>
            <w:noWrap w:val="0"/>
            <w:vAlign w:val="center"/>
          </w:tcPr>
          <w:p w14:paraId="2AE91979">
            <w:pPr>
              <w:numPr>
                <w:ilvl w:val="-1"/>
                <w:numId w:val="0"/>
              </w:numPr>
              <w:snapToGrid w:val="0"/>
              <w:spacing w:line="360" w:lineRule="auto"/>
              <w:rPr>
                <w:rFonts w:hint="eastAsia" w:ascii="宋体" w:hAnsi="宋体" w:eastAsia="宋体" w:cs="宋体"/>
                <w:color w:val="auto"/>
                <w:sz w:val="24"/>
                <w:szCs w:val="24"/>
                <w:highlight w:val="none"/>
                <w:lang w:bidi="ar"/>
              </w:rPr>
            </w:pPr>
            <w:r>
              <w:rPr>
                <w:rFonts w:hint="eastAsia" w:ascii="宋体" w:hAnsi="宋体" w:cs="宋体"/>
                <w:color w:val="auto"/>
                <w:sz w:val="24"/>
                <w:szCs w:val="24"/>
                <w:highlight w:val="none"/>
                <w:lang w:eastAsia="zh-CN" w:bidi="ar"/>
              </w:rPr>
              <w:t>（</w:t>
            </w:r>
            <w:r>
              <w:rPr>
                <w:rFonts w:hint="eastAsia" w:ascii="宋体" w:hAnsi="宋体" w:cs="宋体"/>
                <w:color w:val="auto"/>
                <w:sz w:val="24"/>
                <w:szCs w:val="24"/>
                <w:highlight w:val="none"/>
                <w:lang w:val="en-US" w:eastAsia="zh-CN" w:bidi="ar"/>
              </w:rPr>
              <w:t>一）</w:t>
            </w:r>
            <w:r>
              <w:rPr>
                <w:rFonts w:hint="eastAsia" w:ascii="宋体" w:hAnsi="宋体" w:eastAsia="宋体" w:cs="宋体"/>
                <w:color w:val="auto"/>
                <w:sz w:val="24"/>
                <w:szCs w:val="24"/>
                <w:highlight w:val="none"/>
                <w:lang w:bidi="ar"/>
              </w:rPr>
              <w:t>演示内容</w:t>
            </w:r>
          </w:p>
          <w:p w14:paraId="1C6A4BF1">
            <w:pPr>
              <w:keepNext w:val="0"/>
              <w:keepLines w:val="0"/>
              <w:pageBreakBefore w:val="0"/>
              <w:widowControl w:val="0"/>
              <w:kinsoku/>
              <w:wordWrap/>
              <w:overflowPunct/>
              <w:topLinePunct w:val="0"/>
              <w:autoSpaceDE/>
              <w:autoSpaceDN/>
              <w:bidi w:val="0"/>
              <w:spacing w:line="360" w:lineRule="auto"/>
              <w:ind w:firstLine="0" w:firstLineChars="0"/>
              <w:textAlignment w:val="auto"/>
              <w:rPr>
                <w:rFonts w:hint="eastAsia" w:ascii="宋体" w:hAnsi="宋体" w:cs="宋体"/>
                <w:color w:val="auto"/>
                <w:sz w:val="24"/>
                <w:szCs w:val="24"/>
                <w:highlight w:val="none"/>
                <w:shd w:val="clear"/>
                <w:lang w:eastAsia="zh-CN"/>
              </w:rPr>
            </w:pPr>
            <w:r>
              <w:rPr>
                <w:rFonts w:hint="eastAsia" w:ascii="华文宋体" w:hAnsi="华文宋体" w:eastAsia="华文宋体" w:cs="华文宋体"/>
                <w:color w:val="auto"/>
                <w:sz w:val="24"/>
                <w:szCs w:val="24"/>
                <w:highlight w:val="none"/>
                <w:lang w:val="en-US" w:eastAsia="zh-CN"/>
              </w:rPr>
              <w:t>演示审查角色，包括起草科室、党政办、法律顾问等</w:t>
            </w:r>
            <w:r>
              <w:rPr>
                <w:rFonts w:hint="eastAsia" w:ascii="宋体" w:hAnsi="宋体" w:cs="宋体"/>
                <w:color w:val="auto"/>
                <w:sz w:val="24"/>
                <w:szCs w:val="24"/>
                <w:highlight w:val="none"/>
                <w:shd w:val="clear"/>
                <w:lang w:eastAsia="zh-CN"/>
              </w:rPr>
              <w:t>。</w:t>
            </w:r>
          </w:p>
          <w:p w14:paraId="20E87479">
            <w:pPr>
              <w:snapToGrid w:val="0"/>
              <w:spacing w:line="360" w:lineRule="auto"/>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（二）评分要求</w:t>
            </w:r>
          </w:p>
          <w:p w14:paraId="3E9095C4">
            <w:pPr>
              <w:keepNext w:val="0"/>
              <w:keepLines w:val="0"/>
              <w:pageBreakBefore w:val="0"/>
              <w:widowControl w:val="0"/>
              <w:kinsoku/>
              <w:wordWrap/>
              <w:overflowPunct/>
              <w:topLinePunct w:val="0"/>
              <w:autoSpaceDE/>
              <w:autoSpaceDN/>
              <w:bidi w:val="0"/>
              <w:spacing w:line="360" w:lineRule="auto"/>
              <w:ind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bidi="ar"/>
              </w:rPr>
              <w:t>演示内容完全满足采购需求的得</w:t>
            </w:r>
            <w:r>
              <w:rPr>
                <w:rFonts w:hint="eastAsia" w:ascii="宋体" w:hAnsi="宋体" w:cs="宋体"/>
                <w:color w:val="auto"/>
                <w:sz w:val="24"/>
                <w:szCs w:val="24"/>
                <w:highlight w:val="none"/>
                <w:lang w:val="en-US" w:eastAsia="zh-CN" w:bidi="ar"/>
              </w:rPr>
              <w:t>2</w:t>
            </w:r>
            <w:r>
              <w:rPr>
                <w:rFonts w:hint="eastAsia" w:ascii="宋体" w:hAnsi="宋体" w:eastAsia="宋体" w:cs="宋体"/>
                <w:color w:val="auto"/>
                <w:sz w:val="24"/>
                <w:szCs w:val="24"/>
                <w:highlight w:val="none"/>
                <w:lang w:bidi="ar"/>
              </w:rPr>
              <w:t>分；功能、演示内容与采购需求有偏差的得</w:t>
            </w:r>
            <w:r>
              <w:rPr>
                <w:rFonts w:hint="eastAsia" w:ascii="宋体" w:hAnsi="宋体" w:cs="宋体"/>
                <w:color w:val="auto"/>
                <w:sz w:val="24"/>
                <w:szCs w:val="24"/>
                <w:highlight w:val="none"/>
                <w:lang w:val="en-US" w:eastAsia="zh-CN" w:bidi="ar"/>
              </w:rPr>
              <w:t>1</w:t>
            </w:r>
            <w:r>
              <w:rPr>
                <w:rFonts w:hint="eastAsia" w:ascii="宋体" w:hAnsi="宋体" w:eastAsia="宋体" w:cs="宋体"/>
                <w:color w:val="auto"/>
                <w:sz w:val="24"/>
                <w:szCs w:val="24"/>
                <w:highlight w:val="none"/>
                <w:lang w:bidi="ar"/>
              </w:rPr>
              <w:t>分；无演示或演示全部不满足采购需求的不得分。</w:t>
            </w:r>
          </w:p>
        </w:tc>
        <w:tc>
          <w:tcPr>
            <w:tcW w:w="509" w:type="dxa"/>
            <w:tcBorders>
              <w:top w:val="single" w:color="auto" w:sz="4" w:space="0"/>
              <w:left w:val="single" w:color="auto" w:sz="4" w:space="0"/>
              <w:bottom w:val="single" w:color="auto" w:sz="4" w:space="0"/>
              <w:right w:val="single" w:color="auto" w:sz="4" w:space="0"/>
            </w:tcBorders>
            <w:noWrap w:val="0"/>
            <w:vAlign w:val="center"/>
          </w:tcPr>
          <w:p w14:paraId="03E76C7B">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w:t>
            </w:r>
          </w:p>
        </w:tc>
        <w:tc>
          <w:tcPr>
            <w:tcW w:w="887" w:type="dxa"/>
            <w:tcBorders>
              <w:top w:val="single" w:color="auto" w:sz="4" w:space="0"/>
              <w:left w:val="single" w:color="auto" w:sz="4" w:space="0"/>
              <w:bottom w:val="single" w:color="auto" w:sz="4" w:space="0"/>
              <w:right w:val="single" w:color="auto" w:sz="4" w:space="0"/>
            </w:tcBorders>
            <w:noWrap w:val="0"/>
            <w:vAlign w:val="center"/>
          </w:tcPr>
          <w:p w14:paraId="774074A3">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客观分</w:t>
            </w:r>
          </w:p>
        </w:tc>
      </w:tr>
      <w:tr w14:paraId="092319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1" w:hRule="atLeast"/>
        </w:trPr>
        <w:tc>
          <w:tcPr>
            <w:tcW w:w="526" w:type="dxa"/>
            <w:tcBorders>
              <w:top w:val="single" w:color="auto" w:sz="4" w:space="0"/>
              <w:left w:val="single" w:color="auto" w:sz="4" w:space="0"/>
              <w:bottom w:val="single" w:color="auto" w:sz="4" w:space="0"/>
              <w:right w:val="single" w:color="auto" w:sz="4" w:space="0"/>
            </w:tcBorders>
            <w:noWrap w:val="0"/>
            <w:vAlign w:val="center"/>
          </w:tcPr>
          <w:p w14:paraId="559171AC">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r>
              <w:rPr>
                <w:rFonts w:hint="eastAsia" w:ascii="宋体" w:hAnsi="宋体" w:cs="宋体"/>
                <w:color w:val="auto"/>
                <w:sz w:val="24"/>
                <w:szCs w:val="24"/>
                <w:highlight w:val="none"/>
                <w:lang w:val="en-US" w:eastAsia="zh-CN"/>
              </w:rPr>
              <w:t>3.2</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025A2C67">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w:t>
            </w:r>
          </w:p>
        </w:tc>
        <w:tc>
          <w:tcPr>
            <w:tcW w:w="6980" w:type="dxa"/>
            <w:tcBorders>
              <w:top w:val="single" w:color="auto" w:sz="4" w:space="0"/>
              <w:left w:val="single" w:color="auto" w:sz="4" w:space="0"/>
              <w:bottom w:val="single" w:color="auto" w:sz="4" w:space="0"/>
              <w:right w:val="single" w:color="auto" w:sz="4" w:space="0"/>
            </w:tcBorders>
            <w:noWrap w:val="0"/>
            <w:vAlign w:val="center"/>
          </w:tcPr>
          <w:p w14:paraId="1EC25DB6">
            <w:pPr>
              <w:numPr>
                <w:ilvl w:val="-1"/>
                <w:numId w:val="0"/>
              </w:numPr>
              <w:snapToGrid w:val="0"/>
              <w:spacing w:line="360" w:lineRule="auto"/>
              <w:rPr>
                <w:rFonts w:hint="eastAsia" w:ascii="宋体" w:hAnsi="宋体" w:eastAsia="宋体" w:cs="宋体"/>
                <w:color w:val="auto"/>
                <w:sz w:val="24"/>
                <w:szCs w:val="24"/>
                <w:highlight w:val="none"/>
                <w:lang w:bidi="ar"/>
              </w:rPr>
            </w:pPr>
            <w:r>
              <w:rPr>
                <w:rFonts w:hint="eastAsia" w:ascii="宋体" w:hAnsi="宋体" w:cs="宋体"/>
                <w:color w:val="auto"/>
                <w:sz w:val="24"/>
                <w:szCs w:val="24"/>
                <w:highlight w:val="none"/>
                <w:lang w:eastAsia="zh-CN" w:bidi="ar"/>
              </w:rPr>
              <w:t>（</w:t>
            </w:r>
            <w:r>
              <w:rPr>
                <w:rFonts w:hint="eastAsia" w:ascii="宋体" w:hAnsi="宋体" w:cs="宋体"/>
                <w:color w:val="auto"/>
                <w:sz w:val="24"/>
                <w:szCs w:val="24"/>
                <w:highlight w:val="none"/>
                <w:lang w:val="en-US" w:eastAsia="zh-CN" w:bidi="ar"/>
              </w:rPr>
              <w:t>一）</w:t>
            </w:r>
            <w:r>
              <w:rPr>
                <w:rFonts w:hint="eastAsia" w:ascii="宋体" w:hAnsi="宋体" w:eastAsia="宋体" w:cs="宋体"/>
                <w:color w:val="auto"/>
                <w:sz w:val="24"/>
                <w:szCs w:val="24"/>
                <w:highlight w:val="none"/>
                <w:lang w:bidi="ar"/>
              </w:rPr>
              <w:t>演示内容</w:t>
            </w:r>
          </w:p>
          <w:p w14:paraId="330AC437">
            <w:pPr>
              <w:keepNext w:val="0"/>
              <w:keepLines w:val="0"/>
              <w:pageBreakBefore w:val="0"/>
              <w:widowControl/>
              <w:numPr>
                <w:ilvl w:val="-1"/>
                <w:numId w:val="0"/>
              </w:numPr>
              <w:kinsoku/>
              <w:wordWrap/>
              <w:overflowPunct/>
              <w:topLinePunct w:val="0"/>
              <w:autoSpaceDE/>
              <w:autoSpaceDN/>
              <w:bidi w:val="0"/>
              <w:adjustRightInd/>
              <w:snapToGrid/>
              <w:spacing w:after="0" w:line="360" w:lineRule="auto"/>
              <w:ind w:firstLine="0" w:firstLineChars="0"/>
              <w:textAlignment w:val="auto"/>
              <w:rPr>
                <w:rFonts w:hint="eastAsia" w:ascii="华文宋体" w:hAnsi="华文宋体" w:eastAsia="华文宋体" w:cs="华文宋体"/>
                <w:color w:val="auto"/>
                <w:sz w:val="24"/>
                <w:szCs w:val="24"/>
                <w:highlight w:val="none"/>
                <w:lang w:eastAsia="zh-CN"/>
              </w:rPr>
            </w:pPr>
            <w:r>
              <w:rPr>
                <w:rFonts w:hint="eastAsia" w:ascii="华文宋体" w:hAnsi="华文宋体" w:eastAsia="华文宋体" w:cs="华文宋体"/>
                <w:color w:val="auto"/>
                <w:sz w:val="24"/>
                <w:szCs w:val="24"/>
                <w:highlight w:val="none"/>
                <w:lang w:val="en-US" w:eastAsia="zh-CN"/>
              </w:rPr>
              <w:t>演示</w:t>
            </w:r>
            <w:r>
              <w:rPr>
                <w:rFonts w:hint="eastAsia" w:ascii="华文宋体" w:hAnsi="华文宋体" w:eastAsia="华文宋体" w:cs="华文宋体"/>
                <w:color w:val="auto"/>
                <w:sz w:val="24"/>
                <w:szCs w:val="24"/>
                <w:highlight w:val="none"/>
                <w:lang w:eastAsia="zh-CN"/>
              </w:rPr>
              <w:t>数据看板</w:t>
            </w:r>
            <w:r>
              <w:rPr>
                <w:rFonts w:hint="eastAsia" w:ascii="华文宋体" w:hAnsi="华文宋体" w:eastAsia="华文宋体" w:cs="华文宋体"/>
                <w:color w:val="auto"/>
                <w:sz w:val="24"/>
                <w:szCs w:val="24"/>
                <w:highlight w:val="none"/>
                <w:lang w:val="en-US" w:eastAsia="zh-CN"/>
              </w:rPr>
              <w:t>模块，包括各项全省各地区合法性审查、备案审查、乡镇街道法审员工作数据</w:t>
            </w:r>
            <w:r>
              <w:rPr>
                <w:rFonts w:hint="eastAsia" w:ascii="华文宋体" w:hAnsi="华文宋体" w:eastAsia="华文宋体" w:cs="华文宋体"/>
                <w:color w:val="auto"/>
                <w:sz w:val="24"/>
                <w:szCs w:val="24"/>
                <w:highlight w:val="none"/>
                <w:lang w:eastAsia="zh-CN"/>
              </w:rPr>
              <w:t>。</w:t>
            </w:r>
          </w:p>
          <w:p w14:paraId="3A014497">
            <w:pPr>
              <w:snapToGrid w:val="0"/>
              <w:spacing w:line="360" w:lineRule="auto"/>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（二）评分要求</w:t>
            </w:r>
          </w:p>
          <w:p w14:paraId="711BB0D0">
            <w:pPr>
              <w:keepNext w:val="0"/>
              <w:keepLines w:val="0"/>
              <w:pageBreakBefore w:val="0"/>
              <w:widowControl w:val="0"/>
              <w:kinsoku/>
              <w:wordWrap/>
              <w:overflowPunct/>
              <w:topLinePunct w:val="0"/>
              <w:autoSpaceDE/>
              <w:autoSpaceDN/>
              <w:bidi w:val="0"/>
              <w:spacing w:line="360" w:lineRule="auto"/>
              <w:ind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bidi="ar"/>
              </w:rPr>
              <w:t>演示内容完全满足采购需求的得</w:t>
            </w:r>
            <w:r>
              <w:rPr>
                <w:rFonts w:hint="eastAsia" w:ascii="宋体" w:hAnsi="宋体" w:cs="宋体"/>
                <w:color w:val="auto"/>
                <w:sz w:val="24"/>
                <w:szCs w:val="24"/>
                <w:highlight w:val="none"/>
                <w:lang w:val="en-US" w:eastAsia="zh-CN" w:bidi="ar"/>
              </w:rPr>
              <w:t>2</w:t>
            </w:r>
            <w:r>
              <w:rPr>
                <w:rFonts w:hint="eastAsia" w:ascii="宋体" w:hAnsi="宋体" w:eastAsia="宋体" w:cs="宋体"/>
                <w:color w:val="auto"/>
                <w:sz w:val="24"/>
                <w:szCs w:val="24"/>
                <w:highlight w:val="none"/>
                <w:lang w:bidi="ar"/>
              </w:rPr>
              <w:t>分；功能、演示内容与采购需求有偏差的得1分；无演示或演示全部不满足采购需求的不得分。</w:t>
            </w:r>
          </w:p>
        </w:tc>
        <w:tc>
          <w:tcPr>
            <w:tcW w:w="509" w:type="dxa"/>
            <w:tcBorders>
              <w:top w:val="single" w:color="auto" w:sz="4" w:space="0"/>
              <w:left w:val="single" w:color="auto" w:sz="4" w:space="0"/>
              <w:bottom w:val="single" w:color="auto" w:sz="4" w:space="0"/>
              <w:right w:val="single" w:color="auto" w:sz="4" w:space="0"/>
            </w:tcBorders>
            <w:noWrap w:val="0"/>
            <w:vAlign w:val="center"/>
          </w:tcPr>
          <w:p w14:paraId="11BDBCF9">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w:t>
            </w:r>
          </w:p>
        </w:tc>
        <w:tc>
          <w:tcPr>
            <w:tcW w:w="887" w:type="dxa"/>
            <w:tcBorders>
              <w:top w:val="single" w:color="auto" w:sz="4" w:space="0"/>
              <w:left w:val="single" w:color="auto" w:sz="4" w:space="0"/>
              <w:bottom w:val="single" w:color="auto" w:sz="4" w:space="0"/>
              <w:right w:val="single" w:color="auto" w:sz="4" w:space="0"/>
            </w:tcBorders>
            <w:noWrap w:val="0"/>
            <w:vAlign w:val="center"/>
          </w:tcPr>
          <w:p w14:paraId="73053A4B">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客观分</w:t>
            </w:r>
          </w:p>
        </w:tc>
      </w:tr>
      <w:tr w14:paraId="6B1E6C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1" w:hRule="atLeast"/>
        </w:trPr>
        <w:tc>
          <w:tcPr>
            <w:tcW w:w="526" w:type="dxa"/>
            <w:tcBorders>
              <w:top w:val="single" w:color="auto" w:sz="4" w:space="0"/>
              <w:left w:val="single" w:color="auto" w:sz="4" w:space="0"/>
              <w:bottom w:val="single" w:color="auto" w:sz="4" w:space="0"/>
              <w:right w:val="single" w:color="auto" w:sz="4" w:space="0"/>
            </w:tcBorders>
            <w:noWrap w:val="0"/>
            <w:vAlign w:val="center"/>
          </w:tcPr>
          <w:p w14:paraId="340DA4C5">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r>
              <w:rPr>
                <w:rFonts w:hint="eastAsia" w:ascii="宋体" w:hAnsi="宋体" w:cs="宋体"/>
                <w:color w:val="auto"/>
                <w:sz w:val="24"/>
                <w:szCs w:val="24"/>
                <w:highlight w:val="none"/>
                <w:lang w:val="en-US" w:eastAsia="zh-CN"/>
              </w:rPr>
              <w:t>3.3</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755DC733">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w:t>
            </w:r>
          </w:p>
        </w:tc>
        <w:tc>
          <w:tcPr>
            <w:tcW w:w="6980" w:type="dxa"/>
            <w:tcBorders>
              <w:top w:val="single" w:color="auto" w:sz="4" w:space="0"/>
              <w:left w:val="single" w:color="auto" w:sz="4" w:space="0"/>
              <w:bottom w:val="single" w:color="auto" w:sz="4" w:space="0"/>
              <w:right w:val="single" w:color="auto" w:sz="4" w:space="0"/>
            </w:tcBorders>
            <w:noWrap w:val="0"/>
            <w:vAlign w:val="center"/>
          </w:tcPr>
          <w:p w14:paraId="7167AFA7">
            <w:pPr>
              <w:numPr>
                <w:ilvl w:val="-1"/>
                <w:numId w:val="0"/>
              </w:numPr>
              <w:snapToGrid w:val="0"/>
              <w:spacing w:line="360" w:lineRule="auto"/>
              <w:rPr>
                <w:rFonts w:hint="eastAsia" w:ascii="宋体" w:hAnsi="宋体" w:eastAsia="宋体" w:cs="宋体"/>
                <w:color w:val="auto"/>
                <w:sz w:val="24"/>
                <w:szCs w:val="24"/>
                <w:highlight w:val="none"/>
                <w:lang w:bidi="ar"/>
              </w:rPr>
            </w:pPr>
            <w:r>
              <w:rPr>
                <w:rFonts w:hint="eastAsia" w:ascii="宋体" w:hAnsi="宋体" w:cs="宋体"/>
                <w:color w:val="auto"/>
                <w:sz w:val="24"/>
                <w:szCs w:val="24"/>
                <w:highlight w:val="none"/>
                <w:lang w:eastAsia="zh-CN" w:bidi="ar"/>
              </w:rPr>
              <w:t>（</w:t>
            </w:r>
            <w:r>
              <w:rPr>
                <w:rFonts w:hint="eastAsia" w:ascii="宋体" w:hAnsi="宋体" w:cs="宋体"/>
                <w:color w:val="auto"/>
                <w:sz w:val="24"/>
                <w:szCs w:val="24"/>
                <w:highlight w:val="none"/>
                <w:lang w:val="en-US" w:eastAsia="zh-CN" w:bidi="ar"/>
              </w:rPr>
              <w:t>一）</w:t>
            </w:r>
            <w:r>
              <w:rPr>
                <w:rFonts w:hint="eastAsia" w:ascii="宋体" w:hAnsi="宋体" w:eastAsia="宋体" w:cs="宋体"/>
                <w:color w:val="auto"/>
                <w:sz w:val="24"/>
                <w:szCs w:val="24"/>
                <w:highlight w:val="none"/>
                <w:lang w:bidi="ar"/>
              </w:rPr>
              <w:t>演示内容</w:t>
            </w:r>
          </w:p>
          <w:p w14:paraId="2D2FDE72">
            <w:pPr>
              <w:snapToGrid w:val="0"/>
              <w:spacing w:line="360" w:lineRule="auto"/>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演示事项总览模块，包括行政规范性文件、重大行政决策、乡镇（街道）合同、其他事项等。</w:t>
            </w:r>
          </w:p>
          <w:p w14:paraId="46852A82">
            <w:pPr>
              <w:snapToGrid w:val="0"/>
              <w:spacing w:line="360" w:lineRule="auto"/>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（二）评分要求</w:t>
            </w:r>
          </w:p>
          <w:p w14:paraId="7E5BEEF2">
            <w:pPr>
              <w:keepNext w:val="0"/>
              <w:keepLines w:val="0"/>
              <w:pageBreakBefore w:val="0"/>
              <w:widowControl w:val="0"/>
              <w:kinsoku/>
              <w:wordWrap/>
              <w:overflowPunct/>
              <w:topLinePunct w:val="0"/>
              <w:autoSpaceDE/>
              <w:autoSpaceDN/>
              <w:bidi w:val="0"/>
              <w:spacing w:line="360" w:lineRule="auto"/>
              <w:ind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bidi="ar"/>
              </w:rPr>
              <w:t>演示内容完全满足采购需求的得3分；功能、演示内容与采购需求有偏差的得1分；无演示或演示全部不满足采购需求的不得分。</w:t>
            </w:r>
          </w:p>
        </w:tc>
        <w:tc>
          <w:tcPr>
            <w:tcW w:w="509" w:type="dxa"/>
            <w:tcBorders>
              <w:top w:val="single" w:color="auto" w:sz="4" w:space="0"/>
              <w:left w:val="single" w:color="auto" w:sz="4" w:space="0"/>
              <w:bottom w:val="single" w:color="auto" w:sz="4" w:space="0"/>
              <w:right w:val="single" w:color="auto" w:sz="4" w:space="0"/>
            </w:tcBorders>
            <w:noWrap w:val="0"/>
            <w:vAlign w:val="center"/>
          </w:tcPr>
          <w:p w14:paraId="52FCC46E">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p>
        </w:tc>
        <w:tc>
          <w:tcPr>
            <w:tcW w:w="887" w:type="dxa"/>
            <w:tcBorders>
              <w:top w:val="single" w:color="auto" w:sz="4" w:space="0"/>
              <w:left w:val="single" w:color="auto" w:sz="4" w:space="0"/>
              <w:bottom w:val="single" w:color="auto" w:sz="4" w:space="0"/>
              <w:right w:val="single" w:color="auto" w:sz="4" w:space="0"/>
            </w:tcBorders>
            <w:noWrap w:val="0"/>
            <w:vAlign w:val="center"/>
          </w:tcPr>
          <w:p w14:paraId="3E610E7D">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客观分</w:t>
            </w:r>
          </w:p>
        </w:tc>
      </w:tr>
      <w:tr w14:paraId="3F4328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1" w:hRule="atLeast"/>
        </w:trPr>
        <w:tc>
          <w:tcPr>
            <w:tcW w:w="526" w:type="dxa"/>
            <w:tcBorders>
              <w:top w:val="single" w:color="auto" w:sz="4" w:space="0"/>
              <w:left w:val="single" w:color="auto" w:sz="4" w:space="0"/>
              <w:bottom w:val="single" w:color="auto" w:sz="4" w:space="0"/>
              <w:right w:val="single" w:color="auto" w:sz="4" w:space="0"/>
            </w:tcBorders>
            <w:noWrap w:val="0"/>
            <w:vAlign w:val="center"/>
          </w:tcPr>
          <w:p w14:paraId="14279E93">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r>
              <w:rPr>
                <w:rFonts w:hint="eastAsia" w:ascii="宋体" w:hAnsi="宋体" w:cs="宋体"/>
                <w:color w:val="auto"/>
                <w:sz w:val="24"/>
                <w:szCs w:val="24"/>
                <w:highlight w:val="none"/>
                <w:lang w:val="en-US" w:eastAsia="zh-CN"/>
              </w:rPr>
              <w:t>3.4</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3DE1A2B6">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w:t>
            </w:r>
          </w:p>
        </w:tc>
        <w:tc>
          <w:tcPr>
            <w:tcW w:w="6980" w:type="dxa"/>
            <w:tcBorders>
              <w:top w:val="single" w:color="auto" w:sz="4" w:space="0"/>
              <w:left w:val="single" w:color="auto" w:sz="4" w:space="0"/>
              <w:bottom w:val="single" w:color="auto" w:sz="4" w:space="0"/>
              <w:right w:val="single" w:color="auto" w:sz="4" w:space="0"/>
            </w:tcBorders>
            <w:noWrap w:val="0"/>
            <w:vAlign w:val="center"/>
          </w:tcPr>
          <w:p w14:paraId="0FF40027">
            <w:pPr>
              <w:numPr>
                <w:ilvl w:val="-1"/>
                <w:numId w:val="0"/>
              </w:numPr>
              <w:snapToGrid w:val="0"/>
              <w:spacing w:line="360" w:lineRule="auto"/>
              <w:rPr>
                <w:rFonts w:hint="eastAsia" w:ascii="宋体" w:hAnsi="宋体" w:eastAsia="宋体" w:cs="宋体"/>
                <w:color w:val="auto"/>
                <w:sz w:val="24"/>
                <w:szCs w:val="24"/>
                <w:highlight w:val="none"/>
                <w:lang w:bidi="ar"/>
              </w:rPr>
            </w:pPr>
            <w:r>
              <w:rPr>
                <w:rFonts w:hint="eastAsia" w:ascii="宋体" w:hAnsi="宋体" w:cs="宋体"/>
                <w:color w:val="auto"/>
                <w:sz w:val="24"/>
                <w:szCs w:val="24"/>
                <w:highlight w:val="none"/>
                <w:lang w:eastAsia="zh-CN" w:bidi="ar"/>
              </w:rPr>
              <w:t>（</w:t>
            </w:r>
            <w:r>
              <w:rPr>
                <w:rFonts w:hint="eastAsia" w:ascii="宋体" w:hAnsi="宋体" w:cs="宋体"/>
                <w:color w:val="auto"/>
                <w:sz w:val="24"/>
                <w:szCs w:val="24"/>
                <w:highlight w:val="none"/>
                <w:lang w:val="en-US" w:eastAsia="zh-CN" w:bidi="ar"/>
              </w:rPr>
              <w:t>一）</w:t>
            </w:r>
            <w:r>
              <w:rPr>
                <w:rFonts w:hint="eastAsia" w:ascii="宋体" w:hAnsi="宋体" w:eastAsia="宋体" w:cs="宋体"/>
                <w:color w:val="auto"/>
                <w:sz w:val="24"/>
                <w:szCs w:val="24"/>
                <w:highlight w:val="none"/>
                <w:lang w:bidi="ar"/>
              </w:rPr>
              <w:t>演示内容</w:t>
            </w:r>
          </w:p>
          <w:p w14:paraId="2B3EA935">
            <w:pPr>
              <w:keepNext w:val="0"/>
              <w:keepLines w:val="0"/>
              <w:pageBreakBefore w:val="0"/>
              <w:widowControl w:val="0"/>
              <w:kinsoku/>
              <w:wordWrap/>
              <w:overflowPunct/>
              <w:topLinePunct w:val="0"/>
              <w:autoSpaceDE/>
              <w:autoSpaceDN/>
              <w:bidi w:val="0"/>
              <w:spacing w:line="360" w:lineRule="auto"/>
              <w:ind w:firstLine="0" w:firstLineChars="0"/>
              <w:textAlignment w:val="auto"/>
              <w:rPr>
                <w:rFonts w:hint="eastAsia" w:ascii="宋体" w:hAnsi="宋体" w:cs="宋体"/>
                <w:color w:val="auto"/>
                <w:sz w:val="24"/>
                <w:szCs w:val="24"/>
                <w:highlight w:val="none"/>
                <w:shd w:val="clear"/>
                <w:lang w:eastAsia="zh-CN"/>
              </w:rPr>
            </w:pPr>
            <w:r>
              <w:rPr>
                <w:rFonts w:hint="eastAsia" w:ascii="宋体" w:hAnsi="宋体" w:cs="宋体"/>
                <w:color w:val="auto"/>
                <w:sz w:val="24"/>
                <w:szCs w:val="24"/>
                <w:highlight w:val="none"/>
                <w:shd w:val="clear"/>
                <w:lang w:eastAsia="zh-CN"/>
              </w:rPr>
              <w:t>演示审查操作流程，以乡镇（街道）合同审查及重大合同备案为例，演示审查流程各节点。</w:t>
            </w:r>
          </w:p>
          <w:p w14:paraId="150914FC">
            <w:pPr>
              <w:snapToGrid w:val="0"/>
              <w:spacing w:line="360" w:lineRule="auto"/>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（二）评分要求</w:t>
            </w:r>
          </w:p>
          <w:p w14:paraId="5DE8A6B8">
            <w:pPr>
              <w:keepNext w:val="0"/>
              <w:keepLines w:val="0"/>
              <w:pageBreakBefore w:val="0"/>
              <w:widowControl w:val="0"/>
              <w:kinsoku/>
              <w:wordWrap/>
              <w:overflowPunct/>
              <w:topLinePunct w:val="0"/>
              <w:autoSpaceDE/>
              <w:autoSpaceDN/>
              <w:bidi w:val="0"/>
              <w:spacing w:line="360" w:lineRule="auto"/>
              <w:ind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bidi="ar"/>
              </w:rPr>
              <w:t>演示内容完全满足采购需求的得</w:t>
            </w:r>
            <w:r>
              <w:rPr>
                <w:rFonts w:hint="eastAsia" w:ascii="宋体" w:hAnsi="宋体" w:cs="宋体"/>
                <w:color w:val="auto"/>
                <w:sz w:val="24"/>
                <w:szCs w:val="24"/>
                <w:highlight w:val="none"/>
                <w:lang w:val="en-US" w:eastAsia="zh-CN" w:bidi="ar"/>
              </w:rPr>
              <w:t>3</w:t>
            </w:r>
            <w:r>
              <w:rPr>
                <w:rFonts w:hint="eastAsia" w:ascii="宋体" w:hAnsi="宋体" w:eastAsia="宋体" w:cs="宋体"/>
                <w:color w:val="auto"/>
                <w:sz w:val="24"/>
                <w:szCs w:val="24"/>
                <w:highlight w:val="none"/>
                <w:lang w:bidi="ar"/>
              </w:rPr>
              <w:t>分；功能、演示内容与采购需求有偏差的得</w:t>
            </w:r>
            <w:r>
              <w:rPr>
                <w:rFonts w:hint="eastAsia" w:ascii="宋体" w:hAnsi="宋体" w:cs="宋体"/>
                <w:color w:val="auto"/>
                <w:sz w:val="24"/>
                <w:szCs w:val="24"/>
                <w:highlight w:val="none"/>
                <w:lang w:val="en-US" w:eastAsia="zh-CN" w:bidi="ar"/>
              </w:rPr>
              <w:t>1</w:t>
            </w:r>
            <w:r>
              <w:rPr>
                <w:rFonts w:hint="eastAsia" w:ascii="宋体" w:hAnsi="宋体" w:eastAsia="宋体" w:cs="宋体"/>
                <w:color w:val="auto"/>
                <w:sz w:val="24"/>
                <w:szCs w:val="24"/>
                <w:highlight w:val="none"/>
                <w:lang w:bidi="ar"/>
              </w:rPr>
              <w:t>分；无演示或演示全部不满足采购需求的不得分。</w:t>
            </w:r>
          </w:p>
        </w:tc>
        <w:tc>
          <w:tcPr>
            <w:tcW w:w="509" w:type="dxa"/>
            <w:tcBorders>
              <w:top w:val="single" w:color="auto" w:sz="4" w:space="0"/>
              <w:left w:val="single" w:color="auto" w:sz="4" w:space="0"/>
              <w:bottom w:val="single" w:color="auto" w:sz="4" w:space="0"/>
              <w:right w:val="single" w:color="auto" w:sz="4" w:space="0"/>
            </w:tcBorders>
            <w:noWrap w:val="0"/>
            <w:vAlign w:val="center"/>
          </w:tcPr>
          <w:p w14:paraId="6B38922A">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p>
        </w:tc>
        <w:tc>
          <w:tcPr>
            <w:tcW w:w="887" w:type="dxa"/>
            <w:tcBorders>
              <w:top w:val="single" w:color="auto" w:sz="4" w:space="0"/>
              <w:left w:val="single" w:color="auto" w:sz="4" w:space="0"/>
              <w:bottom w:val="single" w:color="auto" w:sz="4" w:space="0"/>
              <w:right w:val="single" w:color="auto" w:sz="4" w:space="0"/>
            </w:tcBorders>
            <w:noWrap w:val="0"/>
            <w:vAlign w:val="center"/>
          </w:tcPr>
          <w:p w14:paraId="409A1290">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客观分</w:t>
            </w:r>
          </w:p>
        </w:tc>
      </w:tr>
      <w:tr w14:paraId="228623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1" w:hRule="atLeast"/>
        </w:trPr>
        <w:tc>
          <w:tcPr>
            <w:tcW w:w="526" w:type="dxa"/>
            <w:tcBorders>
              <w:top w:val="single" w:color="auto" w:sz="4" w:space="0"/>
              <w:left w:val="single" w:color="auto" w:sz="4" w:space="0"/>
              <w:bottom w:val="single" w:color="auto" w:sz="4" w:space="0"/>
              <w:right w:val="single" w:color="auto" w:sz="4" w:space="0"/>
            </w:tcBorders>
            <w:noWrap w:val="0"/>
            <w:vAlign w:val="center"/>
          </w:tcPr>
          <w:p w14:paraId="125E280E">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r>
              <w:rPr>
                <w:rFonts w:hint="eastAsia" w:ascii="宋体" w:hAnsi="宋体" w:cs="宋体"/>
                <w:color w:val="auto"/>
                <w:sz w:val="24"/>
                <w:szCs w:val="24"/>
                <w:highlight w:val="none"/>
                <w:lang w:val="en-US" w:eastAsia="zh-CN"/>
              </w:rPr>
              <w:t>3.5</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1A6C43B6">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w:t>
            </w:r>
          </w:p>
        </w:tc>
        <w:tc>
          <w:tcPr>
            <w:tcW w:w="6980" w:type="dxa"/>
            <w:tcBorders>
              <w:top w:val="single" w:color="auto" w:sz="4" w:space="0"/>
              <w:left w:val="single" w:color="auto" w:sz="4" w:space="0"/>
              <w:bottom w:val="single" w:color="auto" w:sz="4" w:space="0"/>
              <w:right w:val="single" w:color="auto" w:sz="4" w:space="0"/>
            </w:tcBorders>
            <w:noWrap w:val="0"/>
            <w:vAlign w:val="center"/>
          </w:tcPr>
          <w:p w14:paraId="4BC36D9E">
            <w:pPr>
              <w:numPr>
                <w:ilvl w:val="-1"/>
                <w:numId w:val="0"/>
              </w:numPr>
              <w:snapToGrid w:val="0"/>
              <w:spacing w:line="360" w:lineRule="auto"/>
              <w:rPr>
                <w:rFonts w:hint="eastAsia" w:ascii="宋体" w:hAnsi="宋体" w:eastAsia="宋体" w:cs="宋体"/>
                <w:color w:val="auto"/>
                <w:sz w:val="24"/>
                <w:szCs w:val="24"/>
                <w:highlight w:val="none"/>
                <w:lang w:bidi="ar"/>
              </w:rPr>
            </w:pPr>
            <w:r>
              <w:rPr>
                <w:rFonts w:hint="eastAsia" w:ascii="宋体" w:hAnsi="宋体" w:cs="宋体"/>
                <w:color w:val="auto"/>
                <w:sz w:val="24"/>
                <w:szCs w:val="24"/>
                <w:highlight w:val="none"/>
                <w:lang w:eastAsia="zh-CN" w:bidi="ar"/>
              </w:rPr>
              <w:t>（</w:t>
            </w:r>
            <w:r>
              <w:rPr>
                <w:rFonts w:hint="eastAsia" w:ascii="宋体" w:hAnsi="宋体" w:cs="宋体"/>
                <w:color w:val="auto"/>
                <w:sz w:val="24"/>
                <w:szCs w:val="24"/>
                <w:highlight w:val="none"/>
                <w:lang w:val="en-US" w:eastAsia="zh-CN" w:bidi="ar"/>
              </w:rPr>
              <w:t>一）</w:t>
            </w:r>
            <w:r>
              <w:rPr>
                <w:rFonts w:hint="eastAsia" w:ascii="宋体" w:hAnsi="宋体" w:eastAsia="宋体" w:cs="宋体"/>
                <w:color w:val="auto"/>
                <w:sz w:val="24"/>
                <w:szCs w:val="24"/>
                <w:highlight w:val="none"/>
                <w:lang w:bidi="ar"/>
              </w:rPr>
              <w:t>演示内容</w:t>
            </w:r>
          </w:p>
          <w:p w14:paraId="5627E8E4">
            <w:pPr>
              <w:snapToGrid w:val="0"/>
              <w:spacing w:line="360" w:lineRule="auto"/>
              <w:rPr>
                <w:rFonts w:hint="eastAsia" w:ascii="华文宋体" w:hAnsi="华文宋体" w:eastAsia="华文宋体" w:cs="华文宋体"/>
                <w:color w:val="auto"/>
                <w:sz w:val="24"/>
                <w:szCs w:val="24"/>
                <w:highlight w:val="none"/>
                <w:lang w:eastAsia="zh-CN"/>
              </w:rPr>
            </w:pPr>
            <w:r>
              <w:rPr>
                <w:rFonts w:hint="eastAsia" w:ascii="华文宋体" w:hAnsi="华文宋体" w:eastAsia="华文宋体" w:cs="华文宋体"/>
                <w:color w:val="auto"/>
                <w:sz w:val="24"/>
                <w:szCs w:val="24"/>
                <w:highlight w:val="none"/>
                <w:lang w:eastAsia="zh-CN"/>
              </w:rPr>
              <w:t>演示学习中心模块，包括培训视频、文件资料、案例素材、在线刷题及在线考试等功能</w:t>
            </w:r>
          </w:p>
          <w:p w14:paraId="7C3838A1">
            <w:pPr>
              <w:snapToGrid w:val="0"/>
              <w:spacing w:line="360" w:lineRule="auto"/>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（二）评分要求</w:t>
            </w:r>
          </w:p>
          <w:p w14:paraId="58569480">
            <w:pPr>
              <w:keepNext w:val="0"/>
              <w:keepLines w:val="0"/>
              <w:pageBreakBefore w:val="0"/>
              <w:widowControl w:val="0"/>
              <w:kinsoku/>
              <w:wordWrap/>
              <w:overflowPunct/>
              <w:topLinePunct w:val="0"/>
              <w:autoSpaceDE/>
              <w:autoSpaceDN/>
              <w:bidi w:val="0"/>
              <w:spacing w:line="360" w:lineRule="auto"/>
              <w:ind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bidi="ar"/>
              </w:rPr>
              <w:t>演示内容完全满足采购需求的得</w:t>
            </w:r>
            <w:r>
              <w:rPr>
                <w:rFonts w:hint="eastAsia" w:ascii="宋体" w:hAnsi="宋体" w:cs="宋体"/>
                <w:color w:val="auto"/>
                <w:sz w:val="24"/>
                <w:szCs w:val="24"/>
                <w:highlight w:val="none"/>
                <w:lang w:val="en-US" w:eastAsia="zh-CN" w:bidi="ar"/>
              </w:rPr>
              <w:t>2</w:t>
            </w:r>
            <w:r>
              <w:rPr>
                <w:rFonts w:hint="eastAsia" w:ascii="宋体" w:hAnsi="宋体" w:eastAsia="宋体" w:cs="宋体"/>
                <w:color w:val="auto"/>
                <w:sz w:val="24"/>
                <w:szCs w:val="24"/>
                <w:highlight w:val="none"/>
                <w:lang w:bidi="ar"/>
              </w:rPr>
              <w:t>分；功能、演示内容与采购需求有偏差的得</w:t>
            </w:r>
            <w:r>
              <w:rPr>
                <w:rFonts w:hint="eastAsia" w:ascii="宋体" w:hAnsi="宋体" w:cs="宋体"/>
                <w:color w:val="auto"/>
                <w:sz w:val="24"/>
                <w:szCs w:val="24"/>
                <w:highlight w:val="none"/>
                <w:lang w:val="en-US" w:eastAsia="zh-CN" w:bidi="ar"/>
              </w:rPr>
              <w:t>1</w:t>
            </w:r>
            <w:r>
              <w:rPr>
                <w:rFonts w:hint="eastAsia" w:ascii="宋体" w:hAnsi="宋体" w:eastAsia="宋体" w:cs="宋体"/>
                <w:color w:val="auto"/>
                <w:sz w:val="24"/>
                <w:szCs w:val="24"/>
                <w:highlight w:val="none"/>
                <w:lang w:bidi="ar"/>
              </w:rPr>
              <w:t>分；无演示或演示全部不满足采购需求的不得分</w:t>
            </w:r>
            <w:r>
              <w:rPr>
                <w:rFonts w:hint="eastAsia" w:ascii="宋体" w:hAnsi="宋体" w:eastAsia="宋体" w:cs="宋体"/>
                <w:color w:val="auto"/>
                <w:sz w:val="24"/>
                <w:szCs w:val="24"/>
                <w:highlight w:val="none"/>
                <w:lang w:eastAsia="zh-CN"/>
              </w:rPr>
              <w:t>。</w:t>
            </w:r>
          </w:p>
        </w:tc>
        <w:tc>
          <w:tcPr>
            <w:tcW w:w="509" w:type="dxa"/>
            <w:tcBorders>
              <w:top w:val="single" w:color="auto" w:sz="4" w:space="0"/>
              <w:left w:val="single" w:color="auto" w:sz="4" w:space="0"/>
              <w:bottom w:val="single" w:color="auto" w:sz="4" w:space="0"/>
              <w:right w:val="single" w:color="auto" w:sz="4" w:space="0"/>
            </w:tcBorders>
            <w:noWrap w:val="0"/>
            <w:vAlign w:val="center"/>
          </w:tcPr>
          <w:p w14:paraId="43F8662E">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w:t>
            </w:r>
          </w:p>
        </w:tc>
        <w:tc>
          <w:tcPr>
            <w:tcW w:w="887" w:type="dxa"/>
            <w:tcBorders>
              <w:top w:val="single" w:color="auto" w:sz="4" w:space="0"/>
              <w:left w:val="single" w:color="auto" w:sz="4" w:space="0"/>
              <w:bottom w:val="single" w:color="auto" w:sz="4" w:space="0"/>
              <w:right w:val="single" w:color="auto" w:sz="4" w:space="0"/>
            </w:tcBorders>
            <w:noWrap w:val="0"/>
            <w:vAlign w:val="center"/>
          </w:tcPr>
          <w:p w14:paraId="0E103C9F">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客观分</w:t>
            </w:r>
          </w:p>
        </w:tc>
      </w:tr>
      <w:tr w14:paraId="64137C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1" w:hRule="atLeast"/>
        </w:trPr>
        <w:tc>
          <w:tcPr>
            <w:tcW w:w="526" w:type="dxa"/>
            <w:tcBorders>
              <w:top w:val="single" w:color="auto" w:sz="4" w:space="0"/>
              <w:left w:val="single" w:color="auto" w:sz="4" w:space="0"/>
              <w:bottom w:val="single" w:color="auto" w:sz="4" w:space="0"/>
              <w:right w:val="single" w:color="auto" w:sz="4" w:space="0"/>
            </w:tcBorders>
            <w:noWrap w:val="0"/>
            <w:vAlign w:val="center"/>
          </w:tcPr>
          <w:p w14:paraId="228B6128">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13.6</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6A6DFED5">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w:t>
            </w:r>
          </w:p>
        </w:tc>
        <w:tc>
          <w:tcPr>
            <w:tcW w:w="6980" w:type="dxa"/>
            <w:tcBorders>
              <w:top w:val="single" w:color="auto" w:sz="4" w:space="0"/>
              <w:left w:val="single" w:color="auto" w:sz="4" w:space="0"/>
              <w:bottom w:val="single" w:color="auto" w:sz="4" w:space="0"/>
              <w:right w:val="single" w:color="auto" w:sz="4" w:space="0"/>
            </w:tcBorders>
            <w:noWrap w:val="0"/>
            <w:vAlign w:val="center"/>
          </w:tcPr>
          <w:p w14:paraId="5F2810EA">
            <w:pPr>
              <w:numPr>
                <w:ilvl w:val="-1"/>
                <w:numId w:val="0"/>
              </w:numPr>
              <w:snapToGrid w:val="0"/>
              <w:spacing w:line="360" w:lineRule="auto"/>
              <w:rPr>
                <w:rFonts w:hint="eastAsia" w:ascii="宋体" w:hAnsi="宋体" w:eastAsia="宋体" w:cs="宋体"/>
                <w:color w:val="auto"/>
                <w:sz w:val="24"/>
                <w:szCs w:val="24"/>
                <w:highlight w:val="none"/>
                <w:lang w:bidi="ar"/>
              </w:rPr>
            </w:pPr>
            <w:r>
              <w:rPr>
                <w:rFonts w:hint="eastAsia" w:ascii="宋体" w:hAnsi="宋体" w:cs="宋体"/>
                <w:color w:val="auto"/>
                <w:sz w:val="24"/>
                <w:szCs w:val="24"/>
                <w:highlight w:val="none"/>
                <w:lang w:eastAsia="zh-CN" w:bidi="ar"/>
              </w:rPr>
              <w:t>（</w:t>
            </w:r>
            <w:r>
              <w:rPr>
                <w:rFonts w:hint="eastAsia" w:ascii="宋体" w:hAnsi="宋体" w:cs="宋体"/>
                <w:color w:val="auto"/>
                <w:sz w:val="24"/>
                <w:szCs w:val="24"/>
                <w:highlight w:val="none"/>
                <w:lang w:val="en-US" w:eastAsia="zh-CN" w:bidi="ar"/>
              </w:rPr>
              <w:t>一）</w:t>
            </w:r>
            <w:r>
              <w:rPr>
                <w:rFonts w:hint="eastAsia" w:ascii="宋体" w:hAnsi="宋体" w:eastAsia="宋体" w:cs="宋体"/>
                <w:color w:val="auto"/>
                <w:sz w:val="24"/>
                <w:szCs w:val="24"/>
                <w:highlight w:val="none"/>
                <w:lang w:bidi="ar"/>
              </w:rPr>
              <w:t>演示内容</w:t>
            </w:r>
          </w:p>
          <w:p w14:paraId="1E4D88BC">
            <w:pPr>
              <w:snapToGrid w:val="0"/>
              <w:spacing w:line="360" w:lineRule="auto"/>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演示智能审查模块，包括智能匹配、智能编辑、智能模板等。</w:t>
            </w:r>
          </w:p>
          <w:p w14:paraId="524AF07F">
            <w:pPr>
              <w:snapToGrid w:val="0"/>
              <w:spacing w:line="360" w:lineRule="auto"/>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（二）评分要求</w:t>
            </w:r>
          </w:p>
          <w:p w14:paraId="4A51387B">
            <w:pPr>
              <w:keepNext w:val="0"/>
              <w:keepLines w:val="0"/>
              <w:pageBreakBefore w:val="0"/>
              <w:widowControl w:val="0"/>
              <w:kinsoku/>
              <w:wordWrap/>
              <w:overflowPunct/>
              <w:topLinePunct w:val="0"/>
              <w:autoSpaceDE/>
              <w:autoSpaceDN/>
              <w:bidi w:val="0"/>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bidi="ar"/>
              </w:rPr>
              <w:t>演示内容完全满足采购需求的得</w:t>
            </w:r>
            <w:r>
              <w:rPr>
                <w:rFonts w:hint="eastAsia" w:ascii="宋体" w:hAnsi="宋体" w:cs="宋体"/>
                <w:color w:val="auto"/>
                <w:sz w:val="24"/>
                <w:szCs w:val="24"/>
                <w:highlight w:val="none"/>
                <w:lang w:val="en-US" w:eastAsia="zh-CN" w:bidi="ar"/>
              </w:rPr>
              <w:t>3</w:t>
            </w:r>
            <w:r>
              <w:rPr>
                <w:rFonts w:hint="eastAsia" w:ascii="宋体" w:hAnsi="宋体" w:eastAsia="宋体" w:cs="宋体"/>
                <w:color w:val="auto"/>
                <w:sz w:val="24"/>
                <w:szCs w:val="24"/>
                <w:highlight w:val="none"/>
                <w:lang w:bidi="ar"/>
              </w:rPr>
              <w:t>分；功能、演示内容与采购需求有偏差的得</w:t>
            </w:r>
            <w:r>
              <w:rPr>
                <w:rFonts w:hint="eastAsia" w:ascii="宋体" w:hAnsi="宋体" w:cs="宋体"/>
                <w:color w:val="auto"/>
                <w:sz w:val="24"/>
                <w:szCs w:val="24"/>
                <w:highlight w:val="none"/>
                <w:lang w:val="en-US" w:eastAsia="zh-CN" w:bidi="ar"/>
              </w:rPr>
              <w:t>1</w:t>
            </w:r>
            <w:r>
              <w:rPr>
                <w:rFonts w:hint="eastAsia" w:ascii="宋体" w:hAnsi="宋体" w:eastAsia="宋体" w:cs="宋体"/>
                <w:color w:val="auto"/>
                <w:sz w:val="24"/>
                <w:szCs w:val="24"/>
                <w:highlight w:val="none"/>
                <w:lang w:bidi="ar"/>
              </w:rPr>
              <w:t>分；无演示或演示全部不满足采购需求的不得分</w:t>
            </w:r>
            <w:r>
              <w:rPr>
                <w:rFonts w:hint="eastAsia" w:ascii="宋体" w:hAnsi="宋体" w:eastAsia="宋体" w:cs="宋体"/>
                <w:color w:val="auto"/>
                <w:sz w:val="24"/>
                <w:szCs w:val="24"/>
                <w:highlight w:val="none"/>
                <w:lang w:eastAsia="zh-CN"/>
              </w:rPr>
              <w:t>。</w:t>
            </w:r>
          </w:p>
        </w:tc>
        <w:tc>
          <w:tcPr>
            <w:tcW w:w="509" w:type="dxa"/>
            <w:tcBorders>
              <w:top w:val="single" w:color="auto" w:sz="4" w:space="0"/>
              <w:left w:val="single" w:color="auto" w:sz="4" w:space="0"/>
              <w:bottom w:val="single" w:color="auto" w:sz="4" w:space="0"/>
              <w:right w:val="single" w:color="auto" w:sz="4" w:space="0"/>
            </w:tcBorders>
            <w:noWrap w:val="0"/>
            <w:vAlign w:val="center"/>
          </w:tcPr>
          <w:p w14:paraId="5D58EAFE">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p>
        </w:tc>
        <w:tc>
          <w:tcPr>
            <w:tcW w:w="887" w:type="dxa"/>
            <w:tcBorders>
              <w:top w:val="single" w:color="auto" w:sz="4" w:space="0"/>
              <w:left w:val="single" w:color="auto" w:sz="4" w:space="0"/>
              <w:bottom w:val="single" w:color="auto" w:sz="4" w:space="0"/>
              <w:right w:val="single" w:color="auto" w:sz="4" w:space="0"/>
            </w:tcBorders>
            <w:noWrap w:val="0"/>
            <w:vAlign w:val="center"/>
          </w:tcPr>
          <w:p w14:paraId="487FCDD9">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客观分</w:t>
            </w:r>
          </w:p>
        </w:tc>
      </w:tr>
      <w:tr w14:paraId="35EAB8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1" w:hRule="atLeast"/>
        </w:trPr>
        <w:tc>
          <w:tcPr>
            <w:tcW w:w="526" w:type="dxa"/>
            <w:tcBorders>
              <w:top w:val="single" w:color="auto" w:sz="4" w:space="0"/>
              <w:left w:val="single" w:color="auto" w:sz="4" w:space="0"/>
              <w:bottom w:val="single" w:color="auto" w:sz="4" w:space="0"/>
              <w:right w:val="single" w:color="auto" w:sz="4" w:space="0"/>
            </w:tcBorders>
            <w:noWrap w:val="0"/>
            <w:vAlign w:val="center"/>
          </w:tcPr>
          <w:p w14:paraId="6A7ADB13">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1</w:t>
            </w:r>
            <w:r>
              <w:rPr>
                <w:rFonts w:hint="eastAsia" w:ascii="宋体" w:hAnsi="宋体" w:cs="宋体"/>
                <w:color w:val="auto"/>
                <w:sz w:val="24"/>
                <w:szCs w:val="24"/>
                <w:highlight w:val="none"/>
                <w:lang w:val="en-US" w:eastAsia="zh-CN"/>
              </w:rPr>
              <w:t>4</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1CF43FC5">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报价</w:t>
            </w:r>
          </w:p>
        </w:tc>
        <w:tc>
          <w:tcPr>
            <w:tcW w:w="6980" w:type="dxa"/>
            <w:tcBorders>
              <w:top w:val="single" w:color="auto" w:sz="4" w:space="0"/>
              <w:left w:val="single" w:color="auto" w:sz="4" w:space="0"/>
              <w:bottom w:val="single" w:color="auto" w:sz="4" w:space="0"/>
              <w:right w:val="single" w:color="auto" w:sz="4" w:space="0"/>
            </w:tcBorders>
            <w:noWrap w:val="0"/>
            <w:vAlign w:val="top"/>
          </w:tcPr>
          <w:p w14:paraId="28A4C94F">
            <w:pPr>
              <w:widowControl/>
              <w:shd w:val="clear" w:color="auto" w:fill="FFFFFF"/>
              <w:adjustRightInd/>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有效投标报价的最低价作为评标基准价，其最低报价为满分；按［投标报价得分=（评标基准价/投标报价）*10］的计算公式计算。</w:t>
            </w:r>
          </w:p>
          <w:p w14:paraId="0EEAC347">
            <w:pPr>
              <w:widowControl/>
              <w:shd w:val="clear" w:color="auto" w:fill="FFFFFF"/>
              <w:adjustRightInd/>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评标过程中，不得去掉报价中的最高报价和最低报价。</w:t>
            </w:r>
          </w:p>
          <w:p w14:paraId="73164F54">
            <w:pPr>
              <w:widowControl/>
              <w:shd w:val="clear" w:color="auto" w:fill="FFFFFF"/>
              <w:adjustRightInd/>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w:t>
            </w:r>
          </w:p>
        </w:tc>
        <w:tc>
          <w:tcPr>
            <w:tcW w:w="509" w:type="dxa"/>
            <w:tcBorders>
              <w:top w:val="single" w:color="auto" w:sz="4" w:space="0"/>
              <w:left w:val="single" w:color="auto" w:sz="4" w:space="0"/>
              <w:bottom w:val="single" w:color="auto" w:sz="4" w:space="0"/>
              <w:right w:val="single" w:color="auto" w:sz="4" w:space="0"/>
            </w:tcBorders>
            <w:noWrap w:val="0"/>
            <w:vAlign w:val="center"/>
          </w:tcPr>
          <w:p w14:paraId="3E31078E">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w:t>
            </w:r>
          </w:p>
        </w:tc>
        <w:tc>
          <w:tcPr>
            <w:tcW w:w="887" w:type="dxa"/>
            <w:tcBorders>
              <w:top w:val="single" w:color="auto" w:sz="4" w:space="0"/>
              <w:left w:val="single" w:color="auto" w:sz="4" w:space="0"/>
              <w:bottom w:val="single" w:color="auto" w:sz="4" w:space="0"/>
              <w:right w:val="single" w:color="auto" w:sz="4" w:space="0"/>
            </w:tcBorders>
            <w:noWrap w:val="0"/>
            <w:vAlign w:val="center"/>
          </w:tcPr>
          <w:p w14:paraId="4ED01F97">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w:t>
            </w:r>
          </w:p>
        </w:tc>
      </w:tr>
    </w:tbl>
    <w:p w14:paraId="4DD6276C">
      <w:pPr>
        <w:pStyle w:val="26"/>
        <w:rPr>
          <w:rFonts w:hint="eastAsia"/>
          <w:color w:val="auto"/>
          <w:highlight w:val="none"/>
          <w:lang w:val="en-US" w:eastAsia="zh-CN"/>
        </w:rPr>
      </w:pPr>
    </w:p>
    <w:p w14:paraId="62320C17">
      <w:pPr>
        <w:snapToGrid w:val="0"/>
        <w:spacing w:line="360" w:lineRule="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14:paraId="62320C18">
      <w:pP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62320C19">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62320C1A">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62320C1B">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62320C1C">
      <w:pP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62320C1D">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62320C1E">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62320C1F">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62320C20">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62320C21">
      <w:pPr>
        <w:pStyle w:val="141"/>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62320C22">
      <w:pPr>
        <w:pStyle w:val="14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62320C23">
      <w:pPr>
        <w:pStyle w:val="14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62320C24">
      <w:pPr>
        <w:pStyle w:val="14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62320C25">
      <w:pPr>
        <w:pStyle w:val="14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62320C26">
      <w:pPr>
        <w:pStyle w:val="14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62320C27">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62320C28">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62320C29">
      <w:pPr>
        <w:pStyle w:val="14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2320C2A">
      <w:pPr>
        <w:pStyle w:val="14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服务项目，以及预留份额政府采购服务项目中的非预留部分标项，对小型和微型企业的投标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14:paraId="527B1E73">
      <w:pPr>
        <w:spacing w:line="360" w:lineRule="auto"/>
        <w:ind w:firstLine="482" w:firstLineChars="200"/>
        <w:rPr>
          <w:rFonts w:hint="eastAsia" w:ascii="宋体" w:hAnsi="宋体" w:eastAsia="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宋体" w:hAnsi="宋体" w:eastAsia="宋体" w:cs="宋体"/>
          <w:color w:val="auto"/>
          <w:kern w:val="0"/>
          <w:sz w:val="24"/>
          <w:szCs w:val="24"/>
          <w:highlight w:val="none"/>
          <w:lang w:val="en" w:eastAsia="zh-CN" w:bidi="ar-SA"/>
        </w:rPr>
        <w:t>本项目推荐的中标候选人数量：</w:t>
      </w:r>
      <w:r>
        <w:rPr>
          <w:rFonts w:hint="eastAsia" w:ascii="宋体" w:hAnsi="宋体" w:eastAsia="宋体" w:cs="宋体"/>
          <w:color w:val="auto"/>
          <w:kern w:val="0"/>
          <w:sz w:val="24"/>
          <w:szCs w:val="24"/>
          <w:highlight w:val="none"/>
          <w:u w:val="single"/>
          <w:lang w:val="en-US" w:eastAsia="zh-CN" w:bidi="ar-SA"/>
        </w:rPr>
        <w:t xml:space="preserve"> </w:t>
      </w:r>
      <w:r>
        <w:rPr>
          <w:rFonts w:hint="eastAsia" w:ascii="宋体" w:hAnsi="宋体" w:cs="宋体"/>
          <w:color w:val="auto"/>
          <w:kern w:val="0"/>
          <w:sz w:val="24"/>
          <w:szCs w:val="24"/>
          <w:highlight w:val="none"/>
          <w:u w:val="single"/>
          <w:lang w:val="en-US" w:eastAsia="zh-CN" w:bidi="ar-SA"/>
        </w:rPr>
        <w:t>1家</w:t>
      </w:r>
      <w:r>
        <w:rPr>
          <w:rFonts w:hint="eastAsia" w:ascii="宋体" w:hAnsi="宋体" w:eastAsia="宋体" w:cs="宋体"/>
          <w:color w:val="auto"/>
          <w:kern w:val="0"/>
          <w:sz w:val="24"/>
          <w:szCs w:val="24"/>
          <w:highlight w:val="none"/>
          <w:u w:val="single"/>
          <w:lang w:val="en-US" w:eastAsia="zh-CN" w:bidi="ar-SA"/>
        </w:rPr>
        <w:t xml:space="preserve">  </w:t>
      </w:r>
      <w:r>
        <w:rPr>
          <w:rFonts w:hint="eastAsia" w:ascii="宋体" w:hAnsi="宋体" w:eastAsia="宋体" w:cs="宋体"/>
          <w:color w:val="auto"/>
          <w:kern w:val="0"/>
          <w:sz w:val="24"/>
          <w:szCs w:val="24"/>
          <w:highlight w:val="none"/>
          <w:lang w:val="en" w:eastAsia="zh-CN" w:bidi="ar-SA"/>
        </w:rPr>
        <w:t>。</w:t>
      </w:r>
    </w:p>
    <w:p w14:paraId="62320C2C">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62320C2D">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62320C2E">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62320C2F">
      <w:pPr>
        <w:pStyle w:val="141"/>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62320C30">
      <w:pPr>
        <w:pStyle w:val="2"/>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62320C31">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62320C32">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62320C33">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62320C3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62320C35">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62320C36">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62320C3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14:paraId="62320C39">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8</w:t>
      </w:r>
      <w:r>
        <w:rPr>
          <w:rFonts w:hint="eastAsia" w:ascii="宋体" w:hAnsi="宋体" w:cs="宋体"/>
          <w:color w:val="auto"/>
          <w:kern w:val="0"/>
          <w:sz w:val="24"/>
          <w:highlight w:val="none"/>
        </w:rPr>
        <w:t>报价明显低于其他通过符合性审查投标人的报价，有可能影响产品质量或者不能诚信履约的，未能按要求提供书面说明或者提交相关证明材料，不能证明其报价合理性的；</w:t>
      </w:r>
    </w:p>
    <w:p w14:paraId="62320C3A">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9</w:t>
      </w:r>
      <w:r>
        <w:rPr>
          <w:rFonts w:hint="eastAsia" w:ascii="宋体" w:hAnsi="宋体" w:cs="宋体"/>
          <w:color w:val="auto"/>
          <w:kern w:val="0"/>
          <w:sz w:val="24"/>
          <w:highlight w:val="none"/>
        </w:rPr>
        <w:t>投标人对根据修正原则修正后的报价不确认的；</w:t>
      </w:r>
    </w:p>
    <w:p w14:paraId="62320C3B">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0</w:t>
      </w:r>
      <w:r>
        <w:rPr>
          <w:rFonts w:hint="eastAsia" w:ascii="宋体" w:hAnsi="宋体" w:cs="宋体"/>
          <w:color w:val="auto"/>
          <w:kern w:val="0"/>
          <w:sz w:val="24"/>
          <w:highlight w:val="none"/>
        </w:rPr>
        <w:t>投标人提供虚假材料投标的（包括商务、技术响应情况与实际不符的）；</w:t>
      </w:r>
    </w:p>
    <w:p w14:paraId="62320C3C">
      <w:pPr>
        <w:spacing w:line="360" w:lineRule="auto"/>
        <w:ind w:firstLine="240" w:firstLineChars="100"/>
        <w:rPr>
          <w:rFonts w:ascii="宋体" w:hAnsi="宋体" w:cs="宋体"/>
          <w:color w:val="auto"/>
          <w:kern w:val="0"/>
          <w:sz w:val="24"/>
          <w:highlight w:val="none"/>
        </w:rPr>
      </w:pPr>
      <w:r>
        <w:rPr>
          <w:rFonts w:hint="eastAsia" w:ascii="宋体" w:hAnsi="宋体" w:cs="宋体"/>
          <w:color w:val="auto"/>
          <w:kern w:val="0"/>
          <w:sz w:val="24"/>
          <w:highlight w:val="none"/>
        </w:rPr>
        <w:t xml:space="preserve">  4.2.1</w:t>
      </w:r>
      <w:r>
        <w:rPr>
          <w:rFonts w:hint="eastAsia" w:ascii="宋体" w:hAnsi="宋体" w:cs="宋体"/>
          <w:color w:val="auto"/>
          <w:kern w:val="0"/>
          <w:sz w:val="24"/>
          <w:highlight w:val="none"/>
          <w:lang w:val="en-US" w:eastAsia="zh-CN"/>
        </w:rPr>
        <w:t>1</w:t>
      </w:r>
      <w:r>
        <w:rPr>
          <w:rFonts w:hint="eastAsia" w:ascii="宋体" w:hAnsi="宋体" w:cs="宋体"/>
          <w:color w:val="auto"/>
          <w:kern w:val="0"/>
          <w:sz w:val="24"/>
          <w:highlight w:val="none"/>
        </w:rPr>
        <w:t>投标人有恶意串通、妨碍其他投标人的竞争行为、损害采购人或者其他投标人的合法权益情形的；</w:t>
      </w:r>
    </w:p>
    <w:p w14:paraId="5B726AE3">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2</w:t>
      </w:r>
      <w:r>
        <w:rPr>
          <w:rFonts w:hint="eastAsia" w:ascii="宋体" w:hAnsi="宋体" w:eastAsia="宋体" w:cs="宋体"/>
          <w:color w:val="auto"/>
          <w:kern w:val="0"/>
          <w:sz w:val="24"/>
          <w:highlight w:val="none"/>
          <w:lang w:val="en-US" w:eastAsia="zh-CN"/>
        </w:rPr>
        <w:t>参与同一个采购包（标段）的供应商存在下列情形之一且无法合理解释的，其投标（响应）文件无效：（1）不同供应商的电子投标（响应）文件上传计算机的IP地址或网卡MAC地址或硬盘序列号等硬件信息相同的；（</w:t>
      </w:r>
      <w:r>
        <w:rPr>
          <w:rFonts w:hint="eastAsia" w:ascii="宋体" w:hAnsi="宋体" w:cs="宋体"/>
          <w:color w:val="auto"/>
          <w:kern w:val="0"/>
          <w:sz w:val="24"/>
          <w:highlight w:val="none"/>
          <w:lang w:val="en-US" w:eastAsia="zh-CN"/>
        </w:rPr>
        <w:t>2</w:t>
      </w:r>
      <w:r>
        <w:rPr>
          <w:rFonts w:hint="eastAsia" w:ascii="宋体" w:hAnsi="宋体" w:eastAsia="宋体" w:cs="宋体"/>
          <w:color w:val="auto"/>
          <w:kern w:val="0"/>
          <w:sz w:val="24"/>
          <w:highlight w:val="none"/>
          <w:lang w:val="en-US" w:eastAsia="zh-CN"/>
        </w:rPr>
        <w:t>）上传的电子投标（响应）文件若出现使用本项目其他投标（响应）供应商的数字证书加密的，或者加盖本项目其他投标（响应）供应商的电子印章的；（</w:t>
      </w:r>
      <w:r>
        <w:rPr>
          <w:rFonts w:hint="eastAsia" w:ascii="宋体" w:hAnsi="宋体" w:cs="宋体"/>
          <w:color w:val="auto"/>
          <w:kern w:val="0"/>
          <w:sz w:val="24"/>
          <w:highlight w:val="none"/>
          <w:lang w:val="en-US" w:eastAsia="zh-CN"/>
        </w:rPr>
        <w:t>3</w:t>
      </w:r>
      <w:r>
        <w:rPr>
          <w:rFonts w:hint="eastAsia" w:ascii="宋体" w:hAnsi="宋体" w:eastAsia="宋体" w:cs="宋体"/>
          <w:color w:val="auto"/>
          <w:kern w:val="0"/>
          <w:sz w:val="24"/>
          <w:highlight w:val="none"/>
          <w:lang w:val="en-US" w:eastAsia="zh-CN"/>
        </w:rPr>
        <w:t>）不同供应商的投标（响应）文件的内容存在3处（含）以上错误一致的；（</w:t>
      </w:r>
      <w:r>
        <w:rPr>
          <w:rFonts w:hint="eastAsia" w:ascii="宋体" w:hAnsi="宋体" w:cs="宋体"/>
          <w:color w:val="auto"/>
          <w:kern w:val="0"/>
          <w:sz w:val="24"/>
          <w:highlight w:val="none"/>
          <w:lang w:val="en-US" w:eastAsia="zh-CN"/>
        </w:rPr>
        <w:t>4</w:t>
      </w:r>
      <w:r>
        <w:rPr>
          <w:rFonts w:hint="eastAsia" w:ascii="宋体" w:hAnsi="宋体" w:eastAsia="宋体" w:cs="宋体"/>
          <w:color w:val="auto"/>
          <w:kern w:val="0"/>
          <w:sz w:val="24"/>
          <w:highlight w:val="none"/>
          <w:lang w:val="en-US" w:eastAsia="zh-CN"/>
        </w:rPr>
        <w:t>）不同供应商联系人为同一人或不同联系人的联系电话一致的</w:t>
      </w:r>
      <w:r>
        <w:rPr>
          <w:rFonts w:hint="eastAsia" w:ascii="宋体" w:hAnsi="宋体" w:eastAsia="宋体" w:cs="宋体"/>
          <w:color w:val="auto"/>
          <w:kern w:val="0"/>
          <w:sz w:val="24"/>
          <w:highlight w:val="none"/>
        </w:rPr>
        <w:t>。</w:t>
      </w:r>
    </w:p>
    <w:p w14:paraId="62320C3E">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3</w:t>
      </w:r>
      <w:r>
        <w:rPr>
          <w:rFonts w:hint="eastAsia" w:ascii="宋体" w:hAnsi="宋体" w:cs="宋体"/>
          <w:color w:val="auto"/>
          <w:kern w:val="0"/>
          <w:sz w:val="24"/>
          <w:highlight w:val="none"/>
        </w:rPr>
        <w:t>投标人仅提交备份投标文件，未在电子交易平台传输递交投标文件的，投标无效；</w:t>
      </w:r>
    </w:p>
    <w:p w14:paraId="62320C3F">
      <w:pPr>
        <w:pStyle w:val="4"/>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w:t>
      </w:r>
      <w:r>
        <w:rPr>
          <w:rFonts w:hint="eastAsia" w:ascii="宋体" w:hAnsi="宋体" w:eastAsia="宋体" w:cs="宋体"/>
          <w:b w:val="0"/>
          <w:bCs w:val="0"/>
          <w:color w:val="auto"/>
          <w:kern w:val="0"/>
          <w:sz w:val="24"/>
          <w:szCs w:val="24"/>
          <w:highlight w:val="none"/>
          <w:lang w:val="en-US" w:eastAsia="zh-CN"/>
        </w:rPr>
        <w:t>4</w:t>
      </w:r>
      <w:r>
        <w:rPr>
          <w:rFonts w:hint="eastAsia" w:ascii="宋体" w:hAnsi="宋体" w:eastAsia="宋体" w:cs="宋体"/>
          <w:b w:val="0"/>
          <w:bCs w:val="0"/>
          <w:color w:val="auto"/>
          <w:kern w:val="0"/>
          <w:sz w:val="24"/>
          <w:szCs w:val="24"/>
          <w:highlight w:val="none"/>
          <w:lang w:val="en-US"/>
        </w:rPr>
        <w:t>投标文件不满足招标文件的其它实质性要求的；</w:t>
      </w:r>
    </w:p>
    <w:p w14:paraId="62320C40">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5</w:t>
      </w:r>
      <w:r>
        <w:rPr>
          <w:rFonts w:hint="eastAsia" w:ascii="宋体" w:hAnsi="宋体" w:cs="宋体"/>
          <w:color w:val="auto"/>
          <w:kern w:val="0"/>
          <w:sz w:val="24"/>
          <w:highlight w:val="none"/>
        </w:rPr>
        <w:t>法律、法规、规章（适用本区划的）及省级以上规范性文件（适用本区划的）规定的其他无效情形。</w:t>
      </w:r>
    </w:p>
    <w:p w14:paraId="62320C41">
      <w:pPr>
        <w:pStyle w:val="2"/>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62320C42">
      <w:pPr>
        <w:pStyle w:val="2"/>
        <w:snapToGrid w:val="0"/>
        <w:spacing w:line="360" w:lineRule="auto"/>
        <w:rPr>
          <w:rFonts w:cs="宋体"/>
          <w:color w:val="auto"/>
          <w:highlight w:val="none"/>
        </w:rPr>
      </w:pPr>
      <w:r>
        <w:rPr>
          <w:rFonts w:hint="eastAsia" w:cs="宋体"/>
          <w:color w:val="auto"/>
          <w:highlight w:val="none"/>
        </w:rPr>
        <w:t>5.1符合专业条件的投标人或者对招标文件作实质响应的投标人不足3家的；</w:t>
      </w:r>
    </w:p>
    <w:p w14:paraId="62320C43">
      <w:pPr>
        <w:pStyle w:val="2"/>
        <w:snapToGrid w:val="0"/>
        <w:spacing w:line="360" w:lineRule="auto"/>
        <w:rPr>
          <w:rFonts w:cs="宋体"/>
          <w:color w:val="auto"/>
          <w:highlight w:val="none"/>
        </w:rPr>
      </w:pPr>
      <w:r>
        <w:rPr>
          <w:rFonts w:hint="eastAsia" w:cs="宋体"/>
          <w:color w:val="auto"/>
          <w:highlight w:val="none"/>
        </w:rPr>
        <w:t>5.2出现影响采购公正的违法、违规行为的；</w:t>
      </w:r>
    </w:p>
    <w:p w14:paraId="62320C44">
      <w:pPr>
        <w:pStyle w:val="2"/>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14:paraId="62320C45">
      <w:pPr>
        <w:pStyle w:val="2"/>
        <w:snapToGrid w:val="0"/>
        <w:spacing w:line="360" w:lineRule="auto"/>
        <w:rPr>
          <w:rFonts w:cs="宋体"/>
          <w:color w:val="auto"/>
          <w:highlight w:val="none"/>
        </w:rPr>
      </w:pPr>
      <w:r>
        <w:rPr>
          <w:rFonts w:hint="eastAsia" w:cs="宋体"/>
          <w:color w:val="auto"/>
          <w:highlight w:val="none"/>
        </w:rPr>
        <w:t>5.4因重大变故，采购任务取消的。</w:t>
      </w:r>
    </w:p>
    <w:p w14:paraId="62320C46">
      <w:pPr>
        <w:pStyle w:val="2"/>
        <w:snapToGrid w:val="0"/>
        <w:spacing w:line="360" w:lineRule="auto"/>
        <w:rPr>
          <w:rFonts w:cs="宋体"/>
          <w:color w:val="auto"/>
          <w:highlight w:val="none"/>
        </w:rPr>
      </w:pPr>
      <w:r>
        <w:rPr>
          <w:rFonts w:hint="eastAsia" w:cs="宋体"/>
          <w:color w:val="auto"/>
          <w:highlight w:val="none"/>
        </w:rPr>
        <w:t>废标后，采购代理机构应当将废标理由通知所有投标人。</w:t>
      </w:r>
    </w:p>
    <w:p w14:paraId="62320C47">
      <w:pPr>
        <w:pStyle w:val="2"/>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62320C48">
      <w:pPr>
        <w:pStyle w:val="2"/>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62320C49">
      <w:pPr>
        <w:pStyle w:val="2"/>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14:paraId="62320C4A">
      <w:pPr>
        <w:pStyle w:val="2"/>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62320C4B">
      <w:pPr>
        <w:pStyle w:val="2"/>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62320C4C">
      <w:pPr>
        <w:pStyle w:val="2"/>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14:paraId="62320C4D">
      <w:pPr>
        <w:pStyle w:val="2"/>
        <w:snapToGrid w:val="0"/>
        <w:spacing w:line="360" w:lineRule="auto"/>
        <w:rPr>
          <w:rFonts w:cs="宋体"/>
          <w:b/>
          <w:color w:val="auto"/>
          <w:sz w:val="36"/>
          <w:szCs w:val="36"/>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bookmarkEnd w:id="26"/>
      <w:bookmarkStart w:id="400" w:name="第五部分"/>
      <w:bookmarkStart w:id="401" w:name="_Toc86217003"/>
    </w:p>
    <w:p w14:paraId="62320C4E">
      <w:pPr>
        <w:rPr>
          <w:rFonts w:ascii="宋体" w:hAnsi="宋体" w:cs="宋体"/>
          <w:b/>
          <w:color w:val="auto"/>
          <w:sz w:val="36"/>
          <w:szCs w:val="36"/>
          <w:highlight w:val="none"/>
        </w:rPr>
      </w:pPr>
      <w:r>
        <w:rPr>
          <w:rFonts w:hint="eastAsia" w:ascii="宋体" w:hAnsi="宋体" w:cs="宋体"/>
          <w:b/>
          <w:color w:val="auto"/>
          <w:sz w:val="36"/>
          <w:szCs w:val="36"/>
          <w:highlight w:val="none"/>
        </w:rPr>
        <w:br w:type="page"/>
      </w:r>
    </w:p>
    <w:p w14:paraId="62320C4F">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14:paraId="62320C50">
      <w:pPr>
        <w:autoSpaceDE w:val="0"/>
        <w:autoSpaceDN w:val="0"/>
        <w:spacing w:line="360" w:lineRule="auto"/>
        <w:jc w:val="center"/>
        <w:rPr>
          <w:rFonts w:ascii="宋体" w:hAnsi="宋体" w:cs="宋体"/>
          <w:b/>
          <w:color w:val="auto"/>
          <w:szCs w:val="21"/>
          <w:highlight w:val="none"/>
        </w:rPr>
      </w:pPr>
    </w:p>
    <w:p w14:paraId="62320C51">
      <w:pPr>
        <w:autoSpaceDE w:val="0"/>
        <w:autoSpaceDN w:val="0"/>
        <w:spacing w:line="360" w:lineRule="auto"/>
        <w:jc w:val="center"/>
        <w:rPr>
          <w:rFonts w:ascii="宋体" w:hAnsi="宋体" w:cs="宋体"/>
          <w:b/>
          <w:color w:val="auto"/>
          <w:szCs w:val="21"/>
          <w:highlight w:val="none"/>
        </w:rPr>
      </w:pPr>
      <w:r>
        <w:rPr>
          <w:rFonts w:hint="eastAsia" w:ascii="宋体" w:hAnsi="宋体" w:cs="宋体"/>
          <w:b/>
          <w:color w:val="auto"/>
          <w:szCs w:val="21"/>
          <w:highlight w:val="none"/>
        </w:rPr>
        <w:t>（备注：以下仅提供合同主要条款，合同格式和具体条款在买卖双方签订合同时根据实际需求确定，正式合同文本以双方签字盖章的为准。）</w:t>
      </w:r>
    </w:p>
    <w:p w14:paraId="62320C52">
      <w:pPr>
        <w:spacing w:line="360" w:lineRule="auto"/>
        <w:ind w:right="-185" w:rightChars="-88"/>
        <w:rPr>
          <w:rFonts w:ascii="宋体" w:hAnsi="宋体" w:cs="宋体"/>
          <w:color w:val="auto"/>
          <w:szCs w:val="21"/>
          <w:highlight w:val="none"/>
        </w:rPr>
      </w:pPr>
      <w:bookmarkStart w:id="402" w:name="_Toc177870558"/>
      <w:bookmarkStart w:id="403" w:name="_Hlk534720381"/>
      <w:r>
        <w:rPr>
          <w:rFonts w:hint="eastAsia" w:ascii="宋体" w:hAnsi="宋体" w:cs="宋体"/>
          <w:color w:val="auto"/>
          <w:szCs w:val="21"/>
          <w:highlight w:val="none"/>
        </w:rPr>
        <w:t xml:space="preserve">    </w:t>
      </w:r>
    </w:p>
    <w:bookmarkEnd w:id="402"/>
    <w:bookmarkEnd w:id="403"/>
    <w:p w14:paraId="62320C53">
      <w:pPr>
        <w:spacing w:line="360" w:lineRule="auto"/>
        <w:ind w:right="-185" w:rightChars="-88"/>
        <w:rPr>
          <w:rFonts w:ascii="宋体" w:hAnsi="宋体" w:cs="宋体"/>
          <w:color w:val="auto"/>
          <w:szCs w:val="21"/>
          <w:highlight w:val="none"/>
        </w:rPr>
      </w:pPr>
      <w:r>
        <w:rPr>
          <w:rFonts w:hint="eastAsia" w:ascii="宋体" w:hAnsi="宋体" w:cs="宋体"/>
          <w:color w:val="auto"/>
          <w:szCs w:val="21"/>
          <w:highlight w:val="none"/>
        </w:rPr>
        <w:t xml:space="preserve">    </w:t>
      </w:r>
    </w:p>
    <w:p w14:paraId="62320C54">
      <w:pPr>
        <w:pStyle w:val="34"/>
        <w:spacing w:line="600" w:lineRule="exact"/>
        <w:jc w:val="center"/>
        <w:rPr>
          <w:rFonts w:hAnsi="宋体" w:cs="宋体"/>
          <w:color w:val="auto"/>
          <w:kern w:val="0"/>
          <w:sz w:val="36"/>
          <w:szCs w:val="36"/>
          <w:highlight w:val="none"/>
        </w:rPr>
      </w:pPr>
      <w:r>
        <w:rPr>
          <w:rFonts w:hint="eastAsia" w:hAnsi="宋体" w:cs="宋体"/>
          <w:color w:val="auto"/>
          <w:sz w:val="36"/>
          <w:szCs w:val="36"/>
          <w:highlight w:val="none"/>
        </w:rPr>
        <w:t>浙江省政府采购合同</w:t>
      </w:r>
    </w:p>
    <w:p w14:paraId="62320C55">
      <w:pPr>
        <w:pStyle w:val="34"/>
        <w:snapToGrid w:val="0"/>
        <w:spacing w:before="156" w:line="600" w:lineRule="exact"/>
        <w:jc w:val="center"/>
        <w:rPr>
          <w:rFonts w:hAnsi="宋体" w:cs="宋体"/>
          <w:color w:val="auto"/>
          <w:sz w:val="24"/>
          <w:szCs w:val="24"/>
          <w:highlight w:val="none"/>
        </w:rPr>
      </w:pPr>
      <w:r>
        <w:rPr>
          <w:rFonts w:hint="eastAsia" w:hAnsi="宋体" w:cs="宋体"/>
          <w:color w:val="auto"/>
          <w:sz w:val="24"/>
          <w:szCs w:val="24"/>
          <w:highlight w:val="none"/>
        </w:rPr>
        <w:t>合同编号：</w:t>
      </w:r>
    </w:p>
    <w:p w14:paraId="62320C56">
      <w:pPr>
        <w:pStyle w:val="34"/>
        <w:snapToGrid w:val="0"/>
        <w:spacing w:before="156" w:line="600" w:lineRule="exact"/>
        <w:jc w:val="center"/>
        <w:rPr>
          <w:rFonts w:hAnsi="宋体" w:cs="宋体"/>
          <w:color w:val="auto"/>
          <w:sz w:val="24"/>
          <w:szCs w:val="24"/>
          <w:highlight w:val="none"/>
        </w:rPr>
      </w:pPr>
      <w:r>
        <w:rPr>
          <w:rFonts w:hint="eastAsia" w:hAnsi="宋体" w:cs="宋体"/>
          <w:color w:val="auto"/>
          <w:sz w:val="24"/>
          <w:szCs w:val="24"/>
          <w:highlight w:val="none"/>
        </w:rPr>
        <w:t>确认书号：</w:t>
      </w:r>
    </w:p>
    <w:p w14:paraId="62320C57">
      <w:pPr>
        <w:spacing w:line="360" w:lineRule="auto"/>
        <w:ind w:firstLine="482" w:firstLineChars="200"/>
        <w:rPr>
          <w:rFonts w:ascii="宋体" w:hAnsi="宋体" w:cs="宋体"/>
          <w:color w:val="auto"/>
          <w:sz w:val="24"/>
          <w:highlight w:val="none"/>
        </w:rPr>
      </w:pPr>
      <w:r>
        <w:rPr>
          <w:rFonts w:hint="eastAsia" w:ascii="宋体" w:hAnsi="宋体" w:cs="宋体"/>
          <w:b/>
          <w:bCs/>
          <w:color w:val="auto"/>
          <w:sz w:val="24"/>
          <w:highlight w:val="none"/>
        </w:rPr>
        <w:t>甲方</w:t>
      </w:r>
      <w:r>
        <w:rPr>
          <w:rFonts w:hint="eastAsia" w:ascii="宋体" w:hAnsi="宋体" w:cs="宋体"/>
          <w:color w:val="auto"/>
          <w:sz w:val="24"/>
          <w:highlight w:val="none"/>
        </w:rPr>
        <w:t>（采购人）：浙江省司法厅</w:t>
      </w:r>
    </w:p>
    <w:p w14:paraId="62320C58">
      <w:pPr>
        <w:spacing w:line="360" w:lineRule="auto"/>
        <w:ind w:firstLine="482" w:firstLineChars="200"/>
        <w:rPr>
          <w:rFonts w:ascii="宋体" w:hAnsi="宋体" w:cs="宋体"/>
          <w:color w:val="auto"/>
          <w:sz w:val="24"/>
          <w:highlight w:val="none"/>
        </w:rPr>
      </w:pPr>
      <w:r>
        <w:rPr>
          <w:rFonts w:hint="eastAsia" w:ascii="宋体" w:hAnsi="宋体" w:cs="宋体"/>
          <w:b/>
          <w:bCs/>
          <w:color w:val="auto"/>
          <w:sz w:val="24"/>
          <w:highlight w:val="none"/>
        </w:rPr>
        <w:t>乙方</w:t>
      </w:r>
      <w:r>
        <w:rPr>
          <w:rFonts w:hint="eastAsia" w:ascii="宋体" w:hAnsi="宋体" w:cs="宋体"/>
          <w:color w:val="auto"/>
          <w:sz w:val="24"/>
          <w:highlight w:val="none"/>
        </w:rPr>
        <w:t>（供应商）：</w:t>
      </w:r>
    </w:p>
    <w:p w14:paraId="62320C59">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甲、乙双方根据浙江国际招投标有限公司关于项目编号为××的（标项×：××项目）项目公开招标的结果，签署本合同。</w:t>
      </w:r>
    </w:p>
    <w:p w14:paraId="62320C5A">
      <w:pPr>
        <w:pStyle w:val="970"/>
        <w:spacing w:before="0" w:beforeLines="0" w:after="0" w:afterLines="0" w:line="360" w:lineRule="auto"/>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合同文件</w:t>
      </w:r>
    </w:p>
    <w:p w14:paraId="62320C5B">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合同文件的组成，包括：</w:t>
      </w:r>
    </w:p>
    <w:p w14:paraId="62320C5C">
      <w:pPr>
        <w:pStyle w:val="969"/>
        <w:spacing w:before="0" w:beforeLines="0" w:after="0" w:afterLines="0" w:line="360" w:lineRule="auto"/>
        <w:ind w:firstLine="480"/>
        <w:rPr>
          <w:rFonts w:ascii="宋体" w:hAnsi="宋体" w:eastAsia="宋体" w:cs="宋体"/>
          <w:b/>
          <w:bCs/>
          <w:color w:val="auto"/>
          <w:kern w:val="0"/>
          <w:sz w:val="24"/>
          <w:szCs w:val="24"/>
          <w:highlight w:val="none"/>
        </w:rPr>
      </w:pPr>
      <w:r>
        <w:rPr>
          <w:rFonts w:hint="eastAsia" w:ascii="宋体" w:hAnsi="宋体" w:eastAsia="宋体" w:cs="宋体"/>
          <w:bCs/>
          <w:color w:val="auto"/>
          <w:kern w:val="0"/>
          <w:sz w:val="24"/>
          <w:szCs w:val="24"/>
          <w:highlight w:val="none"/>
        </w:rPr>
        <w:t>（1）本合同协议书和合同全部条款；</w:t>
      </w:r>
    </w:p>
    <w:p w14:paraId="62320C5D">
      <w:pPr>
        <w:pStyle w:val="969"/>
        <w:spacing w:before="0" w:beforeLines="0" w:after="0" w:afterLines="0" w:line="360" w:lineRule="auto"/>
        <w:ind w:firstLine="480"/>
        <w:rPr>
          <w:rFonts w:ascii="宋体" w:hAnsi="宋体" w:eastAsia="宋体" w:cs="宋体"/>
          <w:b/>
          <w:bCs/>
          <w:color w:val="auto"/>
          <w:kern w:val="0"/>
          <w:sz w:val="24"/>
          <w:szCs w:val="24"/>
          <w:highlight w:val="none"/>
        </w:rPr>
      </w:pPr>
      <w:r>
        <w:rPr>
          <w:rFonts w:hint="eastAsia" w:ascii="宋体" w:hAnsi="宋体" w:eastAsia="宋体" w:cs="宋体"/>
          <w:bCs/>
          <w:color w:val="auto"/>
          <w:kern w:val="0"/>
          <w:sz w:val="24"/>
          <w:szCs w:val="24"/>
          <w:highlight w:val="none"/>
        </w:rPr>
        <w:t>（2）招标文件；</w:t>
      </w:r>
    </w:p>
    <w:p w14:paraId="62320C5E">
      <w:pPr>
        <w:pStyle w:val="969"/>
        <w:spacing w:before="0" w:beforeLines="0" w:after="0" w:afterLines="0" w:line="360" w:lineRule="auto"/>
        <w:ind w:firstLine="480"/>
        <w:rPr>
          <w:rFonts w:ascii="宋体" w:hAnsi="宋体" w:eastAsia="宋体" w:cs="宋体"/>
          <w:b/>
          <w:bCs/>
          <w:color w:val="auto"/>
          <w:kern w:val="0"/>
          <w:sz w:val="24"/>
          <w:szCs w:val="24"/>
          <w:highlight w:val="none"/>
        </w:rPr>
      </w:pPr>
      <w:r>
        <w:rPr>
          <w:rFonts w:hint="eastAsia" w:ascii="宋体" w:hAnsi="宋体" w:eastAsia="宋体" w:cs="宋体"/>
          <w:bCs/>
          <w:color w:val="auto"/>
          <w:kern w:val="0"/>
          <w:sz w:val="24"/>
          <w:szCs w:val="24"/>
          <w:highlight w:val="none"/>
        </w:rPr>
        <w:t>（3）投标文件；</w:t>
      </w:r>
    </w:p>
    <w:p w14:paraId="62320C5F">
      <w:pPr>
        <w:pStyle w:val="969"/>
        <w:spacing w:before="0" w:beforeLines="0" w:after="0" w:afterLines="0" w:line="360" w:lineRule="auto"/>
        <w:ind w:firstLine="480"/>
        <w:rPr>
          <w:rFonts w:ascii="宋体" w:hAnsi="宋体" w:eastAsia="宋体" w:cs="宋体"/>
          <w:b/>
          <w:bCs/>
          <w:color w:val="auto"/>
          <w:kern w:val="0"/>
          <w:sz w:val="24"/>
          <w:szCs w:val="24"/>
          <w:highlight w:val="none"/>
        </w:rPr>
      </w:pPr>
      <w:r>
        <w:rPr>
          <w:rFonts w:hint="eastAsia" w:ascii="宋体" w:hAnsi="宋体" w:eastAsia="宋体" w:cs="宋体"/>
          <w:bCs/>
          <w:color w:val="auto"/>
          <w:kern w:val="0"/>
          <w:sz w:val="24"/>
          <w:szCs w:val="24"/>
          <w:highlight w:val="none"/>
        </w:rPr>
        <w:t>（4）评标过程中形成的文字资料/询标纪要；</w:t>
      </w:r>
    </w:p>
    <w:p w14:paraId="62320C60">
      <w:pPr>
        <w:pStyle w:val="969"/>
        <w:spacing w:before="0" w:beforeLines="0" w:after="0" w:afterLines="0" w:line="360" w:lineRule="auto"/>
        <w:ind w:firstLine="480"/>
        <w:rPr>
          <w:rFonts w:ascii="宋体" w:hAnsi="宋体" w:eastAsia="宋体" w:cs="宋体"/>
          <w:b/>
          <w:bCs/>
          <w:color w:val="auto"/>
          <w:kern w:val="0"/>
          <w:sz w:val="24"/>
          <w:szCs w:val="24"/>
          <w:highlight w:val="none"/>
        </w:rPr>
      </w:pPr>
      <w:r>
        <w:rPr>
          <w:rFonts w:hint="eastAsia" w:ascii="宋体" w:hAnsi="宋体" w:eastAsia="宋体" w:cs="宋体"/>
          <w:bCs/>
          <w:color w:val="auto"/>
          <w:kern w:val="0"/>
          <w:sz w:val="24"/>
          <w:szCs w:val="24"/>
          <w:highlight w:val="none"/>
        </w:rPr>
        <w:t>（5）中标通知书；</w:t>
      </w:r>
    </w:p>
    <w:p w14:paraId="62320C61">
      <w:pPr>
        <w:pStyle w:val="969"/>
        <w:spacing w:before="0" w:beforeLines="0" w:after="0" w:afterLines="0" w:line="360" w:lineRule="auto"/>
        <w:ind w:firstLine="480"/>
        <w:rPr>
          <w:rFonts w:ascii="宋体" w:hAnsi="宋体" w:eastAsia="宋体" w:cs="宋体"/>
          <w:b/>
          <w:bCs/>
          <w:color w:val="auto"/>
          <w:kern w:val="0"/>
          <w:sz w:val="24"/>
          <w:szCs w:val="24"/>
          <w:highlight w:val="none"/>
        </w:rPr>
      </w:pPr>
      <w:r>
        <w:rPr>
          <w:rFonts w:hint="eastAsia" w:ascii="宋体" w:hAnsi="宋体" w:eastAsia="宋体" w:cs="宋体"/>
          <w:bCs/>
          <w:color w:val="auto"/>
          <w:kern w:val="0"/>
          <w:sz w:val="24"/>
          <w:szCs w:val="24"/>
          <w:highlight w:val="none"/>
        </w:rPr>
        <w:t>（6）其他合同文件；</w:t>
      </w:r>
    </w:p>
    <w:p w14:paraId="62320C62">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在合同订立及履行过程中形成的与合同有关的文件均构成合同文件组成部分。</w:t>
      </w:r>
    </w:p>
    <w:p w14:paraId="62320C63">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上述各项合同文件包括合同当事人就该项合同文件所作出的补充和修改，属于同一类内容的文件，应以最新签署的为准。</w:t>
      </w:r>
    </w:p>
    <w:p w14:paraId="62320C64">
      <w:pPr>
        <w:pStyle w:val="970"/>
        <w:spacing w:before="0" w:beforeLines="0" w:after="0" w:afterLines="0" w:line="360" w:lineRule="auto"/>
        <w:rPr>
          <w:rFonts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项目内容及合同价格</w:t>
      </w:r>
    </w:p>
    <w:p w14:paraId="62320C65">
      <w:pPr>
        <w:pStyle w:val="34"/>
        <w:snapToGrid w:val="0"/>
        <w:spacing w:line="360" w:lineRule="auto"/>
        <w:jc w:val="right"/>
        <w:rPr>
          <w:rFonts w:hAnsi="宋体" w:cs="宋体"/>
          <w:color w:val="auto"/>
          <w:sz w:val="24"/>
          <w:szCs w:val="24"/>
          <w:highlight w:val="none"/>
        </w:rPr>
      </w:pPr>
      <w:r>
        <w:rPr>
          <w:rFonts w:hint="eastAsia" w:hAnsi="宋体" w:cs="宋体"/>
          <w:color w:val="auto"/>
          <w:sz w:val="24"/>
          <w:szCs w:val="24"/>
          <w:highlight w:val="none"/>
        </w:rPr>
        <w:t>金额单位：元（人民币）</w:t>
      </w:r>
    </w:p>
    <w:tbl>
      <w:tblPr>
        <w:tblStyle w:val="63"/>
        <w:tblW w:w="913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89"/>
        <w:gridCol w:w="2126"/>
        <w:gridCol w:w="850"/>
        <w:gridCol w:w="1733"/>
        <w:gridCol w:w="1734"/>
      </w:tblGrid>
      <w:tr w14:paraId="62320C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89" w:type="dxa"/>
            <w:tcBorders>
              <w:top w:val="single" w:color="auto" w:sz="4" w:space="0"/>
              <w:left w:val="single" w:color="auto" w:sz="4" w:space="0"/>
              <w:bottom w:val="single" w:color="auto" w:sz="4" w:space="0"/>
              <w:right w:val="single" w:color="auto" w:sz="4" w:space="0"/>
            </w:tcBorders>
            <w:vAlign w:val="center"/>
          </w:tcPr>
          <w:p w14:paraId="62320C66">
            <w:pPr>
              <w:pStyle w:val="34"/>
              <w:snapToGrid w:val="0"/>
              <w:spacing w:line="360" w:lineRule="auto"/>
              <w:jc w:val="center"/>
              <w:rPr>
                <w:rFonts w:hAnsi="宋体" w:cs="宋体"/>
                <w:color w:val="auto"/>
                <w:sz w:val="24"/>
                <w:szCs w:val="24"/>
                <w:highlight w:val="none"/>
              </w:rPr>
            </w:pPr>
            <w:r>
              <w:rPr>
                <w:rFonts w:hint="eastAsia" w:hAnsi="宋体" w:cs="宋体"/>
                <w:color w:val="auto"/>
                <w:sz w:val="24"/>
                <w:szCs w:val="24"/>
                <w:highlight w:val="none"/>
              </w:rPr>
              <w:t>项目名称</w:t>
            </w:r>
          </w:p>
        </w:tc>
        <w:tc>
          <w:tcPr>
            <w:tcW w:w="2126" w:type="dxa"/>
            <w:tcBorders>
              <w:top w:val="single" w:color="auto" w:sz="4" w:space="0"/>
              <w:left w:val="single" w:color="auto" w:sz="4" w:space="0"/>
              <w:bottom w:val="single" w:color="auto" w:sz="4" w:space="0"/>
              <w:right w:val="single" w:color="auto" w:sz="4" w:space="0"/>
            </w:tcBorders>
            <w:vAlign w:val="center"/>
          </w:tcPr>
          <w:p w14:paraId="62320C67">
            <w:pPr>
              <w:pStyle w:val="34"/>
              <w:snapToGrid w:val="0"/>
              <w:spacing w:line="360" w:lineRule="auto"/>
              <w:jc w:val="center"/>
              <w:rPr>
                <w:rFonts w:hAnsi="宋体" w:cs="宋体"/>
                <w:color w:val="auto"/>
                <w:sz w:val="24"/>
                <w:szCs w:val="24"/>
                <w:highlight w:val="none"/>
              </w:rPr>
            </w:pPr>
            <w:r>
              <w:rPr>
                <w:rFonts w:hint="eastAsia" w:hAnsi="宋体" w:cs="宋体"/>
                <w:color w:val="auto"/>
                <w:sz w:val="24"/>
                <w:szCs w:val="24"/>
                <w:highlight w:val="none"/>
              </w:rPr>
              <w:t>技术需求</w:t>
            </w:r>
          </w:p>
        </w:tc>
        <w:tc>
          <w:tcPr>
            <w:tcW w:w="850" w:type="dxa"/>
            <w:tcBorders>
              <w:top w:val="single" w:color="auto" w:sz="4" w:space="0"/>
              <w:left w:val="single" w:color="auto" w:sz="4" w:space="0"/>
              <w:bottom w:val="single" w:color="auto" w:sz="4" w:space="0"/>
              <w:right w:val="single" w:color="auto" w:sz="4" w:space="0"/>
            </w:tcBorders>
            <w:vAlign w:val="center"/>
          </w:tcPr>
          <w:p w14:paraId="62320C68">
            <w:pPr>
              <w:pStyle w:val="34"/>
              <w:snapToGrid w:val="0"/>
              <w:spacing w:line="360" w:lineRule="auto"/>
              <w:jc w:val="center"/>
              <w:rPr>
                <w:rFonts w:hAnsi="宋体" w:cs="宋体"/>
                <w:color w:val="auto"/>
                <w:sz w:val="24"/>
                <w:szCs w:val="24"/>
                <w:highlight w:val="none"/>
              </w:rPr>
            </w:pPr>
            <w:r>
              <w:rPr>
                <w:rFonts w:hint="eastAsia" w:hAnsi="宋体" w:cs="宋体"/>
                <w:color w:val="auto"/>
                <w:sz w:val="24"/>
                <w:szCs w:val="24"/>
                <w:highlight w:val="none"/>
              </w:rPr>
              <w:t>数量</w:t>
            </w:r>
          </w:p>
        </w:tc>
        <w:tc>
          <w:tcPr>
            <w:tcW w:w="1733" w:type="dxa"/>
            <w:tcBorders>
              <w:top w:val="single" w:color="auto" w:sz="4" w:space="0"/>
              <w:left w:val="single" w:color="auto" w:sz="4" w:space="0"/>
              <w:bottom w:val="single" w:color="auto" w:sz="4" w:space="0"/>
              <w:right w:val="single" w:color="auto" w:sz="4" w:space="0"/>
            </w:tcBorders>
            <w:vAlign w:val="center"/>
          </w:tcPr>
          <w:p w14:paraId="62320C69">
            <w:pPr>
              <w:pStyle w:val="34"/>
              <w:snapToGrid w:val="0"/>
              <w:spacing w:line="360" w:lineRule="auto"/>
              <w:jc w:val="center"/>
              <w:rPr>
                <w:rFonts w:hAnsi="宋体" w:cs="宋体"/>
                <w:color w:val="auto"/>
                <w:sz w:val="24"/>
                <w:szCs w:val="24"/>
                <w:highlight w:val="none"/>
              </w:rPr>
            </w:pPr>
            <w:r>
              <w:rPr>
                <w:rFonts w:hint="eastAsia" w:hAnsi="宋体" w:cs="宋体"/>
                <w:color w:val="auto"/>
                <w:sz w:val="24"/>
                <w:szCs w:val="24"/>
                <w:highlight w:val="none"/>
              </w:rPr>
              <w:t>单价</w:t>
            </w:r>
          </w:p>
        </w:tc>
        <w:tc>
          <w:tcPr>
            <w:tcW w:w="1734" w:type="dxa"/>
            <w:tcBorders>
              <w:top w:val="single" w:color="auto" w:sz="4" w:space="0"/>
              <w:left w:val="single" w:color="auto" w:sz="4" w:space="0"/>
              <w:bottom w:val="single" w:color="auto" w:sz="4" w:space="0"/>
              <w:right w:val="single" w:color="auto" w:sz="4" w:space="0"/>
            </w:tcBorders>
            <w:vAlign w:val="center"/>
          </w:tcPr>
          <w:p w14:paraId="62320C6A">
            <w:pPr>
              <w:pStyle w:val="34"/>
              <w:snapToGrid w:val="0"/>
              <w:spacing w:line="360" w:lineRule="auto"/>
              <w:jc w:val="center"/>
              <w:rPr>
                <w:rFonts w:hAnsi="宋体" w:cs="宋体"/>
                <w:color w:val="auto"/>
                <w:sz w:val="24"/>
                <w:szCs w:val="24"/>
                <w:highlight w:val="none"/>
              </w:rPr>
            </w:pPr>
            <w:r>
              <w:rPr>
                <w:rFonts w:hint="eastAsia" w:hAnsi="宋体" w:cs="宋体"/>
                <w:color w:val="auto"/>
                <w:sz w:val="24"/>
                <w:szCs w:val="24"/>
                <w:highlight w:val="none"/>
              </w:rPr>
              <w:t>总价</w:t>
            </w:r>
          </w:p>
        </w:tc>
      </w:tr>
      <w:tr w14:paraId="62320C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2689" w:type="dxa"/>
            <w:tcBorders>
              <w:top w:val="single" w:color="auto" w:sz="4" w:space="0"/>
              <w:left w:val="single" w:color="auto" w:sz="4" w:space="0"/>
              <w:bottom w:val="single" w:color="auto" w:sz="4" w:space="0"/>
              <w:right w:val="single" w:color="auto" w:sz="4" w:space="0"/>
            </w:tcBorders>
            <w:vAlign w:val="center"/>
          </w:tcPr>
          <w:p w14:paraId="62320C6C">
            <w:pPr>
              <w:pStyle w:val="34"/>
              <w:snapToGrid w:val="0"/>
              <w:spacing w:line="360" w:lineRule="auto"/>
              <w:jc w:val="center"/>
              <w:rPr>
                <w:rFonts w:hAnsi="宋体" w:cs="宋体"/>
                <w:color w:val="auto"/>
                <w:sz w:val="24"/>
                <w:szCs w:val="24"/>
                <w:highlight w:val="none"/>
              </w:rPr>
            </w:pPr>
          </w:p>
        </w:tc>
        <w:tc>
          <w:tcPr>
            <w:tcW w:w="2126" w:type="dxa"/>
            <w:tcBorders>
              <w:top w:val="single" w:color="auto" w:sz="4" w:space="0"/>
              <w:left w:val="single" w:color="auto" w:sz="4" w:space="0"/>
              <w:bottom w:val="single" w:color="auto" w:sz="4" w:space="0"/>
              <w:right w:val="single" w:color="auto" w:sz="4" w:space="0"/>
            </w:tcBorders>
            <w:vAlign w:val="center"/>
          </w:tcPr>
          <w:p w14:paraId="62320C6D">
            <w:pPr>
              <w:pStyle w:val="34"/>
              <w:snapToGrid w:val="0"/>
              <w:spacing w:line="360" w:lineRule="auto"/>
              <w:jc w:val="center"/>
              <w:rPr>
                <w:rFonts w:hAnsi="宋体" w:cs="宋体"/>
                <w:color w:val="auto"/>
                <w:sz w:val="24"/>
                <w:szCs w:val="24"/>
                <w:highlight w:val="none"/>
              </w:rPr>
            </w:pPr>
            <w:r>
              <w:rPr>
                <w:rFonts w:hint="eastAsia" w:hAnsi="宋体" w:cs="宋体"/>
                <w:color w:val="auto"/>
                <w:sz w:val="24"/>
                <w:szCs w:val="24"/>
                <w:highlight w:val="none"/>
              </w:rPr>
              <w:t>详见项目对应采购文件</w:t>
            </w:r>
          </w:p>
        </w:tc>
        <w:tc>
          <w:tcPr>
            <w:tcW w:w="850" w:type="dxa"/>
            <w:tcBorders>
              <w:top w:val="single" w:color="auto" w:sz="4" w:space="0"/>
              <w:left w:val="single" w:color="auto" w:sz="4" w:space="0"/>
              <w:bottom w:val="single" w:color="auto" w:sz="4" w:space="0"/>
              <w:right w:val="single" w:color="auto" w:sz="4" w:space="0"/>
            </w:tcBorders>
            <w:vAlign w:val="center"/>
          </w:tcPr>
          <w:p w14:paraId="62320C6E">
            <w:pPr>
              <w:pStyle w:val="34"/>
              <w:snapToGrid w:val="0"/>
              <w:spacing w:line="360" w:lineRule="auto"/>
              <w:jc w:val="center"/>
              <w:rPr>
                <w:rFonts w:hAnsi="宋体" w:cs="宋体"/>
                <w:color w:val="auto"/>
                <w:sz w:val="24"/>
                <w:szCs w:val="24"/>
                <w:highlight w:val="none"/>
              </w:rPr>
            </w:pPr>
          </w:p>
        </w:tc>
        <w:tc>
          <w:tcPr>
            <w:tcW w:w="1733" w:type="dxa"/>
            <w:tcBorders>
              <w:top w:val="single" w:color="auto" w:sz="4" w:space="0"/>
              <w:left w:val="single" w:color="auto" w:sz="4" w:space="0"/>
              <w:bottom w:val="single" w:color="auto" w:sz="4" w:space="0"/>
              <w:right w:val="single" w:color="auto" w:sz="4" w:space="0"/>
            </w:tcBorders>
            <w:vAlign w:val="center"/>
          </w:tcPr>
          <w:p w14:paraId="62320C6F">
            <w:pPr>
              <w:pStyle w:val="34"/>
              <w:snapToGrid w:val="0"/>
              <w:spacing w:line="360" w:lineRule="auto"/>
              <w:jc w:val="center"/>
              <w:rPr>
                <w:rFonts w:hAnsi="宋体" w:cs="宋体"/>
                <w:color w:val="auto"/>
                <w:sz w:val="24"/>
                <w:szCs w:val="24"/>
                <w:highlight w:val="none"/>
              </w:rPr>
            </w:pPr>
          </w:p>
        </w:tc>
        <w:tc>
          <w:tcPr>
            <w:tcW w:w="1734" w:type="dxa"/>
            <w:tcBorders>
              <w:top w:val="single" w:color="auto" w:sz="4" w:space="0"/>
              <w:left w:val="single" w:color="auto" w:sz="4" w:space="0"/>
              <w:bottom w:val="single" w:color="auto" w:sz="4" w:space="0"/>
              <w:right w:val="single" w:color="auto" w:sz="4" w:space="0"/>
            </w:tcBorders>
            <w:vAlign w:val="center"/>
          </w:tcPr>
          <w:p w14:paraId="62320C70">
            <w:pPr>
              <w:pStyle w:val="34"/>
              <w:snapToGrid w:val="0"/>
              <w:spacing w:line="360" w:lineRule="auto"/>
              <w:jc w:val="center"/>
              <w:rPr>
                <w:rFonts w:hAnsi="宋体" w:cs="宋体"/>
                <w:color w:val="auto"/>
                <w:sz w:val="24"/>
                <w:szCs w:val="24"/>
                <w:highlight w:val="none"/>
              </w:rPr>
            </w:pPr>
          </w:p>
        </w:tc>
      </w:tr>
      <w:tr w14:paraId="62320C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815" w:type="dxa"/>
            <w:gridSpan w:val="2"/>
            <w:tcBorders>
              <w:top w:val="single" w:color="auto" w:sz="4" w:space="0"/>
              <w:left w:val="single" w:color="auto" w:sz="4" w:space="0"/>
              <w:bottom w:val="single" w:color="auto" w:sz="4" w:space="0"/>
              <w:right w:val="single" w:color="auto" w:sz="4" w:space="0"/>
            </w:tcBorders>
            <w:vAlign w:val="center"/>
          </w:tcPr>
          <w:p w14:paraId="62320C72">
            <w:pPr>
              <w:pStyle w:val="34"/>
              <w:snapToGrid w:val="0"/>
              <w:spacing w:line="360" w:lineRule="auto"/>
              <w:jc w:val="center"/>
              <w:rPr>
                <w:rFonts w:hAnsi="宋体" w:cs="宋体"/>
                <w:color w:val="auto"/>
                <w:sz w:val="24"/>
                <w:szCs w:val="24"/>
                <w:highlight w:val="none"/>
              </w:rPr>
            </w:pPr>
            <w:r>
              <w:rPr>
                <w:rFonts w:hint="eastAsia" w:hAnsi="宋体" w:cs="宋体"/>
                <w:color w:val="auto"/>
                <w:sz w:val="24"/>
                <w:szCs w:val="24"/>
                <w:highlight w:val="none"/>
              </w:rPr>
              <w:t>合            计</w:t>
            </w:r>
          </w:p>
        </w:tc>
        <w:tc>
          <w:tcPr>
            <w:tcW w:w="4317" w:type="dxa"/>
            <w:gridSpan w:val="3"/>
            <w:tcBorders>
              <w:top w:val="single" w:color="auto" w:sz="4" w:space="0"/>
              <w:left w:val="single" w:color="auto" w:sz="4" w:space="0"/>
              <w:bottom w:val="single" w:color="auto" w:sz="4" w:space="0"/>
              <w:right w:val="single" w:color="auto" w:sz="4" w:space="0"/>
            </w:tcBorders>
            <w:vAlign w:val="center"/>
          </w:tcPr>
          <w:p w14:paraId="62320C73">
            <w:pPr>
              <w:pStyle w:val="34"/>
              <w:snapToGrid w:val="0"/>
              <w:spacing w:line="360" w:lineRule="auto"/>
              <w:jc w:val="center"/>
              <w:rPr>
                <w:rFonts w:hAnsi="宋体" w:cs="宋体"/>
                <w:color w:val="auto"/>
                <w:sz w:val="24"/>
                <w:szCs w:val="24"/>
                <w:highlight w:val="none"/>
              </w:rPr>
            </w:pPr>
          </w:p>
        </w:tc>
      </w:tr>
      <w:tr w14:paraId="62320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132" w:type="dxa"/>
            <w:gridSpan w:val="5"/>
            <w:tcBorders>
              <w:top w:val="single" w:color="auto" w:sz="4" w:space="0"/>
              <w:left w:val="single" w:color="auto" w:sz="4" w:space="0"/>
              <w:bottom w:val="single" w:color="auto" w:sz="4" w:space="0"/>
              <w:right w:val="single" w:color="auto" w:sz="4" w:space="0"/>
            </w:tcBorders>
            <w:vAlign w:val="center"/>
          </w:tcPr>
          <w:p w14:paraId="62320C75">
            <w:pPr>
              <w:pStyle w:val="34"/>
              <w:snapToGrid w:val="0"/>
              <w:spacing w:line="360" w:lineRule="auto"/>
              <w:jc w:val="left"/>
              <w:rPr>
                <w:rFonts w:hAnsi="宋体" w:cs="宋体"/>
                <w:color w:val="auto"/>
                <w:sz w:val="24"/>
                <w:szCs w:val="24"/>
                <w:highlight w:val="none"/>
              </w:rPr>
            </w:pPr>
            <w:r>
              <w:rPr>
                <w:rFonts w:hint="eastAsia" w:hAnsi="宋体" w:cs="宋体"/>
                <w:color w:val="auto"/>
                <w:sz w:val="24"/>
                <w:szCs w:val="24"/>
                <w:highlight w:val="none"/>
              </w:rPr>
              <w:t xml:space="preserve">合同总价大写：                        小写：￥      </w:t>
            </w:r>
          </w:p>
        </w:tc>
      </w:tr>
    </w:tbl>
    <w:p w14:paraId="62320C77">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注：1.项目具体技术需求详见招标文件、投标文件以及询标记录。</w:t>
      </w:r>
    </w:p>
    <w:p w14:paraId="62320C78">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2.以上合同总价包含项目达到预期使用效果甲方所应承担的一切费用。</w:t>
      </w:r>
    </w:p>
    <w:p w14:paraId="62320C79">
      <w:pPr>
        <w:pStyle w:val="970"/>
        <w:spacing w:before="0" w:beforeLines="0" w:after="0" w:afterLines="0" w:line="360" w:lineRule="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技术资料</w:t>
      </w:r>
    </w:p>
    <w:p w14:paraId="62320C7A">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1.乙方应按采购文件规定的时间向甲方提供使用项目的有关技术资料。具体如下：</w:t>
      </w:r>
    </w:p>
    <w:p w14:paraId="62320C7B">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（1）合同签订后两周内提供需求规格说明书以及项目建设实施方案；</w:t>
      </w:r>
    </w:p>
    <w:p w14:paraId="62320C7C">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（2）项目投入正式运行以前，提供项目半月报，定期进行汇报；</w:t>
      </w:r>
    </w:p>
    <w:p w14:paraId="62320C7D">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（3）用户培训时提供培训相关资料；</w:t>
      </w:r>
    </w:p>
    <w:p w14:paraId="62320C7E">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（4）项目验收时提供系统管理维护文档、系统使用操作文档以及系统源代码等，纸质和电子各一份；</w:t>
      </w:r>
    </w:p>
    <w:p w14:paraId="62320C7F">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（5）其他甲方需要的文档。</w:t>
      </w:r>
    </w:p>
    <w:p w14:paraId="62320C80">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62320C81">
      <w:pPr>
        <w:pStyle w:val="970"/>
        <w:spacing w:before="0" w:beforeLines="0" w:after="0" w:afterLines="0" w:line="360" w:lineRule="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知识产权</w:t>
      </w:r>
    </w:p>
    <w:p w14:paraId="62320C82">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1.本项目所产生成果（包括计算机软件、技术诀窍、秘密信息、技术资料和文件等）的知识产权甲方独享，共性技术双方共享。</w:t>
      </w:r>
    </w:p>
    <w:p w14:paraId="62320C83">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2.乙方保证甲方不受到第三方关于侵犯知识产权（包括版权和专利权、商标权等）的指控，任何第三方如果提出指控，乙方与第三方交涉，承担可能发生的一切法律责任、费用和后果。</w:t>
      </w:r>
    </w:p>
    <w:p w14:paraId="62320C84">
      <w:pPr>
        <w:pStyle w:val="970"/>
        <w:spacing w:before="0" w:beforeLines="0" w:after="0" w:afterLines="0" w:line="360" w:lineRule="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产权瑕疵担保</w:t>
      </w:r>
    </w:p>
    <w:p w14:paraId="62320C85">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乙方保证所交付的货物的所有权完全属于乙方且无任何抵押、查封等产权瑕疵。</w:t>
      </w:r>
    </w:p>
    <w:p w14:paraId="62320C86">
      <w:pPr>
        <w:pStyle w:val="970"/>
        <w:spacing w:before="0" w:beforeLines="0" w:after="0" w:afterLines="0" w:line="360" w:lineRule="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转包或分包</w:t>
      </w:r>
    </w:p>
    <w:p w14:paraId="62320C87">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不允许转包。</w:t>
      </w:r>
    </w:p>
    <w:p w14:paraId="62320C88">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允许分包部分</w:t>
      </w:r>
      <w:r>
        <w:rPr>
          <w:rFonts w:hint="eastAsia" w:ascii="宋体" w:hAnsi="宋体" w:eastAsia="宋体" w:cs="宋体"/>
          <w:color w:val="auto"/>
          <w:sz w:val="24"/>
          <w:szCs w:val="24"/>
          <w:highlight w:val="none"/>
          <w:u w:val="single"/>
        </w:rPr>
        <w:t xml:space="preserve">  无  </w:t>
      </w:r>
      <w:r>
        <w:rPr>
          <w:rFonts w:hint="eastAsia" w:ascii="宋体" w:hAnsi="宋体" w:eastAsia="宋体" w:cs="宋体"/>
          <w:color w:val="auto"/>
          <w:sz w:val="24"/>
          <w:szCs w:val="24"/>
          <w:highlight w:val="none"/>
        </w:rPr>
        <w:t xml:space="preserve"> 。</w:t>
      </w:r>
    </w:p>
    <w:p w14:paraId="62320C89">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如乙方将项目转包或将不允许分包部分进行了分包，甲方有权解除合同，没收履约保证金并追究乙方的违约责任。</w:t>
      </w:r>
    </w:p>
    <w:p w14:paraId="62320C8A">
      <w:pPr>
        <w:pStyle w:val="970"/>
        <w:spacing w:before="0" w:beforeLines="0" w:after="0" w:afterLines="0" w:line="360" w:lineRule="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履约保证金</w:t>
      </w:r>
    </w:p>
    <w:p w14:paraId="62320C8B">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bCs/>
          <w:color w:val="auto"/>
          <w:sz w:val="24"/>
          <w:szCs w:val="24"/>
          <w:highlight w:val="none"/>
        </w:rPr>
        <w:t>免费维护期（即为</w:t>
      </w:r>
      <w:r>
        <w:rPr>
          <w:rFonts w:hint="eastAsia" w:ascii="宋体" w:hAnsi="宋体" w:eastAsia="宋体" w:cs="宋体"/>
          <w:color w:val="auto"/>
          <w:sz w:val="24"/>
          <w:szCs w:val="24"/>
          <w:highlight w:val="none"/>
        </w:rPr>
        <w:t>质保期）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年。（自项目验收合格交付使用之日起计）</w:t>
      </w:r>
    </w:p>
    <w:p w14:paraId="62320C8C">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2.履约保证金</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元。[履约保证金在合同签订之日起5个工作日内交至采购人指定银行账户，在合同约定交货验收合格满（1）个月之日起5个工作日内无息退还]</w:t>
      </w:r>
    </w:p>
    <w:p w14:paraId="62320C8D">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若履约保证金逾期超过30日未交付的，甲方有权解除合同并要求乙方承担合同总价的5%的违约责任，不足以弥补甲方损失的，乙方应按照甲方实际损失承担赔偿责任。</w:t>
      </w:r>
    </w:p>
    <w:p w14:paraId="62320C8E">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履约期间，需服从监理单位的统一管理，如未能按本项目及其关联工作要求履职，监理单位有权做出书面意见。供应商自第二次（含）收到《监理通知单》起，按单次5000元予以处罚，在履约保证金退还时予以扣除。</w:t>
      </w:r>
    </w:p>
    <w:p w14:paraId="62320C8F">
      <w:pPr>
        <w:pStyle w:val="970"/>
        <w:spacing w:before="0" w:beforeLines="0" w:after="0" w:afterLines="0" w:line="360" w:lineRule="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项目工期及实施地点</w:t>
      </w:r>
    </w:p>
    <w:p w14:paraId="62320C90">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1.项目工期：</w:t>
      </w:r>
    </w:p>
    <w:p w14:paraId="62320C91">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   月   日前，完成需求分析、方案设计、概要设计及详细设计等工作；</w:t>
      </w:r>
    </w:p>
    <w:p w14:paraId="62320C92">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   月   日前，完成程序编码、联调测试、用户培训等工作，经相关方确认后投入试运行；</w:t>
      </w:r>
    </w:p>
    <w:p w14:paraId="62320C93">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   月   日前，完成项目试运行，并对程序功能进行调优，经相关方确认后组织验收。</w:t>
      </w:r>
    </w:p>
    <w:p w14:paraId="62320C94">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2.实施地点：甲方指定地点。</w:t>
      </w:r>
    </w:p>
    <w:p w14:paraId="62320C95">
      <w:pPr>
        <w:pStyle w:val="970"/>
        <w:spacing w:before="0" w:beforeLines="0" w:after="0" w:afterLines="0" w:line="360" w:lineRule="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货款支付</w:t>
      </w:r>
    </w:p>
    <w:p w14:paraId="62320C96">
      <w:pPr>
        <w:pStyle w:val="969"/>
        <w:spacing w:before="0" w:beforeLines="0" w:after="0" w:afterLines="0"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第一期付款：合同签订后且具备项目实施条件（应用场景概要设计方案经招标方审查通过）后7个工作日内，支付合同金额40%的预付款项</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第二期付款：系统初验通过后</w:t>
      </w:r>
      <w:r>
        <w:rPr>
          <w:rFonts w:hint="eastAsia" w:ascii="宋体" w:hAnsi="宋体" w:eastAsia="宋体" w:cs="宋体"/>
          <w:color w:val="auto"/>
          <w:sz w:val="24"/>
          <w:szCs w:val="24"/>
          <w:highlight w:val="none"/>
          <w:lang w:val="en-US"/>
        </w:rPr>
        <w:t>7个工作日内</w:t>
      </w:r>
      <w:r>
        <w:rPr>
          <w:rFonts w:hint="eastAsia" w:ascii="宋体" w:hAnsi="宋体" w:eastAsia="宋体" w:cs="宋体"/>
          <w:color w:val="auto"/>
          <w:sz w:val="24"/>
          <w:szCs w:val="24"/>
          <w:highlight w:val="none"/>
        </w:rPr>
        <w:t>，支付合同金额</w:t>
      </w:r>
      <w:r>
        <w:rPr>
          <w:rFonts w:hint="eastAsia" w:ascii="宋体" w:hAnsi="宋体" w:eastAsia="宋体" w:cs="宋体"/>
          <w:color w:val="auto"/>
          <w:sz w:val="24"/>
          <w:szCs w:val="24"/>
          <w:highlight w:val="none"/>
          <w:lang w:val="en-US"/>
        </w:rPr>
        <w:t>40</w:t>
      </w:r>
      <w:r>
        <w:rPr>
          <w:rFonts w:hint="eastAsia" w:ascii="宋体" w:hAnsi="宋体" w:eastAsia="宋体" w:cs="宋体"/>
          <w:color w:val="auto"/>
          <w:sz w:val="24"/>
          <w:szCs w:val="24"/>
          <w:highlight w:val="none"/>
        </w:rPr>
        <w:t>%的款项。第三期付款：系统初验通过满一年可申请终验，终验通过后</w:t>
      </w:r>
      <w:r>
        <w:rPr>
          <w:rFonts w:hint="eastAsia" w:ascii="宋体" w:hAnsi="宋体" w:eastAsia="宋体" w:cs="宋体"/>
          <w:color w:val="auto"/>
          <w:sz w:val="24"/>
          <w:szCs w:val="24"/>
          <w:highlight w:val="none"/>
          <w:lang w:val="en-US"/>
        </w:rPr>
        <w:t>7个工作日内</w:t>
      </w:r>
      <w:r>
        <w:rPr>
          <w:rFonts w:hint="eastAsia" w:ascii="宋体" w:hAnsi="宋体" w:eastAsia="宋体" w:cs="宋体"/>
          <w:color w:val="auto"/>
          <w:sz w:val="24"/>
          <w:szCs w:val="24"/>
          <w:highlight w:val="none"/>
        </w:rPr>
        <w:t>，支付合同金额的</w:t>
      </w:r>
      <w:r>
        <w:rPr>
          <w:rFonts w:hint="eastAsia" w:ascii="宋体" w:hAnsi="宋体" w:eastAsia="宋体" w:cs="宋体"/>
          <w:color w:val="auto"/>
          <w:sz w:val="24"/>
          <w:szCs w:val="24"/>
          <w:highlight w:val="none"/>
          <w:lang w:val="en-US"/>
        </w:rPr>
        <w:t>20%款项。</w:t>
      </w:r>
      <w:r>
        <w:rPr>
          <w:rFonts w:hint="eastAsia" w:ascii="宋体" w:hAnsi="宋体" w:eastAsia="宋体" w:cs="宋体"/>
          <w:color w:val="auto"/>
          <w:sz w:val="24"/>
          <w:szCs w:val="24"/>
          <w:highlight w:val="none"/>
        </w:rPr>
        <w:t>并退还履约保证金。</w:t>
      </w:r>
    </w:p>
    <w:p w14:paraId="62320C97">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支付环节，乙方需向甲方提供符合甲方财务要求的</w:t>
      </w:r>
      <w:r>
        <w:rPr>
          <w:rFonts w:hint="eastAsia" w:ascii="宋体" w:hAnsi="宋体" w:eastAsia="宋体" w:cs="宋体"/>
          <w:color w:val="auto"/>
          <w:sz w:val="24"/>
          <w:szCs w:val="24"/>
          <w:highlight w:val="none"/>
          <w:lang w:eastAsia="zh-CN"/>
        </w:rPr>
        <w:t>税务</w:t>
      </w:r>
      <w:r>
        <w:rPr>
          <w:rFonts w:hint="eastAsia" w:ascii="宋体" w:hAnsi="宋体" w:eastAsia="宋体" w:cs="宋体"/>
          <w:color w:val="auto"/>
          <w:sz w:val="24"/>
          <w:szCs w:val="24"/>
          <w:highlight w:val="none"/>
        </w:rPr>
        <w:t>发票，否则甲方可顺延付款，所造成的风险由乙方承担。如因财政资金的下达、拨付问题导致付款延迟的，不视为甲方违约，合同相对方不能据此追究甲方的违约责任。</w:t>
      </w:r>
    </w:p>
    <w:p w14:paraId="62320C98">
      <w:pPr>
        <w:pStyle w:val="970"/>
        <w:spacing w:before="0" w:beforeLines="0" w:after="0" w:afterLines="0" w:line="360" w:lineRule="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税费</w:t>
      </w:r>
    </w:p>
    <w:p w14:paraId="62320C99">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本合同执行中相关的一切税费均由乙方负担。</w:t>
      </w:r>
    </w:p>
    <w:p w14:paraId="62320C9A">
      <w:pPr>
        <w:pStyle w:val="970"/>
        <w:spacing w:before="0" w:beforeLines="0" w:after="0" w:afterLines="0" w:line="360" w:lineRule="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质量保证及售后服务</w:t>
      </w:r>
    </w:p>
    <w:p w14:paraId="62320C9B">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1.详见采购文件</w:t>
      </w:r>
    </w:p>
    <w:p w14:paraId="62320C9C">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2.按照《信息安全技术网络安全等级保护基本要求》（GB/T 22239-2019）文件第三级安全要求，着重加强防病毒、网络态势感知、终端接入管理、身份认证密码、数据资源安全等网络安全体系建设，保障信息系统安全可靠运行。</w:t>
      </w:r>
    </w:p>
    <w:p w14:paraId="62320C9D">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3.项目遵循商用密码应用安全体系框架建设，所有应用系统应能满足商用密码应用安全评估要求。根据《浙江省公共数据条例》、《浙江省公共数据安全管理总则》、《浙江省电子政务外网安全评估指标体系》等文件精神，落实数据安全分级分类、脱敏、加密、安全评估要求。</w:t>
      </w:r>
    </w:p>
    <w:p w14:paraId="62320C9E">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4.根据采购人要求，所有建设应用系统应基于安全可靠的技术路线，支持在信创云上部署和运行，满足安全可靠要求。</w:t>
      </w:r>
    </w:p>
    <w:p w14:paraId="62320C9F">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5.乙方应当遵守甲方制定的安全政策和技术规范，确保其提供的服务符合网络安全和数据安全行业监管以及相关法律法规的要求。如未按照规范开发设计，在建设和运行中存在网络攻击、信息泄露、有害程序植入等较大风险隐患的，被国家机关、省级机关书面通报的，按单次5000元予以处罚。未按照厅应用系统网络安全通报要求及时整改的，按以下处罚：</w:t>
      </w:r>
    </w:p>
    <w:p w14:paraId="62320CA0">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i.</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高危漏洞</w:t>
      </w:r>
    </w:p>
    <w:p w14:paraId="62320CA1">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连续2次被通报的，每漏洞处罚2000元。因未整改被继续通报的，每次增加处罚500元。</w:t>
      </w:r>
    </w:p>
    <w:p w14:paraId="62320CA2">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ii.</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中危漏洞</w:t>
      </w:r>
    </w:p>
    <w:p w14:paraId="62320CA3">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连续3次被通报的，每漏洞处罚1000元。因未整改被继续通报的，每次增加处罚500元。</w:t>
      </w:r>
    </w:p>
    <w:p w14:paraId="62320CA4">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该项处罚费用优先从履约保证金中扣除，履约保证金不足时从合同款中扣除，合同款也不足时由乙方补交处罚费用。若乙方未能在合理期限内解决问题，甲方有权暂停或终止合同服务，并要求乙方承担因此产生的所有损失和费用。</w:t>
      </w:r>
    </w:p>
    <w:p w14:paraId="62320CA5">
      <w:pPr>
        <w:pStyle w:val="970"/>
        <w:spacing w:before="0" w:beforeLines="0" w:after="0" w:afterLines="0" w:line="360" w:lineRule="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验收</w:t>
      </w:r>
      <w:r>
        <w:rPr>
          <w:rFonts w:hint="eastAsia" w:ascii="宋体" w:hAnsi="宋体" w:eastAsia="宋体" w:cs="宋体"/>
          <w:color w:val="auto"/>
          <w:sz w:val="24"/>
          <w:szCs w:val="24"/>
          <w:highlight w:val="none"/>
          <w:lang w:eastAsia="zh-CN"/>
        </w:rPr>
        <w:t>要求</w:t>
      </w:r>
    </w:p>
    <w:p w14:paraId="2347781F">
      <w:pPr>
        <w:keepNext/>
        <w:keepLines/>
        <w:pageBreakBefore w:val="0"/>
        <w:widowControl w:val="0"/>
        <w:numPr>
          <w:ilvl w:val="1"/>
          <w:numId w:val="8"/>
        </w:numPr>
        <w:tabs>
          <w:tab w:val="left" w:pos="0"/>
        </w:tabs>
        <w:kinsoku/>
        <w:wordWrap/>
        <w:overflowPunct/>
        <w:topLinePunct w:val="0"/>
        <w:bidi w:val="0"/>
        <w:spacing w:before="0" w:after="100" w:line="360" w:lineRule="auto"/>
        <w:ind w:left="0" w:leftChars="0" w:firstLine="420" w:firstLineChars="0"/>
        <w:jc w:val="both"/>
        <w:outlineLvl w:val="1"/>
        <w:rPr>
          <w:rFonts w:hint="eastAsia" w:ascii="宋体" w:hAnsi="宋体" w:eastAsia="宋体" w:cs="宋体"/>
          <w:b/>
          <w:color w:val="auto"/>
          <w:kern w:val="2"/>
          <w:sz w:val="24"/>
          <w:szCs w:val="24"/>
          <w:highlight w:val="none"/>
          <w:lang w:val="en-US" w:eastAsia="zh-CN" w:bidi="ar-SA"/>
        </w:rPr>
      </w:pPr>
      <w:r>
        <w:rPr>
          <w:rFonts w:hint="eastAsia" w:ascii="宋体" w:hAnsi="宋体" w:eastAsia="宋体" w:cs="宋体"/>
          <w:b/>
          <w:color w:val="auto"/>
          <w:kern w:val="2"/>
          <w:sz w:val="24"/>
          <w:szCs w:val="24"/>
          <w:highlight w:val="none"/>
          <w:lang w:val="en-US" w:eastAsia="zh-CN" w:bidi="ar-SA"/>
        </w:rPr>
        <w:t>初验及试运行</w:t>
      </w:r>
    </w:p>
    <w:p w14:paraId="5279CA80">
      <w:pPr>
        <w:pageBreakBefore w:val="0"/>
        <w:widowControl w:val="0"/>
        <w:kinsoku/>
        <w:wordWrap/>
        <w:overflowPunct/>
        <w:topLinePunct w:val="0"/>
        <w:bidi w:val="0"/>
        <w:adjustRightInd w:val="0"/>
        <w:spacing w:line="360" w:lineRule="auto"/>
        <w:ind w:firstLine="49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项目基本建设完成后，供应商需提交内测报告，采购人、监理单位和供应商对建设内容开展系统功能检查测试，功能检查测试应覆盖所有功能模块（点），并编制功能检查测试报告。未经检查测试或检查测试不合格的项目，不得投入试运行。项目检查测试通过后，采购人自行组织初验，通过后进入试运行，试运行时间不得少于12个月。终验前需完成以下工作：</w:t>
      </w:r>
    </w:p>
    <w:p w14:paraId="5117F541">
      <w:pPr>
        <w:pageBreakBefore w:val="0"/>
        <w:widowControl w:val="0"/>
        <w:numPr>
          <w:ilvl w:val="0"/>
          <w:numId w:val="9"/>
        </w:numPr>
        <w:kinsoku/>
        <w:wordWrap/>
        <w:overflowPunct/>
        <w:topLinePunct w:val="0"/>
        <w:bidi w:val="0"/>
        <w:adjustRightInd w:val="0"/>
        <w:spacing w:line="360" w:lineRule="auto"/>
        <w:ind w:left="0" w:leftChars="0" w:firstLine="400" w:firstLineChars="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完成软件验收测试工作/配合开展软件验收测试工作；</w:t>
      </w:r>
    </w:p>
    <w:p w14:paraId="47FD56CB">
      <w:pPr>
        <w:pageBreakBefore w:val="0"/>
        <w:widowControl w:val="0"/>
        <w:numPr>
          <w:ilvl w:val="0"/>
          <w:numId w:val="9"/>
        </w:numPr>
        <w:kinsoku/>
        <w:wordWrap/>
        <w:overflowPunct/>
        <w:topLinePunct w:val="0"/>
        <w:bidi w:val="0"/>
        <w:adjustRightInd w:val="0"/>
        <w:spacing w:line="360" w:lineRule="auto"/>
        <w:ind w:left="0" w:leftChars="0" w:firstLine="400" w:firstLineChars="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完成信息系统安全等级保护第三级测评工作/配合开展信息系统安全等级保护第三级测评工作；</w:t>
      </w:r>
    </w:p>
    <w:p w14:paraId="199B2279">
      <w:pPr>
        <w:pageBreakBefore w:val="0"/>
        <w:widowControl w:val="0"/>
        <w:numPr>
          <w:ilvl w:val="0"/>
          <w:numId w:val="9"/>
        </w:numPr>
        <w:kinsoku/>
        <w:wordWrap/>
        <w:overflowPunct/>
        <w:topLinePunct w:val="0"/>
        <w:bidi w:val="0"/>
        <w:adjustRightInd w:val="0"/>
        <w:spacing w:line="360" w:lineRule="auto"/>
        <w:ind w:left="0" w:leftChars="0" w:firstLine="400" w:firstLineChars="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完成商用密码应用安全性评估工作/配合开展商用密码应用安全性评估工作；</w:t>
      </w:r>
    </w:p>
    <w:p w14:paraId="4AEB5FA5">
      <w:pPr>
        <w:pageBreakBefore w:val="0"/>
        <w:widowControl w:val="0"/>
        <w:numPr>
          <w:ilvl w:val="0"/>
          <w:numId w:val="9"/>
        </w:numPr>
        <w:kinsoku/>
        <w:wordWrap/>
        <w:overflowPunct/>
        <w:topLinePunct w:val="0"/>
        <w:bidi w:val="0"/>
        <w:adjustRightInd w:val="0"/>
        <w:spacing w:line="360" w:lineRule="auto"/>
        <w:ind w:left="0" w:leftChars="0" w:firstLine="400" w:firstLineChars="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完成财务报告、审计报告。</w:t>
      </w:r>
    </w:p>
    <w:p w14:paraId="3E2C8565">
      <w:pPr>
        <w:keepNext/>
        <w:keepLines/>
        <w:pageBreakBefore w:val="0"/>
        <w:widowControl w:val="0"/>
        <w:numPr>
          <w:ilvl w:val="1"/>
          <w:numId w:val="8"/>
        </w:numPr>
        <w:tabs>
          <w:tab w:val="left" w:pos="0"/>
        </w:tabs>
        <w:kinsoku/>
        <w:wordWrap/>
        <w:overflowPunct/>
        <w:topLinePunct w:val="0"/>
        <w:bidi w:val="0"/>
        <w:spacing w:before="0" w:after="100" w:line="360" w:lineRule="auto"/>
        <w:ind w:left="0" w:leftChars="0" w:firstLine="420" w:firstLineChars="0"/>
        <w:jc w:val="both"/>
        <w:outlineLvl w:val="1"/>
        <w:rPr>
          <w:rFonts w:hint="eastAsia" w:ascii="宋体" w:hAnsi="宋体" w:eastAsia="宋体" w:cs="宋体"/>
          <w:b/>
          <w:color w:val="auto"/>
          <w:kern w:val="2"/>
          <w:sz w:val="24"/>
          <w:szCs w:val="24"/>
          <w:highlight w:val="none"/>
          <w:lang w:val="en-US" w:eastAsia="zh-CN" w:bidi="ar-SA"/>
        </w:rPr>
      </w:pPr>
      <w:r>
        <w:rPr>
          <w:rFonts w:hint="eastAsia" w:ascii="宋体" w:hAnsi="宋体" w:eastAsia="宋体" w:cs="宋体"/>
          <w:b/>
          <w:color w:val="auto"/>
          <w:kern w:val="2"/>
          <w:sz w:val="24"/>
          <w:szCs w:val="24"/>
          <w:highlight w:val="none"/>
          <w:lang w:val="en-US" w:eastAsia="zh-CN" w:bidi="ar-SA"/>
        </w:rPr>
        <w:t>项目终验</w:t>
      </w:r>
    </w:p>
    <w:p w14:paraId="71DE9AA6">
      <w:pPr>
        <w:pageBreakBefore w:val="0"/>
        <w:widowControl w:val="0"/>
        <w:kinsoku/>
        <w:wordWrap/>
        <w:overflowPunct/>
        <w:topLinePunct w:val="0"/>
        <w:bidi w:val="0"/>
        <w:adjustRightInd w:val="0"/>
        <w:spacing w:line="360" w:lineRule="auto"/>
        <w:ind w:firstLine="490"/>
        <w:jc w:val="left"/>
        <w:rPr>
          <w:rFonts w:hint="eastAsia" w:ascii="宋体" w:hAnsi="宋体" w:eastAsia="宋体" w:cs="宋体"/>
          <w:color w:val="auto"/>
          <w:kern w:val="2"/>
          <w:sz w:val="24"/>
          <w:szCs w:val="24"/>
          <w:highlight w:val="none"/>
          <w:lang w:val="en-US" w:eastAsia="zh-Hans" w:bidi="ar-SA"/>
        </w:rPr>
      </w:pPr>
      <w:r>
        <w:rPr>
          <w:rFonts w:hint="eastAsia" w:ascii="宋体" w:hAnsi="宋体" w:eastAsia="宋体" w:cs="宋体"/>
          <w:color w:val="auto"/>
          <w:kern w:val="2"/>
          <w:sz w:val="24"/>
          <w:szCs w:val="24"/>
          <w:highlight w:val="none"/>
          <w:lang w:val="en-US" w:eastAsia="zh-CN" w:bidi="ar-SA"/>
        </w:rPr>
        <w:t>软件及软件集成类项目验收前，供应商要配合采购人完成项目所涉数字资源的目录编制、数据归集、资源优化、应用发布等工作。供应商按合同全部履约完成，试运行稳定无异常，供应商需发起验收申请，提交完整的验收文档和资料，经采购人、监理单位审核通过后视情况组织项目验收。供应商要负责合同履行期间（含建设期和运维期）应用系统源代码版本管理、更新发布以及资产移交等工作。</w:t>
      </w:r>
    </w:p>
    <w:p w14:paraId="62320CA8">
      <w:pPr>
        <w:pStyle w:val="970"/>
        <w:spacing w:before="0" w:beforeLines="0" w:after="0" w:afterLines="0" w:line="360" w:lineRule="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货物包装</w:t>
      </w:r>
    </w:p>
    <w:p w14:paraId="62320CA9">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无。</w:t>
      </w:r>
    </w:p>
    <w:p w14:paraId="62320CAA">
      <w:pPr>
        <w:pStyle w:val="970"/>
        <w:spacing w:before="0" w:beforeLines="0" w:after="0" w:afterLines="0" w:line="360" w:lineRule="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违约责任</w:t>
      </w:r>
    </w:p>
    <w:p w14:paraId="62320CAB">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1.甲方无正当理由拒收验收项目的，甲方向乙方偿付拒收合同总价的百分之五违约金。</w:t>
      </w:r>
    </w:p>
    <w:p w14:paraId="62320CAC">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2.甲方无故逾期验收或逾期支付合同款项的，甲方应按逾期付款总额每日万分之五向乙方支付违约金。</w:t>
      </w:r>
    </w:p>
    <w:p w14:paraId="62320CAD">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3.乙方逾期交付项目的，乙方应按逾期交付项目总额每日千分之六向甲方支付违约金。逾期超过约定日期10个工作日不能交付的，甲方可单方面解除本合同。</w:t>
      </w:r>
    </w:p>
    <w:p w14:paraId="62320CAE">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4.乙方所交的货物品种、型号、规格、技术参数、质量不符合合同规定及采购文件规定标准的，甲方有权拒收该货物，乙方愿意更换货物但逾期交货的，按乙方逾期交货处理。乙方拒绝更换货物的，甲方可单方面解除合同。</w:t>
      </w:r>
    </w:p>
    <w:p w14:paraId="62320CAF">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5.因乙方逾期交付或其他违约行为导致甲方解除合同的，乙方应向甲方支付合同总值5%的违约金，如造成甲方损失超过违约金的，超出部分由乙方继续承担赔偿责任。</w:t>
      </w:r>
    </w:p>
    <w:p w14:paraId="62320CB0">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6.就乙方因未能履行合同约定义务而应承担的违约金或应赔偿的损失，甲方有权从履约保证金中扣除。履约保证金不足以弥补甲方损失的，乙方按照实际损失承担赔偿责任。</w:t>
      </w:r>
    </w:p>
    <w:p w14:paraId="62320CB1">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7.守约方为实现合同权利支出的律师费、诉讼费、仲裁费、保全费等费用，由违约方承担。</w:t>
      </w:r>
    </w:p>
    <w:p w14:paraId="62320CB2">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8.安全责任</w:t>
      </w:r>
    </w:p>
    <w:p w14:paraId="62320CB3">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1)乙方应按照《中华人民共和国数据安全法》《中华人民共和国个人信息保护法》《中华人民共和国网络安全法》的要求，履行网络、数据安全保护和个人信息保护的义务。</w:t>
      </w:r>
    </w:p>
    <w:p w14:paraId="62320CB4">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2)项目涉及乙方工作人员均需签订《保密承诺书》，且乙方应对项目涉及工作人员进行背景审查。</w:t>
      </w:r>
    </w:p>
    <w:p w14:paraId="62320CB5">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3)乙方应当采取技术措施和其他必要措施，确保其网络和数据安全，防止信息泄露、毁损、丢失。在发生或者可能发生信息泄露、毁损、丢失的情况时，应当立即采取补救措施，并在第一时间告知甲方。</w:t>
      </w:r>
    </w:p>
    <w:p w14:paraId="62320CB6">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4)乙方应合理使用操作账号，严禁乙方存在多名工作人员共用操作账号的情形，同时操作账号应采用高强度的密码、并定期更新账号密码。</w:t>
      </w:r>
    </w:p>
    <w:p w14:paraId="62320CB7">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5)未经甲方允许，乙方不得对项目资源私开端口，不得利用项目资源进行与该项目无关的工作，不得将政务网和互联网私自打通。</w:t>
      </w:r>
    </w:p>
    <w:p w14:paraId="62320CB8">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6)乙方应严格按照要求使用、处理、交换、共享数据资源。做好数据落地相应的数据保护工作，严格执行数据安全技术标准和安全管理措施，避免相关数据出现泄露、窃取、篡改的风险。</w:t>
      </w:r>
    </w:p>
    <w:p w14:paraId="62320CB9">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7)乙方应认真组织开展各项数据处理活动，查找项目数据安全隐患和漏洞，对薄弱环节和潜在威胁采取有力措施进行整改，避免和消除数据安全风险，履行数据安全保护义务。</w:t>
      </w:r>
    </w:p>
    <w:p w14:paraId="62320CBA">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8)乙方应加强网络和数据安全风险监测，制定数据安全应急预案，完善应急机制。发现数据安全缺陷、漏洞等风险时，立即采取补救措施；发生数据安全事件时，立即采取处置措施。确保第一时间检测发现，第一时间应急处置，第一时间向采购人报告。</w:t>
      </w:r>
    </w:p>
    <w:p w14:paraId="62320CBB">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如违反以上任一条款，乙方应按合同总额的5%/次承担违约责任，若甲方实际损失超过违约金数额，超出部分由乙方另行承担。若乙方累计3次违反的，甲方有权解除合同，要求乙方退还已收取的全部合同款并按合同总额的20%承担违约金。若甲方要求乙方继续履行合同，不免除乙方承担违约金的义务。</w:t>
      </w:r>
    </w:p>
    <w:p w14:paraId="62320CBC">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如以上条款违反《中华人民共和国数据安全法》《中华人民共和国个人信息保护法》《中华人民共和国网络安全法》任一法律规定，构成违反治安管理行为的，依法给予治安管理处罚；构成犯罪的，依法追究刑事责任。</w:t>
      </w:r>
    </w:p>
    <w:p w14:paraId="62320CBD">
      <w:pPr>
        <w:pStyle w:val="970"/>
        <w:spacing w:before="0" w:beforeLines="0" w:after="0" w:afterLines="0" w:line="360" w:lineRule="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不可抗力事件处理</w:t>
      </w:r>
    </w:p>
    <w:p w14:paraId="62320CBE">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1.在合同有效期内，任何一方因不可抗力事件导致不能履行合同，则合同履行期可延长，其延长期与不可抗力影响期相同。</w:t>
      </w:r>
    </w:p>
    <w:p w14:paraId="62320CBF">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2.不可抗力事件发生后，应立即通知对方，并寄送有关权威机构出具的证明。</w:t>
      </w:r>
    </w:p>
    <w:p w14:paraId="62320CC0">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3.不可抗力事件延续120天以上，双方应通过友好协商，确定是否继续履行合同。</w:t>
      </w:r>
    </w:p>
    <w:p w14:paraId="62320CC1">
      <w:pPr>
        <w:pStyle w:val="970"/>
        <w:spacing w:before="0" w:beforeLines="0" w:after="0" w:afterLines="0" w:line="360" w:lineRule="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诉讼</w:t>
      </w:r>
    </w:p>
    <w:p w14:paraId="62320CC2">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双方在执行合同中所发生的一切争议，应通过协商解决。如协商不成，任何一方可向甲方所在地有管辖权的法院起诉。</w:t>
      </w:r>
    </w:p>
    <w:p w14:paraId="62320CC3">
      <w:pPr>
        <w:pStyle w:val="970"/>
        <w:spacing w:before="0" w:beforeLines="0" w:after="0" w:afterLines="0" w:line="360" w:lineRule="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合同生效及其它</w:t>
      </w:r>
    </w:p>
    <w:p w14:paraId="62320CC4">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1.合同经甲、乙双方法定代表人或授权代表签名并加盖单位公章后成立，乙方交付履约保证金并生效。</w:t>
      </w:r>
    </w:p>
    <w:p w14:paraId="62320CC5">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2.合同执行中涉及采购资金和采购内容修改或补充的，须经采购中心、财政部门审批，并签书面补充协议，经报政府采购监督管理部门备案后，方可作为主合同不可分割的一部分。</w:t>
      </w:r>
    </w:p>
    <w:p w14:paraId="62320CC6">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3.本合同未尽事宜，遵照《中华人民共和国民法典》有关条文执行。</w:t>
      </w:r>
    </w:p>
    <w:p w14:paraId="62320CC7">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4.本合同一式四份，具有同等法律效力，甲、乙双方各执二份。</w:t>
      </w:r>
    </w:p>
    <w:p w14:paraId="62320CC8">
      <w:pPr>
        <w:pStyle w:val="969"/>
        <w:ind w:firstLine="480"/>
        <w:rPr>
          <w:rFonts w:ascii="宋体" w:hAnsi="宋体" w:eastAsia="宋体" w:cs="宋体"/>
          <w:color w:val="auto"/>
          <w:sz w:val="24"/>
          <w:szCs w:val="24"/>
          <w:highlight w:val="none"/>
        </w:rPr>
      </w:pPr>
    </w:p>
    <w:tbl>
      <w:tblPr>
        <w:tblStyle w:val="64"/>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4151"/>
        <w:gridCol w:w="4151"/>
      </w:tblGrid>
      <w:tr w14:paraId="62320C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4151" w:type="dxa"/>
          </w:tcPr>
          <w:p w14:paraId="62320CC9">
            <w:pPr>
              <w:pStyle w:val="34"/>
              <w:snapToGrid w:val="0"/>
              <w:spacing w:line="360" w:lineRule="auto"/>
              <w:rPr>
                <w:rFonts w:hAnsi="宋体" w:cs="宋体"/>
                <w:color w:val="auto"/>
                <w:sz w:val="24"/>
                <w:szCs w:val="24"/>
                <w:highlight w:val="none"/>
              </w:rPr>
            </w:pPr>
            <w:r>
              <w:rPr>
                <w:rFonts w:hint="eastAsia" w:hAnsi="宋体" w:cs="宋体"/>
                <w:color w:val="auto"/>
                <w:sz w:val="24"/>
                <w:szCs w:val="24"/>
                <w:highlight w:val="none"/>
              </w:rPr>
              <w:t>甲方（盖章）：浙江省司法厅</w:t>
            </w:r>
          </w:p>
          <w:p w14:paraId="62320CCA">
            <w:pPr>
              <w:pStyle w:val="34"/>
              <w:snapToGrid w:val="0"/>
              <w:spacing w:line="360" w:lineRule="auto"/>
              <w:rPr>
                <w:rFonts w:hAnsi="宋体" w:cs="宋体"/>
                <w:color w:val="auto"/>
                <w:sz w:val="24"/>
                <w:szCs w:val="24"/>
                <w:highlight w:val="none"/>
              </w:rPr>
            </w:pPr>
            <w:r>
              <w:rPr>
                <w:rFonts w:hint="eastAsia" w:hAnsi="宋体" w:cs="宋体"/>
                <w:color w:val="auto"/>
                <w:sz w:val="24"/>
                <w:szCs w:val="24"/>
                <w:highlight w:val="none"/>
              </w:rPr>
              <w:t>法定（授权）代表人：</w:t>
            </w:r>
          </w:p>
          <w:p w14:paraId="62320CCB">
            <w:pPr>
              <w:pStyle w:val="34"/>
              <w:snapToGrid w:val="0"/>
              <w:spacing w:line="360" w:lineRule="auto"/>
              <w:rPr>
                <w:rFonts w:hAnsi="宋体" w:cs="宋体"/>
                <w:color w:val="auto"/>
                <w:sz w:val="24"/>
                <w:szCs w:val="24"/>
                <w:highlight w:val="none"/>
              </w:rPr>
            </w:pPr>
            <w:r>
              <w:rPr>
                <w:rFonts w:hint="eastAsia" w:hAnsi="宋体" w:cs="宋体"/>
                <w:color w:val="auto"/>
                <w:sz w:val="24"/>
                <w:szCs w:val="24"/>
                <w:highlight w:val="none"/>
              </w:rPr>
              <w:t>地址：省府路11号</w:t>
            </w:r>
          </w:p>
          <w:p w14:paraId="62320CCC">
            <w:pPr>
              <w:spacing w:line="360" w:lineRule="auto"/>
              <w:jc w:val="left"/>
              <w:rPr>
                <w:rFonts w:ascii="宋体" w:hAnsi="宋体" w:cs="宋体"/>
                <w:color w:val="auto"/>
                <w:sz w:val="24"/>
                <w:highlight w:val="none"/>
              </w:rPr>
            </w:pPr>
            <w:r>
              <w:rPr>
                <w:rFonts w:hint="eastAsia" w:ascii="宋体" w:hAnsi="宋体" w:cs="宋体"/>
                <w:color w:val="auto"/>
                <w:sz w:val="24"/>
                <w:highlight w:val="none"/>
              </w:rPr>
              <w:t>开户行：</w:t>
            </w:r>
          </w:p>
          <w:p w14:paraId="62320CCD">
            <w:pPr>
              <w:spacing w:line="360" w:lineRule="auto"/>
              <w:jc w:val="left"/>
              <w:rPr>
                <w:rFonts w:ascii="宋体" w:hAnsi="宋体" w:cs="宋体"/>
                <w:color w:val="auto"/>
                <w:sz w:val="24"/>
                <w:highlight w:val="none"/>
              </w:rPr>
            </w:pPr>
            <w:r>
              <w:rPr>
                <w:rFonts w:hint="eastAsia" w:ascii="宋体" w:hAnsi="宋体" w:cs="宋体"/>
                <w:color w:val="auto"/>
                <w:sz w:val="24"/>
                <w:highlight w:val="none"/>
              </w:rPr>
              <w:t>开户账号：</w:t>
            </w:r>
          </w:p>
          <w:p w14:paraId="62320CCE">
            <w:pPr>
              <w:spacing w:before="120" w:beforeLines="50"/>
              <w:jc w:val="left"/>
              <w:rPr>
                <w:rFonts w:ascii="宋体" w:hAnsi="宋体" w:cs="宋体"/>
                <w:color w:val="auto"/>
                <w:sz w:val="24"/>
                <w:highlight w:val="none"/>
              </w:rPr>
            </w:pPr>
            <w:r>
              <w:rPr>
                <w:rFonts w:hint="eastAsia" w:ascii="宋体" w:hAnsi="宋体" w:cs="宋体"/>
                <w:color w:val="auto"/>
                <w:sz w:val="24"/>
                <w:highlight w:val="none"/>
              </w:rPr>
              <w:t>签字日期：</w:t>
            </w:r>
          </w:p>
        </w:tc>
        <w:tc>
          <w:tcPr>
            <w:tcW w:w="4151" w:type="dxa"/>
          </w:tcPr>
          <w:p w14:paraId="62320CCF">
            <w:pPr>
              <w:pStyle w:val="34"/>
              <w:snapToGrid w:val="0"/>
              <w:spacing w:line="360" w:lineRule="auto"/>
              <w:rPr>
                <w:rFonts w:hAnsi="宋体" w:cs="宋体"/>
                <w:color w:val="auto"/>
                <w:sz w:val="24"/>
                <w:szCs w:val="24"/>
                <w:highlight w:val="none"/>
              </w:rPr>
            </w:pPr>
            <w:r>
              <w:rPr>
                <w:rFonts w:hint="eastAsia" w:hAnsi="宋体" w:cs="宋体"/>
                <w:color w:val="auto"/>
                <w:sz w:val="24"/>
                <w:szCs w:val="24"/>
                <w:highlight w:val="none"/>
              </w:rPr>
              <w:t>乙方（盖章）：</w:t>
            </w:r>
          </w:p>
          <w:p w14:paraId="62320CD0">
            <w:pPr>
              <w:pStyle w:val="34"/>
              <w:snapToGrid w:val="0"/>
              <w:spacing w:line="360" w:lineRule="auto"/>
              <w:rPr>
                <w:rFonts w:hAnsi="宋体" w:cs="宋体"/>
                <w:color w:val="auto"/>
                <w:sz w:val="24"/>
                <w:szCs w:val="24"/>
                <w:highlight w:val="none"/>
              </w:rPr>
            </w:pPr>
            <w:r>
              <w:rPr>
                <w:rFonts w:hint="eastAsia" w:hAnsi="宋体" w:cs="宋体"/>
                <w:color w:val="auto"/>
                <w:sz w:val="24"/>
                <w:szCs w:val="24"/>
                <w:highlight w:val="none"/>
              </w:rPr>
              <w:t>法定（授权）代表人：</w:t>
            </w:r>
          </w:p>
          <w:p w14:paraId="62320CD1">
            <w:pPr>
              <w:pStyle w:val="34"/>
              <w:snapToGrid w:val="0"/>
              <w:spacing w:line="360" w:lineRule="auto"/>
              <w:rPr>
                <w:rFonts w:hAnsi="宋体" w:cs="宋体"/>
                <w:color w:val="auto"/>
                <w:sz w:val="24"/>
                <w:szCs w:val="24"/>
                <w:highlight w:val="none"/>
              </w:rPr>
            </w:pPr>
            <w:r>
              <w:rPr>
                <w:rFonts w:hint="eastAsia" w:hAnsi="宋体" w:cs="宋体"/>
                <w:color w:val="auto"/>
                <w:sz w:val="24"/>
                <w:szCs w:val="24"/>
                <w:highlight w:val="none"/>
              </w:rPr>
              <w:t>地址：</w:t>
            </w:r>
          </w:p>
          <w:p w14:paraId="62320CD2">
            <w:pPr>
              <w:pStyle w:val="34"/>
              <w:snapToGrid w:val="0"/>
              <w:spacing w:line="360" w:lineRule="auto"/>
              <w:rPr>
                <w:rFonts w:hAnsi="宋体" w:cs="宋体"/>
                <w:color w:val="auto"/>
                <w:sz w:val="24"/>
                <w:szCs w:val="24"/>
                <w:highlight w:val="none"/>
              </w:rPr>
            </w:pPr>
            <w:r>
              <w:rPr>
                <w:rFonts w:hint="eastAsia" w:hAnsi="宋体" w:cs="宋体"/>
                <w:color w:val="auto"/>
                <w:sz w:val="24"/>
                <w:szCs w:val="24"/>
                <w:highlight w:val="none"/>
              </w:rPr>
              <w:t>开户行：</w:t>
            </w:r>
          </w:p>
          <w:p w14:paraId="62320CD3">
            <w:pPr>
              <w:pStyle w:val="34"/>
              <w:snapToGrid w:val="0"/>
              <w:spacing w:line="360" w:lineRule="auto"/>
              <w:rPr>
                <w:rFonts w:hAnsi="宋体" w:cs="宋体"/>
                <w:color w:val="auto"/>
                <w:sz w:val="24"/>
                <w:szCs w:val="24"/>
                <w:highlight w:val="none"/>
              </w:rPr>
            </w:pPr>
            <w:r>
              <w:rPr>
                <w:rFonts w:hint="eastAsia" w:hAnsi="宋体" w:cs="宋体"/>
                <w:color w:val="auto"/>
                <w:sz w:val="24"/>
                <w:szCs w:val="24"/>
                <w:highlight w:val="none"/>
              </w:rPr>
              <w:t>开户账号：</w:t>
            </w:r>
          </w:p>
          <w:p w14:paraId="62320CD4">
            <w:pPr>
              <w:pStyle w:val="34"/>
              <w:snapToGrid w:val="0"/>
              <w:spacing w:line="360" w:lineRule="auto"/>
              <w:rPr>
                <w:rFonts w:hAnsi="宋体" w:cs="宋体"/>
                <w:color w:val="auto"/>
                <w:sz w:val="24"/>
                <w:szCs w:val="24"/>
                <w:highlight w:val="none"/>
              </w:rPr>
            </w:pPr>
            <w:r>
              <w:rPr>
                <w:rFonts w:hint="eastAsia" w:hAnsi="宋体" w:cs="宋体"/>
                <w:color w:val="auto"/>
                <w:sz w:val="24"/>
                <w:szCs w:val="24"/>
                <w:highlight w:val="none"/>
              </w:rPr>
              <w:t>签字日期：</w:t>
            </w:r>
          </w:p>
        </w:tc>
      </w:tr>
    </w:tbl>
    <w:p w14:paraId="62320CD6">
      <w:pPr>
        <w:rPr>
          <w:rFonts w:ascii="宋体" w:hAnsi="宋体" w:cs="宋体"/>
          <w:color w:val="auto"/>
          <w:sz w:val="24"/>
          <w:highlight w:val="none"/>
        </w:rPr>
      </w:pPr>
    </w:p>
    <w:p w14:paraId="62320CD7">
      <w:pPr>
        <w:jc w:val="center"/>
        <w:rPr>
          <w:rFonts w:ascii="宋体" w:hAnsi="宋体" w:cs="宋体"/>
          <w:b/>
          <w:bCs/>
          <w:color w:val="auto"/>
          <w:sz w:val="28"/>
          <w:highlight w:val="none"/>
        </w:rPr>
      </w:pPr>
    </w:p>
    <w:p w14:paraId="62320CD8">
      <w:pPr>
        <w:widowControl/>
        <w:adjustRightInd/>
        <w:jc w:val="left"/>
        <w:rPr>
          <w:rFonts w:ascii="宋体" w:hAnsi="宋体" w:cs="宋体"/>
          <w:b/>
          <w:color w:val="auto"/>
          <w:sz w:val="24"/>
          <w:highlight w:val="none"/>
        </w:rPr>
      </w:pPr>
    </w:p>
    <w:p w14:paraId="62320CD9">
      <w:pPr>
        <w:spacing w:line="360" w:lineRule="auto"/>
        <w:ind w:left="-420" w:leftChars="-200" w:right="-420" w:rightChars="-200" w:firstLine="480" w:firstLineChars="200"/>
        <w:jc w:val="center"/>
        <w:outlineLvl w:val="0"/>
        <w:rPr>
          <w:rFonts w:ascii="宋体" w:hAnsi="宋体" w:cs="宋体"/>
          <w:color w:val="auto"/>
          <w:sz w:val="24"/>
          <w:highlight w:val="none"/>
        </w:rPr>
      </w:pPr>
    </w:p>
    <w:p w14:paraId="62320CDA">
      <w:pPr>
        <w:rPr>
          <w:rFonts w:ascii="宋体" w:hAnsi="宋体" w:cs="宋体"/>
          <w:b/>
          <w:color w:val="auto"/>
          <w:sz w:val="36"/>
          <w:szCs w:val="20"/>
          <w:highlight w:val="none"/>
        </w:rPr>
      </w:pPr>
      <w:r>
        <w:rPr>
          <w:rFonts w:hint="eastAsia" w:ascii="宋体" w:hAnsi="宋体" w:cs="宋体"/>
          <w:b/>
          <w:color w:val="auto"/>
          <w:sz w:val="36"/>
          <w:szCs w:val="20"/>
          <w:highlight w:val="none"/>
        </w:rPr>
        <w:br w:type="page"/>
      </w:r>
    </w:p>
    <w:p w14:paraId="62320CDB">
      <w:pPr>
        <w:widowControl/>
        <w:adjustRightInd/>
        <w:jc w:val="center"/>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400"/>
      <w:r>
        <w:rPr>
          <w:rFonts w:hint="eastAsia" w:ascii="宋体" w:hAnsi="宋体" w:cs="宋体"/>
          <w:b/>
          <w:color w:val="auto"/>
          <w:sz w:val="36"/>
          <w:szCs w:val="20"/>
          <w:highlight w:val="none"/>
        </w:rPr>
        <w:t xml:space="preserve"> </w:t>
      </w:r>
      <w:bookmarkEnd w:id="401"/>
      <w:r>
        <w:rPr>
          <w:rFonts w:hint="eastAsia" w:ascii="宋体" w:hAnsi="宋体" w:cs="宋体"/>
          <w:b/>
          <w:color w:val="auto"/>
          <w:sz w:val="36"/>
          <w:szCs w:val="20"/>
          <w:highlight w:val="none"/>
        </w:rPr>
        <w:t>应提交的有关格式范例</w:t>
      </w:r>
    </w:p>
    <w:p w14:paraId="62320CDC">
      <w:pPr>
        <w:spacing w:line="360" w:lineRule="auto"/>
        <w:jc w:val="center"/>
        <w:outlineLvl w:val="0"/>
        <w:rPr>
          <w:rFonts w:ascii="宋体" w:hAnsi="宋体" w:cs="宋体"/>
          <w:b/>
          <w:color w:val="auto"/>
          <w:kern w:val="0"/>
          <w:sz w:val="36"/>
          <w:szCs w:val="36"/>
          <w:highlight w:val="none"/>
        </w:rPr>
      </w:pPr>
    </w:p>
    <w:p w14:paraId="62320CDD">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62320CDE">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62320CDF">
      <w:pPr>
        <w:spacing w:line="360" w:lineRule="auto"/>
        <w:jc w:val="center"/>
        <w:outlineLvl w:val="0"/>
        <w:rPr>
          <w:rFonts w:ascii="宋体" w:hAnsi="宋体" w:cs="宋体"/>
          <w:b/>
          <w:color w:val="auto"/>
          <w:kern w:val="0"/>
          <w:sz w:val="36"/>
          <w:szCs w:val="36"/>
          <w:highlight w:val="none"/>
        </w:rPr>
      </w:pPr>
    </w:p>
    <w:p w14:paraId="62320CE0">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62320CE1">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（2）联合协议………………………………………………………………（页码）</w:t>
      </w:r>
    </w:p>
    <w:p w14:paraId="62320CE2">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（3）落实政府采购政策需满足的资格要求………………………………（页码）</w:t>
      </w:r>
    </w:p>
    <w:p w14:paraId="62320CE3">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（4）本项目的特定资格要求………………………………………………（页码）</w:t>
      </w:r>
    </w:p>
    <w:p w14:paraId="62320CE4">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（5）分包意向协议…………………………………………………………（页码）</w:t>
      </w:r>
    </w:p>
    <w:p w14:paraId="62320CE5">
      <w:pPr>
        <w:snapToGrid w:val="0"/>
        <w:spacing w:line="360" w:lineRule="auto"/>
        <w:ind w:firstLine="480" w:firstLineChars="200"/>
        <w:rPr>
          <w:rFonts w:ascii="宋体" w:hAnsi="宋体" w:cs="宋体"/>
          <w:color w:val="auto"/>
          <w:sz w:val="24"/>
          <w:highlight w:val="none"/>
        </w:rPr>
      </w:pPr>
    </w:p>
    <w:p w14:paraId="62320CE6">
      <w:pPr>
        <w:spacing w:line="360" w:lineRule="auto"/>
        <w:ind w:firstLine="480" w:firstLineChars="200"/>
        <w:rPr>
          <w:rFonts w:ascii="宋体" w:hAnsi="宋体" w:cs="宋体"/>
          <w:color w:val="auto"/>
          <w:sz w:val="24"/>
          <w:highlight w:val="none"/>
        </w:rPr>
      </w:pPr>
    </w:p>
    <w:p w14:paraId="62320CE7">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62320CE8">
      <w:pPr>
        <w:snapToGrid w:val="0"/>
        <w:spacing w:line="360" w:lineRule="auto"/>
        <w:rPr>
          <w:rFonts w:ascii="宋体" w:hAnsi="宋体" w:cs="宋体"/>
          <w:color w:val="auto"/>
          <w:sz w:val="24"/>
          <w:highlight w:val="none"/>
          <w:u w:val="single"/>
        </w:rPr>
      </w:pPr>
    </w:p>
    <w:p w14:paraId="62320CE9">
      <w:pPr>
        <w:snapToGrid w:val="0"/>
        <w:spacing w:line="360" w:lineRule="auto"/>
        <w:rPr>
          <w:rFonts w:ascii="宋体" w:hAnsi="宋体" w:cs="宋体"/>
          <w:color w:val="auto"/>
          <w:sz w:val="24"/>
          <w:highlight w:val="none"/>
          <w:u w:val="single"/>
        </w:rPr>
      </w:pPr>
      <w:r>
        <w:rPr>
          <w:rFonts w:hint="eastAsia" w:ascii="宋体" w:hAnsi="宋体" w:cs="宋体"/>
          <w:color w:val="auto"/>
          <w:sz w:val="24"/>
          <w:highlight w:val="none"/>
          <w:u w:val="single"/>
        </w:rPr>
        <w:t>浙江省司法厅：</w:t>
      </w:r>
    </w:p>
    <w:p w14:paraId="62320CE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w:t>
      </w:r>
      <w:r>
        <w:rPr>
          <w:rFonts w:hint="eastAsia" w:ascii="宋体" w:hAnsi="宋体" w:cs="宋体"/>
          <w:color w:val="auto"/>
          <w:sz w:val="24"/>
          <w:highlight w:val="none"/>
          <w:u w:val="single"/>
          <w:lang w:eastAsia="zh-CN"/>
        </w:rPr>
        <w:t>浙江省县乡合法性审查法律法规库建设项目和县乡合法性审查应用建设项目</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项目编号</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ZJ-2580230-02</w:t>
      </w:r>
      <w:r>
        <w:rPr>
          <w:rFonts w:hint="eastAsia" w:ascii="宋体" w:hAnsi="宋体" w:cs="宋体"/>
          <w:color w:val="auto"/>
          <w:sz w:val="24"/>
          <w:highlight w:val="none"/>
          <w:u w:val="single"/>
        </w:rPr>
        <w:t>】</w:t>
      </w:r>
      <w:r>
        <w:rPr>
          <w:rFonts w:hint="eastAsia" w:ascii="宋体" w:hAnsi="宋体" w:cs="宋体"/>
          <w:color w:val="auto"/>
          <w:sz w:val="24"/>
          <w:highlight w:val="none"/>
        </w:rPr>
        <w:t>政府采购活动，郑重承诺：</w:t>
      </w:r>
    </w:p>
    <w:p w14:paraId="62320CEB">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62320CE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62320CE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62320CE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62320CE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62320CF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62320CF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62320CF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62320CF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62320CF4">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62320CF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62320CF6">
      <w:pPr>
        <w:snapToGrid w:val="0"/>
        <w:spacing w:line="360" w:lineRule="auto"/>
        <w:ind w:firstLine="5520" w:firstLineChars="2300"/>
        <w:rPr>
          <w:rFonts w:ascii="宋体" w:hAnsi="宋体" w:cs="宋体"/>
          <w:color w:val="auto"/>
          <w:kern w:val="0"/>
          <w:sz w:val="24"/>
          <w:highlight w:val="none"/>
          <w:lang w:val="zh-CN"/>
        </w:rPr>
      </w:pPr>
    </w:p>
    <w:p w14:paraId="62320CF7">
      <w:pPr>
        <w:snapToGrid w:val="0"/>
        <w:spacing w:line="360" w:lineRule="auto"/>
        <w:ind w:firstLine="5520" w:firstLineChars="2300"/>
        <w:rPr>
          <w:rFonts w:ascii="宋体" w:hAnsi="宋体" w:cs="宋体"/>
          <w:color w:val="auto"/>
          <w:kern w:val="0"/>
          <w:sz w:val="24"/>
          <w:highlight w:val="none"/>
          <w:lang w:val="zh-CN"/>
        </w:rPr>
      </w:pPr>
    </w:p>
    <w:p w14:paraId="62320CF8">
      <w:pPr>
        <w:snapToGrid w:val="0"/>
        <w:spacing w:line="360" w:lineRule="auto"/>
        <w:ind w:firstLine="5520" w:firstLineChars="2300"/>
        <w:rPr>
          <w:rFonts w:ascii="宋体" w:hAnsi="宋体" w:cs="宋体"/>
          <w:color w:val="auto"/>
          <w:kern w:val="0"/>
          <w:sz w:val="24"/>
          <w:highlight w:val="none"/>
          <w:lang w:val="zh-CN"/>
        </w:rPr>
      </w:pPr>
    </w:p>
    <w:p w14:paraId="62320CF9">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62320CFA">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62320CFB">
      <w:pPr>
        <w:snapToGrid w:val="0"/>
        <w:spacing w:line="360" w:lineRule="auto"/>
        <w:ind w:right="480"/>
        <w:jc w:val="center"/>
        <w:rPr>
          <w:rFonts w:ascii="宋体" w:hAnsi="宋体" w:cs="宋体"/>
          <w:b/>
          <w:color w:val="auto"/>
          <w:kern w:val="0"/>
          <w:sz w:val="32"/>
          <w:szCs w:val="32"/>
          <w:highlight w:val="none"/>
        </w:rPr>
      </w:pPr>
    </w:p>
    <w:p w14:paraId="62320CFC">
      <w:pPr>
        <w:snapToGrid w:val="0"/>
        <w:spacing w:line="360" w:lineRule="auto"/>
        <w:ind w:right="480"/>
        <w:jc w:val="center"/>
        <w:rPr>
          <w:rFonts w:ascii="宋体" w:hAnsi="宋体" w:cs="宋体"/>
          <w:b/>
          <w:color w:val="auto"/>
          <w:kern w:val="0"/>
          <w:sz w:val="32"/>
          <w:szCs w:val="32"/>
          <w:highlight w:val="none"/>
        </w:rPr>
      </w:pPr>
    </w:p>
    <w:p w14:paraId="62320CFD">
      <w:pPr>
        <w:snapToGrid w:val="0"/>
        <w:spacing w:line="360" w:lineRule="auto"/>
        <w:ind w:right="480"/>
        <w:jc w:val="center"/>
        <w:rPr>
          <w:rFonts w:ascii="宋体" w:hAnsi="宋体" w:cs="宋体"/>
          <w:b/>
          <w:color w:val="auto"/>
          <w:kern w:val="0"/>
          <w:sz w:val="32"/>
          <w:szCs w:val="32"/>
          <w:highlight w:val="none"/>
        </w:rPr>
      </w:pPr>
    </w:p>
    <w:p w14:paraId="62320CFE">
      <w:pPr>
        <w:rPr>
          <w:rFonts w:ascii="宋体" w:hAnsi="宋体" w:cs="宋体"/>
          <w:color w:val="auto"/>
          <w:highlight w:val="none"/>
        </w:rPr>
      </w:pPr>
    </w:p>
    <w:p w14:paraId="62320CFF">
      <w:pPr>
        <w:snapToGrid w:val="0"/>
        <w:spacing w:line="360" w:lineRule="auto"/>
        <w:ind w:right="480"/>
        <w:jc w:val="center"/>
        <w:rPr>
          <w:rFonts w:ascii="宋体" w:hAnsi="宋体" w:cs="宋体"/>
          <w:b/>
          <w:color w:val="auto"/>
          <w:kern w:val="0"/>
          <w:sz w:val="32"/>
          <w:szCs w:val="32"/>
          <w:highlight w:val="none"/>
        </w:rPr>
      </w:pPr>
    </w:p>
    <w:p w14:paraId="62320D00">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62320D01">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62320D02">
      <w:pPr>
        <w:snapToGrid w:val="0"/>
        <w:spacing w:line="360" w:lineRule="auto"/>
        <w:ind w:right="480"/>
        <w:jc w:val="center"/>
        <w:rPr>
          <w:rFonts w:ascii="宋体" w:hAnsi="宋体" w:cs="宋体"/>
          <w:b/>
          <w:color w:val="auto"/>
          <w:kern w:val="0"/>
          <w:sz w:val="32"/>
          <w:szCs w:val="32"/>
          <w:highlight w:val="none"/>
        </w:rPr>
      </w:pPr>
    </w:p>
    <w:p w14:paraId="62320D03">
      <w:pPr>
        <w:snapToGrid w:val="0"/>
        <w:spacing w:line="360" w:lineRule="auto"/>
        <w:ind w:right="480"/>
        <w:jc w:val="center"/>
        <w:rPr>
          <w:rFonts w:ascii="宋体" w:hAnsi="宋体" w:cs="宋体"/>
          <w:b/>
          <w:color w:val="auto"/>
          <w:kern w:val="0"/>
          <w:sz w:val="32"/>
          <w:szCs w:val="32"/>
          <w:highlight w:val="none"/>
        </w:rPr>
      </w:pPr>
    </w:p>
    <w:p w14:paraId="62320D04">
      <w:pP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62320D05">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62320D06">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62320D07">
      <w:pP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 xml:space="preserve">.专门面向中小企业，服务全部由符合政策要求的中小企业（或小微企业）承接的，提供相应的中小企业声明函（附件7）。 </w:t>
      </w:r>
    </w:p>
    <w:p w14:paraId="62320D08">
      <w:pPr>
        <w:widowControl/>
        <w:spacing w:line="360" w:lineRule="auto"/>
        <w:ind w:firstLine="480"/>
        <w:jc w:val="left"/>
        <w:rPr>
          <w:rFonts w:ascii="宋体" w:hAnsi="宋体" w:cs="宋体"/>
          <w:color w:val="auto"/>
          <w:sz w:val="24"/>
          <w:highlight w:val="none"/>
        </w:rPr>
      </w:pPr>
    </w:p>
    <w:p w14:paraId="62320D09">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要求以联合体形式参加的，提供联合协议（附件5）和中小企业声明函（附件7），联合协议中中小企业合同金额应当达到招标公告载明的比例；如果供应商本身提供所有标的均由中小企业承接的，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62320D0A">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14:paraId="62320D0B">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要求合同分包的，提供分包意向协议（附件6）和中小企业声明函（附件7），分包意向协议中中小企业合同金额应当达到招标公告载明的比例；如果供应商本身提供所有标的均由中小企业承接的，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62320D0C">
      <w:pPr>
        <w:widowControl/>
        <w:spacing w:line="360" w:lineRule="auto"/>
        <w:ind w:left="150"/>
        <w:jc w:val="center"/>
        <w:rPr>
          <w:rFonts w:ascii="宋体" w:hAnsi="宋体" w:cs="宋体"/>
          <w:b/>
          <w:color w:val="auto"/>
          <w:kern w:val="0"/>
          <w:sz w:val="32"/>
          <w:szCs w:val="32"/>
          <w:highlight w:val="none"/>
        </w:rPr>
      </w:pPr>
    </w:p>
    <w:p w14:paraId="62320D0D">
      <w:pP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62320D0E">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62320D0F">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62320D10">
      <w:pPr>
        <w:rPr>
          <w:rFonts w:ascii="宋体" w:hAnsi="宋体" w:cs="宋体"/>
          <w:color w:val="auto"/>
          <w:highlight w:val="none"/>
        </w:rPr>
      </w:pPr>
    </w:p>
    <w:p w14:paraId="62320D11">
      <w:pPr>
        <w:snapToGrid w:val="0"/>
        <w:spacing w:line="360" w:lineRule="auto"/>
        <w:ind w:right="480"/>
        <w:jc w:val="center"/>
        <w:rPr>
          <w:rFonts w:ascii="宋体" w:hAnsi="宋体" w:cs="宋体"/>
          <w:b/>
          <w:color w:val="auto"/>
          <w:kern w:val="0"/>
          <w:sz w:val="32"/>
          <w:szCs w:val="32"/>
          <w:highlight w:val="none"/>
        </w:rPr>
      </w:pPr>
    </w:p>
    <w:p w14:paraId="62320D12">
      <w:pPr>
        <w:widowControl/>
        <w:adjustRightInd/>
        <w:jc w:val="left"/>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br w:type="page"/>
      </w:r>
    </w:p>
    <w:p w14:paraId="62320D13">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62320D14">
      <w:pPr>
        <w:spacing w:line="360" w:lineRule="auto"/>
        <w:jc w:val="center"/>
        <w:outlineLvl w:val="0"/>
        <w:rPr>
          <w:rFonts w:ascii="宋体" w:hAnsi="宋体" w:cs="宋体"/>
          <w:b/>
          <w:color w:val="auto"/>
          <w:kern w:val="0"/>
          <w:sz w:val="24"/>
          <w:highlight w:val="none"/>
        </w:rPr>
      </w:pPr>
    </w:p>
    <w:p w14:paraId="62320D15">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62320D16">
      <w:pPr>
        <w:snapToGrid w:val="0"/>
        <w:spacing w:line="360" w:lineRule="auto"/>
        <w:ind w:left="479" w:leftChars="228"/>
        <w:rPr>
          <w:rFonts w:ascii="宋体" w:hAnsi="宋体" w:cs="宋体"/>
          <w:color w:val="auto"/>
          <w:sz w:val="24"/>
          <w:szCs w:val="24"/>
          <w:highlight w:val="none"/>
        </w:rPr>
      </w:pPr>
      <w:r>
        <w:rPr>
          <w:rFonts w:hint="eastAsia" w:ascii="宋体" w:hAnsi="宋体" w:cs="宋体"/>
          <w:color w:val="auto"/>
          <w:sz w:val="24"/>
          <w:szCs w:val="24"/>
          <w:highlight w:val="none"/>
        </w:rPr>
        <w:t>（1）投标函………………………………………………………………………（页码）（2）授权委托书或法定代表人（单位负责人、自然人本人）身份证明……（页码）</w:t>
      </w:r>
    </w:p>
    <w:p w14:paraId="62320D18">
      <w:pPr>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（3）符合性审查资料……………………………………………………………（页码）</w:t>
      </w:r>
    </w:p>
    <w:p w14:paraId="62320D19">
      <w:pPr>
        <w:snapToGrid w:val="0"/>
        <w:spacing w:line="360" w:lineRule="auto"/>
        <w:ind w:left="479" w:leftChars="228"/>
        <w:rPr>
          <w:rFonts w:ascii="宋体" w:hAnsi="宋体" w:cs="宋体"/>
          <w:color w:val="auto"/>
          <w:sz w:val="24"/>
          <w:szCs w:val="24"/>
          <w:highlight w:val="none"/>
        </w:rPr>
      </w:pPr>
      <w:r>
        <w:rPr>
          <w:rFonts w:hint="eastAsia" w:ascii="宋体" w:hAnsi="宋体" w:cs="宋体"/>
          <w:color w:val="auto"/>
          <w:sz w:val="24"/>
          <w:szCs w:val="24"/>
          <w:highlight w:val="none"/>
        </w:rPr>
        <w:t>（4）评标标准相应的商务技术资料……………………………………………（页码）（5）投标标的清单………………………………………………………………（页码）（6）商务技术偏离表……………………………………………………………（页码）</w:t>
      </w:r>
    </w:p>
    <w:p w14:paraId="62320D1A">
      <w:pPr>
        <w:snapToGrid w:val="0"/>
        <w:spacing w:line="360" w:lineRule="auto"/>
        <w:ind w:left="479" w:leftChars="228"/>
        <w:rPr>
          <w:rFonts w:ascii="宋体" w:hAnsi="宋体" w:cs="宋体"/>
          <w:color w:val="auto"/>
          <w:sz w:val="24"/>
          <w:szCs w:val="24"/>
          <w:highlight w:val="none"/>
        </w:rPr>
      </w:pPr>
      <w:r>
        <w:rPr>
          <w:rFonts w:hint="eastAsia" w:ascii="宋体" w:hAnsi="宋体" w:cs="宋体"/>
          <w:color w:val="auto"/>
          <w:sz w:val="24"/>
          <w:szCs w:val="24"/>
          <w:highlight w:val="none"/>
          <w:lang w:val="zh-CN"/>
        </w:rPr>
        <w:t>（</w:t>
      </w:r>
      <w:r>
        <w:rPr>
          <w:rFonts w:hint="eastAsia" w:ascii="宋体" w:hAnsi="宋体" w:cs="宋体"/>
          <w:color w:val="auto"/>
          <w:sz w:val="24"/>
          <w:szCs w:val="24"/>
          <w:highlight w:val="none"/>
        </w:rPr>
        <w:t>7</w:t>
      </w:r>
      <w:r>
        <w:rPr>
          <w:rFonts w:hint="eastAsia" w:ascii="宋体" w:hAnsi="宋体" w:cs="宋体"/>
          <w:color w:val="auto"/>
          <w:sz w:val="24"/>
          <w:szCs w:val="24"/>
          <w:highlight w:val="none"/>
          <w:lang w:val="zh-CN"/>
        </w:rPr>
        <w:t>）政府采购供应商廉洁自律承诺书</w:t>
      </w:r>
      <w:r>
        <w:rPr>
          <w:rFonts w:hint="eastAsia" w:ascii="宋体" w:hAnsi="宋体" w:cs="宋体"/>
          <w:color w:val="auto"/>
          <w:sz w:val="24"/>
          <w:szCs w:val="24"/>
          <w:highlight w:val="none"/>
        </w:rPr>
        <w:t>…………………………………………（页码）</w:t>
      </w:r>
    </w:p>
    <w:p w14:paraId="62320D1B">
      <w:pPr>
        <w:snapToGrid w:val="0"/>
        <w:spacing w:line="360" w:lineRule="auto"/>
        <w:jc w:val="center"/>
        <w:rPr>
          <w:rFonts w:ascii="宋体" w:hAnsi="宋体" w:cs="宋体"/>
          <w:b/>
          <w:color w:val="auto"/>
          <w:kern w:val="0"/>
          <w:sz w:val="32"/>
          <w:szCs w:val="32"/>
          <w:highlight w:val="none"/>
          <w:lang w:val="zh-CN"/>
        </w:rPr>
      </w:pPr>
    </w:p>
    <w:p w14:paraId="62320D1C">
      <w:pPr>
        <w:snapToGrid w:val="0"/>
        <w:spacing w:line="360" w:lineRule="auto"/>
        <w:jc w:val="center"/>
        <w:rPr>
          <w:rFonts w:ascii="宋体" w:hAnsi="宋体" w:cs="宋体"/>
          <w:b/>
          <w:color w:val="auto"/>
          <w:kern w:val="0"/>
          <w:sz w:val="32"/>
          <w:szCs w:val="32"/>
          <w:highlight w:val="none"/>
          <w:lang w:val="zh-CN"/>
        </w:rPr>
      </w:pPr>
    </w:p>
    <w:p w14:paraId="62320D1D">
      <w:pPr>
        <w:snapToGrid w:val="0"/>
        <w:spacing w:line="360" w:lineRule="auto"/>
        <w:jc w:val="center"/>
        <w:rPr>
          <w:rFonts w:ascii="宋体" w:hAnsi="宋体" w:cs="宋体"/>
          <w:b/>
          <w:color w:val="auto"/>
          <w:kern w:val="0"/>
          <w:sz w:val="32"/>
          <w:szCs w:val="32"/>
          <w:highlight w:val="none"/>
          <w:lang w:val="zh-CN"/>
        </w:rPr>
      </w:pPr>
    </w:p>
    <w:p w14:paraId="62320D1E">
      <w:pPr>
        <w:snapToGrid w:val="0"/>
        <w:spacing w:line="360" w:lineRule="auto"/>
        <w:jc w:val="center"/>
        <w:rPr>
          <w:rFonts w:ascii="宋体" w:hAnsi="宋体" w:cs="宋体"/>
          <w:b/>
          <w:color w:val="auto"/>
          <w:kern w:val="0"/>
          <w:sz w:val="32"/>
          <w:szCs w:val="32"/>
          <w:highlight w:val="none"/>
          <w:lang w:val="zh-CN"/>
        </w:rPr>
      </w:pPr>
    </w:p>
    <w:p w14:paraId="62320D1F">
      <w:pPr>
        <w:snapToGrid w:val="0"/>
        <w:spacing w:line="360" w:lineRule="auto"/>
        <w:jc w:val="center"/>
        <w:rPr>
          <w:rFonts w:ascii="宋体" w:hAnsi="宋体" w:cs="宋体"/>
          <w:b/>
          <w:color w:val="auto"/>
          <w:kern w:val="0"/>
          <w:sz w:val="32"/>
          <w:szCs w:val="32"/>
          <w:highlight w:val="none"/>
          <w:lang w:val="zh-CN"/>
        </w:rPr>
      </w:pPr>
    </w:p>
    <w:p w14:paraId="62320D20">
      <w:pPr>
        <w:snapToGrid w:val="0"/>
        <w:spacing w:line="360" w:lineRule="auto"/>
        <w:jc w:val="center"/>
        <w:rPr>
          <w:rFonts w:ascii="宋体" w:hAnsi="宋体" w:cs="宋体"/>
          <w:b/>
          <w:color w:val="auto"/>
          <w:kern w:val="0"/>
          <w:sz w:val="32"/>
          <w:szCs w:val="32"/>
          <w:highlight w:val="none"/>
          <w:lang w:val="zh-CN"/>
        </w:rPr>
      </w:pPr>
    </w:p>
    <w:p w14:paraId="62320D21">
      <w:pPr>
        <w:snapToGrid w:val="0"/>
        <w:spacing w:line="360" w:lineRule="auto"/>
        <w:jc w:val="center"/>
        <w:rPr>
          <w:rFonts w:ascii="宋体" w:hAnsi="宋体" w:cs="宋体"/>
          <w:b/>
          <w:color w:val="auto"/>
          <w:kern w:val="0"/>
          <w:sz w:val="32"/>
          <w:szCs w:val="32"/>
          <w:highlight w:val="none"/>
          <w:lang w:val="zh-CN"/>
        </w:rPr>
      </w:pPr>
    </w:p>
    <w:p w14:paraId="62320D22">
      <w:pPr>
        <w:snapToGrid w:val="0"/>
        <w:spacing w:line="360" w:lineRule="auto"/>
        <w:jc w:val="center"/>
        <w:rPr>
          <w:rFonts w:ascii="宋体" w:hAnsi="宋体" w:cs="宋体"/>
          <w:b/>
          <w:color w:val="auto"/>
          <w:kern w:val="0"/>
          <w:sz w:val="32"/>
          <w:szCs w:val="32"/>
          <w:highlight w:val="none"/>
          <w:lang w:val="zh-CN"/>
        </w:rPr>
      </w:pPr>
    </w:p>
    <w:p w14:paraId="62320D23">
      <w:pPr>
        <w:snapToGrid w:val="0"/>
        <w:spacing w:line="360" w:lineRule="auto"/>
        <w:jc w:val="center"/>
        <w:rPr>
          <w:rFonts w:ascii="宋体" w:hAnsi="宋体" w:cs="宋体"/>
          <w:b/>
          <w:color w:val="auto"/>
          <w:kern w:val="0"/>
          <w:sz w:val="32"/>
          <w:szCs w:val="32"/>
          <w:highlight w:val="none"/>
          <w:lang w:val="zh-CN"/>
        </w:rPr>
      </w:pPr>
    </w:p>
    <w:p w14:paraId="62320D24">
      <w:pPr>
        <w:snapToGrid w:val="0"/>
        <w:spacing w:line="360" w:lineRule="auto"/>
        <w:jc w:val="center"/>
        <w:rPr>
          <w:rFonts w:ascii="宋体" w:hAnsi="宋体" w:cs="宋体"/>
          <w:b/>
          <w:color w:val="auto"/>
          <w:kern w:val="0"/>
          <w:sz w:val="32"/>
          <w:szCs w:val="32"/>
          <w:highlight w:val="none"/>
          <w:lang w:val="zh-CN"/>
        </w:rPr>
      </w:pPr>
    </w:p>
    <w:p w14:paraId="62320D25">
      <w:pPr>
        <w:snapToGrid w:val="0"/>
        <w:spacing w:line="360" w:lineRule="auto"/>
        <w:jc w:val="center"/>
        <w:rPr>
          <w:rFonts w:ascii="宋体" w:hAnsi="宋体" w:cs="宋体"/>
          <w:b/>
          <w:color w:val="auto"/>
          <w:kern w:val="0"/>
          <w:sz w:val="32"/>
          <w:szCs w:val="32"/>
          <w:highlight w:val="none"/>
          <w:lang w:val="zh-CN"/>
        </w:rPr>
      </w:pPr>
    </w:p>
    <w:p w14:paraId="62320D26">
      <w:pPr>
        <w:snapToGrid w:val="0"/>
        <w:spacing w:line="360" w:lineRule="auto"/>
        <w:jc w:val="center"/>
        <w:rPr>
          <w:rFonts w:ascii="宋体" w:hAnsi="宋体" w:cs="宋体"/>
          <w:b/>
          <w:color w:val="auto"/>
          <w:kern w:val="0"/>
          <w:sz w:val="32"/>
          <w:szCs w:val="32"/>
          <w:highlight w:val="none"/>
          <w:lang w:val="zh-CN"/>
        </w:rPr>
      </w:pPr>
    </w:p>
    <w:p w14:paraId="62320D27">
      <w:pPr>
        <w:rPr>
          <w:rFonts w:ascii="宋体" w:hAnsi="宋体" w:cs="宋体"/>
          <w:b/>
          <w:color w:val="auto"/>
          <w:kern w:val="0"/>
          <w:sz w:val="32"/>
          <w:szCs w:val="32"/>
          <w:highlight w:val="none"/>
          <w:lang w:val="zh-CN"/>
        </w:rPr>
      </w:pPr>
    </w:p>
    <w:p w14:paraId="62320D28">
      <w:pPr>
        <w:widowControl/>
        <w:adjustRightInd/>
        <w:jc w:val="left"/>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62320D29">
      <w:pPr>
        <w:snapToGrid w:val="0"/>
        <w:spacing w:line="360" w:lineRule="auto"/>
        <w:jc w:val="center"/>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62320D2A">
      <w:pPr>
        <w:snapToGrid w:val="0"/>
        <w:spacing w:line="360" w:lineRule="auto"/>
        <w:rPr>
          <w:rFonts w:ascii="宋体" w:hAnsi="宋体" w:cs="宋体"/>
          <w:b/>
          <w:bCs/>
          <w:color w:val="auto"/>
          <w:sz w:val="24"/>
          <w:highlight w:val="none"/>
          <w:u w:val="single"/>
        </w:rPr>
      </w:pPr>
      <w:r>
        <w:rPr>
          <w:rFonts w:hint="eastAsia" w:ascii="宋体" w:hAnsi="宋体" w:cs="宋体"/>
          <w:b/>
          <w:bCs/>
          <w:color w:val="auto"/>
          <w:sz w:val="24"/>
          <w:highlight w:val="none"/>
          <w:u w:val="single"/>
        </w:rPr>
        <w:t>浙江省司法厅：</w:t>
      </w:r>
    </w:p>
    <w:p w14:paraId="62320D2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w:t>
      </w:r>
      <w:r>
        <w:rPr>
          <w:rFonts w:hint="eastAsia" w:ascii="宋体" w:hAnsi="宋体" w:cs="宋体"/>
          <w:color w:val="auto"/>
          <w:sz w:val="24"/>
          <w:highlight w:val="none"/>
          <w:u w:val="single"/>
          <w:lang w:eastAsia="zh-CN"/>
        </w:rPr>
        <w:t>浙江省县乡合法性审查法律法规库建设项目和县乡合法性审查应用建设项目</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项目编号</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ZJ-2580230-02</w:t>
      </w:r>
      <w:r>
        <w:rPr>
          <w:rFonts w:hint="eastAsia" w:ascii="宋体" w:hAnsi="宋体" w:cs="宋体"/>
          <w:color w:val="auto"/>
          <w:sz w:val="24"/>
          <w:highlight w:val="none"/>
          <w:u w:val="single"/>
        </w:rPr>
        <w:t>】</w:t>
      </w:r>
      <w:r>
        <w:rPr>
          <w:rFonts w:hint="eastAsia" w:ascii="宋体" w:hAnsi="宋体" w:cs="宋体"/>
          <w:color w:val="auto"/>
          <w:sz w:val="24"/>
          <w:highlight w:val="none"/>
        </w:rPr>
        <w:t>招标的有关活动，并对此项目进行投标。为此：</w:t>
      </w:r>
    </w:p>
    <w:p w14:paraId="62320D2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62320D2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62320D2E">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62320D2F">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62320D3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w:t>
      </w:r>
      <w:bookmarkStart w:id="404" w:name="_Hlk101257010"/>
      <w:r>
        <w:rPr>
          <w:rFonts w:hint="eastAsia" w:ascii="宋体" w:hAnsi="宋体" w:cs="宋体"/>
          <w:color w:val="auto"/>
          <w:sz w:val="24"/>
          <w:highlight w:val="none"/>
        </w:rPr>
        <w:t>（如果有）</w:t>
      </w:r>
      <w:bookmarkEnd w:id="404"/>
      <w:r>
        <w:rPr>
          <w:rFonts w:hint="eastAsia" w:ascii="宋体" w:hAnsi="宋体" w:cs="宋体"/>
          <w:snapToGrid w:val="0"/>
          <w:color w:val="auto"/>
          <w:kern w:val="28"/>
          <w:sz w:val="24"/>
          <w:szCs w:val="20"/>
          <w:highlight w:val="none"/>
        </w:rPr>
        <w:t>；</w:t>
      </w:r>
    </w:p>
    <w:p w14:paraId="62320D31">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2.1.3落实政府采购政策需满足的资格要求：</w:t>
      </w:r>
      <w:r>
        <w:rPr>
          <w:rFonts w:hint="eastAsia" w:ascii="宋体" w:hAnsi="宋体" w:cs="宋体"/>
          <w:color w:val="auto"/>
          <w:sz w:val="24"/>
          <w:highlight w:val="none"/>
          <w:lang w:val="en-US" w:eastAsia="zh-CN"/>
        </w:rPr>
        <w:t>无</w:t>
      </w:r>
      <w:r>
        <w:rPr>
          <w:rFonts w:hint="eastAsia" w:ascii="宋体" w:hAnsi="宋体" w:cs="宋体"/>
          <w:color w:val="auto"/>
          <w:sz w:val="24"/>
          <w:highlight w:val="none"/>
        </w:rPr>
        <w:t>；</w:t>
      </w:r>
    </w:p>
    <w:p w14:paraId="62320D32">
      <w:pPr>
        <w:snapToGrid w:val="0"/>
        <w:spacing w:line="360" w:lineRule="auto"/>
        <w:ind w:left="420" w:leftChars="200"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rPr>
        <w:t>2.1.4本项目的特定资格要求：无</w:t>
      </w:r>
      <w:r>
        <w:rPr>
          <w:rFonts w:hint="eastAsia" w:ascii="宋体" w:hAnsi="宋体" w:cs="宋体"/>
          <w:color w:val="auto"/>
          <w:sz w:val="24"/>
          <w:highlight w:val="none"/>
          <w:lang w:eastAsia="zh-CN"/>
        </w:rPr>
        <w:t>。</w:t>
      </w:r>
    </w:p>
    <w:p w14:paraId="62320D34">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62320D35">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04BAEBD8">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7B29C992">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2.2.3</w:t>
      </w:r>
      <w:r>
        <w:rPr>
          <w:rFonts w:hint="eastAsia" w:ascii="宋体" w:hAnsi="宋体" w:cs="宋体"/>
          <w:color w:val="auto"/>
          <w:sz w:val="24"/>
          <w:highlight w:val="none"/>
        </w:rPr>
        <w:t>分包意向协议（如果有）</w:t>
      </w:r>
    </w:p>
    <w:p w14:paraId="62320D38">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符合性审查资料；</w:t>
      </w:r>
    </w:p>
    <w:p w14:paraId="62320D39">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评标标准相应的商务技术资料；</w:t>
      </w:r>
    </w:p>
    <w:p w14:paraId="62320D3A">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投标标的清单；</w:t>
      </w:r>
    </w:p>
    <w:p w14:paraId="62320D3B">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商务技术偏离表；</w:t>
      </w:r>
    </w:p>
    <w:p w14:paraId="62320D3C">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lang w:val="en-US" w:eastAsia="zh-CN"/>
        </w:rPr>
        <w:t>8</w:t>
      </w:r>
      <w:r>
        <w:rPr>
          <w:rFonts w:hint="eastAsia" w:ascii="宋体" w:hAnsi="宋体" w:cs="宋体"/>
          <w:color w:val="auto"/>
          <w:sz w:val="24"/>
          <w:highlight w:val="none"/>
          <w:lang w:val="zh-CN"/>
        </w:rPr>
        <w:t>政府采购供应商廉洁自律承诺书。</w:t>
      </w:r>
    </w:p>
    <w:p w14:paraId="62320D3D">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62320D3E">
      <w:pPr>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2.3.1开标一览表（报价表）；</w:t>
      </w:r>
    </w:p>
    <w:p w14:paraId="62320D3F">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2.3.2 中小企业声明函（服务）</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如果有）</w:t>
      </w:r>
      <w:r>
        <w:rPr>
          <w:rFonts w:hint="eastAsia" w:ascii="宋体" w:hAnsi="宋体" w:cs="宋体"/>
          <w:color w:val="auto"/>
          <w:sz w:val="24"/>
          <w:highlight w:val="none"/>
        </w:rPr>
        <w:t>。</w:t>
      </w:r>
    </w:p>
    <w:p w14:paraId="62320D41">
      <w:pPr>
        <w:pStyle w:val="91"/>
        <w:spacing w:line="360" w:lineRule="auto"/>
        <w:ind w:firstLine="480"/>
        <w:rPr>
          <w:rFonts w:ascii="宋体" w:hAnsi="宋体" w:eastAsia="宋体" w:cs="宋体"/>
          <w:color w:val="auto"/>
          <w:sz w:val="24"/>
          <w:highlight w:val="none"/>
        </w:rPr>
      </w:pPr>
      <w:r>
        <w:rPr>
          <w:rFonts w:hint="eastAsia" w:ascii="宋体" w:hAnsi="宋体" w:eastAsia="宋体" w:cs="宋体"/>
          <w:color w:val="auto"/>
          <w:sz w:val="24"/>
          <w:highlight w:val="none"/>
        </w:rPr>
        <w:t>3.</w:t>
      </w:r>
      <w:r>
        <w:rPr>
          <w:rFonts w:hint="eastAsia" w:ascii="宋体" w:hAnsi="宋体" w:eastAsia="宋体" w:cs="宋体"/>
          <w:color w:val="auto"/>
          <w:sz w:val="24"/>
          <w:highlight w:val="none"/>
          <w:lang w:eastAsia="zh-CN"/>
        </w:rPr>
        <w:t>我方承诺除商务技术偏离表列出的偏离外，我方响应招标文件的全部要求。对投标文件中材料的真实性、合法性负责，积极配合采购人、采购代理机构复核投标文件中的资料。</w:t>
      </w:r>
    </w:p>
    <w:p w14:paraId="62320D4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62320D43">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62320D44">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62320D45">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62320D46">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62320D47">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5.我方承诺将通过政采云平台开展质疑、投诉等活动，并确认接受平台以电子送达的方式送达相关文书。我方认可电子送达与邮寄送达具有同等法律效力，以文书到达政采云平台日期为送达日期，本公司保证政采云平台账号真实有效。</w:t>
      </w:r>
    </w:p>
    <w:p w14:paraId="62320D48">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6.其他补充说明：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62320D49">
      <w:pPr>
        <w:spacing w:line="360" w:lineRule="auto"/>
        <w:ind w:firstLine="3600" w:firstLineChars="1500"/>
        <w:rPr>
          <w:rFonts w:ascii="宋体" w:hAnsi="宋体" w:cs="宋体"/>
          <w:color w:val="auto"/>
          <w:sz w:val="24"/>
          <w:highlight w:val="none"/>
        </w:rPr>
      </w:pPr>
    </w:p>
    <w:p w14:paraId="62320D4A">
      <w:pPr>
        <w:spacing w:line="360" w:lineRule="auto"/>
        <w:ind w:firstLine="3600" w:firstLineChars="1500"/>
        <w:rPr>
          <w:rFonts w:ascii="宋体" w:hAnsi="宋体" w:cs="宋体"/>
          <w:color w:val="auto"/>
          <w:sz w:val="24"/>
          <w:highlight w:val="none"/>
        </w:rPr>
      </w:pPr>
    </w:p>
    <w:p w14:paraId="62320D4B">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62320D4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62320D4D">
      <w:pPr>
        <w:snapToGrid w:val="0"/>
        <w:spacing w:line="360" w:lineRule="auto"/>
        <w:ind w:left="420" w:leftChars="200" w:firstLine="4200" w:firstLineChars="1750"/>
        <w:rPr>
          <w:rFonts w:ascii="宋体" w:hAnsi="宋体" w:cs="宋体"/>
          <w:color w:val="auto"/>
          <w:kern w:val="0"/>
          <w:sz w:val="24"/>
          <w:highlight w:val="none"/>
          <w:u w:val="single"/>
        </w:rPr>
      </w:pPr>
    </w:p>
    <w:p w14:paraId="62320D4E">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62320D4F">
      <w:pPr>
        <w:snapToGrid w:val="0"/>
        <w:spacing w:line="360" w:lineRule="auto"/>
        <w:jc w:val="center"/>
        <w:rPr>
          <w:rFonts w:ascii="宋体" w:hAnsi="宋体" w:cs="宋体"/>
          <w:b/>
          <w:color w:val="auto"/>
          <w:kern w:val="0"/>
          <w:sz w:val="32"/>
          <w:szCs w:val="32"/>
          <w:highlight w:val="none"/>
        </w:rPr>
      </w:pPr>
    </w:p>
    <w:p w14:paraId="62320D50">
      <w:pPr>
        <w:snapToGrid w:val="0"/>
        <w:spacing w:line="360" w:lineRule="auto"/>
        <w:rPr>
          <w:rFonts w:ascii="宋体" w:hAnsi="宋体" w:cs="宋体"/>
          <w:color w:val="auto"/>
          <w:sz w:val="24"/>
          <w:highlight w:val="none"/>
        </w:rPr>
      </w:pPr>
    </w:p>
    <w:p w14:paraId="62320D51">
      <w:pPr>
        <w:jc w:val="center"/>
        <w:rPr>
          <w:rFonts w:ascii="宋体" w:hAnsi="宋体" w:cs="宋体"/>
          <w:b/>
          <w:color w:val="auto"/>
          <w:kern w:val="0"/>
          <w:sz w:val="32"/>
          <w:szCs w:val="32"/>
          <w:highlight w:val="none"/>
        </w:rPr>
      </w:pPr>
    </w:p>
    <w:p w14:paraId="62320D52">
      <w:pPr>
        <w:jc w:val="center"/>
        <w:rPr>
          <w:rFonts w:ascii="宋体" w:hAnsi="宋体" w:cs="宋体"/>
          <w:b/>
          <w:color w:val="auto"/>
          <w:kern w:val="0"/>
          <w:sz w:val="32"/>
          <w:szCs w:val="32"/>
          <w:highlight w:val="none"/>
        </w:rPr>
      </w:pPr>
    </w:p>
    <w:p w14:paraId="62320D53">
      <w:pPr>
        <w:jc w:val="center"/>
        <w:rPr>
          <w:rFonts w:ascii="宋体" w:hAnsi="宋体" w:cs="宋体"/>
          <w:b/>
          <w:color w:val="auto"/>
          <w:kern w:val="0"/>
          <w:sz w:val="32"/>
          <w:szCs w:val="32"/>
          <w:highlight w:val="none"/>
        </w:rPr>
      </w:pPr>
    </w:p>
    <w:p w14:paraId="62320D54">
      <w:pPr>
        <w:jc w:val="center"/>
        <w:rPr>
          <w:rFonts w:ascii="宋体" w:hAnsi="宋体" w:cs="宋体"/>
          <w:b/>
          <w:color w:val="auto"/>
          <w:kern w:val="0"/>
          <w:sz w:val="32"/>
          <w:szCs w:val="32"/>
          <w:highlight w:val="none"/>
        </w:rPr>
      </w:pPr>
    </w:p>
    <w:p w14:paraId="62320D55">
      <w:pPr>
        <w:jc w:val="center"/>
        <w:rPr>
          <w:rFonts w:ascii="宋体" w:hAnsi="宋体" w:cs="宋体"/>
          <w:b/>
          <w:color w:val="auto"/>
          <w:kern w:val="0"/>
          <w:sz w:val="32"/>
          <w:szCs w:val="32"/>
          <w:highlight w:val="none"/>
        </w:rPr>
      </w:pPr>
    </w:p>
    <w:p w14:paraId="62320D56">
      <w:pPr>
        <w:jc w:val="center"/>
        <w:rPr>
          <w:rFonts w:ascii="宋体" w:hAnsi="宋体" w:cs="宋体"/>
          <w:b/>
          <w:color w:val="auto"/>
          <w:kern w:val="0"/>
          <w:sz w:val="32"/>
          <w:szCs w:val="32"/>
          <w:highlight w:val="none"/>
        </w:rPr>
      </w:pPr>
    </w:p>
    <w:p w14:paraId="62320D57">
      <w:pPr>
        <w:jc w:val="center"/>
        <w:rPr>
          <w:rFonts w:ascii="宋体" w:hAnsi="宋体" w:cs="宋体"/>
          <w:b/>
          <w:color w:val="auto"/>
          <w:kern w:val="0"/>
          <w:sz w:val="32"/>
          <w:szCs w:val="32"/>
          <w:highlight w:val="none"/>
        </w:rPr>
      </w:pPr>
    </w:p>
    <w:p w14:paraId="62320D58">
      <w:pPr>
        <w:jc w:val="center"/>
        <w:rPr>
          <w:rFonts w:ascii="宋体" w:hAnsi="宋体" w:cs="宋体"/>
          <w:b/>
          <w:color w:val="auto"/>
          <w:kern w:val="0"/>
          <w:sz w:val="32"/>
          <w:szCs w:val="32"/>
          <w:highlight w:val="none"/>
        </w:rPr>
      </w:pPr>
    </w:p>
    <w:p w14:paraId="62320D59">
      <w:pPr>
        <w:jc w:val="center"/>
        <w:rPr>
          <w:rFonts w:ascii="宋体" w:hAnsi="宋体" w:cs="宋体"/>
          <w:b/>
          <w:color w:val="auto"/>
          <w:kern w:val="0"/>
          <w:sz w:val="32"/>
          <w:szCs w:val="32"/>
          <w:highlight w:val="none"/>
        </w:rPr>
      </w:pPr>
    </w:p>
    <w:p w14:paraId="62320D5A">
      <w:pPr>
        <w:jc w:val="center"/>
        <w:rPr>
          <w:rFonts w:ascii="宋体" w:hAnsi="宋体" w:cs="宋体"/>
          <w:b/>
          <w:color w:val="auto"/>
          <w:kern w:val="0"/>
          <w:sz w:val="32"/>
          <w:szCs w:val="32"/>
          <w:highlight w:val="none"/>
        </w:rPr>
      </w:pPr>
    </w:p>
    <w:p w14:paraId="62320D5B">
      <w:pPr>
        <w:jc w:val="center"/>
        <w:rPr>
          <w:rFonts w:ascii="宋体" w:hAnsi="宋体" w:cs="宋体"/>
          <w:b/>
          <w:color w:val="auto"/>
          <w:kern w:val="0"/>
          <w:sz w:val="32"/>
          <w:szCs w:val="32"/>
          <w:highlight w:val="none"/>
        </w:rPr>
      </w:pPr>
    </w:p>
    <w:p w14:paraId="62320D5C">
      <w:pPr>
        <w:jc w:val="center"/>
        <w:rPr>
          <w:rFonts w:ascii="宋体" w:hAnsi="宋体" w:cs="宋体"/>
          <w:b/>
          <w:color w:val="auto"/>
          <w:kern w:val="0"/>
          <w:sz w:val="32"/>
          <w:szCs w:val="32"/>
          <w:highlight w:val="none"/>
        </w:rPr>
      </w:pPr>
    </w:p>
    <w:p w14:paraId="62320D5D">
      <w:pPr>
        <w:jc w:val="center"/>
        <w:rPr>
          <w:rFonts w:ascii="宋体" w:hAnsi="宋体" w:cs="宋体"/>
          <w:b/>
          <w:color w:val="auto"/>
          <w:kern w:val="0"/>
          <w:sz w:val="32"/>
          <w:szCs w:val="32"/>
          <w:highlight w:val="none"/>
        </w:rPr>
      </w:pPr>
    </w:p>
    <w:p w14:paraId="62320D5E">
      <w:pPr>
        <w:jc w:val="center"/>
        <w:rPr>
          <w:rFonts w:ascii="宋体" w:hAnsi="宋体" w:cs="宋体"/>
          <w:b/>
          <w:color w:val="auto"/>
          <w:kern w:val="0"/>
          <w:sz w:val="32"/>
          <w:szCs w:val="32"/>
          <w:highlight w:val="none"/>
        </w:rPr>
      </w:pPr>
    </w:p>
    <w:p w14:paraId="62320D5F">
      <w:pPr>
        <w:jc w:val="center"/>
        <w:rPr>
          <w:rFonts w:ascii="宋体" w:hAnsi="宋体" w:cs="宋体"/>
          <w:b/>
          <w:color w:val="auto"/>
          <w:kern w:val="0"/>
          <w:sz w:val="32"/>
          <w:szCs w:val="32"/>
          <w:highlight w:val="none"/>
        </w:rPr>
      </w:pPr>
    </w:p>
    <w:p w14:paraId="62320D60">
      <w:pPr>
        <w:jc w:val="center"/>
        <w:rPr>
          <w:rFonts w:ascii="宋体" w:hAnsi="宋体" w:cs="宋体"/>
          <w:b/>
          <w:color w:val="auto"/>
          <w:kern w:val="0"/>
          <w:sz w:val="32"/>
          <w:szCs w:val="32"/>
          <w:highlight w:val="none"/>
        </w:rPr>
      </w:pPr>
    </w:p>
    <w:p w14:paraId="62320D61">
      <w:pPr>
        <w:jc w:val="center"/>
        <w:rPr>
          <w:rFonts w:ascii="宋体" w:hAnsi="宋体" w:cs="宋体"/>
          <w:b/>
          <w:color w:val="auto"/>
          <w:kern w:val="0"/>
          <w:sz w:val="32"/>
          <w:szCs w:val="32"/>
          <w:highlight w:val="none"/>
        </w:rPr>
      </w:pPr>
    </w:p>
    <w:p w14:paraId="62320D62">
      <w:pP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62320D63">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62320D64">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62320D65">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62320D66">
      <w:pPr>
        <w:snapToGrid w:val="0"/>
        <w:spacing w:line="360" w:lineRule="auto"/>
        <w:rPr>
          <w:rFonts w:ascii="宋体" w:hAnsi="宋体" w:cs="宋体"/>
          <w:b/>
          <w:bCs/>
          <w:color w:val="auto"/>
          <w:kern w:val="0"/>
          <w:sz w:val="24"/>
          <w:highlight w:val="none"/>
          <w:u w:val="single"/>
        </w:rPr>
      </w:pPr>
      <w:r>
        <w:rPr>
          <w:rFonts w:hint="eastAsia" w:ascii="宋体" w:hAnsi="宋体" w:cs="宋体"/>
          <w:b/>
          <w:bCs/>
          <w:color w:val="auto"/>
          <w:sz w:val="24"/>
          <w:highlight w:val="none"/>
          <w:u w:val="single"/>
        </w:rPr>
        <w:t>浙江省司法厅</w:t>
      </w:r>
      <w:r>
        <w:rPr>
          <w:rFonts w:hint="eastAsia" w:ascii="宋体" w:hAnsi="宋体" w:cs="宋体"/>
          <w:b/>
          <w:bCs/>
          <w:color w:val="auto"/>
          <w:kern w:val="0"/>
          <w:sz w:val="24"/>
          <w:highlight w:val="none"/>
          <w:u w:val="single"/>
          <w:lang w:val="zh-CN"/>
        </w:rPr>
        <w:t>：</w:t>
      </w:r>
    </w:p>
    <w:p w14:paraId="62320D67">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rPr>
        <w:t>，所在单位：</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u w:val="single"/>
          <w:lang w:eastAsia="zh-CN"/>
        </w:rPr>
        <w:t>浙江省县乡合法性审查法律法规库建设项目和县乡合法性审查应用建设项目</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项目编号</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ZJ-2580230-02</w:t>
      </w:r>
      <w:r>
        <w:rPr>
          <w:rFonts w:hint="eastAsia" w:ascii="宋体" w:hAnsi="宋体" w:cs="宋体"/>
          <w:color w:val="auto"/>
          <w:sz w:val="24"/>
          <w:highlight w:val="none"/>
          <w:u w:val="single"/>
        </w:rPr>
        <w:t>】</w:t>
      </w:r>
      <w:r>
        <w:rPr>
          <w:rFonts w:hint="eastAsia" w:ascii="宋体" w:hAnsi="宋体" w:cs="宋体"/>
          <w:color w:val="auto"/>
          <w:kern w:val="0"/>
          <w:sz w:val="24"/>
          <w:highlight w:val="none"/>
          <w:lang w:val="zh-CN"/>
        </w:rPr>
        <w:t>政府采购投标的一切事项，其法律后果由我方承担。</w:t>
      </w:r>
    </w:p>
    <w:p w14:paraId="62320D68">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62320D69">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62320D6A">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62320D6B">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62320D6C">
      <w:pPr>
        <w:snapToGrid w:val="0"/>
        <w:spacing w:line="360" w:lineRule="auto"/>
        <w:rPr>
          <w:rFonts w:ascii="宋体" w:hAnsi="宋体" w:cs="宋体"/>
          <w:color w:val="auto"/>
          <w:sz w:val="24"/>
          <w:highlight w:val="none"/>
        </w:rPr>
      </w:pPr>
    </w:p>
    <w:p w14:paraId="62320D6D">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62320D6E">
      <w:pPr>
        <w:snapToGrid w:val="0"/>
        <w:spacing w:line="360" w:lineRule="auto"/>
        <w:rPr>
          <w:rFonts w:ascii="宋体" w:hAnsi="宋体" w:cs="宋体"/>
          <w:b/>
          <w:bCs/>
          <w:color w:val="auto"/>
          <w:kern w:val="0"/>
          <w:sz w:val="24"/>
          <w:highlight w:val="none"/>
          <w:u w:val="single"/>
        </w:rPr>
      </w:pPr>
      <w:r>
        <w:rPr>
          <w:rFonts w:hint="eastAsia" w:ascii="宋体" w:hAnsi="宋体" w:cs="宋体"/>
          <w:b/>
          <w:bCs/>
          <w:color w:val="auto"/>
          <w:sz w:val="24"/>
          <w:highlight w:val="none"/>
          <w:u w:val="single"/>
        </w:rPr>
        <w:t>浙江省司法厅</w:t>
      </w:r>
      <w:r>
        <w:rPr>
          <w:rFonts w:hint="eastAsia" w:ascii="宋体" w:hAnsi="宋体" w:cs="宋体"/>
          <w:b/>
          <w:bCs/>
          <w:color w:val="auto"/>
          <w:kern w:val="0"/>
          <w:sz w:val="24"/>
          <w:highlight w:val="none"/>
          <w:u w:val="single"/>
          <w:lang w:val="zh-CN"/>
        </w:rPr>
        <w:t>：</w:t>
      </w:r>
    </w:p>
    <w:p w14:paraId="62320D6F">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rPr>
        <w:t>，所在单位：</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u w:val="single"/>
          <w:lang w:eastAsia="zh-CN"/>
        </w:rPr>
        <w:t>浙江省县乡合法性审查法律法规库建设项目和县乡合法性审查应用建设项目</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项目编号</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ZJ-2580230-02</w:t>
      </w:r>
      <w:r>
        <w:rPr>
          <w:rFonts w:hint="eastAsia" w:ascii="宋体" w:hAnsi="宋体" w:cs="宋体"/>
          <w:color w:val="auto"/>
          <w:sz w:val="24"/>
          <w:highlight w:val="none"/>
          <w:u w:val="single"/>
        </w:rPr>
        <w:t>】</w:t>
      </w:r>
      <w:r>
        <w:rPr>
          <w:rFonts w:hint="eastAsia" w:ascii="宋体" w:hAnsi="宋体" w:cs="宋体"/>
          <w:color w:val="auto"/>
          <w:kern w:val="0"/>
          <w:sz w:val="24"/>
          <w:highlight w:val="none"/>
          <w:lang w:val="zh-CN"/>
        </w:rPr>
        <w:t>政府采购投标的一切事项，其法律后果由我方承担。</w:t>
      </w:r>
    </w:p>
    <w:p w14:paraId="62320D70">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62320D71">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62320D72">
      <w:pPr>
        <w:jc w:val="center"/>
        <w:rPr>
          <w:rFonts w:ascii="宋体" w:hAnsi="宋体" w:cs="宋体"/>
          <w:b/>
          <w:color w:val="auto"/>
          <w:kern w:val="0"/>
          <w:sz w:val="32"/>
          <w:szCs w:val="32"/>
          <w:highlight w:val="none"/>
        </w:rPr>
      </w:pPr>
    </w:p>
    <w:p w14:paraId="62320D73">
      <w:pPr>
        <w:rPr>
          <w:rFonts w:ascii="宋体" w:hAnsi="宋体" w:cs="宋体"/>
          <w:color w:val="auto"/>
          <w:highlight w:val="none"/>
        </w:rPr>
      </w:pPr>
    </w:p>
    <w:p w14:paraId="62320D74">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62320D75">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62320D76">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62320D77">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62320D78">
      <w:pPr>
        <w:autoSpaceDE w:val="0"/>
        <w:autoSpaceDN w:val="0"/>
        <w:spacing w:line="360" w:lineRule="auto"/>
        <w:jc w:val="center"/>
        <w:rPr>
          <w:rFonts w:ascii="宋体" w:hAnsi="宋体" w:cs="宋体"/>
          <w:b/>
          <w:color w:val="auto"/>
          <w:kern w:val="0"/>
          <w:sz w:val="32"/>
          <w:szCs w:val="32"/>
          <w:highlight w:val="none"/>
          <w:lang w:val="zh-CN"/>
        </w:rPr>
      </w:pPr>
    </w:p>
    <w:p w14:paraId="62320D79">
      <w:pPr>
        <w:autoSpaceDE w:val="0"/>
        <w:autoSpaceDN w:val="0"/>
        <w:spacing w:line="360" w:lineRule="auto"/>
        <w:jc w:val="center"/>
        <w:rPr>
          <w:rFonts w:ascii="宋体" w:hAnsi="宋体" w:cs="宋体"/>
          <w:b/>
          <w:color w:val="auto"/>
          <w:kern w:val="0"/>
          <w:sz w:val="32"/>
          <w:szCs w:val="32"/>
          <w:highlight w:val="none"/>
          <w:lang w:val="zh-CN"/>
        </w:rPr>
      </w:pPr>
    </w:p>
    <w:p w14:paraId="62320D7A">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62320D7B">
      <w:pPr>
        <w:pStyle w:val="159"/>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62320D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62320D7C">
            <w:pPr>
              <w:pStyle w:val="159"/>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62320D7D">
            <w:pPr>
              <w:pStyle w:val="159"/>
              <w:adjustRightInd w:val="0"/>
              <w:spacing w:line="360" w:lineRule="auto"/>
              <w:rPr>
                <w:rFonts w:hAnsi="宋体" w:cs="宋体"/>
                <w:bCs/>
                <w:color w:val="auto"/>
                <w:sz w:val="24"/>
                <w:highlight w:val="none"/>
              </w:rPr>
            </w:pPr>
          </w:p>
        </w:tc>
      </w:tr>
    </w:tbl>
    <w:p w14:paraId="62320D7F">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62320D80">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62320D81">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62320D82">
      <w:pPr>
        <w:jc w:val="center"/>
        <w:rPr>
          <w:rFonts w:ascii="宋体" w:hAnsi="宋体" w:cs="宋体"/>
          <w:b/>
          <w:color w:val="auto"/>
          <w:kern w:val="0"/>
          <w:sz w:val="32"/>
          <w:szCs w:val="32"/>
          <w:highlight w:val="none"/>
        </w:rPr>
      </w:pPr>
    </w:p>
    <w:p w14:paraId="62320D83">
      <w:pPr>
        <w:jc w:val="center"/>
        <w:rPr>
          <w:rFonts w:ascii="宋体" w:hAnsi="宋体" w:cs="宋体"/>
          <w:b/>
          <w:color w:val="auto"/>
          <w:kern w:val="0"/>
          <w:sz w:val="32"/>
          <w:szCs w:val="32"/>
          <w:highlight w:val="none"/>
        </w:rPr>
      </w:pPr>
    </w:p>
    <w:p w14:paraId="62320D84">
      <w:pPr>
        <w:jc w:val="center"/>
        <w:rPr>
          <w:rFonts w:ascii="宋体" w:hAnsi="宋体" w:cs="宋体"/>
          <w:b/>
          <w:color w:val="auto"/>
          <w:kern w:val="0"/>
          <w:sz w:val="32"/>
          <w:szCs w:val="32"/>
          <w:highlight w:val="none"/>
        </w:rPr>
      </w:pPr>
    </w:p>
    <w:p w14:paraId="62320D85">
      <w:pPr>
        <w:jc w:val="center"/>
        <w:rPr>
          <w:rFonts w:ascii="宋体" w:hAnsi="宋体" w:cs="宋体"/>
          <w:b/>
          <w:color w:val="auto"/>
          <w:kern w:val="0"/>
          <w:sz w:val="32"/>
          <w:szCs w:val="32"/>
          <w:highlight w:val="none"/>
        </w:rPr>
      </w:pPr>
    </w:p>
    <w:p w14:paraId="62320D86">
      <w:pPr>
        <w:jc w:val="center"/>
        <w:rPr>
          <w:rFonts w:ascii="宋体" w:hAnsi="宋体" w:cs="宋体"/>
          <w:b/>
          <w:color w:val="auto"/>
          <w:kern w:val="0"/>
          <w:sz w:val="32"/>
          <w:szCs w:val="32"/>
          <w:highlight w:val="none"/>
        </w:rPr>
      </w:pPr>
    </w:p>
    <w:p w14:paraId="62320D87">
      <w:pPr>
        <w:jc w:val="center"/>
        <w:rPr>
          <w:rFonts w:ascii="宋体" w:hAnsi="宋体" w:cs="宋体"/>
          <w:b/>
          <w:color w:val="auto"/>
          <w:kern w:val="0"/>
          <w:sz w:val="32"/>
          <w:szCs w:val="32"/>
          <w:highlight w:val="none"/>
        </w:rPr>
      </w:pPr>
    </w:p>
    <w:p w14:paraId="62320D88">
      <w:pPr>
        <w:jc w:val="center"/>
        <w:rPr>
          <w:rFonts w:ascii="宋体" w:hAnsi="宋体" w:cs="宋体"/>
          <w:b/>
          <w:color w:val="auto"/>
          <w:kern w:val="0"/>
          <w:sz w:val="32"/>
          <w:szCs w:val="32"/>
          <w:highlight w:val="none"/>
        </w:rPr>
      </w:pPr>
    </w:p>
    <w:p w14:paraId="62320D89">
      <w:pPr>
        <w:jc w:val="center"/>
        <w:rPr>
          <w:rFonts w:ascii="宋体" w:hAnsi="宋体" w:cs="宋体"/>
          <w:b/>
          <w:color w:val="auto"/>
          <w:kern w:val="0"/>
          <w:sz w:val="32"/>
          <w:szCs w:val="32"/>
          <w:highlight w:val="none"/>
        </w:rPr>
      </w:pPr>
    </w:p>
    <w:p w14:paraId="62320D8A">
      <w:pPr>
        <w:jc w:val="center"/>
        <w:rPr>
          <w:rFonts w:ascii="宋体" w:hAnsi="宋体" w:cs="宋体"/>
          <w:b/>
          <w:color w:val="auto"/>
          <w:kern w:val="0"/>
          <w:sz w:val="32"/>
          <w:szCs w:val="32"/>
          <w:highlight w:val="none"/>
        </w:rPr>
      </w:pPr>
    </w:p>
    <w:p w14:paraId="62320D8B">
      <w:pPr>
        <w:jc w:val="center"/>
        <w:rPr>
          <w:rFonts w:ascii="宋体" w:hAnsi="宋体" w:cs="宋体"/>
          <w:b/>
          <w:color w:val="auto"/>
          <w:kern w:val="0"/>
          <w:sz w:val="32"/>
          <w:szCs w:val="32"/>
          <w:highlight w:val="none"/>
        </w:rPr>
      </w:pPr>
    </w:p>
    <w:p w14:paraId="69FD031D">
      <w:pPr>
        <w:snapToGrid w:val="0"/>
        <w:spacing w:line="360" w:lineRule="auto"/>
        <w:ind w:right="480"/>
        <w:rPr>
          <w:rFonts w:ascii="宋体" w:hAnsi="宋体" w:cs="宋体"/>
          <w:b/>
          <w:color w:val="auto"/>
          <w:kern w:val="0"/>
          <w:sz w:val="32"/>
          <w:szCs w:val="32"/>
          <w:highlight w:val="none"/>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62320D8D">
      <w:pPr>
        <w:snapToGrid w:val="0"/>
        <w:spacing w:line="360" w:lineRule="auto"/>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62320D8E">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中标后以分包方式履行合同的，提供分包意向协议（附件6）；采购人不同意分包或者投标人中标后不以分包方式履行合同的，则不需要提供。</w:t>
      </w:r>
      <w:r>
        <w:rPr>
          <w:rFonts w:hint="eastAsia" w:ascii="宋体" w:hAnsi="宋体" w:cs="宋体"/>
          <w:color w:val="auto"/>
          <w:sz w:val="24"/>
          <w:highlight w:val="none"/>
        </w:rPr>
        <w:t>]</w:t>
      </w:r>
    </w:p>
    <w:p w14:paraId="62320D8F">
      <w:pPr>
        <w:snapToGrid w:val="0"/>
        <w:spacing w:line="360" w:lineRule="auto"/>
        <w:rPr>
          <w:rFonts w:ascii="宋体" w:hAnsi="宋体" w:cs="宋体"/>
          <w:color w:val="auto"/>
          <w:kern w:val="0"/>
          <w:sz w:val="24"/>
          <w:highlight w:val="none"/>
        </w:rPr>
      </w:pPr>
    </w:p>
    <w:p w14:paraId="62320D90">
      <w:pP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62320D91">
      <w:pPr>
        <w:jc w:val="cente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03735621">
      <w:pPr>
        <w:pStyle w:val="6"/>
        <w:numPr>
          <w:ilvl w:val="0"/>
          <w:numId w:val="0"/>
        </w:numPr>
        <w:rPr>
          <w:rFonts w:hint="eastAsia" w:ascii="宋体" w:hAnsi="宋体" w:eastAsia="宋体" w:cs="宋体"/>
          <w:color w:val="auto"/>
          <w:sz w:val="24"/>
          <w:szCs w:val="24"/>
          <w:highlight w:val="none"/>
          <w:lang w:val="en-US" w:eastAsia="zh-CN"/>
        </w:rPr>
      </w:pPr>
    </w:p>
    <w:p w14:paraId="3F7C55EF">
      <w:pPr>
        <w:pStyle w:val="6"/>
        <w:keepNext w:val="0"/>
        <w:keepLines w:val="0"/>
        <w:pageBreakBefore w:val="0"/>
        <w:numPr>
          <w:ilvl w:val="0"/>
          <w:numId w:val="0"/>
        </w:numPr>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项目名称：</w:t>
      </w:r>
    </w:p>
    <w:p w14:paraId="048E720E">
      <w:pPr>
        <w:keepNext w:val="0"/>
        <w:keepLines w:val="0"/>
        <w:pageBreakBefore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项目编号：</w:t>
      </w:r>
    </w:p>
    <w:p w14:paraId="34627D3B">
      <w:pPr>
        <w:keepNext w:val="0"/>
        <w:keepLines w:val="0"/>
        <w:pageBreakBefore w:val="0"/>
        <w:kinsoku/>
        <w:wordWrap/>
        <w:overflowPunct/>
        <w:topLinePunct w:val="0"/>
        <w:autoSpaceDE/>
        <w:autoSpaceDN/>
        <w:bidi w:val="0"/>
        <w:adjustRightInd w:val="0"/>
        <w:spacing w:line="360" w:lineRule="auto"/>
        <w:textAlignment w:val="auto"/>
        <w:rPr>
          <w:rFonts w:ascii="宋体" w:hAnsi="宋体" w:cs="宋体"/>
          <w:b/>
          <w:color w:val="auto"/>
          <w:kern w:val="0"/>
          <w:sz w:val="32"/>
          <w:szCs w:val="32"/>
          <w:highlight w:val="none"/>
        </w:rPr>
      </w:pPr>
      <w:r>
        <w:rPr>
          <w:rFonts w:hint="eastAsia"/>
          <w:color w:val="auto"/>
          <w:sz w:val="24"/>
          <w:szCs w:val="24"/>
          <w:highlight w:val="none"/>
          <w:lang w:val="en-US" w:eastAsia="zh-CN"/>
        </w:rPr>
        <w:t>标项号：</w:t>
      </w: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4"/>
        <w:gridCol w:w="5203"/>
        <w:gridCol w:w="2551"/>
        <w:gridCol w:w="1418"/>
      </w:tblGrid>
      <w:tr w14:paraId="62320D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434" w:type="dxa"/>
            <w:vAlign w:val="center"/>
          </w:tcPr>
          <w:p w14:paraId="62320D93">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5203" w:type="dxa"/>
            <w:vAlign w:val="center"/>
          </w:tcPr>
          <w:p w14:paraId="62320D94">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62320D95">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62320D96">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62320D97">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62320D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434" w:type="dxa"/>
            <w:vAlign w:val="center"/>
          </w:tcPr>
          <w:p w14:paraId="62320D99">
            <w:pPr>
              <w:jc w:val="center"/>
              <w:rPr>
                <w:rFonts w:ascii="宋体" w:hAnsi="宋体" w:cs="宋体"/>
                <w:color w:val="auto"/>
                <w:sz w:val="24"/>
                <w:highlight w:val="none"/>
              </w:rPr>
            </w:pPr>
            <w:r>
              <w:rPr>
                <w:rFonts w:hint="eastAsia" w:ascii="宋体" w:hAnsi="宋体" w:cs="宋体"/>
                <w:color w:val="auto"/>
                <w:sz w:val="24"/>
                <w:highlight w:val="none"/>
              </w:rPr>
              <w:t>1</w:t>
            </w:r>
          </w:p>
        </w:tc>
        <w:tc>
          <w:tcPr>
            <w:tcW w:w="5203" w:type="dxa"/>
            <w:vAlign w:val="center"/>
          </w:tcPr>
          <w:p w14:paraId="62320D9A">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62320D9B">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62320D9C">
            <w:pPr>
              <w:rPr>
                <w:rFonts w:ascii="宋体" w:hAnsi="宋体" w:cs="宋体"/>
                <w:color w:val="auto"/>
                <w:sz w:val="24"/>
                <w:highlight w:val="none"/>
              </w:rPr>
            </w:pPr>
          </w:p>
          <w:p w14:paraId="62320D9D">
            <w:pPr>
              <w:rPr>
                <w:rFonts w:ascii="宋体" w:hAnsi="宋体" w:cs="宋体"/>
                <w:color w:val="auto"/>
                <w:sz w:val="24"/>
                <w:highlight w:val="none"/>
              </w:rPr>
            </w:pPr>
            <w:r>
              <w:rPr>
                <w:rFonts w:hint="eastAsia" w:ascii="宋体" w:hAnsi="宋体" w:cs="宋体"/>
                <w:color w:val="auto"/>
                <w:sz w:val="24"/>
                <w:highlight w:val="none"/>
              </w:rPr>
              <w:t>见投标文件</w:t>
            </w:r>
          </w:p>
          <w:p w14:paraId="62320D9E">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62320D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434" w:type="dxa"/>
            <w:vAlign w:val="center"/>
          </w:tcPr>
          <w:p w14:paraId="62320DA0">
            <w:pPr>
              <w:jc w:val="center"/>
              <w:rPr>
                <w:rFonts w:ascii="宋体" w:hAnsi="宋体" w:cs="宋体"/>
                <w:color w:val="auto"/>
                <w:sz w:val="24"/>
                <w:highlight w:val="none"/>
              </w:rPr>
            </w:pPr>
            <w:r>
              <w:rPr>
                <w:rFonts w:hint="eastAsia" w:ascii="宋体" w:hAnsi="宋体" w:cs="宋体"/>
                <w:color w:val="auto"/>
                <w:sz w:val="24"/>
                <w:highlight w:val="none"/>
              </w:rPr>
              <w:t>2</w:t>
            </w:r>
          </w:p>
        </w:tc>
        <w:tc>
          <w:tcPr>
            <w:tcW w:w="5203" w:type="dxa"/>
            <w:shd w:val="clear" w:color="auto" w:fill="auto"/>
            <w:vAlign w:val="center"/>
          </w:tcPr>
          <w:p w14:paraId="62320DA1">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shd w:val="clear" w:color="auto" w:fill="auto"/>
            <w:vAlign w:val="center"/>
          </w:tcPr>
          <w:p w14:paraId="62320DA2">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shd w:val="clear" w:color="auto" w:fill="auto"/>
          </w:tcPr>
          <w:p w14:paraId="62320DA3">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62320D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434" w:type="dxa"/>
            <w:vAlign w:val="center"/>
          </w:tcPr>
          <w:p w14:paraId="62320DAA">
            <w:pPr>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3</w:t>
            </w:r>
          </w:p>
        </w:tc>
        <w:tc>
          <w:tcPr>
            <w:tcW w:w="5203" w:type="dxa"/>
            <w:vAlign w:val="center"/>
          </w:tcPr>
          <w:p w14:paraId="62320DAB">
            <w:pPr>
              <w:spacing w:line="360" w:lineRule="auto"/>
              <w:rPr>
                <w:rFonts w:ascii="宋体" w:hAnsi="宋体" w:cs="宋体"/>
                <w:color w:val="auto"/>
                <w:sz w:val="24"/>
                <w:highlight w:val="none"/>
              </w:rPr>
            </w:pPr>
            <w:r>
              <w:rPr>
                <w:rFonts w:hint="eastAsia" w:ascii="宋体" w:hAnsi="宋体" w:cs="宋体"/>
                <w:snapToGrid w:val="0"/>
                <w:color w:val="auto"/>
                <w:sz w:val="24"/>
                <w:highlight w:val="none"/>
              </w:rPr>
              <w:t>其他实质性要求1：</w:t>
            </w:r>
          </w:p>
        </w:tc>
        <w:tc>
          <w:tcPr>
            <w:tcW w:w="2551" w:type="dxa"/>
            <w:vMerge w:val="restart"/>
            <w:vAlign w:val="center"/>
          </w:tcPr>
          <w:p w14:paraId="62320DAC">
            <w:pPr>
              <w:rPr>
                <w:rFonts w:ascii="宋体" w:hAnsi="宋体" w:cs="宋体"/>
                <w:color w:val="auto"/>
                <w:sz w:val="24"/>
                <w:highlight w:val="none"/>
              </w:rPr>
            </w:pPr>
            <w:r>
              <w:rPr>
                <w:rFonts w:hint="eastAsia" w:ascii="宋体" w:hAnsi="宋体" w:cs="宋体"/>
                <w:color w:val="auto"/>
                <w:kern w:val="0"/>
                <w:sz w:val="24"/>
                <w:highlight w:val="none"/>
              </w:rPr>
              <w:t>招标文件其它实质性要求相应的材料（“▲” 系指实质性要求条款，招标文件无其它实质性要求的，无需提供）</w:t>
            </w:r>
          </w:p>
        </w:tc>
        <w:tc>
          <w:tcPr>
            <w:tcW w:w="1418" w:type="dxa"/>
          </w:tcPr>
          <w:p w14:paraId="62320DAD">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62320D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434" w:type="dxa"/>
            <w:vAlign w:val="center"/>
          </w:tcPr>
          <w:p w14:paraId="62320DAF">
            <w:pPr>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4</w:t>
            </w:r>
          </w:p>
        </w:tc>
        <w:tc>
          <w:tcPr>
            <w:tcW w:w="5203" w:type="dxa"/>
            <w:vAlign w:val="center"/>
          </w:tcPr>
          <w:p w14:paraId="62320DB0">
            <w:pPr>
              <w:spacing w:line="360" w:lineRule="auto"/>
              <w:rPr>
                <w:rFonts w:ascii="宋体" w:hAnsi="宋体" w:cs="宋体"/>
                <w:snapToGrid w:val="0"/>
                <w:color w:val="auto"/>
                <w:sz w:val="24"/>
                <w:highlight w:val="none"/>
              </w:rPr>
            </w:pPr>
            <w:r>
              <w:rPr>
                <w:rFonts w:hint="eastAsia" w:ascii="宋体" w:hAnsi="宋体" w:cs="宋体"/>
                <w:snapToGrid w:val="0"/>
                <w:color w:val="auto"/>
                <w:sz w:val="24"/>
                <w:highlight w:val="none"/>
              </w:rPr>
              <w:t>其他实质性要求2：</w:t>
            </w:r>
          </w:p>
        </w:tc>
        <w:tc>
          <w:tcPr>
            <w:tcW w:w="2551" w:type="dxa"/>
            <w:vMerge w:val="continue"/>
            <w:vAlign w:val="center"/>
          </w:tcPr>
          <w:p w14:paraId="62320DB1">
            <w:pPr>
              <w:rPr>
                <w:rFonts w:ascii="宋体" w:hAnsi="宋体" w:cs="宋体"/>
                <w:color w:val="auto"/>
                <w:kern w:val="0"/>
                <w:sz w:val="24"/>
                <w:highlight w:val="none"/>
              </w:rPr>
            </w:pPr>
          </w:p>
        </w:tc>
        <w:tc>
          <w:tcPr>
            <w:tcW w:w="1418" w:type="dxa"/>
          </w:tcPr>
          <w:p w14:paraId="62320DB2">
            <w:pPr>
              <w:rPr>
                <w:rFonts w:ascii="宋体" w:hAnsi="宋体" w:cs="宋体"/>
                <w:color w:val="auto"/>
                <w:sz w:val="24"/>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62320D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434" w:type="dxa"/>
            <w:vAlign w:val="center"/>
          </w:tcPr>
          <w:p w14:paraId="62320DB4">
            <w:pPr>
              <w:jc w:val="center"/>
              <w:rPr>
                <w:rFonts w:ascii="宋体" w:hAnsi="宋体" w:cs="宋体"/>
                <w:color w:val="auto"/>
                <w:sz w:val="24"/>
                <w:highlight w:val="none"/>
              </w:rPr>
            </w:pPr>
            <w:r>
              <w:rPr>
                <w:rFonts w:hint="eastAsia" w:ascii="宋体" w:hAnsi="宋体" w:cs="宋体"/>
                <w:color w:val="auto"/>
                <w:kern w:val="0"/>
                <w:sz w:val="24"/>
                <w:highlight w:val="none"/>
              </w:rPr>
              <w:t>…</w:t>
            </w:r>
          </w:p>
        </w:tc>
        <w:tc>
          <w:tcPr>
            <w:tcW w:w="5203" w:type="dxa"/>
            <w:vAlign w:val="center"/>
          </w:tcPr>
          <w:p w14:paraId="62320DB5">
            <w:pPr>
              <w:spacing w:line="360" w:lineRule="auto"/>
              <w:rPr>
                <w:rFonts w:ascii="宋体" w:hAnsi="宋体" w:cs="宋体"/>
                <w:color w:val="auto"/>
                <w:sz w:val="24"/>
                <w:highlight w:val="none"/>
              </w:rPr>
            </w:pPr>
            <w:r>
              <w:rPr>
                <w:rFonts w:hint="eastAsia" w:ascii="宋体" w:hAnsi="宋体" w:cs="宋体"/>
                <w:snapToGrid w:val="0"/>
                <w:color w:val="auto"/>
                <w:sz w:val="24"/>
                <w:highlight w:val="none"/>
              </w:rPr>
              <w:t>其他实质性要求</w:t>
            </w:r>
            <w:r>
              <w:rPr>
                <w:rFonts w:hint="eastAsia" w:ascii="宋体" w:hAnsi="宋体" w:cs="宋体"/>
                <w:color w:val="auto"/>
                <w:kern w:val="0"/>
                <w:sz w:val="24"/>
                <w:highlight w:val="none"/>
              </w:rPr>
              <w:t>…</w:t>
            </w:r>
            <w:r>
              <w:rPr>
                <w:rFonts w:hint="eastAsia" w:ascii="宋体" w:hAnsi="宋体" w:cs="宋体"/>
                <w:snapToGrid w:val="0"/>
                <w:color w:val="auto"/>
                <w:sz w:val="24"/>
                <w:highlight w:val="none"/>
              </w:rPr>
              <w:t>：</w:t>
            </w:r>
          </w:p>
        </w:tc>
        <w:tc>
          <w:tcPr>
            <w:tcW w:w="2551" w:type="dxa"/>
            <w:vMerge w:val="continue"/>
            <w:vAlign w:val="center"/>
          </w:tcPr>
          <w:p w14:paraId="62320DB6">
            <w:pPr>
              <w:rPr>
                <w:rFonts w:ascii="宋体" w:hAnsi="宋体" w:cs="宋体"/>
                <w:color w:val="auto"/>
                <w:sz w:val="24"/>
                <w:highlight w:val="none"/>
              </w:rPr>
            </w:pPr>
          </w:p>
        </w:tc>
        <w:tc>
          <w:tcPr>
            <w:tcW w:w="1418" w:type="dxa"/>
          </w:tcPr>
          <w:p w14:paraId="62320DB7">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bl>
    <w:p w14:paraId="62320DB9">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注：1.按本格式和要求提供。</w:t>
      </w:r>
    </w:p>
    <w:p w14:paraId="62320DBA">
      <w:pPr>
        <w:spacing w:line="360" w:lineRule="auto"/>
        <w:ind w:right="420"/>
        <w:rPr>
          <w:rFonts w:ascii="宋体" w:hAnsi="宋体" w:cs="宋体"/>
          <w:b/>
          <w:color w:val="auto"/>
          <w:kern w:val="0"/>
          <w:sz w:val="32"/>
          <w:szCs w:val="32"/>
          <w:highlight w:val="none"/>
        </w:rPr>
      </w:pPr>
      <w:r>
        <w:rPr>
          <w:rFonts w:hint="eastAsia" w:ascii="宋体" w:hAnsi="宋体" w:cs="宋体"/>
          <w:b/>
          <w:bCs/>
          <w:color w:val="auto"/>
          <w:sz w:val="24"/>
          <w:highlight w:val="none"/>
        </w:rPr>
        <w:t>2.招标文件中实质性要求必须明确响应。</w:t>
      </w:r>
    </w:p>
    <w:p w14:paraId="62320DBB">
      <w:pPr>
        <w:spacing w:line="360" w:lineRule="auto"/>
        <w:ind w:right="420"/>
        <w:rPr>
          <w:rFonts w:ascii="宋体" w:hAnsi="宋体" w:cs="宋体"/>
          <w:color w:val="auto"/>
          <w:sz w:val="24"/>
          <w:highlight w:val="none"/>
        </w:rPr>
      </w:pPr>
    </w:p>
    <w:p w14:paraId="62320DBC">
      <w:pPr>
        <w:jc w:val="center"/>
        <w:rPr>
          <w:rFonts w:ascii="宋体" w:hAnsi="宋体" w:cs="宋体"/>
          <w:b/>
          <w:color w:val="auto"/>
          <w:kern w:val="0"/>
          <w:sz w:val="32"/>
          <w:szCs w:val="32"/>
          <w:highlight w:val="none"/>
        </w:rPr>
      </w:pPr>
    </w:p>
    <w:p w14:paraId="62320DBD">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62320DBE">
      <w:pPr>
        <w:jc w:val="center"/>
        <w:rPr>
          <w:rFonts w:ascii="宋体" w:hAnsi="宋体" w:cs="宋体"/>
          <w:b/>
          <w:color w:val="auto"/>
          <w:kern w:val="0"/>
          <w:sz w:val="32"/>
          <w:szCs w:val="32"/>
          <w:highlight w:val="none"/>
        </w:rPr>
      </w:pPr>
    </w:p>
    <w:p w14:paraId="62320DBF">
      <w:pPr>
        <w:jc w:val="center"/>
        <w:rPr>
          <w:rFonts w:ascii="宋体" w:hAnsi="宋体" w:cs="宋体"/>
          <w:b/>
          <w:color w:val="auto"/>
          <w:kern w:val="0"/>
          <w:sz w:val="32"/>
          <w:szCs w:val="32"/>
          <w:highlight w:val="none"/>
        </w:rPr>
      </w:pPr>
    </w:p>
    <w:p w14:paraId="62320DC0">
      <w:pPr>
        <w:jc w:val="center"/>
        <w:rPr>
          <w:rFonts w:ascii="宋体" w:hAnsi="宋体" w:cs="宋体"/>
          <w:b/>
          <w:color w:val="auto"/>
          <w:kern w:val="0"/>
          <w:sz w:val="32"/>
          <w:szCs w:val="32"/>
          <w:highlight w:val="none"/>
        </w:rPr>
      </w:pPr>
    </w:p>
    <w:p w14:paraId="62320DC1">
      <w:pPr>
        <w:jc w:val="center"/>
        <w:rPr>
          <w:rFonts w:ascii="宋体" w:hAnsi="宋体" w:cs="宋体"/>
          <w:b/>
          <w:color w:val="auto"/>
          <w:kern w:val="0"/>
          <w:sz w:val="32"/>
          <w:szCs w:val="32"/>
          <w:highlight w:val="none"/>
        </w:rPr>
      </w:pPr>
    </w:p>
    <w:p w14:paraId="62320DC2">
      <w:pPr>
        <w:jc w:val="center"/>
        <w:rPr>
          <w:rFonts w:ascii="宋体" w:hAnsi="宋体" w:cs="宋体"/>
          <w:b/>
          <w:color w:val="auto"/>
          <w:kern w:val="0"/>
          <w:sz w:val="32"/>
          <w:szCs w:val="32"/>
          <w:highlight w:val="none"/>
        </w:rPr>
      </w:pPr>
    </w:p>
    <w:p w14:paraId="62320DC3">
      <w:pPr>
        <w:jc w:val="center"/>
        <w:rPr>
          <w:rFonts w:ascii="宋体" w:hAnsi="宋体" w:cs="宋体"/>
          <w:b/>
          <w:color w:val="auto"/>
          <w:kern w:val="0"/>
          <w:sz w:val="32"/>
          <w:szCs w:val="32"/>
          <w:highlight w:val="none"/>
        </w:rPr>
      </w:pPr>
    </w:p>
    <w:p w14:paraId="62320DC4">
      <w:pP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62320DC5">
      <w:pPr>
        <w:numPr>
          <w:ilvl w:val="0"/>
          <w:numId w:val="10"/>
        </w:numPr>
        <w:jc w:val="cente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评标标准相应的商务技术资料</w:t>
      </w:r>
    </w:p>
    <w:p w14:paraId="348B5524">
      <w:pPr>
        <w:pStyle w:val="6"/>
        <w:numPr>
          <w:ilvl w:val="0"/>
          <w:numId w:val="0"/>
        </w:numPr>
        <w:rPr>
          <w:rFonts w:hint="eastAsia" w:ascii="宋体" w:hAnsi="宋体" w:eastAsia="宋体" w:cs="宋体"/>
          <w:color w:val="auto"/>
          <w:sz w:val="24"/>
          <w:szCs w:val="24"/>
          <w:highlight w:val="none"/>
          <w:lang w:val="en-US" w:eastAsia="zh-CN"/>
        </w:rPr>
      </w:pPr>
    </w:p>
    <w:p w14:paraId="1A63560C">
      <w:pPr>
        <w:pStyle w:val="6"/>
        <w:keepNext w:val="0"/>
        <w:keepLines w:val="0"/>
        <w:pageBreakBefore w:val="0"/>
        <w:numPr>
          <w:ilvl w:val="0"/>
          <w:numId w:val="0"/>
        </w:numPr>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项目名称：</w:t>
      </w:r>
    </w:p>
    <w:p w14:paraId="39A7D9A6">
      <w:pPr>
        <w:keepNext w:val="0"/>
        <w:keepLines w:val="0"/>
        <w:pageBreakBefore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项目编号：</w:t>
      </w:r>
    </w:p>
    <w:p w14:paraId="1CBF0F07">
      <w:pPr>
        <w:keepNext w:val="0"/>
        <w:keepLines w:val="0"/>
        <w:pageBreakBefore w:val="0"/>
        <w:kinsoku/>
        <w:wordWrap/>
        <w:overflowPunct/>
        <w:topLinePunct w:val="0"/>
        <w:autoSpaceDE/>
        <w:autoSpaceDN/>
        <w:bidi w:val="0"/>
        <w:adjustRightInd w:val="0"/>
        <w:spacing w:line="360" w:lineRule="auto"/>
        <w:textAlignment w:val="auto"/>
        <w:rPr>
          <w:color w:val="auto"/>
          <w:highlight w:val="none"/>
        </w:rPr>
      </w:pPr>
      <w:r>
        <w:rPr>
          <w:rFonts w:hint="eastAsia"/>
          <w:color w:val="auto"/>
          <w:sz w:val="24"/>
          <w:szCs w:val="24"/>
          <w:highlight w:val="none"/>
          <w:lang w:val="en-US" w:eastAsia="zh-CN"/>
        </w:rPr>
        <w:t>标项号：</w:t>
      </w:r>
    </w:p>
    <w:tbl>
      <w:tblPr>
        <w:tblStyle w:val="6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62320D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74" w:type="dxa"/>
            <w:tcBorders>
              <w:top w:val="single" w:color="auto" w:sz="4" w:space="0"/>
              <w:left w:val="single" w:color="auto" w:sz="4" w:space="0"/>
              <w:bottom w:val="single" w:color="auto" w:sz="4" w:space="0"/>
              <w:right w:val="single" w:color="auto" w:sz="4" w:space="0"/>
            </w:tcBorders>
          </w:tcPr>
          <w:p w14:paraId="62320DC6">
            <w:pPr>
              <w:snapToGrid w:val="0"/>
              <w:spacing w:line="600" w:lineRule="exact"/>
              <w:rPr>
                <w:rFonts w:ascii="宋体" w:hAnsi="宋体" w:cs="宋体"/>
                <w:color w:val="auto"/>
                <w:sz w:val="24"/>
                <w:highlight w:val="none"/>
              </w:rPr>
            </w:pPr>
            <w:r>
              <w:rPr>
                <w:rFonts w:hint="eastAsia" w:ascii="宋体" w:hAnsi="宋体" w:cs="宋体"/>
                <w:color w:val="auto"/>
                <w:sz w:val="24"/>
                <w:highlight w:val="none"/>
                <w:lang w:bidi="ar"/>
              </w:rPr>
              <w:t>序号</w:t>
            </w:r>
          </w:p>
        </w:tc>
        <w:tc>
          <w:tcPr>
            <w:tcW w:w="5465" w:type="dxa"/>
            <w:tcBorders>
              <w:top w:val="single" w:color="auto" w:sz="4" w:space="0"/>
              <w:left w:val="nil"/>
              <w:bottom w:val="single" w:color="auto" w:sz="4" w:space="0"/>
              <w:right w:val="single" w:color="auto" w:sz="4" w:space="0"/>
            </w:tcBorders>
          </w:tcPr>
          <w:p w14:paraId="62320DC7">
            <w:pPr>
              <w:snapToGrid w:val="0"/>
              <w:spacing w:line="600" w:lineRule="exact"/>
              <w:ind w:firstLine="480" w:firstLineChars="200"/>
              <w:jc w:val="center"/>
              <w:rPr>
                <w:rFonts w:ascii="宋体" w:hAnsi="宋体" w:cs="宋体"/>
                <w:color w:val="auto"/>
                <w:sz w:val="24"/>
                <w:highlight w:val="none"/>
              </w:rPr>
            </w:pPr>
            <w:r>
              <w:rPr>
                <w:rFonts w:hint="eastAsia" w:ascii="宋体" w:hAnsi="宋体" w:cs="宋体"/>
                <w:color w:val="auto"/>
                <w:sz w:val="24"/>
                <w:highlight w:val="none"/>
                <w:lang w:bidi="ar"/>
              </w:rPr>
              <w:t>投标文件中评标标准相应的商务技术资料目录*</w:t>
            </w:r>
          </w:p>
        </w:tc>
        <w:tc>
          <w:tcPr>
            <w:tcW w:w="3046" w:type="dxa"/>
            <w:tcBorders>
              <w:top w:val="single" w:color="auto" w:sz="4" w:space="0"/>
              <w:left w:val="nil"/>
              <w:bottom w:val="single" w:color="auto" w:sz="4" w:space="0"/>
              <w:right w:val="single" w:color="auto" w:sz="4" w:space="0"/>
            </w:tcBorders>
          </w:tcPr>
          <w:p w14:paraId="62320DC8">
            <w:pPr>
              <w:snapToGrid w:val="0"/>
              <w:spacing w:line="600" w:lineRule="exact"/>
              <w:ind w:firstLine="480" w:firstLineChars="200"/>
              <w:jc w:val="center"/>
              <w:rPr>
                <w:rFonts w:ascii="宋体" w:hAnsi="宋体" w:cs="宋体"/>
                <w:color w:val="auto"/>
                <w:sz w:val="24"/>
                <w:highlight w:val="none"/>
              </w:rPr>
            </w:pPr>
            <w:r>
              <w:rPr>
                <w:rFonts w:hint="eastAsia" w:ascii="宋体" w:hAnsi="宋体" w:cs="宋体"/>
                <w:color w:val="auto"/>
                <w:sz w:val="24"/>
                <w:highlight w:val="none"/>
                <w:lang w:bidi="ar"/>
              </w:rPr>
              <w:t>投标文件中的页码位置</w:t>
            </w:r>
          </w:p>
        </w:tc>
      </w:tr>
      <w:tr w14:paraId="62320D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tcPr>
          <w:p w14:paraId="62320DCA">
            <w:pPr>
              <w:snapToGrid w:val="0"/>
              <w:spacing w:line="600" w:lineRule="exact"/>
              <w:rPr>
                <w:rFonts w:ascii="宋体" w:hAnsi="宋体" w:cs="宋体"/>
                <w:color w:val="auto"/>
                <w:sz w:val="24"/>
                <w:highlight w:val="none"/>
              </w:rPr>
            </w:pPr>
            <w:r>
              <w:rPr>
                <w:rFonts w:hint="eastAsia" w:ascii="宋体" w:hAnsi="宋体" w:cs="宋体"/>
                <w:color w:val="auto"/>
                <w:sz w:val="24"/>
                <w:highlight w:val="none"/>
                <w:lang w:bidi="ar"/>
              </w:rPr>
              <w:t>1</w:t>
            </w:r>
          </w:p>
        </w:tc>
        <w:tc>
          <w:tcPr>
            <w:tcW w:w="5465" w:type="dxa"/>
            <w:tcBorders>
              <w:top w:val="single" w:color="auto" w:sz="4" w:space="0"/>
              <w:left w:val="nil"/>
              <w:bottom w:val="single" w:color="auto" w:sz="4" w:space="0"/>
              <w:right w:val="single" w:color="auto" w:sz="4" w:space="0"/>
            </w:tcBorders>
          </w:tcPr>
          <w:p w14:paraId="62320DCB">
            <w:pPr>
              <w:snapToGrid w:val="0"/>
              <w:spacing w:line="600" w:lineRule="exact"/>
              <w:ind w:firstLine="480" w:firstLineChars="200"/>
              <w:jc w:val="center"/>
              <w:rPr>
                <w:rFonts w:ascii="宋体" w:hAnsi="宋体" w:cs="宋体"/>
                <w:color w:val="auto"/>
                <w:sz w:val="24"/>
                <w:highlight w:val="none"/>
              </w:rPr>
            </w:pPr>
            <w:r>
              <w:rPr>
                <w:rFonts w:hint="eastAsia" w:ascii="宋体" w:hAnsi="宋体" w:cs="宋体"/>
                <w:color w:val="auto"/>
                <w:sz w:val="24"/>
                <w:highlight w:val="none"/>
                <w:lang w:bidi="ar"/>
              </w:rPr>
              <w:t>XXX</w:t>
            </w:r>
          </w:p>
        </w:tc>
        <w:tc>
          <w:tcPr>
            <w:tcW w:w="3046" w:type="dxa"/>
            <w:tcBorders>
              <w:top w:val="single" w:color="auto" w:sz="4" w:space="0"/>
              <w:left w:val="nil"/>
              <w:bottom w:val="single" w:color="auto" w:sz="4" w:space="0"/>
              <w:right w:val="single" w:color="auto" w:sz="4" w:space="0"/>
            </w:tcBorders>
          </w:tcPr>
          <w:p w14:paraId="62320DCC">
            <w:pPr>
              <w:spacing w:line="600" w:lineRule="exact"/>
              <w:ind w:firstLine="480" w:firstLineChars="200"/>
              <w:jc w:val="center"/>
              <w:rPr>
                <w:rFonts w:ascii="宋体" w:hAnsi="宋体" w:cs="宋体"/>
                <w:color w:val="auto"/>
                <w:sz w:val="24"/>
                <w:highlight w:val="none"/>
              </w:rPr>
            </w:pPr>
            <w:r>
              <w:rPr>
                <w:rFonts w:hint="eastAsia" w:ascii="宋体" w:hAnsi="宋体" w:cs="宋体"/>
                <w:color w:val="auto"/>
                <w:sz w:val="24"/>
                <w:highlight w:val="none"/>
                <w:lang w:bidi="ar"/>
              </w:rPr>
              <w:t>见投标文件第</w:t>
            </w:r>
            <w:r>
              <w:rPr>
                <w:rFonts w:hint="eastAsia" w:ascii="宋体" w:hAnsi="宋体" w:cs="宋体"/>
                <w:color w:val="auto"/>
                <w:sz w:val="24"/>
                <w:highlight w:val="none"/>
                <w:u w:val="single"/>
                <w:lang w:bidi="ar"/>
              </w:rPr>
              <w:t xml:space="preserve">  </w:t>
            </w:r>
            <w:r>
              <w:rPr>
                <w:rFonts w:hint="eastAsia" w:ascii="宋体" w:hAnsi="宋体" w:cs="宋体"/>
                <w:color w:val="auto"/>
                <w:sz w:val="24"/>
                <w:highlight w:val="none"/>
                <w:lang w:bidi="ar"/>
              </w:rPr>
              <w:t>页</w:t>
            </w:r>
          </w:p>
        </w:tc>
      </w:tr>
      <w:tr w14:paraId="62320D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tcPr>
          <w:p w14:paraId="62320DCE">
            <w:pPr>
              <w:snapToGrid w:val="0"/>
              <w:spacing w:line="600" w:lineRule="exact"/>
              <w:rPr>
                <w:rFonts w:ascii="宋体" w:hAnsi="宋体" w:cs="宋体"/>
                <w:color w:val="auto"/>
                <w:sz w:val="24"/>
                <w:highlight w:val="none"/>
              </w:rPr>
            </w:pPr>
            <w:r>
              <w:rPr>
                <w:rFonts w:hint="eastAsia" w:ascii="宋体" w:hAnsi="宋体" w:cs="宋体"/>
                <w:color w:val="auto"/>
                <w:sz w:val="24"/>
                <w:highlight w:val="none"/>
                <w:lang w:bidi="ar"/>
              </w:rPr>
              <w:t>2</w:t>
            </w:r>
          </w:p>
        </w:tc>
        <w:tc>
          <w:tcPr>
            <w:tcW w:w="5465" w:type="dxa"/>
            <w:tcBorders>
              <w:top w:val="single" w:color="auto" w:sz="4" w:space="0"/>
              <w:left w:val="nil"/>
              <w:bottom w:val="single" w:color="auto" w:sz="4" w:space="0"/>
              <w:right w:val="single" w:color="auto" w:sz="4" w:space="0"/>
            </w:tcBorders>
          </w:tcPr>
          <w:p w14:paraId="62320DCF">
            <w:pPr>
              <w:snapToGrid w:val="0"/>
              <w:spacing w:line="600" w:lineRule="exact"/>
              <w:ind w:firstLine="480" w:firstLineChars="200"/>
              <w:jc w:val="center"/>
              <w:rPr>
                <w:rFonts w:ascii="宋体" w:hAnsi="宋体" w:cs="宋体"/>
                <w:color w:val="auto"/>
                <w:sz w:val="24"/>
                <w:highlight w:val="none"/>
              </w:rPr>
            </w:pPr>
            <w:r>
              <w:rPr>
                <w:rFonts w:hint="eastAsia" w:ascii="宋体" w:hAnsi="宋体" w:cs="宋体"/>
                <w:color w:val="auto"/>
                <w:sz w:val="24"/>
                <w:highlight w:val="none"/>
                <w:lang w:bidi="ar"/>
              </w:rPr>
              <w:t>XXX</w:t>
            </w:r>
          </w:p>
        </w:tc>
        <w:tc>
          <w:tcPr>
            <w:tcW w:w="3046" w:type="dxa"/>
            <w:tcBorders>
              <w:top w:val="single" w:color="auto" w:sz="4" w:space="0"/>
              <w:left w:val="nil"/>
              <w:bottom w:val="single" w:color="auto" w:sz="4" w:space="0"/>
              <w:right w:val="single" w:color="auto" w:sz="4" w:space="0"/>
            </w:tcBorders>
          </w:tcPr>
          <w:p w14:paraId="62320DD0">
            <w:pPr>
              <w:spacing w:line="600" w:lineRule="exact"/>
              <w:ind w:firstLine="480" w:firstLineChars="200"/>
              <w:jc w:val="center"/>
              <w:rPr>
                <w:rFonts w:ascii="宋体" w:hAnsi="宋体" w:cs="宋体"/>
                <w:color w:val="auto"/>
                <w:sz w:val="24"/>
                <w:highlight w:val="none"/>
              </w:rPr>
            </w:pPr>
            <w:r>
              <w:rPr>
                <w:rFonts w:hint="eastAsia" w:ascii="宋体" w:hAnsi="宋体" w:cs="宋体"/>
                <w:color w:val="auto"/>
                <w:sz w:val="24"/>
                <w:highlight w:val="none"/>
                <w:lang w:bidi="ar"/>
              </w:rPr>
              <w:t>见投标文件第</w:t>
            </w:r>
            <w:r>
              <w:rPr>
                <w:rFonts w:hint="eastAsia" w:ascii="宋体" w:hAnsi="宋体" w:cs="宋体"/>
                <w:color w:val="auto"/>
                <w:sz w:val="24"/>
                <w:highlight w:val="none"/>
                <w:u w:val="single"/>
                <w:lang w:bidi="ar"/>
              </w:rPr>
              <w:t xml:space="preserve">  </w:t>
            </w:r>
            <w:r>
              <w:rPr>
                <w:rFonts w:hint="eastAsia" w:ascii="宋体" w:hAnsi="宋体" w:cs="宋体"/>
                <w:color w:val="auto"/>
                <w:sz w:val="24"/>
                <w:highlight w:val="none"/>
                <w:lang w:bidi="ar"/>
              </w:rPr>
              <w:t>页</w:t>
            </w:r>
          </w:p>
        </w:tc>
      </w:tr>
      <w:tr w14:paraId="62320D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tcPr>
          <w:p w14:paraId="62320DD2">
            <w:pPr>
              <w:snapToGrid w:val="0"/>
              <w:spacing w:line="600" w:lineRule="exact"/>
              <w:rPr>
                <w:rFonts w:ascii="宋体" w:hAnsi="宋体" w:cs="宋体"/>
                <w:color w:val="auto"/>
                <w:sz w:val="24"/>
                <w:highlight w:val="none"/>
              </w:rPr>
            </w:pPr>
            <w:r>
              <w:rPr>
                <w:rFonts w:hint="eastAsia" w:ascii="宋体" w:hAnsi="宋体" w:cs="宋体"/>
                <w:color w:val="auto"/>
                <w:kern w:val="0"/>
                <w:sz w:val="24"/>
                <w:highlight w:val="none"/>
                <w:lang w:bidi="ar"/>
              </w:rPr>
              <w:t>……</w:t>
            </w:r>
          </w:p>
        </w:tc>
        <w:tc>
          <w:tcPr>
            <w:tcW w:w="5465" w:type="dxa"/>
            <w:tcBorders>
              <w:top w:val="single" w:color="auto" w:sz="4" w:space="0"/>
              <w:left w:val="nil"/>
              <w:bottom w:val="single" w:color="auto" w:sz="4" w:space="0"/>
              <w:right w:val="single" w:color="auto" w:sz="4" w:space="0"/>
            </w:tcBorders>
          </w:tcPr>
          <w:p w14:paraId="62320DD3">
            <w:pPr>
              <w:snapToGrid w:val="0"/>
              <w:spacing w:line="600" w:lineRule="exact"/>
              <w:ind w:firstLine="480" w:firstLineChars="200"/>
              <w:jc w:val="center"/>
              <w:rPr>
                <w:rFonts w:ascii="宋体" w:hAnsi="宋体" w:cs="宋体"/>
                <w:color w:val="auto"/>
                <w:sz w:val="24"/>
                <w:highlight w:val="none"/>
              </w:rPr>
            </w:pPr>
          </w:p>
        </w:tc>
        <w:tc>
          <w:tcPr>
            <w:tcW w:w="3046" w:type="dxa"/>
            <w:tcBorders>
              <w:top w:val="single" w:color="auto" w:sz="4" w:space="0"/>
              <w:left w:val="nil"/>
              <w:bottom w:val="single" w:color="auto" w:sz="4" w:space="0"/>
              <w:right w:val="single" w:color="auto" w:sz="4" w:space="0"/>
            </w:tcBorders>
          </w:tcPr>
          <w:p w14:paraId="62320DD4">
            <w:pPr>
              <w:spacing w:line="600" w:lineRule="exact"/>
              <w:ind w:firstLine="480" w:firstLineChars="200"/>
              <w:jc w:val="center"/>
              <w:rPr>
                <w:rFonts w:ascii="宋体" w:hAnsi="宋体" w:cs="宋体"/>
                <w:color w:val="auto"/>
                <w:sz w:val="24"/>
                <w:highlight w:val="none"/>
              </w:rPr>
            </w:pPr>
            <w:r>
              <w:rPr>
                <w:rFonts w:hint="eastAsia" w:ascii="宋体" w:hAnsi="宋体" w:cs="宋体"/>
                <w:color w:val="auto"/>
                <w:sz w:val="24"/>
                <w:highlight w:val="none"/>
                <w:lang w:bidi="ar"/>
              </w:rPr>
              <w:t>见投标文件第</w:t>
            </w:r>
            <w:r>
              <w:rPr>
                <w:rFonts w:hint="eastAsia" w:ascii="宋体" w:hAnsi="宋体" w:cs="宋体"/>
                <w:color w:val="auto"/>
                <w:sz w:val="24"/>
                <w:highlight w:val="none"/>
                <w:u w:val="single"/>
                <w:lang w:bidi="ar"/>
              </w:rPr>
              <w:t xml:space="preserve">  </w:t>
            </w:r>
            <w:r>
              <w:rPr>
                <w:rFonts w:hint="eastAsia" w:ascii="宋体" w:hAnsi="宋体" w:cs="宋体"/>
                <w:color w:val="auto"/>
                <w:sz w:val="24"/>
                <w:highlight w:val="none"/>
                <w:lang w:bidi="ar"/>
              </w:rPr>
              <w:t>页</w:t>
            </w:r>
          </w:p>
        </w:tc>
      </w:tr>
    </w:tbl>
    <w:p w14:paraId="62320DD6">
      <w:pPr>
        <w:jc w:val="center"/>
        <w:rPr>
          <w:rFonts w:ascii="宋体" w:hAnsi="宋体" w:cs="宋体"/>
          <w:b/>
          <w:color w:val="auto"/>
          <w:kern w:val="0"/>
          <w:sz w:val="32"/>
          <w:szCs w:val="32"/>
          <w:highlight w:val="none"/>
        </w:rPr>
      </w:pPr>
    </w:p>
    <w:p w14:paraId="62320DD7">
      <w:pPr>
        <w:jc w:val="center"/>
        <w:rPr>
          <w:rFonts w:ascii="宋体" w:hAnsi="宋体" w:cs="宋体"/>
          <w:b/>
          <w:color w:val="auto"/>
          <w:kern w:val="0"/>
          <w:sz w:val="32"/>
          <w:szCs w:val="32"/>
          <w:highlight w:val="none"/>
        </w:rPr>
      </w:pPr>
    </w:p>
    <w:p w14:paraId="62320DD8">
      <w:pP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62320DD9">
      <w:pPr>
        <w:numPr>
          <w:ilvl w:val="0"/>
          <w:numId w:val="10"/>
        </w:numPr>
        <w:ind w:left="0" w:leftChars="0" w:firstLine="0" w:firstLineChars="0"/>
        <w:jc w:val="cente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投标标的清单</w:t>
      </w:r>
    </w:p>
    <w:p w14:paraId="21A5A303">
      <w:pPr>
        <w:pStyle w:val="6"/>
        <w:numPr>
          <w:ilvl w:val="0"/>
          <w:numId w:val="0"/>
        </w:numPr>
        <w:rPr>
          <w:rFonts w:hint="eastAsia" w:ascii="宋体" w:hAnsi="宋体" w:eastAsia="宋体" w:cs="宋体"/>
          <w:color w:val="auto"/>
          <w:sz w:val="24"/>
          <w:szCs w:val="24"/>
          <w:highlight w:val="none"/>
          <w:lang w:val="en-US" w:eastAsia="zh-CN"/>
        </w:rPr>
      </w:pPr>
    </w:p>
    <w:p w14:paraId="527D6093">
      <w:pPr>
        <w:pStyle w:val="6"/>
        <w:numPr>
          <w:ilvl w:val="0"/>
          <w:numId w:val="0"/>
        </w:numP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项目名称：</w:t>
      </w:r>
    </w:p>
    <w:p w14:paraId="7DF9338D">
      <w:pPr>
        <w:keepNext w:val="0"/>
        <w:keepLines w:val="0"/>
        <w:pageBreakBefore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项目编号：</w:t>
      </w:r>
    </w:p>
    <w:p w14:paraId="6F317532">
      <w:pPr>
        <w:keepNext w:val="0"/>
        <w:keepLines w:val="0"/>
        <w:pageBreakBefore w:val="0"/>
        <w:kinsoku/>
        <w:wordWrap/>
        <w:overflowPunct/>
        <w:topLinePunct w:val="0"/>
        <w:autoSpaceDE/>
        <w:autoSpaceDN/>
        <w:bidi w:val="0"/>
        <w:adjustRightInd w:val="0"/>
        <w:spacing w:line="360" w:lineRule="auto"/>
        <w:textAlignment w:val="auto"/>
        <w:rPr>
          <w:color w:val="auto"/>
          <w:highlight w:val="none"/>
        </w:rPr>
      </w:pPr>
      <w:r>
        <w:rPr>
          <w:rFonts w:hint="eastAsia"/>
          <w:color w:val="auto"/>
          <w:sz w:val="24"/>
          <w:szCs w:val="24"/>
          <w:highlight w:val="none"/>
          <w:lang w:val="en-US" w:eastAsia="zh-CN"/>
        </w:rPr>
        <w:t>标项号：</w:t>
      </w:r>
    </w:p>
    <w:tbl>
      <w:tblPr>
        <w:tblStyle w:val="63"/>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62320D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2320DDA">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62320DDB">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62320DDC">
            <w:pPr>
              <w:spacing w:line="360" w:lineRule="auto"/>
              <w:jc w:val="center"/>
              <w:rPr>
                <w:rFonts w:ascii="宋体" w:hAnsi="宋体" w:cs="宋体"/>
                <w:b/>
                <w:color w:val="auto"/>
                <w:sz w:val="24"/>
                <w:highlight w:val="none"/>
              </w:rPr>
            </w:pPr>
          </w:p>
          <w:p w14:paraId="62320DD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62320DDE">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62320DDF">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62320DE0">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62320DE1">
            <w:pPr>
              <w:spacing w:line="360" w:lineRule="auto"/>
              <w:jc w:val="center"/>
              <w:rPr>
                <w:rFonts w:ascii="宋体" w:hAnsi="宋体" w:cs="宋体"/>
                <w:b/>
                <w:color w:val="auto"/>
                <w:sz w:val="24"/>
                <w:highlight w:val="none"/>
              </w:rPr>
            </w:pPr>
          </w:p>
          <w:p w14:paraId="62320DE2">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62320DE3">
            <w:pPr>
              <w:spacing w:line="360" w:lineRule="auto"/>
              <w:jc w:val="center"/>
              <w:rPr>
                <w:rFonts w:ascii="宋体" w:hAnsi="宋体" w:cs="宋体"/>
                <w:b/>
                <w:color w:val="auto"/>
                <w:sz w:val="24"/>
                <w:highlight w:val="none"/>
              </w:rPr>
            </w:pPr>
          </w:p>
        </w:tc>
      </w:tr>
      <w:tr w14:paraId="62320D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2320DE5">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62320DE6">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62320DE7">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62320DE8">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62320DE9">
            <w:pPr>
              <w:spacing w:line="360" w:lineRule="auto"/>
              <w:jc w:val="center"/>
              <w:rPr>
                <w:rFonts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62320DEA">
            <w:pPr>
              <w:spacing w:line="360" w:lineRule="auto"/>
              <w:jc w:val="center"/>
              <w:rPr>
                <w:rFonts w:ascii="宋体" w:hAnsi="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62320DEB">
            <w:pPr>
              <w:spacing w:line="360" w:lineRule="auto"/>
              <w:jc w:val="center"/>
              <w:rPr>
                <w:rFonts w:ascii="宋体" w:hAnsi="宋体" w:cs="宋体"/>
                <w:color w:val="auto"/>
                <w:sz w:val="24"/>
                <w:highlight w:val="none"/>
              </w:rPr>
            </w:pPr>
          </w:p>
        </w:tc>
      </w:tr>
      <w:tr w14:paraId="62320D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2320DED">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62320DEE">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62320DEF">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62320DF0">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62320DF1">
            <w:pPr>
              <w:spacing w:line="360" w:lineRule="auto"/>
              <w:jc w:val="center"/>
              <w:rPr>
                <w:rFonts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62320DF2">
            <w:pPr>
              <w:spacing w:line="360" w:lineRule="auto"/>
              <w:jc w:val="center"/>
              <w:rPr>
                <w:rFonts w:ascii="宋体" w:hAnsi="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62320DF3">
            <w:pPr>
              <w:spacing w:line="360" w:lineRule="auto"/>
              <w:jc w:val="center"/>
              <w:rPr>
                <w:rFonts w:ascii="宋体" w:hAnsi="宋体" w:cs="宋体"/>
                <w:color w:val="auto"/>
                <w:sz w:val="24"/>
                <w:highlight w:val="none"/>
              </w:rPr>
            </w:pPr>
          </w:p>
        </w:tc>
      </w:tr>
      <w:tr w14:paraId="62320D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2320DF5">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62320DF6">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62320DF7">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62320DF8">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62320DF9">
            <w:pPr>
              <w:spacing w:line="360" w:lineRule="auto"/>
              <w:jc w:val="center"/>
              <w:rPr>
                <w:rFonts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62320DFA">
            <w:pPr>
              <w:spacing w:line="360" w:lineRule="auto"/>
              <w:jc w:val="center"/>
              <w:rPr>
                <w:rFonts w:ascii="宋体" w:hAnsi="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62320DFB">
            <w:pPr>
              <w:spacing w:line="360" w:lineRule="auto"/>
              <w:jc w:val="center"/>
              <w:rPr>
                <w:rFonts w:ascii="宋体" w:hAnsi="宋体" w:cs="宋体"/>
                <w:color w:val="auto"/>
                <w:sz w:val="24"/>
                <w:highlight w:val="none"/>
              </w:rPr>
            </w:pPr>
          </w:p>
        </w:tc>
      </w:tr>
    </w:tbl>
    <w:p w14:paraId="62320DFD">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62320DFE">
      <w:pPr>
        <w:jc w:val="center"/>
        <w:rPr>
          <w:rFonts w:ascii="宋体" w:hAnsi="宋体" w:cs="宋体"/>
          <w:b/>
          <w:color w:val="auto"/>
          <w:kern w:val="0"/>
          <w:sz w:val="32"/>
          <w:szCs w:val="32"/>
          <w:highlight w:val="none"/>
        </w:rPr>
      </w:pPr>
    </w:p>
    <w:p w14:paraId="62320DFF">
      <w:pPr>
        <w:jc w:val="center"/>
        <w:rPr>
          <w:rFonts w:ascii="宋体" w:hAnsi="宋体" w:cs="宋体"/>
          <w:b/>
          <w:color w:val="auto"/>
          <w:kern w:val="0"/>
          <w:sz w:val="32"/>
          <w:szCs w:val="32"/>
          <w:highlight w:val="none"/>
        </w:rPr>
      </w:pPr>
    </w:p>
    <w:p w14:paraId="62320E00">
      <w:pP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62320E01">
      <w:pPr>
        <w:numPr>
          <w:ilvl w:val="0"/>
          <w:numId w:val="10"/>
        </w:numPr>
        <w:ind w:left="0" w:leftChars="0" w:firstLine="0" w:firstLineChars="0"/>
        <w:jc w:val="cente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商务技术偏离表</w:t>
      </w:r>
    </w:p>
    <w:p w14:paraId="6B30A654">
      <w:pPr>
        <w:pStyle w:val="6"/>
        <w:numPr>
          <w:ilvl w:val="0"/>
          <w:numId w:val="0"/>
        </w:numPr>
        <w:rPr>
          <w:rFonts w:hint="eastAsia" w:ascii="宋体" w:hAnsi="宋体" w:eastAsia="宋体" w:cs="宋体"/>
          <w:color w:val="auto"/>
          <w:sz w:val="24"/>
          <w:szCs w:val="24"/>
          <w:highlight w:val="none"/>
          <w:lang w:val="en-US" w:eastAsia="zh-CN"/>
        </w:rPr>
      </w:pPr>
    </w:p>
    <w:p w14:paraId="614E3E19">
      <w:pPr>
        <w:pStyle w:val="6"/>
        <w:keepNext w:val="0"/>
        <w:keepLines w:val="0"/>
        <w:pageBreakBefore w:val="0"/>
        <w:numPr>
          <w:ilvl w:val="0"/>
          <w:numId w:val="0"/>
        </w:numPr>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项目名称：</w:t>
      </w:r>
    </w:p>
    <w:p w14:paraId="6E4929C7">
      <w:pPr>
        <w:pStyle w:val="6"/>
        <w:keepNext w:val="0"/>
        <w:keepLines w:val="0"/>
        <w:pageBreakBefore w:val="0"/>
        <w:numPr>
          <w:ilvl w:val="0"/>
          <w:numId w:val="0"/>
        </w:numPr>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项目编号：</w:t>
      </w:r>
    </w:p>
    <w:p w14:paraId="09D7504F">
      <w:pPr>
        <w:keepNext w:val="0"/>
        <w:keepLines w:val="0"/>
        <w:pageBreakBefore w:val="0"/>
        <w:kinsoku/>
        <w:wordWrap/>
        <w:overflowPunct/>
        <w:topLinePunct w:val="0"/>
        <w:autoSpaceDE/>
        <w:autoSpaceDN/>
        <w:bidi w:val="0"/>
        <w:adjustRightInd w:val="0"/>
        <w:spacing w:line="360" w:lineRule="auto"/>
        <w:textAlignment w:val="auto"/>
        <w:rPr>
          <w:rFonts w:hint="default" w:eastAsia="宋体"/>
          <w:color w:val="auto"/>
          <w:sz w:val="24"/>
          <w:szCs w:val="24"/>
          <w:highlight w:val="none"/>
          <w:lang w:val="en-US" w:eastAsia="zh-CN"/>
        </w:rPr>
      </w:pPr>
      <w:r>
        <w:rPr>
          <w:rFonts w:hint="eastAsia"/>
          <w:color w:val="auto"/>
          <w:sz w:val="24"/>
          <w:szCs w:val="24"/>
          <w:highlight w:val="none"/>
          <w:lang w:val="en-US" w:eastAsia="zh-CN"/>
        </w:rPr>
        <w:t>标项号：</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62320E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4" w:hRule="atLeast"/>
        </w:trPr>
        <w:tc>
          <w:tcPr>
            <w:tcW w:w="959" w:type="dxa"/>
            <w:vAlign w:val="center"/>
          </w:tcPr>
          <w:p w14:paraId="62320E02">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683" w:type="dxa"/>
            <w:vAlign w:val="center"/>
          </w:tcPr>
          <w:p w14:paraId="62320E03">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546" w:type="dxa"/>
            <w:vAlign w:val="center"/>
          </w:tcPr>
          <w:p w14:paraId="62320E04">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276" w:type="dxa"/>
            <w:vAlign w:val="center"/>
          </w:tcPr>
          <w:p w14:paraId="62320E05">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62320E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14:paraId="62320E07">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683" w:type="dxa"/>
            <w:vAlign w:val="center"/>
          </w:tcPr>
          <w:p w14:paraId="62320E08">
            <w:pPr>
              <w:jc w:val="center"/>
              <w:rPr>
                <w:rFonts w:ascii="宋体" w:hAnsi="宋体" w:cs="宋体"/>
                <w:b/>
                <w:color w:val="auto"/>
                <w:kern w:val="0"/>
                <w:sz w:val="32"/>
                <w:szCs w:val="32"/>
                <w:highlight w:val="none"/>
              </w:rPr>
            </w:pPr>
          </w:p>
        </w:tc>
        <w:tc>
          <w:tcPr>
            <w:tcW w:w="3546" w:type="dxa"/>
            <w:vAlign w:val="center"/>
          </w:tcPr>
          <w:p w14:paraId="62320E09">
            <w:pPr>
              <w:jc w:val="center"/>
              <w:rPr>
                <w:rFonts w:ascii="宋体" w:hAnsi="宋体" w:cs="宋体"/>
                <w:b/>
                <w:color w:val="auto"/>
                <w:kern w:val="0"/>
                <w:sz w:val="32"/>
                <w:szCs w:val="32"/>
                <w:highlight w:val="none"/>
              </w:rPr>
            </w:pPr>
          </w:p>
        </w:tc>
        <w:tc>
          <w:tcPr>
            <w:tcW w:w="1276" w:type="dxa"/>
            <w:vAlign w:val="center"/>
          </w:tcPr>
          <w:p w14:paraId="62320E0A">
            <w:pPr>
              <w:jc w:val="center"/>
              <w:rPr>
                <w:rFonts w:ascii="宋体" w:hAnsi="宋体" w:cs="宋体"/>
                <w:b/>
                <w:color w:val="auto"/>
                <w:kern w:val="0"/>
                <w:sz w:val="32"/>
                <w:szCs w:val="32"/>
                <w:highlight w:val="none"/>
              </w:rPr>
            </w:pPr>
          </w:p>
        </w:tc>
      </w:tr>
      <w:tr w14:paraId="62320E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14:paraId="62320E0C">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683" w:type="dxa"/>
            <w:vAlign w:val="center"/>
          </w:tcPr>
          <w:p w14:paraId="62320E0D">
            <w:pPr>
              <w:jc w:val="center"/>
              <w:rPr>
                <w:rFonts w:ascii="宋体" w:hAnsi="宋体" w:cs="宋体"/>
                <w:b/>
                <w:color w:val="auto"/>
                <w:kern w:val="0"/>
                <w:sz w:val="32"/>
                <w:szCs w:val="32"/>
                <w:highlight w:val="none"/>
              </w:rPr>
            </w:pPr>
          </w:p>
        </w:tc>
        <w:tc>
          <w:tcPr>
            <w:tcW w:w="3546" w:type="dxa"/>
            <w:vAlign w:val="center"/>
          </w:tcPr>
          <w:p w14:paraId="62320E0E">
            <w:pPr>
              <w:jc w:val="center"/>
              <w:rPr>
                <w:rFonts w:ascii="宋体" w:hAnsi="宋体" w:cs="宋体"/>
                <w:b/>
                <w:color w:val="auto"/>
                <w:kern w:val="0"/>
                <w:sz w:val="32"/>
                <w:szCs w:val="32"/>
                <w:highlight w:val="none"/>
              </w:rPr>
            </w:pPr>
          </w:p>
        </w:tc>
        <w:tc>
          <w:tcPr>
            <w:tcW w:w="1276" w:type="dxa"/>
            <w:vAlign w:val="center"/>
          </w:tcPr>
          <w:p w14:paraId="62320E0F">
            <w:pPr>
              <w:jc w:val="center"/>
              <w:rPr>
                <w:rFonts w:ascii="宋体" w:hAnsi="宋体" w:cs="宋体"/>
                <w:b/>
                <w:color w:val="auto"/>
                <w:kern w:val="0"/>
                <w:sz w:val="32"/>
                <w:szCs w:val="32"/>
                <w:highlight w:val="none"/>
              </w:rPr>
            </w:pPr>
          </w:p>
        </w:tc>
      </w:tr>
      <w:tr w14:paraId="62320E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14:paraId="62320E11">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683" w:type="dxa"/>
            <w:vAlign w:val="center"/>
          </w:tcPr>
          <w:p w14:paraId="62320E12">
            <w:pPr>
              <w:jc w:val="center"/>
              <w:rPr>
                <w:rFonts w:ascii="宋体" w:hAnsi="宋体" w:cs="宋体"/>
                <w:b/>
                <w:color w:val="auto"/>
                <w:kern w:val="0"/>
                <w:sz w:val="32"/>
                <w:szCs w:val="32"/>
                <w:highlight w:val="none"/>
              </w:rPr>
            </w:pPr>
          </w:p>
        </w:tc>
        <w:tc>
          <w:tcPr>
            <w:tcW w:w="3546" w:type="dxa"/>
            <w:vAlign w:val="center"/>
          </w:tcPr>
          <w:p w14:paraId="62320E13">
            <w:pPr>
              <w:jc w:val="center"/>
              <w:rPr>
                <w:rFonts w:ascii="宋体" w:hAnsi="宋体" w:cs="宋体"/>
                <w:b/>
                <w:color w:val="auto"/>
                <w:kern w:val="0"/>
                <w:sz w:val="32"/>
                <w:szCs w:val="32"/>
                <w:highlight w:val="none"/>
              </w:rPr>
            </w:pPr>
          </w:p>
        </w:tc>
        <w:tc>
          <w:tcPr>
            <w:tcW w:w="1276" w:type="dxa"/>
            <w:vAlign w:val="center"/>
          </w:tcPr>
          <w:p w14:paraId="62320E14">
            <w:pPr>
              <w:jc w:val="center"/>
              <w:rPr>
                <w:rFonts w:ascii="宋体" w:hAnsi="宋体" w:cs="宋体"/>
                <w:b/>
                <w:color w:val="auto"/>
                <w:kern w:val="0"/>
                <w:sz w:val="32"/>
                <w:szCs w:val="32"/>
                <w:highlight w:val="none"/>
              </w:rPr>
            </w:pPr>
          </w:p>
        </w:tc>
      </w:tr>
    </w:tbl>
    <w:p w14:paraId="62320E16">
      <w:pPr>
        <w:jc w:val="left"/>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rPr>
        <w:t>投标人保证：除商务技术偏离表列出的偏离外，投标人响应招标文件的全部要求</w:t>
      </w:r>
      <w:r>
        <w:rPr>
          <w:rFonts w:hint="eastAsia" w:ascii="宋体" w:hAnsi="宋体" w:cs="宋体"/>
          <w:color w:val="auto"/>
          <w:kern w:val="0"/>
          <w:sz w:val="24"/>
          <w:highlight w:val="none"/>
          <w:lang w:eastAsia="zh-CN"/>
        </w:rPr>
        <w:t>。</w:t>
      </w:r>
    </w:p>
    <w:p w14:paraId="62320E17">
      <w:pPr>
        <w:jc w:val="center"/>
        <w:rPr>
          <w:rFonts w:ascii="宋体" w:hAnsi="宋体" w:cs="宋体"/>
          <w:b/>
          <w:color w:val="auto"/>
          <w:kern w:val="0"/>
          <w:sz w:val="32"/>
          <w:szCs w:val="32"/>
          <w:highlight w:val="none"/>
        </w:rPr>
      </w:pPr>
    </w:p>
    <w:p w14:paraId="62320E18">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注：1.按本格式和要求提供。</w:t>
      </w:r>
    </w:p>
    <w:p w14:paraId="62320E19">
      <w:pPr>
        <w:pStyle w:val="89"/>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2.本表格所反映的偏离情况与“符合性审查资料”、“评标标准相应的商务技术资料”不一致的，以“符合性审查资料”、“评标标准相应的商务技术资料”为准。</w:t>
      </w:r>
    </w:p>
    <w:p w14:paraId="62320E1A">
      <w:pPr>
        <w:pStyle w:val="89"/>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3.投标人须保证：除商务技术偏离表列出的偏离外，投标人响应招标文件的全部非实质性要求。</w:t>
      </w:r>
    </w:p>
    <w:p w14:paraId="62320E1B">
      <w:pPr>
        <w:widowControl/>
        <w:adjustRightInd/>
        <w:jc w:val="left"/>
        <w:rPr>
          <w:rFonts w:ascii="宋体" w:hAnsi="宋体" w:cs="宋体"/>
          <w:b/>
          <w:bCs/>
          <w:color w:val="auto"/>
          <w:sz w:val="32"/>
          <w:szCs w:val="32"/>
          <w:highlight w:val="none"/>
        </w:rPr>
      </w:pPr>
      <w:r>
        <w:rPr>
          <w:rFonts w:hint="eastAsia" w:ascii="宋体" w:hAnsi="宋体" w:cs="宋体"/>
          <w:b/>
          <w:bCs/>
          <w:color w:val="auto"/>
          <w:sz w:val="32"/>
          <w:szCs w:val="32"/>
          <w:highlight w:val="none"/>
        </w:rPr>
        <w:br w:type="page"/>
      </w:r>
    </w:p>
    <w:p w14:paraId="62320E1C">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62320E1D">
      <w:pPr>
        <w:snapToGrid w:val="0"/>
        <w:spacing w:line="360" w:lineRule="auto"/>
        <w:rPr>
          <w:rFonts w:ascii="宋体" w:hAnsi="宋体" w:cs="宋体"/>
          <w:color w:val="auto"/>
          <w:sz w:val="24"/>
          <w:highlight w:val="none"/>
        </w:rPr>
      </w:pPr>
    </w:p>
    <w:p w14:paraId="62320E1E">
      <w:pPr>
        <w:snapToGrid w:val="0"/>
        <w:spacing w:line="360" w:lineRule="auto"/>
        <w:rPr>
          <w:rFonts w:ascii="宋体" w:hAnsi="宋体" w:cs="宋体"/>
          <w:b/>
          <w:bCs/>
          <w:color w:val="auto"/>
          <w:kern w:val="0"/>
          <w:sz w:val="24"/>
          <w:highlight w:val="none"/>
          <w:u w:val="single"/>
        </w:rPr>
      </w:pPr>
      <w:r>
        <w:rPr>
          <w:rFonts w:hint="eastAsia" w:ascii="宋体" w:hAnsi="宋体" w:cs="宋体"/>
          <w:b/>
          <w:bCs/>
          <w:color w:val="auto"/>
          <w:sz w:val="24"/>
          <w:highlight w:val="none"/>
          <w:u w:val="single"/>
        </w:rPr>
        <w:t>浙江省司法厅</w:t>
      </w:r>
      <w:r>
        <w:rPr>
          <w:rFonts w:hint="eastAsia" w:ascii="宋体" w:hAnsi="宋体" w:cs="宋体"/>
          <w:b/>
          <w:bCs/>
          <w:color w:val="auto"/>
          <w:kern w:val="0"/>
          <w:sz w:val="24"/>
          <w:highlight w:val="none"/>
          <w:u w:val="single"/>
          <w:lang w:val="zh-CN"/>
        </w:rPr>
        <w:t>：</w:t>
      </w:r>
    </w:p>
    <w:p w14:paraId="62320E1F">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62320E20">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62320E21">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62320E22">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62320E23">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62320E24">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62320E25">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62320E26">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62320E27">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62320E28">
      <w:pPr>
        <w:autoSpaceDE w:val="0"/>
        <w:autoSpaceDN w:val="0"/>
        <w:spacing w:line="360" w:lineRule="auto"/>
        <w:ind w:left="2"/>
        <w:jc w:val="left"/>
        <w:rPr>
          <w:rFonts w:ascii="宋体" w:hAnsi="宋体" w:cs="宋体"/>
          <w:color w:val="auto"/>
          <w:kern w:val="0"/>
          <w:sz w:val="24"/>
          <w:highlight w:val="none"/>
          <w:lang w:val="zh-CN"/>
        </w:rPr>
      </w:pPr>
    </w:p>
    <w:p w14:paraId="62320E29">
      <w:pPr>
        <w:autoSpaceDE w:val="0"/>
        <w:autoSpaceDN w:val="0"/>
        <w:spacing w:line="360" w:lineRule="auto"/>
        <w:ind w:left="2"/>
        <w:jc w:val="left"/>
        <w:rPr>
          <w:rFonts w:ascii="宋体" w:hAnsi="宋体" w:cs="宋体"/>
          <w:color w:val="auto"/>
          <w:kern w:val="0"/>
          <w:sz w:val="24"/>
          <w:highlight w:val="none"/>
          <w:lang w:val="zh-CN"/>
        </w:rPr>
      </w:pPr>
    </w:p>
    <w:p w14:paraId="62320E2A">
      <w:pPr>
        <w:autoSpaceDE w:val="0"/>
        <w:autoSpaceDN w:val="0"/>
        <w:spacing w:line="360" w:lineRule="auto"/>
        <w:ind w:left="2"/>
        <w:jc w:val="left"/>
        <w:rPr>
          <w:rFonts w:ascii="宋体" w:hAnsi="宋体" w:cs="宋体"/>
          <w:color w:val="auto"/>
          <w:kern w:val="0"/>
          <w:sz w:val="24"/>
          <w:highlight w:val="none"/>
          <w:lang w:val="zh-CN"/>
        </w:rPr>
      </w:pPr>
    </w:p>
    <w:p w14:paraId="62320E2B">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62320E2C">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62320E2D">
      <w:pPr>
        <w:spacing w:line="360" w:lineRule="auto"/>
        <w:jc w:val="center"/>
        <w:rPr>
          <w:rFonts w:ascii="宋体" w:hAnsi="宋体" w:cs="宋体"/>
          <w:b/>
          <w:bCs/>
          <w:color w:val="auto"/>
          <w:sz w:val="24"/>
          <w:highlight w:val="none"/>
        </w:rPr>
      </w:pPr>
    </w:p>
    <w:p w14:paraId="62320E2E">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420D6839">
      <w:pPr>
        <w:spacing w:line="360" w:lineRule="auto"/>
        <w:jc w:val="center"/>
        <w:rPr>
          <w:rFonts w:ascii="宋体" w:hAnsi="宋体" w:cs="宋体"/>
          <w:b/>
          <w:bCs/>
          <w:color w:val="auto"/>
          <w:sz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62320E30">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62320E31">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62320E32">
      <w:pPr>
        <w:spacing w:line="360" w:lineRule="auto"/>
        <w:jc w:val="center"/>
        <w:outlineLvl w:val="0"/>
        <w:rPr>
          <w:rFonts w:ascii="宋体" w:hAnsi="宋体" w:cs="宋体"/>
          <w:b/>
          <w:color w:val="auto"/>
          <w:kern w:val="0"/>
          <w:sz w:val="36"/>
          <w:szCs w:val="36"/>
          <w:highlight w:val="none"/>
        </w:rPr>
      </w:pPr>
    </w:p>
    <w:p w14:paraId="62320E33">
      <w:pPr>
        <w:numPr>
          <w:ilvl w:val="0"/>
          <w:numId w:val="11"/>
        </w:num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开标一览表（报价表）………………………………………………………（页码）</w:t>
      </w:r>
    </w:p>
    <w:p w14:paraId="67D95A54">
      <w:pPr>
        <w:numPr>
          <w:ilvl w:val="0"/>
          <w:numId w:val="11"/>
        </w:numPr>
        <w:snapToGrid w:val="0"/>
        <w:spacing w:line="360" w:lineRule="auto"/>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中小企业声明函</w:t>
      </w:r>
      <w:r>
        <w:rPr>
          <w:rFonts w:hint="eastAsia" w:ascii="宋体" w:hAnsi="宋体" w:cs="宋体"/>
          <w:color w:val="auto"/>
          <w:sz w:val="24"/>
          <w:highlight w:val="none"/>
        </w:rPr>
        <w:t>（如有）……………………………………………………（页码）</w:t>
      </w:r>
    </w:p>
    <w:p w14:paraId="722D82B1">
      <w:pPr>
        <w:spacing w:line="360" w:lineRule="auto"/>
        <w:rPr>
          <w:rFonts w:ascii="宋体" w:hAnsi="宋体" w:cs="宋体"/>
          <w:color w:val="auto"/>
          <w:sz w:val="24"/>
          <w:highlight w:val="none"/>
        </w:rPr>
      </w:pPr>
    </w:p>
    <w:p w14:paraId="62320E36">
      <w:pPr>
        <w:pStyle w:val="91"/>
        <w:rPr>
          <w:rFonts w:ascii="宋体" w:hAnsi="宋体" w:eastAsia="宋体" w:cs="宋体"/>
          <w:color w:val="auto"/>
          <w:highlight w:val="none"/>
        </w:rPr>
      </w:pPr>
    </w:p>
    <w:p w14:paraId="62320E37">
      <w:pPr>
        <w:pStyle w:val="91"/>
        <w:rPr>
          <w:rFonts w:ascii="宋体" w:hAnsi="宋体" w:eastAsia="宋体" w:cs="宋体"/>
          <w:color w:val="auto"/>
          <w:highlight w:val="none"/>
        </w:rPr>
      </w:pPr>
    </w:p>
    <w:p w14:paraId="62320E38">
      <w:pPr>
        <w:snapToGrid w:val="0"/>
        <w:spacing w:line="360" w:lineRule="auto"/>
        <w:ind w:right="480"/>
        <w:jc w:val="center"/>
        <w:rPr>
          <w:rFonts w:ascii="宋体" w:hAnsi="宋体" w:cs="宋体"/>
          <w:b/>
          <w:color w:val="auto"/>
          <w:kern w:val="0"/>
          <w:sz w:val="32"/>
          <w:szCs w:val="32"/>
          <w:highlight w:val="none"/>
        </w:rPr>
      </w:pPr>
    </w:p>
    <w:p w14:paraId="62320E39">
      <w:pPr>
        <w:snapToGrid w:val="0"/>
        <w:spacing w:line="360" w:lineRule="auto"/>
        <w:ind w:right="480"/>
        <w:jc w:val="center"/>
        <w:rPr>
          <w:rFonts w:ascii="宋体" w:hAnsi="宋体" w:cs="宋体"/>
          <w:b/>
          <w:color w:val="auto"/>
          <w:kern w:val="0"/>
          <w:sz w:val="32"/>
          <w:szCs w:val="32"/>
          <w:highlight w:val="none"/>
        </w:rPr>
      </w:pPr>
    </w:p>
    <w:p w14:paraId="62320E3A">
      <w:pPr>
        <w:snapToGrid w:val="0"/>
        <w:spacing w:line="360" w:lineRule="auto"/>
        <w:ind w:right="480"/>
        <w:jc w:val="center"/>
        <w:rPr>
          <w:rFonts w:ascii="宋体" w:hAnsi="宋体" w:cs="宋体"/>
          <w:b/>
          <w:color w:val="auto"/>
          <w:kern w:val="0"/>
          <w:sz w:val="32"/>
          <w:szCs w:val="32"/>
          <w:highlight w:val="none"/>
        </w:rPr>
      </w:pPr>
    </w:p>
    <w:p w14:paraId="62320E3B">
      <w:pPr>
        <w:snapToGrid w:val="0"/>
        <w:spacing w:line="360" w:lineRule="auto"/>
        <w:ind w:right="480"/>
        <w:jc w:val="center"/>
        <w:rPr>
          <w:rFonts w:ascii="宋体" w:hAnsi="宋体" w:cs="宋体"/>
          <w:b/>
          <w:color w:val="auto"/>
          <w:kern w:val="0"/>
          <w:sz w:val="32"/>
          <w:szCs w:val="32"/>
          <w:highlight w:val="none"/>
        </w:rPr>
      </w:pPr>
    </w:p>
    <w:p w14:paraId="62320E3C">
      <w:pPr>
        <w:snapToGrid w:val="0"/>
        <w:spacing w:line="360" w:lineRule="auto"/>
        <w:ind w:right="480"/>
        <w:jc w:val="center"/>
        <w:rPr>
          <w:rFonts w:ascii="宋体" w:hAnsi="宋体" w:cs="宋体"/>
          <w:b/>
          <w:color w:val="auto"/>
          <w:kern w:val="0"/>
          <w:sz w:val="32"/>
          <w:szCs w:val="32"/>
          <w:highlight w:val="none"/>
        </w:rPr>
      </w:pPr>
    </w:p>
    <w:p w14:paraId="62320E3D">
      <w:pPr>
        <w:snapToGrid w:val="0"/>
        <w:spacing w:line="360" w:lineRule="auto"/>
        <w:ind w:right="480"/>
        <w:jc w:val="center"/>
        <w:rPr>
          <w:rFonts w:ascii="宋体" w:hAnsi="宋体" w:cs="宋体"/>
          <w:b/>
          <w:color w:val="auto"/>
          <w:kern w:val="0"/>
          <w:sz w:val="32"/>
          <w:szCs w:val="32"/>
          <w:highlight w:val="none"/>
        </w:rPr>
      </w:pPr>
    </w:p>
    <w:p w14:paraId="62320E3E">
      <w:pPr>
        <w:snapToGrid w:val="0"/>
        <w:spacing w:line="360" w:lineRule="auto"/>
        <w:ind w:right="480"/>
        <w:jc w:val="center"/>
        <w:rPr>
          <w:rFonts w:ascii="宋体" w:hAnsi="宋体" w:cs="宋体"/>
          <w:b/>
          <w:color w:val="auto"/>
          <w:kern w:val="0"/>
          <w:sz w:val="32"/>
          <w:szCs w:val="32"/>
          <w:highlight w:val="none"/>
        </w:rPr>
      </w:pPr>
    </w:p>
    <w:p w14:paraId="62320E3F">
      <w:pPr>
        <w:snapToGrid w:val="0"/>
        <w:spacing w:line="360" w:lineRule="auto"/>
        <w:ind w:right="480"/>
        <w:jc w:val="center"/>
        <w:rPr>
          <w:rFonts w:ascii="宋体" w:hAnsi="宋体" w:cs="宋体"/>
          <w:b/>
          <w:color w:val="auto"/>
          <w:kern w:val="0"/>
          <w:sz w:val="32"/>
          <w:szCs w:val="32"/>
          <w:highlight w:val="none"/>
        </w:rPr>
      </w:pPr>
    </w:p>
    <w:p w14:paraId="62320E40">
      <w:pPr>
        <w:snapToGrid w:val="0"/>
        <w:spacing w:line="360" w:lineRule="auto"/>
        <w:ind w:right="480"/>
        <w:jc w:val="center"/>
        <w:rPr>
          <w:rFonts w:ascii="宋体" w:hAnsi="宋体" w:cs="宋体"/>
          <w:b/>
          <w:color w:val="auto"/>
          <w:kern w:val="0"/>
          <w:sz w:val="32"/>
          <w:szCs w:val="32"/>
          <w:highlight w:val="none"/>
        </w:rPr>
      </w:pPr>
    </w:p>
    <w:p w14:paraId="62320E41">
      <w:pPr>
        <w:snapToGrid w:val="0"/>
        <w:spacing w:line="360" w:lineRule="auto"/>
        <w:ind w:right="480"/>
        <w:jc w:val="center"/>
        <w:rPr>
          <w:rFonts w:ascii="宋体" w:hAnsi="宋体" w:cs="宋体"/>
          <w:b/>
          <w:color w:val="auto"/>
          <w:kern w:val="0"/>
          <w:sz w:val="32"/>
          <w:szCs w:val="32"/>
          <w:highlight w:val="none"/>
        </w:rPr>
      </w:pPr>
    </w:p>
    <w:p w14:paraId="62320E42">
      <w:pPr>
        <w:snapToGrid w:val="0"/>
        <w:spacing w:line="360" w:lineRule="auto"/>
        <w:ind w:right="480"/>
        <w:jc w:val="center"/>
        <w:rPr>
          <w:rFonts w:ascii="宋体" w:hAnsi="宋体" w:cs="宋体"/>
          <w:b/>
          <w:color w:val="auto"/>
          <w:kern w:val="0"/>
          <w:sz w:val="32"/>
          <w:szCs w:val="32"/>
          <w:highlight w:val="none"/>
        </w:rPr>
      </w:pPr>
    </w:p>
    <w:p w14:paraId="62320E43">
      <w:pPr>
        <w:snapToGrid w:val="0"/>
        <w:spacing w:line="360" w:lineRule="auto"/>
        <w:ind w:right="480"/>
        <w:jc w:val="center"/>
        <w:rPr>
          <w:rFonts w:ascii="宋体" w:hAnsi="宋体" w:cs="宋体"/>
          <w:b/>
          <w:color w:val="auto"/>
          <w:kern w:val="0"/>
          <w:sz w:val="32"/>
          <w:szCs w:val="32"/>
          <w:highlight w:val="none"/>
        </w:rPr>
      </w:pPr>
    </w:p>
    <w:p w14:paraId="62320E44">
      <w:pPr>
        <w:snapToGrid w:val="0"/>
        <w:spacing w:line="360" w:lineRule="auto"/>
        <w:ind w:right="480"/>
        <w:jc w:val="center"/>
        <w:rPr>
          <w:rFonts w:ascii="宋体" w:hAnsi="宋体" w:cs="宋体"/>
          <w:b/>
          <w:color w:val="auto"/>
          <w:kern w:val="0"/>
          <w:sz w:val="32"/>
          <w:szCs w:val="32"/>
          <w:highlight w:val="none"/>
        </w:rPr>
      </w:pPr>
    </w:p>
    <w:p w14:paraId="62320E45">
      <w:pPr>
        <w:snapToGrid w:val="0"/>
        <w:spacing w:line="360" w:lineRule="auto"/>
        <w:ind w:right="480"/>
        <w:jc w:val="center"/>
        <w:rPr>
          <w:rFonts w:ascii="宋体" w:hAnsi="宋体" w:cs="宋体"/>
          <w:b/>
          <w:color w:val="auto"/>
          <w:kern w:val="0"/>
          <w:sz w:val="32"/>
          <w:szCs w:val="32"/>
          <w:highlight w:val="none"/>
        </w:rPr>
      </w:pPr>
    </w:p>
    <w:p w14:paraId="62320E46">
      <w:pPr>
        <w:snapToGrid w:val="0"/>
        <w:spacing w:line="360" w:lineRule="auto"/>
        <w:ind w:right="480"/>
        <w:jc w:val="center"/>
        <w:rPr>
          <w:rFonts w:ascii="宋体" w:hAnsi="宋体" w:cs="宋体"/>
          <w:b/>
          <w:color w:val="auto"/>
          <w:kern w:val="0"/>
          <w:sz w:val="32"/>
          <w:szCs w:val="32"/>
          <w:highlight w:val="none"/>
        </w:rPr>
      </w:pPr>
    </w:p>
    <w:p w14:paraId="1471E2D8">
      <w:pPr>
        <w:pStyle w:val="695"/>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62320E48">
      <w:pPr>
        <w:pStyle w:val="695"/>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62320E49">
      <w:pPr>
        <w:snapToGrid w:val="0"/>
        <w:spacing w:line="360" w:lineRule="auto"/>
        <w:rPr>
          <w:rFonts w:ascii="宋体" w:hAnsi="宋体" w:cs="宋体"/>
          <w:b/>
          <w:bCs/>
          <w:color w:val="auto"/>
          <w:kern w:val="0"/>
          <w:sz w:val="24"/>
          <w:highlight w:val="none"/>
          <w:u w:val="single"/>
        </w:rPr>
      </w:pPr>
      <w:r>
        <w:rPr>
          <w:rFonts w:hint="eastAsia" w:ascii="宋体" w:hAnsi="宋体" w:cs="宋体"/>
          <w:b/>
          <w:bCs/>
          <w:color w:val="auto"/>
          <w:sz w:val="24"/>
          <w:highlight w:val="none"/>
          <w:u w:val="single"/>
        </w:rPr>
        <w:t>浙江省司法厅</w:t>
      </w:r>
      <w:r>
        <w:rPr>
          <w:rFonts w:hint="eastAsia" w:ascii="宋体" w:hAnsi="宋体" w:cs="宋体"/>
          <w:b/>
          <w:bCs/>
          <w:color w:val="auto"/>
          <w:kern w:val="0"/>
          <w:sz w:val="24"/>
          <w:highlight w:val="none"/>
          <w:u w:val="single"/>
          <w:lang w:val="zh-CN"/>
        </w:rPr>
        <w:t>：</w:t>
      </w:r>
    </w:p>
    <w:p w14:paraId="62320E4A">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u w:val="single"/>
          <w:lang w:eastAsia="zh-CN"/>
        </w:rPr>
        <w:t>浙江省县乡合法性审查法律法规库建设项目和县乡合法性审查应用建设项目</w:t>
      </w:r>
      <w:r>
        <w:rPr>
          <w:rFonts w:hint="eastAsia" w:ascii="宋体" w:hAnsi="宋体" w:cs="宋体"/>
          <w:color w:val="auto"/>
          <w:kern w:val="0"/>
          <w:sz w:val="24"/>
          <w:highlight w:val="none"/>
          <w:u w:val="single"/>
          <w:lang w:val="zh-CN"/>
        </w:rPr>
        <w:t>【项目编号：</w:t>
      </w:r>
      <w:r>
        <w:rPr>
          <w:rFonts w:hint="eastAsia" w:ascii="宋体" w:hAnsi="宋体" w:cs="宋体"/>
          <w:color w:val="auto"/>
          <w:sz w:val="24"/>
          <w:highlight w:val="none"/>
          <w:u w:val="single"/>
          <w:lang w:eastAsia="zh-CN"/>
        </w:rPr>
        <w:t>ZJ-2580230-02</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val="en-US" w:eastAsia="zh-CN"/>
        </w:rPr>
        <w:t xml:space="preserve">标项 （填写1或2）  </w:t>
      </w:r>
      <w:r>
        <w:rPr>
          <w:rFonts w:hint="eastAsia" w:ascii="宋体" w:hAnsi="宋体" w:cs="宋体"/>
          <w:color w:val="auto"/>
          <w:sz w:val="24"/>
          <w:highlight w:val="none"/>
        </w:rPr>
        <w:t>的实施</w:t>
      </w:r>
      <w:r>
        <w:rPr>
          <w:rFonts w:hint="eastAsia" w:ascii="宋体" w:hAnsi="宋体" w:cs="宋体"/>
          <w:color w:val="auto"/>
          <w:kern w:val="0"/>
          <w:sz w:val="24"/>
          <w:highlight w:val="none"/>
          <w:lang w:val="zh-CN"/>
        </w:rPr>
        <w:t>。</w:t>
      </w:r>
    </w:p>
    <w:p w14:paraId="62320E4B">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3"/>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1462"/>
        <w:gridCol w:w="1798"/>
        <w:gridCol w:w="2410"/>
        <w:gridCol w:w="2268"/>
        <w:gridCol w:w="2126"/>
        <w:gridCol w:w="2127"/>
        <w:gridCol w:w="2126"/>
      </w:tblGrid>
      <w:tr w14:paraId="62320E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62320E4C">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462" w:type="dxa"/>
            <w:vAlign w:val="center"/>
          </w:tcPr>
          <w:p w14:paraId="62320E4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798" w:type="dxa"/>
          </w:tcPr>
          <w:p w14:paraId="62320E4E">
            <w:pPr>
              <w:spacing w:line="360" w:lineRule="auto"/>
              <w:jc w:val="center"/>
              <w:rPr>
                <w:rFonts w:ascii="宋体" w:hAnsi="宋体" w:cs="宋体"/>
                <w:b/>
                <w:color w:val="auto"/>
                <w:sz w:val="24"/>
                <w:highlight w:val="none"/>
              </w:rPr>
            </w:pPr>
          </w:p>
          <w:p w14:paraId="62320E4F">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服务范围</w:t>
            </w:r>
          </w:p>
        </w:tc>
        <w:tc>
          <w:tcPr>
            <w:tcW w:w="2410" w:type="dxa"/>
            <w:vAlign w:val="center"/>
          </w:tcPr>
          <w:p w14:paraId="62320E50">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服务要求</w:t>
            </w:r>
          </w:p>
        </w:tc>
        <w:tc>
          <w:tcPr>
            <w:tcW w:w="2268" w:type="dxa"/>
            <w:vAlign w:val="center"/>
          </w:tcPr>
          <w:p w14:paraId="62320E51">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2126" w:type="dxa"/>
            <w:vAlign w:val="center"/>
          </w:tcPr>
          <w:p w14:paraId="62320E52">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单价</w:t>
            </w:r>
          </w:p>
        </w:tc>
        <w:tc>
          <w:tcPr>
            <w:tcW w:w="2127" w:type="dxa"/>
            <w:vAlign w:val="center"/>
          </w:tcPr>
          <w:p w14:paraId="62320E5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合计</w:t>
            </w:r>
          </w:p>
        </w:tc>
        <w:tc>
          <w:tcPr>
            <w:tcW w:w="2126" w:type="dxa"/>
            <w:vAlign w:val="center"/>
          </w:tcPr>
          <w:p w14:paraId="62320E54">
            <w:pPr>
              <w:spacing w:line="360" w:lineRule="auto"/>
              <w:jc w:val="center"/>
              <w:rPr>
                <w:rFonts w:ascii="宋体" w:hAnsi="宋体" w:cs="宋体"/>
                <w:b/>
                <w:color w:val="auto"/>
                <w:sz w:val="24"/>
                <w:highlight w:val="none"/>
              </w:rPr>
            </w:pPr>
          </w:p>
          <w:p w14:paraId="62320E55">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62320E56">
            <w:pPr>
              <w:spacing w:line="360" w:lineRule="auto"/>
              <w:jc w:val="center"/>
              <w:rPr>
                <w:rFonts w:ascii="宋体" w:hAnsi="宋体" w:cs="宋体"/>
                <w:b/>
                <w:color w:val="auto"/>
                <w:sz w:val="24"/>
                <w:highlight w:val="none"/>
              </w:rPr>
            </w:pPr>
          </w:p>
        </w:tc>
      </w:tr>
      <w:tr w14:paraId="62320E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62320E58">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462" w:type="dxa"/>
            <w:vAlign w:val="center"/>
          </w:tcPr>
          <w:p w14:paraId="62320E59">
            <w:pPr>
              <w:widowControl/>
              <w:snapToGrid w:val="0"/>
              <w:spacing w:line="360" w:lineRule="auto"/>
              <w:jc w:val="center"/>
              <w:textAlignment w:val="center"/>
              <w:rPr>
                <w:rFonts w:ascii="宋体" w:hAnsi="宋体" w:cs="宋体"/>
                <w:color w:val="auto"/>
                <w:sz w:val="24"/>
                <w:highlight w:val="none"/>
              </w:rPr>
            </w:pPr>
          </w:p>
        </w:tc>
        <w:tc>
          <w:tcPr>
            <w:tcW w:w="1798" w:type="dxa"/>
            <w:vAlign w:val="center"/>
          </w:tcPr>
          <w:p w14:paraId="62320E5A">
            <w:pPr>
              <w:snapToGrid w:val="0"/>
              <w:spacing w:line="360" w:lineRule="auto"/>
              <w:jc w:val="center"/>
              <w:rPr>
                <w:rFonts w:ascii="宋体" w:hAnsi="宋体" w:cs="宋体"/>
                <w:color w:val="auto"/>
                <w:sz w:val="24"/>
                <w:highlight w:val="none"/>
              </w:rPr>
            </w:pPr>
          </w:p>
        </w:tc>
        <w:tc>
          <w:tcPr>
            <w:tcW w:w="2410" w:type="dxa"/>
            <w:vAlign w:val="center"/>
          </w:tcPr>
          <w:p w14:paraId="62320E5B">
            <w:pPr>
              <w:snapToGrid w:val="0"/>
              <w:spacing w:line="360" w:lineRule="auto"/>
              <w:jc w:val="center"/>
              <w:rPr>
                <w:rFonts w:ascii="宋体" w:hAnsi="宋体" w:cs="宋体"/>
                <w:color w:val="auto"/>
                <w:sz w:val="24"/>
                <w:highlight w:val="none"/>
              </w:rPr>
            </w:pPr>
          </w:p>
        </w:tc>
        <w:tc>
          <w:tcPr>
            <w:tcW w:w="2268" w:type="dxa"/>
            <w:vAlign w:val="center"/>
          </w:tcPr>
          <w:p w14:paraId="62320E5C">
            <w:pPr>
              <w:snapToGrid w:val="0"/>
              <w:spacing w:line="360" w:lineRule="auto"/>
              <w:jc w:val="center"/>
              <w:rPr>
                <w:rFonts w:ascii="宋体" w:hAnsi="宋体" w:cs="宋体"/>
                <w:color w:val="auto"/>
                <w:sz w:val="24"/>
                <w:highlight w:val="none"/>
              </w:rPr>
            </w:pPr>
          </w:p>
        </w:tc>
        <w:tc>
          <w:tcPr>
            <w:tcW w:w="2126" w:type="dxa"/>
            <w:vAlign w:val="center"/>
          </w:tcPr>
          <w:p w14:paraId="62320E5D">
            <w:pPr>
              <w:spacing w:line="360" w:lineRule="auto"/>
              <w:jc w:val="center"/>
              <w:rPr>
                <w:rFonts w:ascii="宋体" w:hAnsi="宋体" w:cs="宋体"/>
                <w:color w:val="auto"/>
                <w:sz w:val="24"/>
                <w:highlight w:val="none"/>
              </w:rPr>
            </w:pPr>
          </w:p>
        </w:tc>
        <w:tc>
          <w:tcPr>
            <w:tcW w:w="2127" w:type="dxa"/>
          </w:tcPr>
          <w:p w14:paraId="62320E5E">
            <w:pPr>
              <w:spacing w:line="360" w:lineRule="auto"/>
              <w:jc w:val="center"/>
              <w:rPr>
                <w:rFonts w:ascii="宋体" w:hAnsi="宋体" w:cs="宋体"/>
                <w:color w:val="auto"/>
                <w:sz w:val="24"/>
                <w:highlight w:val="none"/>
              </w:rPr>
            </w:pPr>
          </w:p>
        </w:tc>
        <w:tc>
          <w:tcPr>
            <w:tcW w:w="2126" w:type="dxa"/>
            <w:vAlign w:val="center"/>
          </w:tcPr>
          <w:p w14:paraId="62320E5F">
            <w:pPr>
              <w:spacing w:line="360" w:lineRule="auto"/>
              <w:jc w:val="center"/>
              <w:rPr>
                <w:rFonts w:ascii="宋体" w:hAnsi="宋体" w:cs="宋体"/>
                <w:color w:val="auto"/>
                <w:sz w:val="24"/>
                <w:highlight w:val="none"/>
              </w:rPr>
            </w:pPr>
          </w:p>
        </w:tc>
      </w:tr>
      <w:tr w14:paraId="62320E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62320E61">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462" w:type="dxa"/>
            <w:vAlign w:val="center"/>
          </w:tcPr>
          <w:p w14:paraId="62320E62">
            <w:pPr>
              <w:widowControl/>
              <w:snapToGrid w:val="0"/>
              <w:spacing w:line="360" w:lineRule="auto"/>
              <w:jc w:val="center"/>
              <w:textAlignment w:val="center"/>
              <w:rPr>
                <w:rFonts w:ascii="宋体" w:hAnsi="宋体" w:cs="宋体"/>
                <w:color w:val="auto"/>
                <w:sz w:val="24"/>
                <w:highlight w:val="none"/>
              </w:rPr>
            </w:pPr>
          </w:p>
        </w:tc>
        <w:tc>
          <w:tcPr>
            <w:tcW w:w="1798" w:type="dxa"/>
            <w:vAlign w:val="center"/>
          </w:tcPr>
          <w:p w14:paraId="62320E63">
            <w:pPr>
              <w:snapToGrid w:val="0"/>
              <w:spacing w:line="360" w:lineRule="auto"/>
              <w:jc w:val="center"/>
              <w:rPr>
                <w:rFonts w:ascii="宋体" w:hAnsi="宋体" w:cs="宋体"/>
                <w:color w:val="auto"/>
                <w:sz w:val="24"/>
                <w:highlight w:val="none"/>
              </w:rPr>
            </w:pPr>
          </w:p>
        </w:tc>
        <w:tc>
          <w:tcPr>
            <w:tcW w:w="2410" w:type="dxa"/>
            <w:vAlign w:val="center"/>
          </w:tcPr>
          <w:p w14:paraId="62320E64">
            <w:pPr>
              <w:snapToGrid w:val="0"/>
              <w:spacing w:line="360" w:lineRule="auto"/>
              <w:jc w:val="center"/>
              <w:rPr>
                <w:rFonts w:ascii="宋体" w:hAnsi="宋体" w:cs="宋体"/>
                <w:color w:val="auto"/>
                <w:sz w:val="24"/>
                <w:highlight w:val="none"/>
              </w:rPr>
            </w:pPr>
          </w:p>
        </w:tc>
        <w:tc>
          <w:tcPr>
            <w:tcW w:w="2268" w:type="dxa"/>
            <w:vAlign w:val="center"/>
          </w:tcPr>
          <w:p w14:paraId="62320E65">
            <w:pPr>
              <w:snapToGrid w:val="0"/>
              <w:spacing w:line="360" w:lineRule="auto"/>
              <w:jc w:val="center"/>
              <w:rPr>
                <w:rFonts w:ascii="宋体" w:hAnsi="宋体" w:cs="宋体"/>
                <w:color w:val="auto"/>
                <w:sz w:val="24"/>
                <w:highlight w:val="none"/>
              </w:rPr>
            </w:pPr>
          </w:p>
        </w:tc>
        <w:tc>
          <w:tcPr>
            <w:tcW w:w="2126" w:type="dxa"/>
            <w:vAlign w:val="center"/>
          </w:tcPr>
          <w:p w14:paraId="62320E66">
            <w:pPr>
              <w:spacing w:line="360" w:lineRule="auto"/>
              <w:jc w:val="center"/>
              <w:rPr>
                <w:rFonts w:ascii="宋体" w:hAnsi="宋体" w:cs="宋体"/>
                <w:color w:val="auto"/>
                <w:sz w:val="24"/>
                <w:highlight w:val="none"/>
              </w:rPr>
            </w:pPr>
          </w:p>
        </w:tc>
        <w:tc>
          <w:tcPr>
            <w:tcW w:w="2127" w:type="dxa"/>
          </w:tcPr>
          <w:p w14:paraId="62320E67">
            <w:pPr>
              <w:spacing w:line="360" w:lineRule="auto"/>
              <w:jc w:val="center"/>
              <w:rPr>
                <w:rFonts w:ascii="宋体" w:hAnsi="宋体" w:cs="宋体"/>
                <w:color w:val="auto"/>
                <w:sz w:val="24"/>
                <w:highlight w:val="none"/>
              </w:rPr>
            </w:pPr>
          </w:p>
        </w:tc>
        <w:tc>
          <w:tcPr>
            <w:tcW w:w="2126" w:type="dxa"/>
            <w:vAlign w:val="center"/>
          </w:tcPr>
          <w:p w14:paraId="62320E68">
            <w:pPr>
              <w:spacing w:line="360" w:lineRule="auto"/>
              <w:jc w:val="center"/>
              <w:rPr>
                <w:rFonts w:ascii="宋体" w:hAnsi="宋体" w:cs="宋体"/>
                <w:color w:val="auto"/>
                <w:sz w:val="24"/>
                <w:highlight w:val="none"/>
              </w:rPr>
            </w:pPr>
          </w:p>
        </w:tc>
      </w:tr>
      <w:tr w14:paraId="62320E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62320E6A">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462" w:type="dxa"/>
            <w:vAlign w:val="center"/>
          </w:tcPr>
          <w:p w14:paraId="62320E6B">
            <w:pPr>
              <w:widowControl/>
              <w:snapToGrid w:val="0"/>
              <w:spacing w:line="360" w:lineRule="auto"/>
              <w:jc w:val="center"/>
              <w:textAlignment w:val="center"/>
              <w:rPr>
                <w:rFonts w:ascii="宋体" w:hAnsi="宋体" w:cs="宋体"/>
                <w:color w:val="auto"/>
                <w:sz w:val="24"/>
                <w:highlight w:val="none"/>
              </w:rPr>
            </w:pPr>
          </w:p>
        </w:tc>
        <w:tc>
          <w:tcPr>
            <w:tcW w:w="1798" w:type="dxa"/>
            <w:vAlign w:val="center"/>
          </w:tcPr>
          <w:p w14:paraId="62320E6C">
            <w:pPr>
              <w:snapToGrid w:val="0"/>
              <w:spacing w:line="360" w:lineRule="auto"/>
              <w:jc w:val="center"/>
              <w:rPr>
                <w:rFonts w:ascii="宋体" w:hAnsi="宋体" w:cs="宋体"/>
                <w:color w:val="auto"/>
                <w:sz w:val="24"/>
                <w:highlight w:val="none"/>
              </w:rPr>
            </w:pPr>
          </w:p>
        </w:tc>
        <w:tc>
          <w:tcPr>
            <w:tcW w:w="2410" w:type="dxa"/>
            <w:vAlign w:val="center"/>
          </w:tcPr>
          <w:p w14:paraId="62320E6D">
            <w:pPr>
              <w:snapToGrid w:val="0"/>
              <w:spacing w:line="360" w:lineRule="auto"/>
              <w:jc w:val="center"/>
              <w:rPr>
                <w:rFonts w:ascii="宋体" w:hAnsi="宋体" w:cs="宋体"/>
                <w:color w:val="auto"/>
                <w:sz w:val="24"/>
                <w:highlight w:val="none"/>
              </w:rPr>
            </w:pPr>
          </w:p>
        </w:tc>
        <w:tc>
          <w:tcPr>
            <w:tcW w:w="2268" w:type="dxa"/>
            <w:vAlign w:val="center"/>
          </w:tcPr>
          <w:p w14:paraId="62320E6E">
            <w:pPr>
              <w:snapToGrid w:val="0"/>
              <w:spacing w:line="360" w:lineRule="auto"/>
              <w:jc w:val="center"/>
              <w:rPr>
                <w:rFonts w:ascii="宋体" w:hAnsi="宋体" w:cs="宋体"/>
                <w:color w:val="auto"/>
                <w:sz w:val="24"/>
                <w:highlight w:val="none"/>
              </w:rPr>
            </w:pPr>
          </w:p>
        </w:tc>
        <w:tc>
          <w:tcPr>
            <w:tcW w:w="2126" w:type="dxa"/>
            <w:vAlign w:val="center"/>
          </w:tcPr>
          <w:p w14:paraId="62320E6F">
            <w:pPr>
              <w:spacing w:line="360" w:lineRule="auto"/>
              <w:jc w:val="center"/>
              <w:rPr>
                <w:rFonts w:ascii="宋体" w:hAnsi="宋体" w:cs="宋体"/>
                <w:color w:val="auto"/>
                <w:sz w:val="24"/>
                <w:highlight w:val="none"/>
              </w:rPr>
            </w:pPr>
          </w:p>
        </w:tc>
        <w:tc>
          <w:tcPr>
            <w:tcW w:w="2127" w:type="dxa"/>
          </w:tcPr>
          <w:p w14:paraId="62320E70">
            <w:pPr>
              <w:spacing w:line="360" w:lineRule="auto"/>
              <w:jc w:val="center"/>
              <w:rPr>
                <w:rFonts w:ascii="宋体" w:hAnsi="宋体" w:cs="宋体"/>
                <w:color w:val="auto"/>
                <w:sz w:val="24"/>
                <w:highlight w:val="none"/>
              </w:rPr>
            </w:pPr>
          </w:p>
        </w:tc>
        <w:tc>
          <w:tcPr>
            <w:tcW w:w="2126" w:type="dxa"/>
            <w:vAlign w:val="center"/>
          </w:tcPr>
          <w:p w14:paraId="62320E71">
            <w:pPr>
              <w:spacing w:line="360" w:lineRule="auto"/>
              <w:jc w:val="center"/>
              <w:rPr>
                <w:rFonts w:ascii="宋体" w:hAnsi="宋体" w:cs="宋体"/>
                <w:color w:val="auto"/>
                <w:sz w:val="24"/>
                <w:highlight w:val="none"/>
              </w:rPr>
            </w:pPr>
          </w:p>
        </w:tc>
      </w:tr>
      <w:tr w14:paraId="62320E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62320E7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投标报价（小写）</w:t>
            </w:r>
          </w:p>
        </w:tc>
        <w:tc>
          <w:tcPr>
            <w:tcW w:w="8647" w:type="dxa"/>
            <w:gridSpan w:val="4"/>
          </w:tcPr>
          <w:p w14:paraId="62320E74">
            <w:pPr>
              <w:spacing w:line="360" w:lineRule="auto"/>
              <w:jc w:val="center"/>
              <w:rPr>
                <w:rFonts w:ascii="宋体" w:hAnsi="宋体" w:cs="宋体"/>
                <w:color w:val="auto"/>
                <w:sz w:val="24"/>
                <w:highlight w:val="none"/>
              </w:rPr>
            </w:pPr>
          </w:p>
        </w:tc>
      </w:tr>
      <w:tr w14:paraId="62320E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62320E7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投标报价（大写）</w:t>
            </w:r>
          </w:p>
        </w:tc>
        <w:tc>
          <w:tcPr>
            <w:tcW w:w="8647" w:type="dxa"/>
            <w:gridSpan w:val="4"/>
          </w:tcPr>
          <w:p w14:paraId="62320E77">
            <w:pPr>
              <w:spacing w:line="360" w:lineRule="auto"/>
              <w:jc w:val="center"/>
              <w:rPr>
                <w:rFonts w:ascii="宋体" w:hAnsi="宋体" w:cs="宋体"/>
                <w:color w:val="auto"/>
                <w:sz w:val="24"/>
                <w:highlight w:val="none"/>
              </w:rPr>
            </w:pPr>
          </w:p>
        </w:tc>
      </w:tr>
    </w:tbl>
    <w:p w14:paraId="62320E79">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62320E7A">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color w:val="auto"/>
          <w:kern w:val="0"/>
          <w:sz w:val="24"/>
          <w:highlight w:val="none"/>
          <w:lang w:val="zh-CN"/>
        </w:rPr>
        <w:t>。</w:t>
      </w:r>
    </w:p>
    <w:p w14:paraId="62320E7B">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报价明细表中部分产品、服务单价为零的，视作已包含在总价中。</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62320E7C">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62320E7D">
      <w:pPr>
        <w:spacing w:line="360" w:lineRule="auto"/>
        <w:ind w:firstLine="482" w:firstLineChars="200"/>
        <w:rPr>
          <w:rFonts w:ascii="宋体" w:hAnsi="宋体" w:cs="宋体"/>
          <w:b/>
          <w:color w:val="auto"/>
          <w:kern w:val="0"/>
          <w:sz w:val="24"/>
          <w:highlight w:val="none"/>
        </w:rPr>
      </w:pPr>
    </w:p>
    <w:p w14:paraId="62320E7E">
      <w:pPr>
        <w:pStyle w:val="695"/>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p>
    <w:p w14:paraId="62320E7F">
      <w:pPr>
        <w:spacing w:line="360" w:lineRule="auto"/>
        <w:ind w:firstLine="7358" w:firstLineChars="3066"/>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62320E80">
      <w:pPr>
        <w:spacing w:line="360" w:lineRule="auto"/>
        <w:ind w:firstLine="7358" w:firstLineChars="3066"/>
        <w:rPr>
          <w:rFonts w:ascii="宋体" w:hAnsi="宋体" w:cs="宋体"/>
          <w:color w:val="auto"/>
          <w:sz w:val="24"/>
          <w:highlight w:val="none"/>
        </w:rPr>
      </w:pPr>
      <w:r>
        <w:rPr>
          <w:rFonts w:hint="eastAsia" w:ascii="宋体" w:hAnsi="宋体" w:cs="宋体"/>
          <w:color w:val="auto"/>
          <w:sz w:val="24"/>
          <w:highlight w:val="none"/>
        </w:rPr>
        <w:t>日期：  年   月   日</w:t>
      </w:r>
    </w:p>
    <w:p w14:paraId="4F6C98D1">
      <w:pPr>
        <w:pStyle w:val="695"/>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14:paraId="43CA655F">
      <w:pPr>
        <w:pStyle w:val="695"/>
        <w:keepNext w:val="0"/>
        <w:pageBreakBefore/>
        <w:numPr>
          <w:ilvl w:val="0"/>
          <w:numId w:val="12"/>
        </w:numPr>
        <w:tabs>
          <w:tab w:val="clear" w:pos="720"/>
        </w:tabs>
        <w:snapToGrid w:val="0"/>
        <w:spacing w:before="120" w:after="120"/>
        <w:ind w:firstLine="643"/>
        <w:outlineLvl w:val="9"/>
        <w:rPr>
          <w:rFonts w:hint="eastAsia" w:ascii="宋体" w:hAnsi="宋体" w:eastAsia="宋体" w:cs="宋体"/>
          <w:color w:val="auto"/>
          <w:kern w:val="2"/>
          <w:sz w:val="32"/>
          <w:szCs w:val="32"/>
          <w:highlight w:val="none"/>
          <w:lang w:val="en-US" w:eastAsia="zh-CN"/>
        </w:rPr>
      </w:pPr>
      <w:r>
        <w:rPr>
          <w:rFonts w:hint="eastAsia" w:ascii="宋体" w:hAnsi="宋体" w:eastAsia="宋体" w:cs="宋体"/>
          <w:color w:val="auto"/>
          <w:kern w:val="2"/>
          <w:sz w:val="32"/>
          <w:szCs w:val="32"/>
          <w:highlight w:val="none"/>
          <w:lang w:val="en-US" w:eastAsia="zh-CN"/>
        </w:rPr>
        <w:t>中小企业声明函（服务）（如果有）</w:t>
      </w:r>
    </w:p>
    <w:p w14:paraId="2E8DAF9A">
      <w:pPr>
        <w:rPr>
          <w:rFonts w:hint="eastAsia" w:ascii="宋体" w:hAnsi="宋体" w:eastAsia="宋体" w:cs="宋体"/>
          <w:color w:val="auto"/>
          <w:highlight w:val="none"/>
          <w:lang w:val="en-US" w:eastAsia="zh-CN"/>
        </w:rPr>
      </w:pPr>
    </w:p>
    <w:p w14:paraId="66F818FF">
      <w:pPr>
        <w:widowControl/>
        <w:spacing w:line="360" w:lineRule="auto"/>
        <w:ind w:firstLine="120" w:firstLineChars="5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1495F357">
      <w:pPr>
        <w:pStyle w:val="695"/>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p>
    <w:p w14:paraId="62320E85">
      <w:pPr>
        <w:pStyle w:val="91"/>
        <w:ind w:firstLine="482"/>
        <w:rPr>
          <w:rFonts w:ascii="宋体" w:hAnsi="宋体" w:eastAsia="宋体" w:cs="宋体"/>
          <w:b/>
          <w:color w:val="auto"/>
          <w:sz w:val="24"/>
          <w:highlight w:val="none"/>
        </w:rPr>
      </w:pPr>
    </w:p>
    <w:p w14:paraId="62320E86">
      <w:pPr>
        <w:pStyle w:val="91"/>
        <w:ind w:firstLine="482"/>
        <w:rPr>
          <w:rFonts w:ascii="宋体" w:hAnsi="宋体" w:eastAsia="宋体" w:cs="宋体"/>
          <w:b/>
          <w:color w:val="auto"/>
          <w:sz w:val="24"/>
          <w:highlight w:val="none"/>
        </w:rPr>
      </w:pPr>
    </w:p>
    <w:p w14:paraId="62320E87">
      <w:pPr>
        <w:pStyle w:val="695"/>
        <w:keepNext w:val="0"/>
        <w:pageBreakBefore w:val="0"/>
        <w:tabs>
          <w:tab w:val="clear" w:pos="720"/>
        </w:tabs>
        <w:snapToGrid w:val="0"/>
        <w:spacing w:before="120" w:after="120"/>
        <w:ind w:firstLine="643"/>
        <w:outlineLvl w:val="9"/>
        <w:rPr>
          <w:rFonts w:ascii="宋体" w:hAnsi="宋体" w:eastAsia="宋体" w:cs="宋体"/>
          <w:b w:val="0"/>
          <w:color w:val="auto"/>
          <w:sz w:val="32"/>
          <w:szCs w:val="32"/>
          <w:highlight w:val="none"/>
        </w:rPr>
      </w:pPr>
    </w:p>
    <w:p w14:paraId="62320E88">
      <w:pPr>
        <w:spacing w:line="360" w:lineRule="auto"/>
        <w:ind w:right="420" w:firstLine="3614" w:firstLineChars="1000"/>
        <w:rPr>
          <w:rFonts w:ascii="宋体" w:hAnsi="宋体" w:cs="宋体"/>
          <w:b/>
          <w:color w:val="auto"/>
          <w:kern w:val="0"/>
          <w:sz w:val="36"/>
          <w:szCs w:val="36"/>
          <w:highlight w:val="none"/>
        </w:rPr>
      </w:pPr>
    </w:p>
    <w:p w14:paraId="62320E89">
      <w:pPr>
        <w:spacing w:line="360" w:lineRule="auto"/>
        <w:ind w:right="420" w:firstLine="3614" w:firstLineChars="1000"/>
        <w:rPr>
          <w:rFonts w:ascii="宋体" w:hAnsi="宋体" w:cs="宋体"/>
          <w:b/>
          <w:color w:val="auto"/>
          <w:kern w:val="0"/>
          <w:sz w:val="36"/>
          <w:szCs w:val="36"/>
          <w:highlight w:val="none"/>
        </w:rPr>
      </w:pPr>
    </w:p>
    <w:p w14:paraId="62320E8A">
      <w:pPr>
        <w:spacing w:line="360" w:lineRule="auto"/>
        <w:ind w:right="420" w:firstLine="3614" w:firstLineChars="1000"/>
        <w:rPr>
          <w:rFonts w:ascii="宋体" w:hAnsi="宋体" w:cs="宋体"/>
          <w:b/>
          <w:color w:val="auto"/>
          <w:kern w:val="0"/>
          <w:sz w:val="36"/>
          <w:szCs w:val="36"/>
          <w:highlight w:val="none"/>
        </w:rPr>
      </w:pPr>
    </w:p>
    <w:p w14:paraId="62320E8B">
      <w:pPr>
        <w:spacing w:line="360" w:lineRule="auto"/>
        <w:ind w:right="420" w:firstLine="3614" w:firstLineChars="1000"/>
        <w:rPr>
          <w:rFonts w:ascii="宋体" w:hAnsi="宋体" w:cs="宋体"/>
          <w:b/>
          <w:color w:val="auto"/>
          <w:kern w:val="0"/>
          <w:sz w:val="36"/>
          <w:szCs w:val="36"/>
          <w:highlight w:val="none"/>
        </w:rPr>
      </w:pPr>
    </w:p>
    <w:p w14:paraId="62320E8C">
      <w:pPr>
        <w:spacing w:line="360" w:lineRule="auto"/>
        <w:ind w:right="420" w:firstLine="3614" w:firstLineChars="1000"/>
        <w:rPr>
          <w:rFonts w:ascii="宋体" w:hAnsi="宋体" w:cs="宋体"/>
          <w:b/>
          <w:color w:val="auto"/>
          <w:kern w:val="0"/>
          <w:sz w:val="36"/>
          <w:szCs w:val="36"/>
          <w:highlight w:val="none"/>
        </w:rPr>
      </w:pPr>
    </w:p>
    <w:p w14:paraId="62320E8D">
      <w:pPr>
        <w:spacing w:line="360" w:lineRule="auto"/>
        <w:ind w:right="420" w:firstLine="3614" w:firstLineChars="1000"/>
        <w:rPr>
          <w:rFonts w:ascii="宋体" w:hAnsi="宋体" w:cs="宋体"/>
          <w:b/>
          <w:color w:val="auto"/>
          <w:kern w:val="0"/>
          <w:sz w:val="36"/>
          <w:szCs w:val="36"/>
          <w:highlight w:val="none"/>
        </w:rPr>
      </w:pPr>
    </w:p>
    <w:p w14:paraId="62320E8E">
      <w:pPr>
        <w:spacing w:line="360" w:lineRule="auto"/>
        <w:ind w:right="420" w:firstLine="3614" w:firstLineChars="1000"/>
        <w:rPr>
          <w:rFonts w:ascii="宋体" w:hAnsi="宋体" w:cs="宋体"/>
          <w:b/>
          <w:color w:val="auto"/>
          <w:kern w:val="0"/>
          <w:sz w:val="36"/>
          <w:szCs w:val="36"/>
          <w:highlight w:val="none"/>
        </w:rPr>
      </w:pPr>
    </w:p>
    <w:p w14:paraId="62320E8F">
      <w:pPr>
        <w:spacing w:line="360" w:lineRule="auto"/>
        <w:ind w:right="420" w:firstLine="3614" w:firstLineChars="1000"/>
        <w:rPr>
          <w:rFonts w:ascii="宋体" w:hAnsi="宋体" w:cs="宋体"/>
          <w:b/>
          <w:color w:val="auto"/>
          <w:kern w:val="0"/>
          <w:sz w:val="36"/>
          <w:szCs w:val="36"/>
          <w:highlight w:val="none"/>
        </w:rPr>
      </w:pPr>
    </w:p>
    <w:p w14:paraId="62320E90">
      <w:pPr>
        <w:spacing w:line="360" w:lineRule="auto"/>
        <w:ind w:right="420" w:firstLine="3614" w:firstLineChars="1000"/>
        <w:rPr>
          <w:rFonts w:ascii="宋体" w:hAnsi="宋体" w:cs="宋体"/>
          <w:b/>
          <w:color w:val="auto"/>
          <w:kern w:val="0"/>
          <w:sz w:val="36"/>
          <w:szCs w:val="36"/>
          <w:highlight w:val="none"/>
        </w:rPr>
      </w:pPr>
    </w:p>
    <w:p w14:paraId="62320E91">
      <w:pPr>
        <w:spacing w:line="360" w:lineRule="auto"/>
        <w:ind w:right="420" w:firstLine="3614" w:firstLineChars="1000"/>
        <w:rPr>
          <w:rFonts w:ascii="宋体" w:hAnsi="宋体" w:cs="宋体"/>
          <w:b/>
          <w:color w:val="auto"/>
          <w:kern w:val="0"/>
          <w:sz w:val="36"/>
          <w:szCs w:val="36"/>
          <w:highlight w:val="none"/>
        </w:rPr>
      </w:pPr>
    </w:p>
    <w:p w14:paraId="62320E92">
      <w:pPr>
        <w:spacing w:line="360" w:lineRule="auto"/>
        <w:ind w:right="420" w:firstLine="3614" w:firstLineChars="1000"/>
        <w:rPr>
          <w:rFonts w:ascii="宋体" w:hAnsi="宋体" w:cs="宋体"/>
          <w:b/>
          <w:color w:val="auto"/>
          <w:kern w:val="0"/>
          <w:sz w:val="36"/>
          <w:szCs w:val="36"/>
          <w:highlight w:val="none"/>
        </w:rPr>
      </w:pPr>
    </w:p>
    <w:p w14:paraId="62320E93">
      <w:pPr>
        <w:pStyle w:val="3"/>
        <w:keepNext w:val="0"/>
        <w:keepLines w:val="0"/>
        <w:pageBreakBefore/>
        <w:widowControl/>
        <w:spacing w:before="100" w:beforeAutospacing="1" w:after="100" w:afterAutospacing="1" w:line="360" w:lineRule="auto"/>
        <w:ind w:left="1290" w:firstLine="3092" w:firstLineChars="700"/>
        <w:rPr>
          <w:rFonts w:ascii="宋体" w:hAnsi="宋体" w:cs="宋体"/>
          <w:color w:val="auto"/>
          <w:highlight w:val="none"/>
        </w:rPr>
      </w:pPr>
      <w:r>
        <w:rPr>
          <w:rFonts w:hint="eastAsia" w:ascii="宋体" w:hAnsi="宋体" w:cs="宋体"/>
          <w:color w:val="auto"/>
          <w:highlight w:val="none"/>
        </w:rPr>
        <w:t>附件</w:t>
      </w:r>
    </w:p>
    <w:p w14:paraId="62320E94">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62320E95">
      <w:pPr>
        <w:spacing w:line="360" w:lineRule="auto"/>
        <w:jc w:val="center"/>
        <w:rPr>
          <w:rFonts w:ascii="宋体" w:hAnsi="宋体" w:cs="宋体"/>
          <w:b/>
          <w:color w:val="auto"/>
          <w:spacing w:val="6"/>
          <w:sz w:val="32"/>
          <w:szCs w:val="32"/>
          <w:highlight w:val="none"/>
        </w:rPr>
      </w:pPr>
      <w:bookmarkStart w:id="405" w:name="OLE_LINK14"/>
      <w:bookmarkStart w:id="406" w:name="OLE_LINK13"/>
      <w:r>
        <w:rPr>
          <w:rFonts w:hint="eastAsia" w:ascii="宋体" w:hAnsi="宋体" w:cs="宋体"/>
          <w:b/>
          <w:color w:val="auto"/>
          <w:spacing w:val="6"/>
          <w:sz w:val="32"/>
          <w:szCs w:val="32"/>
          <w:highlight w:val="none"/>
        </w:rPr>
        <w:t>残疾人福利性单位声明函</w:t>
      </w:r>
    </w:p>
    <w:bookmarkEnd w:id="405"/>
    <w:bookmarkEnd w:id="406"/>
    <w:p w14:paraId="62320E96">
      <w:pPr>
        <w:spacing w:line="360" w:lineRule="auto"/>
        <w:rPr>
          <w:rFonts w:ascii="宋体" w:hAnsi="宋体" w:cs="宋体"/>
          <w:b/>
          <w:color w:val="auto"/>
          <w:spacing w:val="6"/>
          <w:sz w:val="30"/>
          <w:szCs w:val="30"/>
          <w:highlight w:val="none"/>
        </w:rPr>
      </w:pPr>
    </w:p>
    <w:p w14:paraId="62320E9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中国残疾人联合会关于促进残疾人就业政府采购政策的通知》（财库〔2017〕141号）的规定，本单位为符合条件的残疾人福利性单位，且本单位参加_（</w:t>
      </w:r>
      <w:r>
        <w:rPr>
          <w:rFonts w:hint="eastAsia" w:ascii="宋体" w:hAnsi="宋体" w:cs="宋体"/>
          <w:color w:val="auto"/>
          <w:sz w:val="24"/>
          <w:highlight w:val="none"/>
          <w:u w:val="single"/>
        </w:rPr>
        <w:t>采购人）</w:t>
      </w:r>
      <w:r>
        <w:rPr>
          <w:rFonts w:hint="eastAsia" w:ascii="宋体" w:hAnsi="宋体" w:cs="宋体"/>
          <w:color w:val="auto"/>
          <w:sz w:val="24"/>
          <w:highlight w:val="none"/>
        </w:rPr>
        <w:t>_单位的_</w:t>
      </w:r>
      <w:r>
        <w:rPr>
          <w:rFonts w:hint="eastAsia" w:ascii="宋体" w:hAnsi="宋体" w:cs="宋体"/>
          <w:color w:val="auto"/>
          <w:sz w:val="24"/>
          <w:highlight w:val="none"/>
          <w:u w:val="single"/>
          <w:lang w:eastAsia="zh-CN"/>
        </w:rPr>
        <w:t>浙江省县乡合法性审查法律法规库建设项目和县乡合法性审查应用建设项目</w:t>
      </w:r>
      <w:r>
        <w:rPr>
          <w:rFonts w:hint="eastAsia" w:ascii="宋体" w:hAnsi="宋体" w:cs="宋体"/>
          <w:color w:val="auto"/>
          <w:sz w:val="24"/>
          <w:highlight w:val="none"/>
        </w:rPr>
        <w:t>_采购活动提供本单位制造的货物（由本单位承担工程/提供服务），或者提供其他残疾人福利性单位制造的货物（不包括使用非残疾人福利性单位注册商标的货物）。</w:t>
      </w:r>
    </w:p>
    <w:p w14:paraId="62320E9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62320E99">
      <w:pPr>
        <w:spacing w:line="360" w:lineRule="auto"/>
        <w:ind w:firstLine="480" w:firstLineChars="200"/>
        <w:rPr>
          <w:rFonts w:ascii="宋体" w:hAnsi="宋体" w:cs="宋体"/>
          <w:color w:val="auto"/>
          <w:sz w:val="24"/>
          <w:highlight w:val="none"/>
        </w:rPr>
      </w:pPr>
    </w:p>
    <w:p w14:paraId="62320E9A">
      <w:pPr>
        <w:spacing w:line="360" w:lineRule="auto"/>
        <w:ind w:firstLine="480" w:firstLineChars="200"/>
        <w:rPr>
          <w:rFonts w:ascii="宋体" w:hAnsi="宋体" w:cs="宋体"/>
          <w:color w:val="auto"/>
          <w:sz w:val="24"/>
          <w:highlight w:val="none"/>
        </w:rPr>
      </w:pPr>
    </w:p>
    <w:p w14:paraId="62320E9B">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62320E9C">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62320E9D">
      <w:pPr>
        <w:spacing w:line="360" w:lineRule="auto"/>
        <w:ind w:firstLine="480" w:firstLineChars="200"/>
        <w:rPr>
          <w:rFonts w:ascii="宋体" w:hAnsi="宋体" w:cs="宋体"/>
          <w:color w:val="auto"/>
          <w:sz w:val="24"/>
          <w:highlight w:val="none"/>
        </w:rPr>
      </w:pPr>
    </w:p>
    <w:p w14:paraId="62320E9E">
      <w:pPr>
        <w:spacing w:line="360" w:lineRule="auto"/>
        <w:ind w:firstLine="420" w:firstLineChars="200"/>
        <w:rPr>
          <w:rFonts w:ascii="宋体" w:hAnsi="宋体" w:cs="宋体"/>
          <w:color w:val="auto"/>
          <w:highlight w:val="none"/>
        </w:rPr>
      </w:pPr>
    </w:p>
    <w:p w14:paraId="62320E9F">
      <w:pPr>
        <w:spacing w:line="360" w:lineRule="auto"/>
        <w:ind w:firstLine="420" w:firstLineChars="200"/>
        <w:rPr>
          <w:rFonts w:ascii="宋体" w:hAnsi="宋体" w:cs="宋体"/>
          <w:color w:val="auto"/>
          <w:highlight w:val="none"/>
        </w:rPr>
      </w:pPr>
    </w:p>
    <w:p w14:paraId="62320EA0">
      <w:pPr>
        <w:spacing w:line="360" w:lineRule="auto"/>
        <w:ind w:firstLine="420" w:firstLineChars="200"/>
        <w:rPr>
          <w:rFonts w:ascii="宋体" w:hAnsi="宋体" w:cs="宋体"/>
          <w:color w:val="auto"/>
          <w:highlight w:val="none"/>
        </w:rPr>
      </w:pPr>
    </w:p>
    <w:p w14:paraId="62320EA1">
      <w:pPr>
        <w:spacing w:line="360" w:lineRule="auto"/>
        <w:ind w:firstLine="420" w:firstLineChars="200"/>
        <w:rPr>
          <w:rFonts w:ascii="宋体" w:hAnsi="宋体" w:cs="宋体"/>
          <w:color w:val="auto"/>
          <w:highlight w:val="none"/>
        </w:rPr>
      </w:pPr>
    </w:p>
    <w:p w14:paraId="62320EA2">
      <w:pPr>
        <w:spacing w:line="360" w:lineRule="auto"/>
        <w:rPr>
          <w:rFonts w:ascii="宋体" w:hAnsi="宋体" w:cs="宋体"/>
          <w:b/>
          <w:color w:val="auto"/>
          <w:sz w:val="24"/>
          <w:highlight w:val="none"/>
        </w:rPr>
      </w:pPr>
    </w:p>
    <w:p w14:paraId="62320EA3">
      <w:pPr>
        <w:spacing w:line="360" w:lineRule="auto"/>
        <w:rPr>
          <w:rFonts w:ascii="宋体" w:hAnsi="宋体" w:cs="宋体"/>
          <w:b/>
          <w:color w:val="auto"/>
          <w:sz w:val="24"/>
          <w:highlight w:val="none"/>
        </w:rPr>
      </w:pPr>
    </w:p>
    <w:p w14:paraId="62320EA4">
      <w:pPr>
        <w:spacing w:line="360" w:lineRule="auto"/>
        <w:rPr>
          <w:rFonts w:ascii="宋体" w:hAnsi="宋体" w:cs="宋体"/>
          <w:b/>
          <w:color w:val="auto"/>
          <w:sz w:val="24"/>
          <w:highlight w:val="none"/>
        </w:rPr>
      </w:pPr>
    </w:p>
    <w:p w14:paraId="62320EA5">
      <w:pPr>
        <w:spacing w:line="360" w:lineRule="auto"/>
        <w:rPr>
          <w:rFonts w:ascii="宋体" w:hAnsi="宋体" w:cs="宋体"/>
          <w:b/>
          <w:color w:val="auto"/>
          <w:sz w:val="24"/>
          <w:highlight w:val="none"/>
        </w:rPr>
      </w:pPr>
    </w:p>
    <w:p w14:paraId="62320EA6">
      <w:pPr>
        <w:spacing w:line="360" w:lineRule="auto"/>
        <w:rPr>
          <w:rFonts w:ascii="宋体" w:hAnsi="宋体" w:cs="宋体"/>
          <w:b/>
          <w:color w:val="auto"/>
          <w:sz w:val="24"/>
          <w:highlight w:val="none"/>
        </w:rPr>
      </w:pPr>
    </w:p>
    <w:p w14:paraId="62320EA7">
      <w:pPr>
        <w:spacing w:line="360" w:lineRule="auto"/>
        <w:rPr>
          <w:rFonts w:ascii="宋体" w:hAnsi="宋体" w:cs="宋体"/>
          <w:b/>
          <w:color w:val="auto"/>
          <w:sz w:val="24"/>
          <w:highlight w:val="none"/>
        </w:rPr>
      </w:pPr>
    </w:p>
    <w:p w14:paraId="62320EA8">
      <w:pPr>
        <w:spacing w:line="360" w:lineRule="auto"/>
        <w:rPr>
          <w:rFonts w:ascii="宋体" w:hAnsi="宋体" w:cs="宋体"/>
          <w:b/>
          <w:color w:val="auto"/>
          <w:sz w:val="24"/>
          <w:highlight w:val="none"/>
        </w:rPr>
      </w:pPr>
    </w:p>
    <w:p w14:paraId="62320EA9">
      <w:pPr>
        <w:spacing w:line="360" w:lineRule="auto"/>
        <w:rPr>
          <w:rFonts w:ascii="宋体" w:hAnsi="宋体" w:cs="宋体"/>
          <w:b/>
          <w:color w:val="auto"/>
          <w:sz w:val="24"/>
          <w:highlight w:val="none"/>
        </w:rPr>
      </w:pPr>
    </w:p>
    <w:p w14:paraId="62320EAA">
      <w:pPr>
        <w:spacing w:line="360" w:lineRule="auto"/>
        <w:rPr>
          <w:rFonts w:ascii="宋体" w:hAnsi="宋体" w:cs="宋体"/>
          <w:b/>
          <w:color w:val="auto"/>
          <w:sz w:val="24"/>
          <w:highlight w:val="none"/>
        </w:rPr>
      </w:pPr>
    </w:p>
    <w:p w14:paraId="62320EAB">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62320EAC">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62320EAD">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62320EAE">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62320EA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62320EB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62320EB1">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62320EB2">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62320EB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62320EB4">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62320EB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62320EB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62320EB7">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62320EB8">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62320EB9">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62320EBA">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62320EBB">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62320EBC">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62320EBD">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62320EBE">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62320EBF">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62320EC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62320EC1">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62320EC2">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62320EC3">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62320EC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62320EC5">
      <w:pPr>
        <w:spacing w:line="360" w:lineRule="auto"/>
        <w:jc w:val="center"/>
        <w:rPr>
          <w:rFonts w:ascii="宋体" w:hAnsi="宋体" w:cs="宋体"/>
          <w:b/>
          <w:bCs/>
          <w:color w:val="auto"/>
          <w:sz w:val="24"/>
          <w:highlight w:val="none"/>
        </w:rPr>
      </w:pPr>
    </w:p>
    <w:p w14:paraId="62320EC6">
      <w:pPr>
        <w:spacing w:line="360" w:lineRule="auto"/>
        <w:rPr>
          <w:rFonts w:ascii="宋体" w:hAnsi="宋体" w:cs="宋体"/>
          <w:b/>
          <w:color w:val="auto"/>
          <w:sz w:val="24"/>
          <w:highlight w:val="none"/>
        </w:rPr>
      </w:pPr>
    </w:p>
    <w:p w14:paraId="62320EC7">
      <w:pPr>
        <w:spacing w:line="360" w:lineRule="auto"/>
        <w:rPr>
          <w:rFonts w:ascii="宋体" w:hAnsi="宋体" w:cs="宋体"/>
          <w:b/>
          <w:color w:val="auto"/>
          <w:sz w:val="24"/>
          <w:highlight w:val="none"/>
        </w:rPr>
      </w:pPr>
    </w:p>
    <w:p w14:paraId="62320EC8">
      <w:pPr>
        <w:spacing w:line="360" w:lineRule="auto"/>
        <w:rPr>
          <w:rFonts w:ascii="宋体" w:hAnsi="宋体" w:cs="宋体"/>
          <w:b/>
          <w:color w:val="auto"/>
          <w:sz w:val="24"/>
          <w:highlight w:val="none"/>
        </w:rPr>
      </w:pPr>
    </w:p>
    <w:p w14:paraId="62320EC9">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62320ECA">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62320ECB">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62320ECC">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62320ECD">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62320ECE">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62320ECF">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62320ED0">
      <w:pPr>
        <w:widowControl/>
        <w:spacing w:line="360" w:lineRule="auto"/>
        <w:ind w:firstLine="600" w:firstLineChars="200"/>
        <w:jc w:val="left"/>
        <w:rPr>
          <w:rFonts w:ascii="宋体" w:hAnsi="宋体" w:cs="宋体"/>
          <w:color w:val="auto"/>
          <w:sz w:val="30"/>
          <w:szCs w:val="30"/>
          <w:highlight w:val="none"/>
        </w:rPr>
      </w:pPr>
    </w:p>
    <w:p w14:paraId="62320ED1">
      <w:pPr>
        <w:spacing w:line="360" w:lineRule="auto"/>
        <w:jc w:val="center"/>
        <w:rPr>
          <w:rFonts w:ascii="宋体" w:hAnsi="宋体" w:cs="宋体"/>
          <w:b/>
          <w:color w:val="auto"/>
          <w:spacing w:val="6"/>
          <w:sz w:val="32"/>
          <w:szCs w:val="32"/>
          <w:highlight w:val="none"/>
        </w:rPr>
      </w:pPr>
    </w:p>
    <w:p w14:paraId="62320ED2">
      <w:pPr>
        <w:spacing w:line="360" w:lineRule="auto"/>
        <w:jc w:val="center"/>
        <w:rPr>
          <w:rFonts w:ascii="宋体" w:hAnsi="宋体" w:cs="宋体"/>
          <w:b/>
          <w:color w:val="auto"/>
          <w:spacing w:val="6"/>
          <w:sz w:val="32"/>
          <w:szCs w:val="32"/>
          <w:highlight w:val="none"/>
        </w:rPr>
      </w:pPr>
    </w:p>
    <w:p w14:paraId="62320ED3">
      <w:pPr>
        <w:spacing w:line="360" w:lineRule="auto"/>
        <w:jc w:val="center"/>
        <w:rPr>
          <w:rFonts w:ascii="宋体" w:hAnsi="宋体" w:cs="宋体"/>
          <w:b/>
          <w:color w:val="auto"/>
          <w:spacing w:val="6"/>
          <w:sz w:val="32"/>
          <w:szCs w:val="32"/>
          <w:highlight w:val="none"/>
        </w:rPr>
      </w:pPr>
    </w:p>
    <w:p w14:paraId="62320ED4">
      <w:pPr>
        <w:spacing w:line="360" w:lineRule="auto"/>
        <w:jc w:val="center"/>
        <w:rPr>
          <w:rFonts w:ascii="宋体" w:hAnsi="宋体" w:cs="宋体"/>
          <w:b/>
          <w:color w:val="auto"/>
          <w:spacing w:val="6"/>
          <w:sz w:val="32"/>
          <w:szCs w:val="32"/>
          <w:highlight w:val="none"/>
        </w:rPr>
      </w:pPr>
    </w:p>
    <w:p w14:paraId="62320ED5">
      <w:pPr>
        <w:spacing w:line="360" w:lineRule="auto"/>
        <w:jc w:val="center"/>
        <w:rPr>
          <w:rFonts w:ascii="宋体" w:hAnsi="宋体" w:cs="宋体"/>
          <w:b/>
          <w:color w:val="auto"/>
          <w:spacing w:val="6"/>
          <w:sz w:val="32"/>
          <w:szCs w:val="32"/>
          <w:highlight w:val="none"/>
        </w:rPr>
      </w:pPr>
    </w:p>
    <w:p w14:paraId="62320ED6">
      <w:pPr>
        <w:spacing w:line="360" w:lineRule="auto"/>
        <w:jc w:val="center"/>
        <w:rPr>
          <w:rFonts w:ascii="宋体" w:hAnsi="宋体" w:cs="宋体"/>
          <w:b/>
          <w:color w:val="auto"/>
          <w:spacing w:val="6"/>
          <w:sz w:val="32"/>
          <w:szCs w:val="32"/>
          <w:highlight w:val="none"/>
        </w:rPr>
      </w:pPr>
    </w:p>
    <w:p w14:paraId="62320ED7">
      <w:pPr>
        <w:spacing w:line="360" w:lineRule="auto"/>
        <w:jc w:val="center"/>
        <w:rPr>
          <w:rFonts w:ascii="宋体" w:hAnsi="宋体" w:cs="宋体"/>
          <w:b/>
          <w:color w:val="auto"/>
          <w:spacing w:val="6"/>
          <w:sz w:val="32"/>
          <w:szCs w:val="32"/>
          <w:highlight w:val="none"/>
        </w:rPr>
      </w:pPr>
    </w:p>
    <w:p w14:paraId="62320ED8">
      <w:pPr>
        <w:spacing w:line="360" w:lineRule="auto"/>
        <w:jc w:val="center"/>
        <w:rPr>
          <w:rFonts w:ascii="宋体" w:hAnsi="宋体" w:cs="宋体"/>
          <w:b/>
          <w:color w:val="auto"/>
          <w:spacing w:val="6"/>
          <w:sz w:val="32"/>
          <w:szCs w:val="32"/>
          <w:highlight w:val="none"/>
        </w:rPr>
      </w:pPr>
    </w:p>
    <w:p w14:paraId="62320ED9">
      <w:pPr>
        <w:spacing w:line="360" w:lineRule="auto"/>
        <w:jc w:val="center"/>
        <w:rPr>
          <w:rFonts w:ascii="宋体" w:hAnsi="宋体" w:cs="宋体"/>
          <w:b/>
          <w:color w:val="auto"/>
          <w:spacing w:val="6"/>
          <w:sz w:val="32"/>
          <w:szCs w:val="32"/>
          <w:highlight w:val="none"/>
        </w:rPr>
      </w:pPr>
    </w:p>
    <w:p w14:paraId="62320EDA">
      <w:pPr>
        <w:spacing w:line="360" w:lineRule="auto"/>
        <w:jc w:val="center"/>
        <w:rPr>
          <w:rFonts w:ascii="宋体" w:hAnsi="宋体" w:cs="宋体"/>
          <w:b/>
          <w:color w:val="auto"/>
          <w:spacing w:val="6"/>
          <w:sz w:val="32"/>
          <w:szCs w:val="32"/>
          <w:highlight w:val="none"/>
        </w:rPr>
      </w:pPr>
    </w:p>
    <w:p w14:paraId="62320EDB">
      <w:pPr>
        <w:spacing w:line="360" w:lineRule="auto"/>
        <w:jc w:val="center"/>
        <w:rPr>
          <w:rFonts w:ascii="宋体" w:hAnsi="宋体" w:cs="宋体"/>
          <w:b/>
          <w:color w:val="auto"/>
          <w:spacing w:val="6"/>
          <w:sz w:val="32"/>
          <w:szCs w:val="32"/>
          <w:highlight w:val="none"/>
        </w:rPr>
      </w:pPr>
    </w:p>
    <w:p w14:paraId="62320EDC">
      <w:pPr>
        <w:spacing w:line="360" w:lineRule="auto"/>
        <w:jc w:val="center"/>
        <w:rPr>
          <w:rFonts w:ascii="宋体" w:hAnsi="宋体" w:cs="宋体"/>
          <w:b/>
          <w:color w:val="auto"/>
          <w:spacing w:val="6"/>
          <w:sz w:val="32"/>
          <w:szCs w:val="32"/>
          <w:highlight w:val="none"/>
        </w:rPr>
      </w:pPr>
    </w:p>
    <w:p w14:paraId="62320EDD">
      <w:pPr>
        <w:spacing w:line="360" w:lineRule="auto"/>
        <w:jc w:val="left"/>
        <w:rPr>
          <w:rFonts w:ascii="宋体" w:hAnsi="宋体" w:cs="宋体"/>
          <w:b/>
          <w:color w:val="auto"/>
          <w:spacing w:val="6"/>
          <w:sz w:val="32"/>
          <w:szCs w:val="32"/>
          <w:highlight w:val="none"/>
        </w:rPr>
      </w:pPr>
    </w:p>
    <w:p w14:paraId="62320EDE">
      <w:pPr>
        <w:spacing w:line="360" w:lineRule="auto"/>
        <w:jc w:val="left"/>
        <w:rPr>
          <w:rFonts w:ascii="宋体" w:hAnsi="宋体" w:cs="宋体"/>
          <w:b/>
          <w:color w:val="auto"/>
          <w:spacing w:val="6"/>
          <w:sz w:val="32"/>
          <w:szCs w:val="32"/>
          <w:highlight w:val="none"/>
        </w:rPr>
      </w:pPr>
    </w:p>
    <w:p w14:paraId="62320EDF">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62320EE0">
      <w:pPr>
        <w:spacing w:line="360" w:lineRule="auto"/>
        <w:jc w:val="center"/>
        <w:rPr>
          <w:rFonts w:ascii="宋体" w:hAnsi="宋体" w:cs="宋体"/>
          <w:b/>
          <w:color w:val="auto"/>
          <w:sz w:val="24"/>
          <w:highlight w:val="none"/>
        </w:rPr>
      </w:pPr>
    </w:p>
    <w:p w14:paraId="62320EE1">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62320EE2">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62320EE3">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62320EE4">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2320EE5">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62320EE6">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62320EE7">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62320EE8">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62320EE9">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2320EEA">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2320EEB">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2320EEC">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62320EED">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62320EEE">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2320EEF">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2320EF0">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2320EF1">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62320EF2">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62320EF3">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62320EF4">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2320EF5">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62320EF6">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62320EF7">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62320EF8">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62320EF9">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62320EFA">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62320EFB">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62320EFC">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62320EFD">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62320EFE">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62320EFF">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62320F00">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62320F01">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62320F02">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62320F03">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62320F04">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62320F05">
      <w:pPr>
        <w:spacing w:line="360" w:lineRule="auto"/>
        <w:rPr>
          <w:rFonts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62320F06">
      <w:pPr>
        <w:spacing w:line="360" w:lineRule="auto"/>
        <w:rPr>
          <w:rFonts w:ascii="宋体" w:hAnsi="宋体" w:cs="宋体"/>
          <w:color w:val="auto"/>
          <w:sz w:val="24"/>
          <w:highlight w:val="none"/>
          <w:u w:val="single"/>
        </w:rPr>
      </w:pPr>
      <w:r>
        <w:rPr>
          <w:rFonts w:hint="eastAsia" w:ascii="宋体" w:hAnsi="宋体" w:cs="宋体"/>
          <w:color w:val="auto"/>
          <w:sz w:val="24"/>
          <w:highlight w:val="none"/>
        </w:rPr>
        <w:t xml:space="preserve">                                                                                                    </w:t>
      </w:r>
    </w:p>
    <w:p w14:paraId="62320F0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62320F0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62320F09">
      <w:pPr>
        <w:spacing w:line="360" w:lineRule="auto"/>
        <w:rPr>
          <w:rFonts w:ascii="宋体" w:hAnsi="宋体" w:cs="宋体"/>
          <w:b/>
          <w:color w:val="auto"/>
          <w:sz w:val="24"/>
          <w:highlight w:val="none"/>
        </w:rPr>
      </w:pPr>
    </w:p>
    <w:p w14:paraId="62320F0A">
      <w:pPr>
        <w:spacing w:line="360" w:lineRule="auto"/>
        <w:rPr>
          <w:rFonts w:ascii="宋体" w:hAnsi="宋体" w:cs="宋体"/>
          <w:b/>
          <w:color w:val="auto"/>
          <w:sz w:val="24"/>
          <w:highlight w:val="none"/>
        </w:rPr>
      </w:pPr>
    </w:p>
    <w:p w14:paraId="62320F0B">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62320F0C">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62320F0D">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62320F0E">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62320F0F">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62320F1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62320F11">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62320F12">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62320F13">
      <w:pPr>
        <w:spacing w:line="360" w:lineRule="auto"/>
        <w:rPr>
          <w:rFonts w:ascii="宋体" w:hAnsi="宋体" w:cs="宋体"/>
          <w:b/>
          <w:color w:val="auto"/>
          <w:sz w:val="24"/>
          <w:highlight w:val="none"/>
        </w:rPr>
      </w:pPr>
    </w:p>
    <w:p w14:paraId="62320F14">
      <w:pPr>
        <w:autoSpaceDE w:val="0"/>
        <w:autoSpaceDN w:val="0"/>
        <w:jc w:val="center"/>
        <w:rPr>
          <w:rFonts w:ascii="宋体" w:hAnsi="宋体" w:cs="宋体"/>
          <w:b/>
          <w:color w:val="auto"/>
          <w:spacing w:val="6"/>
          <w:sz w:val="32"/>
          <w:szCs w:val="32"/>
          <w:highlight w:val="none"/>
        </w:rPr>
      </w:pPr>
    </w:p>
    <w:p w14:paraId="62320F15">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62320F16">
      <w:pPr>
        <w:spacing w:line="360" w:lineRule="auto"/>
        <w:rPr>
          <w:rFonts w:ascii="宋体" w:hAnsi="宋体" w:cs="宋体"/>
          <w:color w:val="auto"/>
          <w:sz w:val="24"/>
          <w:highlight w:val="none"/>
          <w:u w:val="single"/>
        </w:rPr>
      </w:pPr>
    </w:p>
    <w:p w14:paraId="62320F17">
      <w:pPr>
        <w:spacing w:line="360" w:lineRule="auto"/>
        <w:rPr>
          <w:rFonts w:ascii="宋体" w:hAnsi="宋体" w:cs="宋体"/>
          <w:color w:val="auto"/>
          <w:sz w:val="24"/>
          <w:highlight w:val="none"/>
        </w:rPr>
      </w:pPr>
      <w:r>
        <w:rPr>
          <w:rFonts w:hint="eastAsia" w:ascii="宋体" w:hAnsi="宋体" w:cs="宋体"/>
          <w:color w:val="auto"/>
          <w:sz w:val="24"/>
          <w:highlight w:val="none"/>
          <w:u w:val="single"/>
        </w:rPr>
        <w:t>浙江省司法厅：</w:t>
      </w:r>
    </w:p>
    <w:p w14:paraId="62320F18">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w:t>
      </w:r>
      <w:r>
        <w:rPr>
          <w:rFonts w:hint="eastAsia" w:ascii="宋体" w:hAnsi="宋体" w:cs="宋体"/>
          <w:color w:val="auto"/>
          <w:sz w:val="24"/>
          <w:highlight w:val="none"/>
          <w:u w:val="single"/>
          <w:lang w:eastAsia="zh-CN"/>
        </w:rPr>
        <w:t>浙江省县乡合法性审查法律法规库建设项目和县乡合法性审查应用建设项目</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项目编号</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ZJ-2580230-02</w:t>
      </w:r>
      <w:r>
        <w:rPr>
          <w:rFonts w:hint="eastAsia" w:ascii="宋体" w:hAnsi="宋体" w:cs="宋体"/>
          <w:color w:val="auto"/>
          <w:sz w:val="24"/>
          <w:highlight w:val="none"/>
          <w:u w:val="single"/>
        </w:rPr>
        <w:t>】</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62320F1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62320F1A">
      <w:pPr>
        <w:spacing w:line="360" w:lineRule="auto"/>
        <w:ind w:firstLine="494"/>
        <w:rPr>
          <w:rFonts w:ascii="宋体" w:hAnsi="宋体" w:cs="宋体"/>
          <w:color w:val="auto"/>
          <w:sz w:val="24"/>
          <w:highlight w:val="none"/>
        </w:rPr>
      </w:pPr>
    </w:p>
    <w:p w14:paraId="62320F1B">
      <w:pPr>
        <w:spacing w:line="360" w:lineRule="auto"/>
        <w:ind w:firstLine="494"/>
        <w:rPr>
          <w:rFonts w:ascii="宋体" w:hAnsi="宋体" w:cs="宋体"/>
          <w:color w:val="auto"/>
          <w:sz w:val="24"/>
          <w:highlight w:val="none"/>
        </w:rPr>
      </w:pPr>
    </w:p>
    <w:p w14:paraId="62320F1C">
      <w:pPr>
        <w:spacing w:line="360" w:lineRule="auto"/>
        <w:ind w:firstLine="494"/>
        <w:rPr>
          <w:rFonts w:ascii="宋体" w:hAnsi="宋体" w:cs="宋体"/>
          <w:color w:val="auto"/>
          <w:sz w:val="24"/>
          <w:highlight w:val="none"/>
        </w:rPr>
      </w:pPr>
    </w:p>
    <w:p w14:paraId="62320F1D">
      <w:pPr>
        <w:spacing w:line="360" w:lineRule="auto"/>
        <w:ind w:firstLine="494"/>
        <w:rPr>
          <w:rFonts w:ascii="宋体" w:hAnsi="宋体" w:cs="宋体"/>
          <w:color w:val="auto"/>
          <w:sz w:val="24"/>
          <w:highlight w:val="none"/>
        </w:rPr>
      </w:pPr>
    </w:p>
    <w:p w14:paraId="62320F1E">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62320F1F">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62320F20">
      <w:pPr>
        <w:rPr>
          <w:rFonts w:ascii="宋体" w:hAnsi="宋体" w:cs="宋体"/>
          <w:color w:val="auto"/>
          <w:sz w:val="24"/>
          <w:highlight w:val="none"/>
        </w:rPr>
      </w:pPr>
      <w:r>
        <w:rPr>
          <w:rFonts w:hint="eastAsia" w:ascii="宋体" w:hAnsi="宋体" w:cs="宋体"/>
          <w:b/>
          <w:bCs/>
          <w:color w:val="auto"/>
          <w:sz w:val="24"/>
          <w:highlight w:val="none"/>
        </w:rPr>
        <w:t>附：</w:t>
      </w:r>
    </w:p>
    <w:p w14:paraId="62320F21">
      <w:pPr>
        <w:spacing w:line="36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62320F22">
      <w:pPr>
        <w:autoSpaceDE w:val="0"/>
        <w:autoSpaceDN w:val="0"/>
        <w:jc w:val="center"/>
        <w:rPr>
          <w:rFonts w:ascii="宋体" w:hAnsi="宋体" w:cs="宋体"/>
          <w:b/>
          <w:color w:val="auto"/>
          <w:spacing w:val="6"/>
          <w:sz w:val="32"/>
          <w:szCs w:val="32"/>
          <w:highlight w:val="none"/>
        </w:rPr>
      </w:pPr>
    </w:p>
    <w:p w14:paraId="62320F23">
      <w:pPr>
        <w:autoSpaceDE w:val="0"/>
        <w:autoSpaceDN w:val="0"/>
        <w:jc w:val="center"/>
        <w:rPr>
          <w:rFonts w:ascii="宋体" w:hAnsi="宋体" w:cs="宋体"/>
          <w:b/>
          <w:color w:val="auto"/>
          <w:spacing w:val="6"/>
          <w:sz w:val="32"/>
          <w:szCs w:val="32"/>
          <w:highlight w:val="none"/>
        </w:rPr>
      </w:pPr>
    </w:p>
    <w:p w14:paraId="62320F24">
      <w:pPr>
        <w:autoSpaceDE w:val="0"/>
        <w:autoSpaceDN w:val="0"/>
        <w:jc w:val="center"/>
        <w:rPr>
          <w:rFonts w:ascii="宋体" w:hAnsi="宋体" w:cs="宋体"/>
          <w:b/>
          <w:color w:val="auto"/>
          <w:spacing w:val="6"/>
          <w:sz w:val="32"/>
          <w:szCs w:val="32"/>
          <w:highlight w:val="none"/>
        </w:rPr>
      </w:pPr>
    </w:p>
    <w:p w14:paraId="62320F25">
      <w:pPr>
        <w:autoSpaceDE w:val="0"/>
        <w:autoSpaceDN w:val="0"/>
        <w:jc w:val="center"/>
        <w:rPr>
          <w:rFonts w:ascii="宋体" w:hAnsi="宋体" w:cs="宋体"/>
          <w:b/>
          <w:color w:val="auto"/>
          <w:spacing w:val="6"/>
          <w:sz w:val="32"/>
          <w:szCs w:val="32"/>
          <w:highlight w:val="none"/>
        </w:rPr>
      </w:pPr>
    </w:p>
    <w:p w14:paraId="62320F26">
      <w:pPr>
        <w:autoSpaceDE w:val="0"/>
        <w:autoSpaceDN w:val="0"/>
        <w:jc w:val="center"/>
        <w:rPr>
          <w:rFonts w:ascii="宋体" w:hAnsi="宋体" w:cs="宋体"/>
          <w:b/>
          <w:color w:val="auto"/>
          <w:spacing w:val="6"/>
          <w:sz w:val="32"/>
          <w:szCs w:val="32"/>
          <w:highlight w:val="none"/>
        </w:rPr>
      </w:pPr>
    </w:p>
    <w:p w14:paraId="62320F27">
      <w:pPr>
        <w:autoSpaceDE w:val="0"/>
        <w:autoSpaceDN w:val="0"/>
        <w:jc w:val="center"/>
        <w:rPr>
          <w:rFonts w:ascii="宋体" w:hAnsi="宋体" w:cs="宋体"/>
          <w:b/>
          <w:color w:val="auto"/>
          <w:spacing w:val="6"/>
          <w:sz w:val="32"/>
          <w:szCs w:val="32"/>
          <w:highlight w:val="none"/>
        </w:rPr>
      </w:pPr>
    </w:p>
    <w:p w14:paraId="62320F28">
      <w:pPr>
        <w:autoSpaceDE w:val="0"/>
        <w:autoSpaceDN w:val="0"/>
        <w:jc w:val="center"/>
        <w:rPr>
          <w:rFonts w:ascii="宋体" w:hAnsi="宋体" w:cs="宋体"/>
          <w:b/>
          <w:color w:val="auto"/>
          <w:spacing w:val="6"/>
          <w:sz w:val="32"/>
          <w:szCs w:val="32"/>
          <w:highlight w:val="none"/>
        </w:rPr>
      </w:pPr>
    </w:p>
    <w:p w14:paraId="62320F29">
      <w:pPr>
        <w:autoSpaceDE w:val="0"/>
        <w:autoSpaceDN w:val="0"/>
        <w:jc w:val="center"/>
        <w:rPr>
          <w:rFonts w:ascii="宋体" w:hAnsi="宋体" w:cs="宋体"/>
          <w:b/>
          <w:color w:val="auto"/>
          <w:spacing w:val="6"/>
          <w:sz w:val="32"/>
          <w:szCs w:val="32"/>
          <w:highlight w:val="none"/>
        </w:rPr>
      </w:pPr>
    </w:p>
    <w:p w14:paraId="62320F2A">
      <w:pPr>
        <w:autoSpaceDE w:val="0"/>
        <w:autoSpaceDN w:val="0"/>
        <w:jc w:val="center"/>
        <w:rPr>
          <w:rFonts w:ascii="宋体" w:hAnsi="宋体" w:cs="宋体"/>
          <w:b/>
          <w:color w:val="auto"/>
          <w:spacing w:val="6"/>
          <w:sz w:val="32"/>
          <w:szCs w:val="32"/>
          <w:highlight w:val="none"/>
        </w:rPr>
      </w:pPr>
    </w:p>
    <w:p w14:paraId="62320F2B">
      <w:pPr>
        <w:autoSpaceDE w:val="0"/>
        <w:autoSpaceDN w:val="0"/>
        <w:jc w:val="center"/>
        <w:rPr>
          <w:rFonts w:ascii="宋体" w:hAnsi="宋体" w:cs="宋体"/>
          <w:b/>
          <w:color w:val="auto"/>
          <w:spacing w:val="6"/>
          <w:sz w:val="32"/>
          <w:szCs w:val="32"/>
          <w:highlight w:val="none"/>
        </w:rPr>
      </w:pPr>
    </w:p>
    <w:p w14:paraId="62320F2C">
      <w:pPr>
        <w:autoSpaceDE w:val="0"/>
        <w:autoSpaceDN w:val="0"/>
        <w:jc w:val="center"/>
        <w:rPr>
          <w:rFonts w:ascii="宋体" w:hAnsi="宋体" w:cs="宋体"/>
          <w:b/>
          <w:color w:val="auto"/>
          <w:spacing w:val="6"/>
          <w:sz w:val="32"/>
          <w:szCs w:val="32"/>
          <w:highlight w:val="none"/>
        </w:rPr>
      </w:pPr>
    </w:p>
    <w:p w14:paraId="62320F2D">
      <w:pPr>
        <w:autoSpaceDE w:val="0"/>
        <w:autoSpaceDN w:val="0"/>
        <w:jc w:val="center"/>
        <w:rPr>
          <w:rFonts w:ascii="宋体" w:hAnsi="宋体" w:cs="宋体"/>
          <w:b/>
          <w:color w:val="auto"/>
          <w:spacing w:val="6"/>
          <w:sz w:val="32"/>
          <w:szCs w:val="32"/>
          <w:highlight w:val="none"/>
        </w:rPr>
      </w:pPr>
    </w:p>
    <w:p w14:paraId="62320F2E">
      <w:pPr>
        <w:autoSpaceDE w:val="0"/>
        <w:autoSpaceDN w:val="0"/>
        <w:jc w:val="center"/>
        <w:rPr>
          <w:rFonts w:ascii="宋体" w:hAnsi="宋体" w:cs="宋体"/>
          <w:b/>
          <w:color w:val="auto"/>
          <w:spacing w:val="6"/>
          <w:sz w:val="32"/>
          <w:szCs w:val="32"/>
          <w:highlight w:val="none"/>
        </w:rPr>
      </w:pPr>
    </w:p>
    <w:p w14:paraId="62320F2F">
      <w:pPr>
        <w:autoSpaceDE w:val="0"/>
        <w:autoSpaceDN w:val="0"/>
        <w:jc w:val="center"/>
        <w:rPr>
          <w:rFonts w:ascii="宋体" w:hAnsi="宋体" w:cs="宋体"/>
          <w:b/>
          <w:color w:val="auto"/>
          <w:spacing w:val="6"/>
          <w:sz w:val="32"/>
          <w:szCs w:val="32"/>
          <w:highlight w:val="none"/>
        </w:rPr>
      </w:pPr>
    </w:p>
    <w:p w14:paraId="62320F30">
      <w:pP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14:paraId="62320F31">
      <w:pPr>
        <w:autoSpaceDE w:val="0"/>
        <w:autoSpaceDN w:val="0"/>
        <w:jc w:val="center"/>
        <w:rPr>
          <w:rFonts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附件5：</w:t>
      </w:r>
      <w:r>
        <w:rPr>
          <w:rFonts w:hint="eastAsia" w:ascii="宋体" w:hAnsi="宋体" w:cs="宋体"/>
          <w:b/>
          <w:color w:val="auto"/>
          <w:kern w:val="0"/>
          <w:sz w:val="32"/>
          <w:szCs w:val="32"/>
          <w:highlight w:val="none"/>
          <w:lang w:val="zh-CN"/>
        </w:rPr>
        <w:t>联合协议</w:t>
      </w:r>
    </w:p>
    <w:p w14:paraId="0C7F0CBA">
      <w:pPr>
        <w:widowControl/>
        <w:spacing w:line="360" w:lineRule="auto"/>
        <w:ind w:firstLine="482" w:firstLineChars="200"/>
        <w:jc w:val="left"/>
        <w:rPr>
          <w:rFonts w:hint="eastAsia" w:ascii="宋体" w:hAnsi="宋体" w:cs="宋体"/>
          <w:b/>
          <w:color w:val="auto"/>
          <w:sz w:val="24"/>
          <w:highlight w:val="none"/>
        </w:rPr>
      </w:pPr>
    </w:p>
    <w:p w14:paraId="62320F32">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62320F3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u w:val="single"/>
          <w:lang w:eastAsia="zh-CN"/>
        </w:rPr>
        <w:t>浙江省县乡合法性审查法律法规库建设项目和县乡合法性审查应用建设项目</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项目编号</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ZJ-2580230-02</w:t>
      </w:r>
      <w:r>
        <w:rPr>
          <w:rFonts w:hint="eastAsia" w:ascii="宋体" w:hAnsi="宋体" w:cs="宋体"/>
          <w:color w:val="auto"/>
          <w:sz w:val="24"/>
          <w:highlight w:val="none"/>
          <w:u w:val="single"/>
        </w:rPr>
        <w:t>】</w:t>
      </w:r>
      <w:r>
        <w:rPr>
          <w:rFonts w:hint="eastAsia" w:ascii="宋体" w:hAnsi="宋体" w:cs="宋体"/>
          <w:color w:val="auto"/>
          <w:kern w:val="0"/>
          <w:sz w:val="24"/>
          <w:highlight w:val="none"/>
          <w:lang w:val="zh-CN"/>
        </w:rPr>
        <w:t xml:space="preserve">投标。 </w:t>
      </w:r>
    </w:p>
    <w:p w14:paraId="62320F34">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62320F3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w:t>
      </w:r>
      <w:r>
        <w:rPr>
          <w:rFonts w:hint="eastAsia" w:ascii="宋体" w:hAnsi="宋体" w:cs="宋体"/>
          <w:color w:val="auto"/>
          <w:kern w:val="0"/>
          <w:sz w:val="24"/>
          <w:highlight w:val="none"/>
        </w:rPr>
        <w:t>响应</w:t>
      </w:r>
      <w:r>
        <w:rPr>
          <w:rFonts w:hint="eastAsia" w:ascii="宋体" w:hAnsi="宋体" w:cs="宋体"/>
          <w:color w:val="auto"/>
          <w:kern w:val="0"/>
          <w:sz w:val="24"/>
          <w:highlight w:val="none"/>
          <w:lang w:val="zh-CN"/>
        </w:rPr>
        <w:t>等均对联合投标各方产生约束力。</w:t>
      </w:r>
    </w:p>
    <w:p w14:paraId="62320F3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62320F3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62320F3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（联合体成员2）</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62320F3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14:paraId="62320F3A">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62320F3B">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w:t>
      </w:r>
      <w:bookmarkStart w:id="407" w:name="_Hlk101131882"/>
      <w:r>
        <w:rPr>
          <w:rFonts w:hint="eastAsia" w:ascii="宋体" w:hAnsi="宋体" w:cs="宋体"/>
          <w:color w:val="auto"/>
          <w:kern w:val="0"/>
          <w:sz w:val="24"/>
          <w:highlight w:val="none"/>
          <w:u w:val="single"/>
        </w:rPr>
        <w:t>联合体成员X,……</w:t>
      </w:r>
      <w:bookmarkEnd w:id="407"/>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提供的服务由小微企业承接，其合同份额占到合同总金额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w:t>
      </w:r>
      <w:bookmarkStart w:id="408" w:name="_Hlk101133598"/>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bookmarkEnd w:id="408"/>
      <w:r>
        <w:rPr>
          <w:rFonts w:hint="eastAsia" w:ascii="宋体" w:hAnsi="宋体" w:cs="宋体"/>
          <w:b/>
          <w:color w:val="auto"/>
          <w:kern w:val="0"/>
          <w:sz w:val="24"/>
          <w:highlight w:val="none"/>
          <w:lang w:val="zh-CN"/>
        </w:rPr>
        <w:t>）</w:t>
      </w:r>
    </w:p>
    <w:p w14:paraId="62320F3C">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409"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bookmarkEnd w:id="409"/>
    </w:p>
    <w:p w14:paraId="62320F3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62320F3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62320F3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62320F4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62320F4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62320F42">
      <w:pPr>
        <w:snapToGrid w:val="0"/>
        <w:spacing w:line="360" w:lineRule="auto"/>
        <w:ind w:firstLine="5040" w:firstLineChars="2100"/>
        <w:rPr>
          <w:rFonts w:ascii="宋体" w:hAnsi="宋体" w:cs="宋体"/>
          <w:color w:val="auto"/>
          <w:kern w:val="0"/>
          <w:sz w:val="24"/>
          <w:highlight w:val="none"/>
          <w:lang w:val="zh-CN"/>
        </w:rPr>
      </w:pPr>
    </w:p>
    <w:p w14:paraId="62320F43">
      <w:pPr>
        <w:snapToGrid w:val="0"/>
        <w:spacing w:line="360" w:lineRule="auto"/>
        <w:ind w:firstLine="5040" w:firstLineChars="2100"/>
        <w:rPr>
          <w:rFonts w:ascii="宋体" w:hAnsi="宋体" w:cs="宋体"/>
          <w:color w:val="auto"/>
          <w:kern w:val="0"/>
          <w:sz w:val="24"/>
          <w:highlight w:val="none"/>
          <w:lang w:val="zh-CN"/>
        </w:rPr>
      </w:pPr>
    </w:p>
    <w:p w14:paraId="62320F44">
      <w:pPr>
        <w:snapToGrid w:val="0"/>
        <w:spacing w:line="360" w:lineRule="auto"/>
        <w:ind w:firstLine="2940" w:firstLineChars="1225"/>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62320F45">
      <w:pPr>
        <w:snapToGrid w:val="0"/>
        <w:spacing w:line="360" w:lineRule="auto"/>
        <w:ind w:firstLine="2940" w:firstLineChars="1225"/>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62320F46">
      <w:pPr>
        <w:snapToGrid w:val="0"/>
        <w:spacing w:line="360" w:lineRule="auto"/>
        <w:ind w:right="960" w:firstLine="2940" w:firstLineChars="1225"/>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14:paraId="62320F47">
      <w:pPr>
        <w:snapToGrid w:val="0"/>
        <w:spacing w:line="360" w:lineRule="auto"/>
        <w:ind w:firstLine="2940" w:firstLineChars="1225"/>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62320F48">
      <w:pPr>
        <w:spacing w:line="360" w:lineRule="auto"/>
        <w:ind w:right="420"/>
        <w:rPr>
          <w:rFonts w:ascii="宋体" w:hAnsi="宋体" w:cs="宋体"/>
          <w:color w:val="auto"/>
          <w:sz w:val="24"/>
          <w:highlight w:val="none"/>
        </w:rPr>
      </w:pPr>
    </w:p>
    <w:p w14:paraId="62320F49">
      <w:pPr>
        <w:spacing w:line="360" w:lineRule="auto"/>
        <w:ind w:right="420"/>
        <w:rPr>
          <w:rFonts w:ascii="宋体" w:hAnsi="宋体" w:cs="宋体"/>
          <w:color w:val="auto"/>
          <w:sz w:val="24"/>
          <w:highlight w:val="none"/>
        </w:rPr>
      </w:pPr>
    </w:p>
    <w:p w14:paraId="62320F4C">
      <w:pPr>
        <w:spacing w:line="360" w:lineRule="auto"/>
        <w:ind w:right="420"/>
        <w:rPr>
          <w:rFonts w:ascii="宋体" w:hAnsi="宋体" w:cs="宋体"/>
          <w:b/>
          <w:color w:val="auto"/>
          <w:spacing w:val="6"/>
          <w:sz w:val="32"/>
          <w:szCs w:val="32"/>
          <w:highlight w:val="none"/>
        </w:rPr>
      </w:pPr>
      <w:r>
        <w:rPr>
          <w:rFonts w:hint="eastAsia" w:ascii="宋体" w:hAnsi="宋体" w:cs="宋体"/>
          <w:color w:val="auto"/>
          <w:sz w:val="24"/>
          <w:highlight w:val="none"/>
        </w:rPr>
        <w:t>注：按本格式和要求提供。</w:t>
      </w:r>
    </w:p>
    <w:p w14:paraId="62320F4D">
      <w:pPr>
        <w:autoSpaceDE w:val="0"/>
        <w:autoSpaceDN w:val="0"/>
        <w:jc w:val="center"/>
        <w:rPr>
          <w:rFonts w:ascii="宋体" w:hAnsi="宋体" w:cs="宋体"/>
          <w:b/>
          <w:color w:val="auto"/>
          <w:spacing w:val="6"/>
          <w:sz w:val="32"/>
          <w:szCs w:val="32"/>
          <w:highlight w:val="none"/>
        </w:rPr>
      </w:pPr>
    </w:p>
    <w:p w14:paraId="62320F4E">
      <w:pPr>
        <w:autoSpaceDE w:val="0"/>
        <w:autoSpaceDN w:val="0"/>
        <w:jc w:val="center"/>
        <w:rPr>
          <w:rFonts w:ascii="宋体" w:hAnsi="宋体" w:cs="宋体"/>
          <w:b/>
          <w:color w:val="auto"/>
          <w:spacing w:val="6"/>
          <w:sz w:val="32"/>
          <w:szCs w:val="32"/>
          <w:highlight w:val="none"/>
        </w:rPr>
      </w:pPr>
    </w:p>
    <w:p w14:paraId="62320F4F">
      <w:pPr>
        <w:autoSpaceDE w:val="0"/>
        <w:autoSpaceDN w:val="0"/>
        <w:jc w:val="center"/>
        <w:rPr>
          <w:rFonts w:ascii="宋体" w:hAnsi="宋体" w:cs="宋体"/>
          <w:b/>
          <w:color w:val="auto"/>
          <w:spacing w:val="6"/>
          <w:sz w:val="32"/>
          <w:szCs w:val="32"/>
          <w:highlight w:val="none"/>
        </w:rPr>
      </w:pPr>
    </w:p>
    <w:p w14:paraId="62320F50">
      <w:pPr>
        <w:autoSpaceDE w:val="0"/>
        <w:autoSpaceDN w:val="0"/>
        <w:jc w:val="center"/>
        <w:rPr>
          <w:rFonts w:ascii="宋体" w:hAnsi="宋体" w:cs="宋体"/>
          <w:b/>
          <w:color w:val="auto"/>
          <w:spacing w:val="6"/>
          <w:sz w:val="32"/>
          <w:szCs w:val="32"/>
          <w:highlight w:val="none"/>
        </w:rPr>
      </w:pPr>
    </w:p>
    <w:p w14:paraId="62320F51">
      <w:pPr>
        <w:autoSpaceDE w:val="0"/>
        <w:autoSpaceDN w:val="0"/>
        <w:jc w:val="center"/>
        <w:rPr>
          <w:rFonts w:ascii="宋体" w:hAnsi="宋体" w:cs="宋体"/>
          <w:b/>
          <w:color w:val="auto"/>
          <w:spacing w:val="6"/>
          <w:sz w:val="32"/>
          <w:szCs w:val="32"/>
          <w:highlight w:val="none"/>
        </w:rPr>
      </w:pPr>
    </w:p>
    <w:p w14:paraId="62320F52">
      <w:pPr>
        <w:autoSpaceDE w:val="0"/>
        <w:autoSpaceDN w:val="0"/>
        <w:jc w:val="center"/>
        <w:rPr>
          <w:rFonts w:ascii="宋体" w:hAnsi="宋体" w:cs="宋体"/>
          <w:b/>
          <w:color w:val="auto"/>
          <w:spacing w:val="6"/>
          <w:sz w:val="32"/>
          <w:szCs w:val="32"/>
          <w:highlight w:val="none"/>
        </w:rPr>
      </w:pPr>
    </w:p>
    <w:p w14:paraId="62320F53">
      <w:pPr>
        <w:autoSpaceDE w:val="0"/>
        <w:autoSpaceDN w:val="0"/>
        <w:jc w:val="center"/>
        <w:rPr>
          <w:rFonts w:ascii="宋体" w:hAnsi="宋体" w:cs="宋体"/>
          <w:b/>
          <w:color w:val="auto"/>
          <w:spacing w:val="6"/>
          <w:sz w:val="32"/>
          <w:szCs w:val="32"/>
          <w:highlight w:val="none"/>
        </w:rPr>
      </w:pPr>
    </w:p>
    <w:p w14:paraId="62320F54">
      <w:pPr>
        <w:autoSpaceDE w:val="0"/>
        <w:autoSpaceDN w:val="0"/>
        <w:jc w:val="center"/>
        <w:rPr>
          <w:rFonts w:ascii="宋体" w:hAnsi="宋体" w:cs="宋体"/>
          <w:b/>
          <w:color w:val="auto"/>
          <w:spacing w:val="6"/>
          <w:sz w:val="32"/>
          <w:szCs w:val="32"/>
          <w:highlight w:val="none"/>
        </w:rPr>
      </w:pPr>
    </w:p>
    <w:p w14:paraId="62320F55">
      <w:pPr>
        <w:autoSpaceDE w:val="0"/>
        <w:autoSpaceDN w:val="0"/>
        <w:jc w:val="center"/>
        <w:rPr>
          <w:rFonts w:ascii="宋体" w:hAnsi="宋体" w:cs="宋体"/>
          <w:b/>
          <w:color w:val="auto"/>
          <w:spacing w:val="6"/>
          <w:sz w:val="32"/>
          <w:szCs w:val="32"/>
          <w:highlight w:val="none"/>
        </w:rPr>
      </w:pPr>
    </w:p>
    <w:p w14:paraId="62320F56">
      <w:pPr>
        <w:autoSpaceDE w:val="0"/>
        <w:autoSpaceDN w:val="0"/>
        <w:jc w:val="center"/>
        <w:rPr>
          <w:rFonts w:ascii="宋体" w:hAnsi="宋体" w:cs="宋体"/>
          <w:b/>
          <w:color w:val="auto"/>
          <w:spacing w:val="6"/>
          <w:sz w:val="32"/>
          <w:szCs w:val="32"/>
          <w:highlight w:val="none"/>
        </w:rPr>
      </w:pPr>
    </w:p>
    <w:p w14:paraId="62320F57">
      <w:pPr>
        <w:autoSpaceDE w:val="0"/>
        <w:autoSpaceDN w:val="0"/>
        <w:jc w:val="center"/>
        <w:rPr>
          <w:rFonts w:ascii="宋体" w:hAnsi="宋体" w:cs="宋体"/>
          <w:b/>
          <w:color w:val="auto"/>
          <w:spacing w:val="6"/>
          <w:sz w:val="32"/>
          <w:szCs w:val="32"/>
          <w:highlight w:val="none"/>
        </w:rPr>
      </w:pPr>
    </w:p>
    <w:p w14:paraId="62320F58">
      <w:pPr>
        <w:autoSpaceDE w:val="0"/>
        <w:autoSpaceDN w:val="0"/>
        <w:jc w:val="center"/>
        <w:rPr>
          <w:rFonts w:ascii="宋体" w:hAnsi="宋体" w:cs="宋体"/>
          <w:b/>
          <w:color w:val="auto"/>
          <w:spacing w:val="6"/>
          <w:sz w:val="32"/>
          <w:szCs w:val="32"/>
          <w:highlight w:val="none"/>
        </w:rPr>
      </w:pPr>
    </w:p>
    <w:p w14:paraId="62320F59">
      <w:pPr>
        <w:autoSpaceDE w:val="0"/>
        <w:autoSpaceDN w:val="0"/>
        <w:jc w:val="center"/>
        <w:rPr>
          <w:rFonts w:ascii="宋体" w:hAnsi="宋体" w:cs="宋体"/>
          <w:b/>
          <w:color w:val="auto"/>
          <w:spacing w:val="6"/>
          <w:sz w:val="32"/>
          <w:szCs w:val="32"/>
          <w:highlight w:val="none"/>
        </w:rPr>
      </w:pPr>
    </w:p>
    <w:p w14:paraId="62320F5A">
      <w:pPr>
        <w:autoSpaceDE w:val="0"/>
        <w:autoSpaceDN w:val="0"/>
        <w:jc w:val="center"/>
        <w:rPr>
          <w:rFonts w:ascii="宋体" w:hAnsi="宋体" w:cs="宋体"/>
          <w:b/>
          <w:color w:val="auto"/>
          <w:spacing w:val="6"/>
          <w:sz w:val="32"/>
          <w:szCs w:val="32"/>
          <w:highlight w:val="none"/>
        </w:rPr>
      </w:pPr>
    </w:p>
    <w:p w14:paraId="62320F5B">
      <w:pPr>
        <w:autoSpaceDE w:val="0"/>
        <w:autoSpaceDN w:val="0"/>
        <w:jc w:val="center"/>
        <w:rPr>
          <w:rFonts w:ascii="宋体" w:hAnsi="宋体" w:cs="宋体"/>
          <w:b/>
          <w:color w:val="auto"/>
          <w:spacing w:val="6"/>
          <w:sz w:val="32"/>
          <w:szCs w:val="32"/>
          <w:highlight w:val="none"/>
        </w:rPr>
      </w:pPr>
    </w:p>
    <w:p w14:paraId="62320F5C">
      <w:pPr>
        <w:autoSpaceDE w:val="0"/>
        <w:autoSpaceDN w:val="0"/>
        <w:jc w:val="center"/>
        <w:rPr>
          <w:rFonts w:ascii="宋体" w:hAnsi="宋体" w:cs="宋体"/>
          <w:b/>
          <w:color w:val="auto"/>
          <w:spacing w:val="6"/>
          <w:sz w:val="32"/>
          <w:szCs w:val="32"/>
          <w:highlight w:val="none"/>
        </w:rPr>
      </w:pPr>
    </w:p>
    <w:p w14:paraId="62320F5D">
      <w:pPr>
        <w:autoSpaceDE w:val="0"/>
        <w:autoSpaceDN w:val="0"/>
        <w:jc w:val="center"/>
        <w:rPr>
          <w:rFonts w:ascii="宋体" w:hAnsi="宋体" w:cs="宋体"/>
          <w:b/>
          <w:color w:val="auto"/>
          <w:spacing w:val="6"/>
          <w:sz w:val="32"/>
          <w:szCs w:val="32"/>
          <w:highlight w:val="none"/>
        </w:rPr>
      </w:pPr>
    </w:p>
    <w:p w14:paraId="62320F5E">
      <w:pPr>
        <w:autoSpaceDE w:val="0"/>
        <w:autoSpaceDN w:val="0"/>
        <w:jc w:val="center"/>
        <w:rPr>
          <w:rFonts w:ascii="宋体" w:hAnsi="宋体" w:cs="宋体"/>
          <w:b/>
          <w:color w:val="auto"/>
          <w:spacing w:val="6"/>
          <w:sz w:val="32"/>
          <w:szCs w:val="32"/>
          <w:highlight w:val="none"/>
        </w:rPr>
      </w:pPr>
    </w:p>
    <w:p w14:paraId="62320F5F">
      <w:pPr>
        <w:autoSpaceDE w:val="0"/>
        <w:autoSpaceDN w:val="0"/>
        <w:jc w:val="center"/>
        <w:rPr>
          <w:rFonts w:ascii="宋体" w:hAnsi="宋体" w:cs="宋体"/>
          <w:b/>
          <w:color w:val="auto"/>
          <w:spacing w:val="6"/>
          <w:sz w:val="32"/>
          <w:szCs w:val="32"/>
          <w:highlight w:val="none"/>
        </w:rPr>
      </w:pPr>
    </w:p>
    <w:p w14:paraId="62320F60">
      <w:pPr>
        <w:autoSpaceDE w:val="0"/>
        <w:autoSpaceDN w:val="0"/>
        <w:jc w:val="center"/>
        <w:rPr>
          <w:rFonts w:ascii="宋体" w:hAnsi="宋体" w:cs="宋体"/>
          <w:b/>
          <w:color w:val="auto"/>
          <w:spacing w:val="6"/>
          <w:sz w:val="32"/>
          <w:szCs w:val="32"/>
          <w:highlight w:val="none"/>
        </w:rPr>
      </w:pPr>
    </w:p>
    <w:p w14:paraId="62320F61">
      <w:pPr>
        <w:widowControl/>
        <w:adjustRightInd/>
        <w:jc w:val="center"/>
        <w:rPr>
          <w:rFonts w:ascii="宋体" w:hAnsi="宋体" w:cs="宋体"/>
          <w:b/>
          <w:color w:val="auto"/>
          <w:kern w:val="0"/>
          <w:sz w:val="32"/>
          <w:szCs w:val="32"/>
          <w:highlight w:val="none"/>
        </w:rPr>
      </w:pPr>
      <w:r>
        <w:rPr>
          <w:rFonts w:hint="eastAsia" w:ascii="宋体" w:hAnsi="宋体" w:cs="宋体"/>
          <w:b/>
          <w:color w:val="auto"/>
          <w:spacing w:val="6"/>
          <w:sz w:val="32"/>
          <w:szCs w:val="32"/>
          <w:highlight w:val="none"/>
        </w:rPr>
        <w:br w:type="page"/>
      </w:r>
      <w:r>
        <w:rPr>
          <w:rFonts w:hint="eastAsia" w:ascii="宋体" w:hAnsi="宋体" w:cs="宋体"/>
          <w:b/>
          <w:color w:val="auto"/>
          <w:spacing w:val="6"/>
          <w:sz w:val="32"/>
          <w:szCs w:val="32"/>
          <w:highlight w:val="none"/>
        </w:rPr>
        <w:t>附件6：</w:t>
      </w:r>
      <w:r>
        <w:rPr>
          <w:rFonts w:hint="eastAsia" w:ascii="宋体" w:hAnsi="宋体" w:cs="宋体"/>
          <w:b/>
          <w:color w:val="auto"/>
          <w:kern w:val="0"/>
          <w:sz w:val="32"/>
          <w:szCs w:val="32"/>
          <w:highlight w:val="none"/>
        </w:rPr>
        <w:t>分包意向协议</w:t>
      </w:r>
    </w:p>
    <w:p w14:paraId="62320F62">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2469B4EF">
      <w:pPr>
        <w:snapToGrid w:val="0"/>
        <w:spacing w:line="360" w:lineRule="auto"/>
        <w:ind w:firstLine="576"/>
        <w:rPr>
          <w:rFonts w:hint="eastAsia" w:ascii="宋体" w:hAnsi="宋体" w:cs="宋体"/>
          <w:color w:val="auto"/>
          <w:kern w:val="0"/>
          <w:sz w:val="24"/>
          <w:highlight w:val="none"/>
          <w:u w:val="single"/>
        </w:rPr>
      </w:pPr>
    </w:p>
    <w:p w14:paraId="62320F6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u w:val="single"/>
          <w:lang w:eastAsia="zh-CN"/>
        </w:rPr>
        <w:t>浙江省县乡合法性审查法律法规库建设项目和县乡合法性审查应用建设项目</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项目编号</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ZJ-2580230-02</w:t>
      </w:r>
      <w:r>
        <w:rPr>
          <w:rFonts w:hint="eastAsia" w:ascii="宋体" w:hAnsi="宋体" w:cs="宋体"/>
          <w:color w:val="auto"/>
          <w:sz w:val="24"/>
          <w:highlight w:val="none"/>
          <w:u w:val="single"/>
        </w:rPr>
        <w:t>】</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62320F64">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62320F6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hint="eastAsia"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（分包供应商2名称），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62320F66">
      <w:pPr>
        <w:pStyle w:val="4"/>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62320F67">
      <w:pPr>
        <w:rPr>
          <w:rFonts w:ascii="宋体" w:hAnsi="宋体" w:cs="宋体"/>
          <w:color w:val="auto"/>
          <w:highlight w:val="none"/>
        </w:rPr>
      </w:pPr>
      <w:r>
        <w:rPr>
          <w:rFonts w:hint="eastAsia" w:ascii="宋体" w:hAnsi="宋体" w:cs="宋体"/>
          <w:color w:val="auto"/>
          <w:highlight w:val="none"/>
          <w:lang w:val="zh-CN"/>
        </w:rPr>
        <w:t xml:space="preserve"> </w:t>
      </w:r>
    </w:p>
    <w:p w14:paraId="62320F6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62320F69">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rPr>
        <w:t>1</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u w:val="single"/>
        </w:rPr>
        <w:t>（分包供应商X,……）提供的服务全部由小微企业承接，</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62320F6A">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eastAsia="zh-CN"/>
        </w:rPr>
        <w:t>.</w:t>
      </w:r>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14:paraId="62320F6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62320F6C">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62320F6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62320F6E">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62320F6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62320F70">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六、违约责任</w:t>
      </w:r>
    </w:p>
    <w:p w14:paraId="62320F71">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62320F7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62320F7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62320F74">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八、其他</w:t>
      </w:r>
    </w:p>
    <w:p w14:paraId="62320F75">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       </w:t>
      </w:r>
    </w:p>
    <w:p w14:paraId="62320F76">
      <w:pPr>
        <w:snapToGrid w:val="0"/>
        <w:spacing w:line="360" w:lineRule="auto"/>
        <w:ind w:left="5758" w:leftChars="342" w:hanging="5040" w:hangingChars="2100"/>
        <w:rPr>
          <w:rFonts w:ascii="宋体" w:hAnsi="宋体" w:cs="宋体"/>
          <w:color w:val="auto"/>
          <w:kern w:val="0"/>
          <w:sz w:val="24"/>
          <w:highlight w:val="none"/>
          <w:lang w:val="zh-CN"/>
        </w:rPr>
      </w:pPr>
    </w:p>
    <w:p w14:paraId="62320F77">
      <w:pPr>
        <w:snapToGrid w:val="0"/>
        <w:spacing w:line="360" w:lineRule="auto"/>
        <w:ind w:left="5758" w:leftChars="342" w:hanging="5040" w:hangingChars="2100"/>
        <w:rPr>
          <w:rFonts w:ascii="宋体" w:hAnsi="宋体" w:cs="宋体"/>
          <w:color w:val="auto"/>
          <w:kern w:val="0"/>
          <w:sz w:val="24"/>
          <w:highlight w:val="none"/>
          <w:lang w:val="zh-CN"/>
        </w:rPr>
      </w:pPr>
    </w:p>
    <w:p w14:paraId="62320F78">
      <w:pPr>
        <w:snapToGrid w:val="0"/>
        <w:spacing w:line="360" w:lineRule="auto"/>
        <w:ind w:left="5757" w:leftChars="2000" w:hanging="1557" w:hangingChars="64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投标人名称（电子签名）：</w:t>
      </w:r>
    </w:p>
    <w:p w14:paraId="62320F79">
      <w:pPr>
        <w:snapToGrid w:val="0"/>
        <w:spacing w:line="360" w:lineRule="auto"/>
        <w:ind w:left="5757" w:leftChars="2000" w:hanging="1557" w:hangingChars="64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62320F7A">
      <w:pPr>
        <w:snapToGrid w:val="0"/>
        <w:spacing w:line="360" w:lineRule="auto"/>
        <w:ind w:left="5757" w:leftChars="2000" w:hanging="1557" w:hangingChars="649"/>
        <w:rPr>
          <w:rFonts w:ascii="宋体" w:hAnsi="宋体" w:cs="宋体"/>
          <w:color w:val="auto"/>
          <w:highlight w:val="none"/>
        </w:rPr>
      </w:pPr>
      <w:r>
        <w:rPr>
          <w:rFonts w:hint="eastAsia" w:ascii="宋体" w:hAnsi="宋体" w:cs="宋体"/>
          <w:color w:val="auto"/>
          <w:kern w:val="0"/>
          <w:sz w:val="24"/>
          <w:highlight w:val="none"/>
          <w:lang w:val="zh-CN"/>
        </w:rPr>
        <w:t>……</w:t>
      </w:r>
    </w:p>
    <w:p w14:paraId="62320F7B">
      <w:pPr>
        <w:snapToGrid w:val="0"/>
        <w:spacing w:line="360" w:lineRule="auto"/>
        <w:ind w:left="5757" w:leftChars="2000" w:hanging="1557" w:hangingChars="64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62320F7C">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62320F7D">
      <w:pPr>
        <w:autoSpaceDE w:val="0"/>
        <w:autoSpaceDN w:val="0"/>
        <w:jc w:val="center"/>
        <w:rPr>
          <w:rFonts w:ascii="宋体" w:hAnsi="宋体" w:cs="宋体"/>
          <w:b/>
          <w:color w:val="auto"/>
          <w:spacing w:val="6"/>
          <w:sz w:val="32"/>
          <w:szCs w:val="32"/>
          <w:highlight w:val="none"/>
        </w:rPr>
      </w:pPr>
    </w:p>
    <w:p w14:paraId="62320F7E">
      <w:pPr>
        <w:autoSpaceDE w:val="0"/>
        <w:autoSpaceDN w:val="0"/>
        <w:jc w:val="center"/>
        <w:rPr>
          <w:rFonts w:ascii="宋体" w:hAnsi="宋体" w:cs="宋体"/>
          <w:b/>
          <w:color w:val="auto"/>
          <w:spacing w:val="6"/>
          <w:sz w:val="32"/>
          <w:szCs w:val="32"/>
          <w:highlight w:val="none"/>
        </w:rPr>
      </w:pPr>
    </w:p>
    <w:p w14:paraId="62320F7F">
      <w:pPr>
        <w:autoSpaceDE w:val="0"/>
        <w:autoSpaceDN w:val="0"/>
        <w:jc w:val="center"/>
        <w:rPr>
          <w:rFonts w:ascii="宋体" w:hAnsi="宋体" w:cs="宋体"/>
          <w:b/>
          <w:color w:val="auto"/>
          <w:spacing w:val="6"/>
          <w:sz w:val="32"/>
          <w:szCs w:val="32"/>
          <w:highlight w:val="none"/>
        </w:rPr>
      </w:pPr>
    </w:p>
    <w:p w14:paraId="62320F80">
      <w:pPr>
        <w:autoSpaceDE w:val="0"/>
        <w:autoSpaceDN w:val="0"/>
        <w:jc w:val="center"/>
        <w:rPr>
          <w:rFonts w:ascii="宋体" w:hAnsi="宋体" w:cs="宋体"/>
          <w:b/>
          <w:color w:val="auto"/>
          <w:spacing w:val="6"/>
          <w:sz w:val="32"/>
          <w:szCs w:val="32"/>
          <w:highlight w:val="none"/>
        </w:rPr>
      </w:pPr>
    </w:p>
    <w:p w14:paraId="62320F81">
      <w:pPr>
        <w:autoSpaceDE w:val="0"/>
        <w:autoSpaceDN w:val="0"/>
        <w:jc w:val="center"/>
        <w:rPr>
          <w:rFonts w:ascii="宋体" w:hAnsi="宋体" w:cs="宋体"/>
          <w:b/>
          <w:color w:val="auto"/>
          <w:spacing w:val="6"/>
          <w:sz w:val="32"/>
          <w:szCs w:val="32"/>
          <w:highlight w:val="none"/>
        </w:rPr>
      </w:pPr>
    </w:p>
    <w:p w14:paraId="62320F82">
      <w:pPr>
        <w:autoSpaceDE w:val="0"/>
        <w:autoSpaceDN w:val="0"/>
        <w:jc w:val="center"/>
        <w:rPr>
          <w:rFonts w:ascii="宋体" w:hAnsi="宋体" w:cs="宋体"/>
          <w:b/>
          <w:color w:val="auto"/>
          <w:spacing w:val="6"/>
          <w:sz w:val="32"/>
          <w:szCs w:val="32"/>
          <w:highlight w:val="none"/>
        </w:rPr>
      </w:pPr>
    </w:p>
    <w:p w14:paraId="62320F83">
      <w:pPr>
        <w:autoSpaceDE w:val="0"/>
        <w:autoSpaceDN w:val="0"/>
        <w:jc w:val="center"/>
        <w:rPr>
          <w:rFonts w:ascii="宋体" w:hAnsi="宋体" w:cs="宋体"/>
          <w:b/>
          <w:color w:val="auto"/>
          <w:spacing w:val="6"/>
          <w:sz w:val="32"/>
          <w:szCs w:val="32"/>
          <w:highlight w:val="none"/>
        </w:rPr>
      </w:pPr>
    </w:p>
    <w:p w14:paraId="62320F84">
      <w:pPr>
        <w:autoSpaceDE w:val="0"/>
        <w:autoSpaceDN w:val="0"/>
        <w:jc w:val="center"/>
        <w:rPr>
          <w:rFonts w:ascii="宋体" w:hAnsi="宋体" w:cs="宋体"/>
          <w:b/>
          <w:color w:val="auto"/>
          <w:spacing w:val="6"/>
          <w:sz w:val="32"/>
          <w:szCs w:val="32"/>
          <w:highlight w:val="none"/>
        </w:rPr>
      </w:pPr>
    </w:p>
    <w:p w14:paraId="62320F85">
      <w:pPr>
        <w:autoSpaceDE w:val="0"/>
        <w:autoSpaceDN w:val="0"/>
        <w:jc w:val="center"/>
        <w:rPr>
          <w:rFonts w:ascii="宋体" w:hAnsi="宋体" w:cs="宋体"/>
          <w:b/>
          <w:color w:val="auto"/>
          <w:spacing w:val="6"/>
          <w:sz w:val="32"/>
          <w:szCs w:val="32"/>
          <w:highlight w:val="none"/>
        </w:rPr>
      </w:pPr>
    </w:p>
    <w:p w14:paraId="62320F86">
      <w:pPr>
        <w:autoSpaceDE w:val="0"/>
        <w:autoSpaceDN w:val="0"/>
        <w:jc w:val="center"/>
        <w:rPr>
          <w:rFonts w:ascii="宋体" w:hAnsi="宋体" w:cs="宋体"/>
          <w:b/>
          <w:color w:val="auto"/>
          <w:spacing w:val="6"/>
          <w:sz w:val="32"/>
          <w:szCs w:val="32"/>
          <w:highlight w:val="none"/>
        </w:rPr>
      </w:pPr>
    </w:p>
    <w:p w14:paraId="62320F87">
      <w:pPr>
        <w:autoSpaceDE w:val="0"/>
        <w:autoSpaceDN w:val="0"/>
        <w:jc w:val="center"/>
        <w:rPr>
          <w:rFonts w:ascii="宋体" w:hAnsi="宋体" w:cs="宋体"/>
          <w:b/>
          <w:color w:val="auto"/>
          <w:spacing w:val="6"/>
          <w:sz w:val="32"/>
          <w:szCs w:val="32"/>
          <w:highlight w:val="none"/>
        </w:rPr>
      </w:pPr>
    </w:p>
    <w:p w14:paraId="62320F88">
      <w:pPr>
        <w:autoSpaceDE w:val="0"/>
        <w:autoSpaceDN w:val="0"/>
        <w:jc w:val="center"/>
        <w:rPr>
          <w:rFonts w:ascii="宋体" w:hAnsi="宋体" w:cs="宋体"/>
          <w:b/>
          <w:color w:val="auto"/>
          <w:spacing w:val="6"/>
          <w:sz w:val="32"/>
          <w:szCs w:val="32"/>
          <w:highlight w:val="none"/>
        </w:rPr>
      </w:pPr>
    </w:p>
    <w:p w14:paraId="62320F89">
      <w:pPr>
        <w:autoSpaceDE w:val="0"/>
        <w:autoSpaceDN w:val="0"/>
        <w:jc w:val="center"/>
        <w:rPr>
          <w:rFonts w:ascii="宋体" w:hAnsi="宋体" w:cs="宋体"/>
          <w:b/>
          <w:color w:val="auto"/>
          <w:spacing w:val="6"/>
          <w:sz w:val="32"/>
          <w:szCs w:val="32"/>
          <w:highlight w:val="none"/>
        </w:rPr>
      </w:pPr>
    </w:p>
    <w:p w14:paraId="62320F8A">
      <w:pPr>
        <w:autoSpaceDE w:val="0"/>
        <w:autoSpaceDN w:val="0"/>
        <w:jc w:val="center"/>
        <w:rPr>
          <w:rFonts w:ascii="宋体" w:hAnsi="宋体" w:cs="宋体"/>
          <w:b/>
          <w:color w:val="auto"/>
          <w:spacing w:val="6"/>
          <w:sz w:val="32"/>
          <w:szCs w:val="32"/>
          <w:highlight w:val="none"/>
        </w:rPr>
      </w:pPr>
    </w:p>
    <w:p w14:paraId="62320F8B">
      <w:pPr>
        <w:autoSpaceDE w:val="0"/>
        <w:autoSpaceDN w:val="0"/>
        <w:jc w:val="center"/>
        <w:rPr>
          <w:rFonts w:ascii="宋体" w:hAnsi="宋体" w:cs="宋体"/>
          <w:b/>
          <w:color w:val="auto"/>
          <w:spacing w:val="6"/>
          <w:sz w:val="32"/>
          <w:szCs w:val="32"/>
          <w:highlight w:val="none"/>
        </w:rPr>
      </w:pPr>
    </w:p>
    <w:p w14:paraId="62320F8C">
      <w:pPr>
        <w:autoSpaceDE w:val="0"/>
        <w:autoSpaceDN w:val="0"/>
        <w:jc w:val="center"/>
        <w:rPr>
          <w:rFonts w:ascii="宋体" w:hAnsi="宋体" w:cs="宋体"/>
          <w:b/>
          <w:color w:val="auto"/>
          <w:spacing w:val="6"/>
          <w:sz w:val="32"/>
          <w:szCs w:val="32"/>
          <w:highlight w:val="none"/>
        </w:rPr>
      </w:pPr>
    </w:p>
    <w:p w14:paraId="62320F8D">
      <w:pPr>
        <w:autoSpaceDE w:val="0"/>
        <w:autoSpaceDN w:val="0"/>
        <w:jc w:val="center"/>
        <w:rPr>
          <w:rFonts w:ascii="宋体" w:hAnsi="宋体" w:cs="宋体"/>
          <w:b/>
          <w:color w:val="auto"/>
          <w:spacing w:val="6"/>
          <w:sz w:val="32"/>
          <w:szCs w:val="32"/>
          <w:highlight w:val="none"/>
        </w:rPr>
      </w:pPr>
    </w:p>
    <w:p w14:paraId="62320F8E">
      <w:pPr>
        <w:autoSpaceDE w:val="0"/>
        <w:autoSpaceDN w:val="0"/>
        <w:jc w:val="center"/>
        <w:rPr>
          <w:rFonts w:ascii="宋体" w:hAnsi="宋体" w:cs="宋体"/>
          <w:b/>
          <w:color w:val="auto"/>
          <w:spacing w:val="6"/>
          <w:sz w:val="32"/>
          <w:szCs w:val="32"/>
          <w:highlight w:val="none"/>
        </w:rPr>
      </w:pPr>
    </w:p>
    <w:p w14:paraId="62320F8F">
      <w:pPr>
        <w:autoSpaceDE w:val="0"/>
        <w:autoSpaceDN w:val="0"/>
        <w:jc w:val="center"/>
        <w:rPr>
          <w:rFonts w:ascii="宋体" w:hAnsi="宋体" w:cs="宋体"/>
          <w:b/>
          <w:color w:val="auto"/>
          <w:spacing w:val="6"/>
          <w:sz w:val="32"/>
          <w:szCs w:val="32"/>
          <w:highlight w:val="none"/>
        </w:rPr>
      </w:pPr>
    </w:p>
    <w:p w14:paraId="62320F90">
      <w:pPr>
        <w:autoSpaceDE w:val="0"/>
        <w:autoSpaceDN w:val="0"/>
        <w:jc w:val="center"/>
        <w:rPr>
          <w:rFonts w:ascii="宋体" w:hAnsi="宋体" w:cs="宋体"/>
          <w:b/>
          <w:color w:val="auto"/>
          <w:spacing w:val="6"/>
          <w:sz w:val="32"/>
          <w:szCs w:val="32"/>
          <w:highlight w:val="none"/>
        </w:rPr>
      </w:pPr>
    </w:p>
    <w:p w14:paraId="62320F91">
      <w:pPr>
        <w:autoSpaceDE w:val="0"/>
        <w:autoSpaceDN w:val="0"/>
        <w:jc w:val="center"/>
        <w:rPr>
          <w:rFonts w:ascii="宋体" w:hAnsi="宋体" w:cs="宋体"/>
          <w:b/>
          <w:color w:val="auto"/>
          <w:spacing w:val="6"/>
          <w:sz w:val="32"/>
          <w:szCs w:val="32"/>
          <w:highlight w:val="none"/>
        </w:rPr>
      </w:pPr>
    </w:p>
    <w:p w14:paraId="62320F92">
      <w:pPr>
        <w:autoSpaceDE w:val="0"/>
        <w:autoSpaceDN w:val="0"/>
        <w:jc w:val="center"/>
        <w:rPr>
          <w:rFonts w:ascii="宋体" w:hAnsi="宋体" w:cs="宋体"/>
          <w:b/>
          <w:color w:val="auto"/>
          <w:spacing w:val="6"/>
          <w:sz w:val="32"/>
          <w:szCs w:val="32"/>
          <w:highlight w:val="none"/>
        </w:rPr>
      </w:pPr>
    </w:p>
    <w:p w14:paraId="62320F93">
      <w:pPr>
        <w:autoSpaceDE w:val="0"/>
        <w:autoSpaceDN w:val="0"/>
        <w:jc w:val="center"/>
        <w:rPr>
          <w:rFonts w:ascii="宋体" w:hAnsi="宋体" w:cs="宋体"/>
          <w:b/>
          <w:color w:val="auto"/>
          <w:spacing w:val="6"/>
          <w:sz w:val="32"/>
          <w:szCs w:val="32"/>
          <w:highlight w:val="none"/>
        </w:rPr>
      </w:pPr>
    </w:p>
    <w:p w14:paraId="62320F94">
      <w:pPr>
        <w:autoSpaceDE w:val="0"/>
        <w:autoSpaceDN w:val="0"/>
        <w:jc w:val="center"/>
        <w:rPr>
          <w:rFonts w:ascii="宋体" w:hAnsi="宋体" w:cs="宋体"/>
          <w:b/>
          <w:color w:val="auto"/>
          <w:spacing w:val="6"/>
          <w:sz w:val="32"/>
          <w:szCs w:val="32"/>
          <w:highlight w:val="none"/>
        </w:rPr>
      </w:pPr>
    </w:p>
    <w:p w14:paraId="62320F95">
      <w:pPr>
        <w:autoSpaceDE w:val="0"/>
        <w:autoSpaceDN w:val="0"/>
        <w:jc w:val="center"/>
        <w:rPr>
          <w:rFonts w:ascii="宋体" w:hAnsi="宋体" w:cs="宋体"/>
          <w:b/>
          <w:color w:val="auto"/>
          <w:spacing w:val="6"/>
          <w:sz w:val="32"/>
          <w:szCs w:val="32"/>
          <w:highlight w:val="none"/>
        </w:rPr>
      </w:pPr>
    </w:p>
    <w:p w14:paraId="62320F96">
      <w:pPr>
        <w:autoSpaceDE w:val="0"/>
        <w:autoSpaceDN w:val="0"/>
        <w:jc w:val="center"/>
        <w:rPr>
          <w:rFonts w:ascii="宋体" w:hAnsi="宋体" w:cs="宋体"/>
          <w:b/>
          <w:color w:val="auto"/>
          <w:spacing w:val="6"/>
          <w:sz w:val="32"/>
          <w:szCs w:val="32"/>
          <w:highlight w:val="none"/>
        </w:rPr>
      </w:pPr>
    </w:p>
    <w:p w14:paraId="62320F97">
      <w:pPr>
        <w:spacing w:line="360" w:lineRule="auto"/>
        <w:jc w:val="left"/>
        <w:outlineLvl w:val="0"/>
        <w:rPr>
          <w:rFonts w:ascii="宋体" w:hAnsi="宋体" w:cs="宋体"/>
          <w:b/>
          <w:color w:val="auto"/>
          <w:sz w:val="36"/>
          <w:szCs w:val="20"/>
          <w:highlight w:val="none"/>
        </w:rPr>
      </w:pPr>
      <w:r>
        <w:rPr>
          <w:rFonts w:hint="eastAsia" w:ascii="宋体" w:hAnsi="宋体" w:cs="宋体"/>
          <w:b/>
          <w:color w:val="auto"/>
          <w:sz w:val="36"/>
          <w:szCs w:val="20"/>
          <w:highlight w:val="none"/>
        </w:rPr>
        <w:t>附件7：中小企业声明函</w:t>
      </w:r>
    </w:p>
    <w:p w14:paraId="62320F98">
      <w:pPr>
        <w:spacing w:line="360" w:lineRule="auto"/>
        <w:jc w:val="center"/>
        <w:rPr>
          <w:rFonts w:ascii="宋体" w:hAnsi="宋体" w:cs="宋体"/>
          <w:color w:val="auto"/>
          <w:sz w:val="24"/>
          <w:highlight w:val="none"/>
          <w:u w:val="single"/>
        </w:rPr>
      </w:pPr>
    </w:p>
    <w:p w14:paraId="62320F99">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62320F9A">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rPr>
        <w:t xml:space="preserve">浙江省司法厅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浙江省县乡合法性审查法律法规库建设项目和县乡合法性审查应用建设项目</w:t>
      </w:r>
      <w:r>
        <w:rPr>
          <w:rFonts w:hint="eastAsia" w:ascii="宋体" w:hAnsi="宋体" w:cs="宋体"/>
          <w:color w:val="auto"/>
          <w:sz w:val="24"/>
          <w:highlight w:val="none"/>
        </w:rPr>
        <w:t>采购活动，服务全部由符合政策要求的中小企业承接。相关企业（含联合体中的中小企业、签订分包意向协议的中小企业）的具体情况如下：</w:t>
      </w:r>
    </w:p>
    <w:p w14:paraId="62320F9B">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u w:val="single"/>
          <w:lang w:eastAsia="zh-CN"/>
        </w:rPr>
        <w:t>浙江省县乡合法性审查法律法规库建设项目（</w:t>
      </w:r>
      <w:r>
        <w:rPr>
          <w:rFonts w:hint="eastAsia" w:ascii="宋体" w:hAnsi="宋体" w:cs="宋体"/>
          <w:color w:val="auto"/>
          <w:kern w:val="0"/>
          <w:sz w:val="24"/>
          <w:highlight w:val="none"/>
          <w:u w:val="single"/>
          <w:lang w:val="en-US" w:eastAsia="zh-CN"/>
        </w:rPr>
        <w:t>如参加标项1投标）或</w:t>
      </w:r>
      <w:r>
        <w:rPr>
          <w:rFonts w:hint="eastAsia" w:ascii="宋体" w:hAnsi="宋体" w:cs="宋体"/>
          <w:color w:val="auto"/>
          <w:kern w:val="0"/>
          <w:sz w:val="24"/>
          <w:highlight w:val="none"/>
          <w:u w:val="single"/>
          <w:lang w:eastAsia="zh-CN"/>
        </w:rPr>
        <w:t>县乡合法性审查应用建设项目（</w:t>
      </w:r>
      <w:r>
        <w:rPr>
          <w:rFonts w:hint="eastAsia" w:ascii="宋体" w:hAnsi="宋体" w:cs="宋体"/>
          <w:color w:val="auto"/>
          <w:kern w:val="0"/>
          <w:sz w:val="24"/>
          <w:highlight w:val="none"/>
          <w:u w:val="single"/>
          <w:lang w:val="en-US" w:eastAsia="zh-CN"/>
        </w:rPr>
        <w:t>如参加标项2投标）</w:t>
      </w:r>
      <w:r>
        <w:rPr>
          <w:rFonts w:hint="eastAsia" w:ascii="宋体" w:hAnsi="宋体" w:cs="宋体"/>
          <w:color w:val="auto"/>
          <w:kern w:val="0"/>
          <w:sz w:val="24"/>
          <w:highlight w:val="none"/>
          <w:u w:val="none"/>
        </w:rPr>
        <w:t>，</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u w:val="single"/>
        </w:rPr>
        <w:t>软件和信息技术服务业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62320F9C">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14:paraId="62320F9D">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62320F9E">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62320F9F">
      <w:pPr>
        <w:spacing w:line="360" w:lineRule="auto"/>
        <w:ind w:right="1760"/>
        <w:jc w:val="right"/>
        <w:rPr>
          <w:rFonts w:ascii="宋体" w:hAnsi="宋体" w:cs="宋体"/>
          <w:color w:val="auto"/>
          <w:sz w:val="24"/>
          <w:highlight w:val="none"/>
        </w:rPr>
      </w:pPr>
    </w:p>
    <w:p w14:paraId="62320FA0">
      <w:pP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rPr>
        <w:t>投标人名称（电子签名）：</w:t>
      </w:r>
    </w:p>
    <w:p w14:paraId="62320FA1">
      <w:pPr>
        <w:spacing w:line="36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14:paraId="62320FA2">
      <w:pPr>
        <w:spacing w:line="360" w:lineRule="auto"/>
        <w:ind w:right="420"/>
        <w:rPr>
          <w:rFonts w:ascii="宋体" w:hAnsi="宋体" w:cs="宋体"/>
          <w:color w:val="auto"/>
          <w:sz w:val="24"/>
          <w:highlight w:val="none"/>
        </w:rPr>
      </w:pPr>
    </w:p>
    <w:p w14:paraId="3CD7D4DF">
      <w:pPr>
        <w:spacing w:line="360" w:lineRule="auto"/>
        <w:ind w:right="420" w:firstLine="480" w:firstLineChars="200"/>
        <w:rPr>
          <w:rFonts w:hint="eastAsia" w:ascii="宋体" w:hAnsi="宋体" w:eastAsia="宋体" w:cs="宋体"/>
          <w:color w:val="auto"/>
          <w:highlight w:val="none"/>
        </w:rPr>
      </w:pPr>
      <w:r>
        <w:rPr>
          <w:rFonts w:hint="eastAsia" w:ascii="宋体" w:hAnsi="宋体" w:eastAsia="宋体" w:cs="宋体"/>
          <w:color w:val="auto"/>
          <w:sz w:val="24"/>
          <w:highlight w:val="none"/>
        </w:rPr>
        <w:t>注：①从业人员、营业收入、资产总额填报上一年度数据，无上一年度数据的新成立企业可不填报。②《中小企业声明函》中“标的名称”、“采购文件中明确的所属行业”依据招标文件第二部分投标人须知前附表中“采购标的及其对应的中小企业划分标准所属行业”的指引，逐一填写，不得缺漏。</w:t>
      </w:r>
    </w:p>
    <w:p w14:paraId="1DDE2F84">
      <w:pPr>
        <w:spacing w:line="360" w:lineRule="auto"/>
        <w:rPr>
          <w:rFonts w:ascii="宋体" w:hAnsi="宋体" w:cs="宋体"/>
          <w:bCs/>
          <w:color w:val="auto"/>
          <w:sz w:val="24"/>
          <w:highlight w:val="none"/>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华文楷体">
    <w:altName w:val="宋体"/>
    <w:panose1 w:val="02010600040101010101"/>
    <w:charset w:val="86"/>
    <w:family w:val="auto"/>
    <w:pitch w:val="default"/>
    <w:sig w:usb0="00000000" w:usb1="0000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panose1 w:val="020B0604020202020204"/>
    <w:charset w:val="00"/>
    <w:family w:val="swiss"/>
    <w:pitch w:val="default"/>
    <w:sig w:usb0="00000000" w:usb1="00000000" w:usb2="00000000" w:usb3="00000000" w:csb0="00000000"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PMingLiU-ExtB"/>
    <w:panose1 w:val="00000000000000000000"/>
    <w:charset w:val="00"/>
    <w:family w:val="modern"/>
    <w:pitch w:val="default"/>
    <w:sig w:usb0="00000000" w:usb1="00000000" w:usb2="00000001" w:usb3="00000000" w:csb0="400001BF" w:csb1="DFF70000"/>
  </w:font>
  <w:font w:name="PMingLiU-ExtB">
    <w:panose1 w:val="02020500000000000000"/>
    <w:charset w:val="88"/>
    <w:family w:val="auto"/>
    <w:pitch w:val="default"/>
    <w:sig w:usb0="8000002F" w:usb1="02000008" w:usb2="00000000" w:usb3="00000000" w:csb0="00100001" w:csb1="00000000"/>
  </w:font>
  <w:font w:name="MS Gothic">
    <w:panose1 w:val="020B0609070205080204"/>
    <w:charset w:val="80"/>
    <w:family w:val="auto"/>
    <w:pitch w:val="default"/>
    <w:sig w:usb0="E00002FF" w:usb1="6AC7FDFB" w:usb2="08000012" w:usb3="00000000" w:csb0="4002009F" w:csb1="DFD70000"/>
  </w:font>
  <w:font w:name="华文宋体">
    <w:altName w:val="宋体"/>
    <w:panose1 w:val="02010600040101010101"/>
    <w:charset w:val="86"/>
    <w:family w:val="auto"/>
    <w:pitch w:val="default"/>
    <w:sig w:usb0="00000000" w:usb1="0000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320FB1">
    <w:pPr>
      <w:pStyle w:val="41"/>
      <w:framePr w:wrap="around" w:vAnchor="text" w:hAnchor="margin" w:xAlign="right" w:y="1"/>
      <w:rPr>
        <w:rStyle w:val="73"/>
      </w:rPr>
    </w:pPr>
    <w:r>
      <w:fldChar w:fldCharType="begin"/>
    </w:r>
    <w:r>
      <w:rPr>
        <w:rStyle w:val="73"/>
      </w:rPr>
      <w:instrText xml:space="preserve">PAGE  </w:instrText>
    </w:r>
    <w:r>
      <w:fldChar w:fldCharType="end"/>
    </w:r>
  </w:p>
  <w:p w14:paraId="62320FB2">
    <w:pPr>
      <w:pStyle w:val="41"/>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320FB4">
    <w:pPr>
      <w:pStyle w:val="41"/>
      <w:rPr>
        <w:rFonts w:ascii="仿宋_GB2312" w:eastAsia="仿宋_GB2312"/>
      </w:rPr>
    </w:pPr>
    <w: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320FE1">
                          <w:pPr>
                            <w:pStyle w:val="41"/>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ILIswsAgAAVwQAAA4AAABkcnMvZTJvRG9jLnhtbK1UzY7TMBC+I/EO&#10;lu80bVes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1dvx+nCxQNwqZEjkugeG63Q7tqe2c4U&#10;JxBzpusNb/mmRvIt8+GeOTQDHoxxCXdYSmmQxPQWJZVxX/91HuNRI3gpadBcOdWYJUrkB43aATAM&#10;hhuM3WDog7o16NYJxtDyZOKCC3IwS2fUF8zQKuaAi2mOTDkNg3kbugbHDHKxWqUgdJtlYasfLI/Q&#10;UTxvV4cAAZOuUZROiV4r9FuqTD8bsaH/3Keop//B8h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MgsizCwCAABXBAAADgAAAAAAAAABACAAAAAfAQAAZHJzL2Uyb0RvYy54bWxQSwUGAAAAAAYA&#10;BgBZAQAAvQUAAAAA&#10;">
              <v:fill on="f" focussize="0,0"/>
              <v:stroke on="f" weight="0.5pt"/>
              <v:imagedata o:title=""/>
              <o:lock v:ext="edit" aspectratio="f"/>
              <v:textbox inset="0mm,0mm,0mm,0mm" style="mso-fit-shape-to-text:t;">
                <w:txbxContent>
                  <w:p w14:paraId="62320FE1">
                    <w:pPr>
                      <w:pStyle w:val="41"/>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320FB5">
    <w:pPr>
      <w:pStyle w:val="41"/>
      <w:rPr>
        <w:rFonts w:ascii="仿宋_GB2312" w:eastAsia="仿宋_GB2312"/>
      </w:rPr>
    </w:pPr>
    <w: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320FE0">
                          <w:pPr>
                            <w:pStyle w:val="4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vt69YsAgAAVwQAAA4AAABkcnMvZTJvRG9jLnhtbK1UzY7TMBC+I/EO&#10;lu80aYFV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K+3r1iwCAABXBAAADgAAAAAAAAABACAAAAAfAQAAZHJzL2Uyb0RvYy54bWxQSwUGAAAAAAYA&#10;BgBZAQAAvQUAAAAA&#10;">
              <v:fill on="f" focussize="0,0"/>
              <v:stroke on="f" weight="0.5pt"/>
              <v:imagedata o:title=""/>
              <o:lock v:ext="edit" aspectratio="f"/>
              <v:textbox inset="0mm,0mm,0mm,0mm" style="mso-fit-shape-to-text:t;">
                <w:txbxContent>
                  <w:p w14:paraId="62320FE0">
                    <w:pPr>
                      <w:pStyle w:val="41"/>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320FB8">
    <w:pPr>
      <w:rPr>
        <w:rFonts w:ascii="仿宋_GB2312" w:eastAsia="仿宋_GB2312"/>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320FE3">
                          <w:pPr>
                            <w:pStyle w:val="41"/>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fill on="f" focussize="0,0"/>
              <v:stroke on="f" weight="0.5pt"/>
              <v:imagedata o:title=""/>
              <o:lock v:ext="edit" aspectratio="f"/>
              <v:textbox inset="0mm,0mm,0mm,0mm" style="mso-fit-shape-to-text:t;">
                <w:txbxContent>
                  <w:p w14:paraId="62320FE3">
                    <w:pPr>
                      <w:pStyle w:val="41"/>
                    </w:pPr>
                    <w:r>
                      <w:fldChar w:fldCharType="begin"/>
                    </w:r>
                    <w:r>
                      <w:instrText xml:space="preserve"> PAGE  \* MERGEFORMAT </w:instrText>
                    </w:r>
                    <w:r>
                      <w:fldChar w:fldCharType="separate"/>
                    </w:r>
                    <w:r>
                      <w:t>54</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320FBB">
    <w:pPr>
      <w:rPr>
        <w:rFonts w:ascii="仿宋_GB2312" w:eastAsia="仿宋_GB2312"/>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320FE2">
                          <w:pPr>
                            <w:pStyle w:val="41"/>
                          </w:pPr>
                          <w:r>
                            <w:fldChar w:fldCharType="begin"/>
                          </w:r>
                          <w:r>
                            <w:instrText xml:space="preserve"> PAGE  \* MERGEFORMAT </w:instrText>
                          </w:r>
                          <w:r>
                            <w:fldChar w:fldCharType="separate"/>
                          </w:r>
                          <w:r>
                            <w:t>53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bVWnMqAgAAV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CbVWnMqAgAAVQQAAA4AAAAAAAAAAQAgAAAAHwEAAGRycy9lMm9Eb2MueG1sUEsFBgAAAAAGAAYA&#10;WQEAALsFAAAAAA==&#10;">
              <v:fill on="f" focussize="0,0"/>
              <v:stroke on="f" weight="0.5pt"/>
              <v:imagedata o:title=""/>
              <o:lock v:ext="edit" aspectratio="f"/>
              <v:textbox inset="0mm,0mm,0mm,0mm" style="mso-fit-shape-to-text:t;">
                <w:txbxContent>
                  <w:p w14:paraId="62320FE2">
                    <w:pPr>
                      <w:pStyle w:val="41"/>
                    </w:pPr>
                    <w:r>
                      <w:fldChar w:fldCharType="begin"/>
                    </w:r>
                    <w:r>
                      <w:instrText xml:space="preserve"> PAGE  \* MERGEFORMAT </w:instrText>
                    </w:r>
                    <w:r>
                      <w:fldChar w:fldCharType="separate"/>
                    </w:r>
                    <w:r>
                      <w:t>53</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320FBE">
    <w:pPr>
      <w:rPr>
        <w:rFonts w:ascii="仿宋_GB2312" w:eastAsia="仿宋_GB2312"/>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320FE5">
                          <w:pPr>
                            <w:pStyle w:val="41"/>
                          </w:pPr>
                          <w:r>
                            <w:fldChar w:fldCharType="begin"/>
                          </w:r>
                          <w:r>
                            <w:instrText xml:space="preserve"> PAGE  \* MERGEFORMAT </w:instrText>
                          </w:r>
                          <w:r>
                            <w:fldChar w:fldCharType="separate"/>
                          </w:r>
                          <w:r>
                            <w:t>75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66C/ssAgAAV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nroL+ywCAABVBAAADgAAAAAAAAABACAAAAAfAQAAZHJzL2Uyb0RvYy54bWxQSwUGAAAAAAYA&#10;BgBZAQAAvQUAAAAA&#10;">
              <v:fill on="f" focussize="0,0"/>
              <v:stroke on="f" weight="0.5pt"/>
              <v:imagedata o:title=""/>
              <o:lock v:ext="edit" aspectratio="f"/>
              <v:textbox inset="0mm,0mm,0mm,0mm" style="mso-fit-shape-to-text:t;">
                <w:txbxContent>
                  <w:p w14:paraId="62320FE5">
                    <w:pPr>
                      <w:pStyle w:val="41"/>
                    </w:pPr>
                    <w:r>
                      <w:fldChar w:fldCharType="begin"/>
                    </w:r>
                    <w:r>
                      <w:instrText xml:space="preserve"> PAGE  \* MERGEFORMAT </w:instrText>
                    </w:r>
                    <w:r>
                      <w:fldChar w:fldCharType="separate"/>
                    </w:r>
                    <w:r>
                      <w:t>75</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320FC0">
    <w:pPr>
      <w:rPr>
        <w:rFonts w:ascii="仿宋_GB2312" w:eastAsia="仿宋_GB2312"/>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320FE4">
                          <w:pPr>
                            <w:pStyle w:val="41"/>
                          </w:pPr>
                          <w:r>
                            <w:fldChar w:fldCharType="begin"/>
                          </w:r>
                          <w:r>
                            <w:instrText xml:space="preserve"> PAGE  \* MERGEFORMAT </w:instrText>
                          </w:r>
                          <w:r>
                            <w:fldChar w:fldCharType="separate"/>
                          </w:r>
                          <w:r>
                            <w:t>74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LQ8m0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y0PJtKwIAAFUEAAAOAAAAAAAAAAEAIAAAAB8BAABkcnMvZTJvRG9jLnhtbFBLBQYAAAAABgAG&#10;AFkBAAC8BQAAAAA=&#10;">
              <v:fill on="f" focussize="0,0"/>
              <v:stroke on="f" weight="0.5pt"/>
              <v:imagedata o:title=""/>
              <o:lock v:ext="edit" aspectratio="f"/>
              <v:textbox inset="0mm,0mm,0mm,0mm" style="mso-fit-shape-to-text:t;">
                <w:txbxContent>
                  <w:p w14:paraId="62320FE4">
                    <w:pPr>
                      <w:pStyle w:val="41"/>
                    </w:pPr>
                    <w:r>
                      <w:fldChar w:fldCharType="begin"/>
                    </w:r>
                    <w:r>
                      <w:instrText xml:space="preserve"> PAGE  \* MERGEFORMAT </w:instrText>
                    </w:r>
                    <w:r>
                      <w:fldChar w:fldCharType="separate"/>
                    </w:r>
                    <w:r>
                      <w:t>74</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320FC3">
    <w:pPr>
      <w:rPr>
        <w:rFonts w:ascii="仿宋_GB2312" w:eastAsia="仿宋_GB2312"/>
      </w:rP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320FE7">
                          <w:pPr>
                            <w:pStyle w:val="41"/>
                          </w:pPr>
                          <w:r>
                            <w:fldChar w:fldCharType="begin"/>
                          </w:r>
                          <w:r>
                            <w:instrText xml:space="preserve"> PAGE  \* MERGEFORMAT </w:instrText>
                          </w:r>
                          <w:r>
                            <w:fldChar w:fldCharType="separate"/>
                          </w:r>
                          <w:r>
                            <w:t>80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q/o+UsAgAAV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yr+j5SwCAABVBAAADgAAAAAAAAABACAAAAAfAQAAZHJzL2Uyb0RvYy54bWxQSwUGAAAAAAYA&#10;BgBZAQAAvQUAAAAA&#10;">
              <v:fill on="f" focussize="0,0"/>
              <v:stroke on="f" weight="0.5pt"/>
              <v:imagedata o:title=""/>
              <o:lock v:ext="edit" aspectratio="f"/>
              <v:textbox inset="0mm,0mm,0mm,0mm" style="mso-fit-shape-to-text:t;">
                <w:txbxContent>
                  <w:p w14:paraId="62320FE7">
                    <w:pPr>
                      <w:pStyle w:val="41"/>
                    </w:pPr>
                    <w:r>
                      <w:fldChar w:fldCharType="begin"/>
                    </w:r>
                    <w:r>
                      <w:instrText xml:space="preserve"> PAGE  \* MERGEFORMAT </w:instrText>
                    </w:r>
                    <w:r>
                      <w:fldChar w:fldCharType="separate"/>
                    </w:r>
                    <w:r>
                      <w:t>80</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320FC5">
    <w:pPr>
      <w:rPr>
        <w:rFonts w:ascii="仿宋_GB2312" w:eastAsia="仿宋_GB2312"/>
      </w:rPr>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320FE6">
                          <w:pPr>
                            <w:pStyle w:val="41"/>
                          </w:pPr>
                          <w:r>
                            <w:fldChar w:fldCharType="begin"/>
                          </w:r>
                          <w:r>
                            <w:instrText xml:space="preserve"> PAGE  \* MERGEFORMAT </w:instrText>
                          </w:r>
                          <w:r>
                            <w:fldChar w:fldCharType="separate"/>
                          </w:r>
                          <w:r>
                            <w:t>78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rd1wwq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Mrd1wwqAgAAVwQAAA4AAAAAAAAAAQAgAAAAHwEAAGRycy9lMm9Eb2MueG1sUEsFBgAAAAAGAAYA&#10;WQEAALsFAAAAAA==&#10;">
              <v:fill on="f" focussize="0,0"/>
              <v:stroke on="f" weight="0.5pt"/>
              <v:imagedata o:title=""/>
              <o:lock v:ext="edit" aspectratio="f"/>
              <v:textbox inset="0mm,0mm,0mm,0mm" style="mso-fit-shape-to-text:t;">
                <w:txbxContent>
                  <w:p w14:paraId="62320FE6">
                    <w:pPr>
                      <w:pStyle w:val="41"/>
                    </w:pPr>
                    <w:r>
                      <w:fldChar w:fldCharType="begin"/>
                    </w:r>
                    <w:r>
                      <w:instrText xml:space="preserve"> PAGE  \* MERGEFORMAT </w:instrText>
                    </w:r>
                    <w:r>
                      <w:fldChar w:fldCharType="separate"/>
                    </w:r>
                    <w:r>
                      <w:t>78</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320FC9">
    <w:pPr>
      <w:pStyle w:val="41"/>
      <w:rPr>
        <w:rFonts w:ascii="仿宋_GB2312" w:eastAsia="仿宋_GB2312"/>
        <w:szCs w:val="24"/>
      </w:rPr>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320FE9">
                          <w:pPr>
                            <w:pStyle w:val="41"/>
                          </w:pPr>
                          <w:r>
                            <w:fldChar w:fldCharType="begin"/>
                          </w:r>
                          <w:r>
                            <w:instrText xml:space="preserve"> PAGE  \* MERGEFORMAT </w:instrText>
                          </w:r>
                          <w:r>
                            <w:fldChar w:fldCharType="separate"/>
                          </w:r>
                          <w:r>
                            <w:t>82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KQhEwrAgAAVw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ikIRMKwIAAFcEAAAOAAAAAAAAAAEAIAAAAB8BAABkcnMvZTJvRG9jLnhtbFBLBQYAAAAABgAG&#10;AFkBAAC8BQAAAAA=&#10;">
              <v:fill on="f" focussize="0,0"/>
              <v:stroke on="f" weight="0.5pt"/>
              <v:imagedata o:title=""/>
              <o:lock v:ext="edit" aspectratio="f"/>
              <v:textbox inset="0mm,0mm,0mm,0mm" style="mso-fit-shape-to-text:t;">
                <w:txbxContent>
                  <w:p w14:paraId="62320FE9">
                    <w:pPr>
                      <w:pStyle w:val="41"/>
                    </w:pPr>
                    <w:r>
                      <w:fldChar w:fldCharType="begin"/>
                    </w:r>
                    <w:r>
                      <w:instrText xml:space="preserve"> PAGE  \* MERGEFORMAT </w:instrText>
                    </w:r>
                    <w:r>
                      <w:fldChar w:fldCharType="separate"/>
                    </w:r>
                    <w:r>
                      <w:t>82</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320FC7">
    <w:pPr>
      <w:pStyle w:val="41"/>
      <w:framePr w:wrap="around" w:vAnchor="text" w:hAnchor="margin" w:xAlign="right" w:y="1"/>
      <w:rPr>
        <w:rStyle w:val="73"/>
      </w:rPr>
    </w:pPr>
    <w:r>
      <w:fldChar w:fldCharType="begin"/>
    </w:r>
    <w:r>
      <w:rPr>
        <w:rStyle w:val="73"/>
      </w:rPr>
      <w:instrText xml:space="preserve">PAGE  </w:instrText>
    </w:r>
    <w:r>
      <w:fldChar w:fldCharType="end"/>
    </w:r>
  </w:p>
  <w:p w14:paraId="62320FC8">
    <w:pPr>
      <w:pStyle w:val="41"/>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320FCB">
    <w:pPr>
      <w:pStyle w:val="41"/>
      <w:rPr>
        <w:rFonts w:ascii="仿宋_GB2312" w:eastAsia="仿宋_GB2312"/>
      </w:rPr>
    </w:pPr>
    <w: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320FE8">
                          <w:pPr>
                            <w:pStyle w:val="41"/>
                          </w:pPr>
                          <w:r>
                            <w:fldChar w:fldCharType="begin"/>
                          </w:r>
                          <w:r>
                            <w:instrText xml:space="preserve"> PAGE  \* MERGEFORMAT </w:instrText>
                          </w:r>
                          <w:r>
                            <w:fldChar w:fldCharType="separate"/>
                          </w:r>
                          <w:r>
                            <w:t>81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pGcYw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CaRnGMKwIAAFcEAAAOAAAAAAAAAAEAIAAAAB8BAABkcnMvZTJvRG9jLnhtbFBLBQYAAAAABgAG&#10;AFkBAAC8BQAAAAA=&#10;">
              <v:fill on="f" focussize="0,0"/>
              <v:stroke on="f" weight="0.5pt"/>
              <v:imagedata o:title=""/>
              <o:lock v:ext="edit" aspectratio="f"/>
              <v:textbox inset="0mm,0mm,0mm,0mm" style="mso-fit-shape-to-text:t;">
                <w:txbxContent>
                  <w:p w14:paraId="62320FE8">
                    <w:pPr>
                      <w:pStyle w:val="41"/>
                    </w:pPr>
                    <w:r>
                      <w:fldChar w:fldCharType="begin"/>
                    </w:r>
                    <w:r>
                      <w:instrText xml:space="preserve"> PAGE  \* MERGEFORMAT </w:instrText>
                    </w:r>
                    <w:r>
                      <w:fldChar w:fldCharType="separate"/>
                    </w:r>
                    <w:r>
                      <w:t>81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320FAF">
    <w:pPr>
      <w:pStyle w:val="43"/>
      <w:pBdr>
        <w:bottom w:val="single" w:color="auto" w:sz="6" w:space="4"/>
      </w:pBdr>
      <w:jc w:val="right"/>
    </w:pPr>
    <w:r>
      <w:t></w:t>
    </w:r>
    <w:r>
      <w:rPr>
        <w:rFonts w:hint="eastAsia"/>
      </w:rPr>
      <w:t xml:space="preserve">            </w:t>
    </w:r>
    <w:r>
      <w:t>政府采购公开招标文件</w:t>
    </w:r>
  </w:p>
  <w:p w14:paraId="62320FB0">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320FB3">
    <w:pPr>
      <w:pStyle w:val="43"/>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320FB6">
    <w:pPr>
      <w:pStyle w:val="43"/>
      <w:rPr>
        <w:rFonts w:ascii="仿宋_GB2312" w:eastAsia="仿宋_GB2312"/>
        <w:b/>
        <w:i/>
        <w:u w:val="single"/>
      </w:rPr>
    </w:pPr>
    <w:r>
      <w:t></w:t>
    </w:r>
    <w:r>
      <w:rPr>
        <w:rFonts w:hint="eastAsia"/>
      </w:rPr>
      <w:t xml:space="preserve">                                                  </w:t>
    </w:r>
    <w:r>
      <w:t xml:space="preserve">           政府采购公开招标文件</w:t>
    </w:r>
  </w:p>
  <w:p w14:paraId="62320FB7">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320FB9">
    <w:pPr>
      <w:pStyle w:val="43"/>
    </w:pPr>
    <w:r>
      <w:t></w:t>
    </w:r>
    <w:r>
      <w:rPr>
        <w:rFonts w:hint="eastAsia"/>
      </w:rPr>
      <w:t xml:space="preserve">         </w:t>
    </w:r>
  </w:p>
  <w:p w14:paraId="62320FBA">
    <w:pPr>
      <w:pStyle w:val="43"/>
    </w:pPr>
    <w:r>
      <w:rPr>
        <w:rFonts w:hint="eastAsia"/>
      </w:rPr>
      <w:t xml:space="preserve">                                                                  </w:t>
    </w:r>
    <w:r>
      <w:t>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320FBC">
    <w:pPr>
      <w:pStyle w:val="43"/>
      <w:rPr>
        <w:rFonts w:ascii="仿宋_GB2312" w:eastAsia="仿宋_GB2312"/>
        <w:b/>
        <w:i/>
        <w:u w:val="single"/>
      </w:rPr>
    </w:pPr>
    <w:r>
      <w:t></w:t>
    </w:r>
    <w:r>
      <w:rPr>
        <w:rFonts w:hint="eastAsia"/>
      </w:rPr>
      <w:t xml:space="preserve">                                                 </w:t>
    </w:r>
    <w:r>
      <w:t>政府采购公开招标文件</w:t>
    </w:r>
  </w:p>
  <w:p w14:paraId="62320FBD">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320FBF">
    <w:pPr>
      <w:pStyle w:val="43"/>
      <w:jc w:val="right"/>
    </w:pPr>
    <w:r>
      <w:t></w:t>
    </w:r>
    <w:r>
      <w:rPr>
        <w:rFonts w:hint="eastAsia"/>
      </w:rPr>
      <w:t xml:space="preserve">                 </w:t>
    </w:r>
    <w:r>
      <w:t xml:space="preserve">                                </w:t>
    </w:r>
    <w:r>
      <w:rPr>
        <w:rFonts w:hint="eastAsia"/>
      </w:rPr>
      <w:t xml:space="preserve">         </w:t>
    </w:r>
    <w:r>
      <w:t>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320FC1">
    <w:pPr>
      <w:pStyle w:val="43"/>
      <w:jc w:val="right"/>
      <w:rPr>
        <w:rFonts w:ascii="仿宋_GB2312" w:eastAsia="仿宋_GB2312"/>
        <w:b/>
        <w:i/>
        <w:u w:val="single"/>
      </w:rPr>
    </w:pPr>
    <w:r>
      <w:rPr>
        <w:rFonts w:hint="eastAsia"/>
      </w:rPr>
      <w:t xml:space="preserve">                                 </w:t>
    </w:r>
    <w:r>
      <w:t>政府采购公开招标文件</w:t>
    </w:r>
  </w:p>
  <w:p w14:paraId="62320FC2">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320FC4">
    <w:pPr>
      <w:pStyle w:val="43"/>
      <w:jc w:val="right"/>
    </w:pPr>
    <w:r>
      <w:rPr>
        <w:rFonts w:hint="eastAsia"/>
      </w:rPr>
      <w:t xml:space="preserve">                                                                                                     </w:t>
    </w:r>
    <w:r>
      <w:t>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320FC6">
    <w:pPr>
      <w:pStyle w:val="43"/>
      <w:jc w:val="right"/>
      <w:rPr>
        <w:rFonts w:ascii="仿宋_GB2312" w:eastAsia="仿宋_GB2312"/>
        <w:b/>
        <w:i/>
        <w:iCs/>
        <w:u w:val="single"/>
      </w:rPr>
    </w:pPr>
    <w:r>
      <w:t>政府采购公开招标文件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320FCA">
    <w:pPr>
      <w:pStyle w:val="43"/>
    </w:pPr>
    <w:r>
      <w:t></w:t>
    </w:r>
    <w:r>
      <w:rPr>
        <w:rFonts w:hint="eastAsia"/>
      </w:rPr>
      <w:t xml:space="preserve">                                           </w:t>
    </w:r>
    <w:r>
      <w:t>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5842093"/>
    <w:multiLevelType w:val="multilevel"/>
    <w:tmpl w:val="85842093"/>
    <w:lvl w:ilvl="0" w:tentative="0">
      <w:start w:val="1"/>
      <w:numFmt w:val="decimal"/>
      <w:lvlText w:val="%1."/>
      <w:lvlJc w:val="left"/>
      <w:pPr>
        <w:ind w:left="425" w:hanging="425"/>
      </w:pPr>
      <w:rPr>
        <w:rFonts w:hint="default" w:ascii="宋体" w:hAnsi="宋体" w:eastAsia="宋体" w:cs="宋体"/>
      </w:rPr>
    </w:lvl>
    <w:lvl w:ilvl="1" w:tentative="0">
      <w:start w:val="1"/>
      <w:numFmt w:val="decimal"/>
      <w:lvlText w:val="%1.%2."/>
      <w:lvlJc w:val="left"/>
      <w:pPr>
        <w:ind w:left="567" w:hanging="567"/>
      </w:pPr>
      <w:rPr>
        <w:rFonts w:hint="default"/>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1">
    <w:nsid w:val="871EC523"/>
    <w:multiLevelType w:val="multilevel"/>
    <w:tmpl w:val="871EC523"/>
    <w:lvl w:ilvl="0" w:tentative="0">
      <w:start w:val="1"/>
      <w:numFmt w:val="decimal"/>
      <w:lvlText w:val="%1."/>
      <w:lvlJc w:val="left"/>
      <w:pPr>
        <w:ind w:left="425" w:hanging="425"/>
      </w:pPr>
      <w:rPr>
        <w:rFonts w:hint="default"/>
      </w:rPr>
    </w:lvl>
    <w:lvl w:ilvl="1" w:tentative="0">
      <w:start w:val="1"/>
      <w:numFmt w:val="decimal"/>
      <w:lvlText w:val="%1.%2."/>
      <w:lvlJc w:val="left"/>
      <w:pPr>
        <w:ind w:left="567" w:hanging="567"/>
      </w:pPr>
      <w:rPr>
        <w:rFonts w:hint="default"/>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2">
    <w:nsid w:val="AB284774"/>
    <w:multiLevelType w:val="singleLevel"/>
    <w:tmpl w:val="AB284774"/>
    <w:lvl w:ilvl="0" w:tentative="0">
      <w:start w:val="5"/>
      <w:numFmt w:val="chineseCounting"/>
      <w:suff w:val="nothing"/>
      <w:lvlText w:val="%1、"/>
      <w:lvlJc w:val="left"/>
      <w:rPr>
        <w:rFonts w:hint="eastAsia"/>
      </w:rPr>
    </w:lvl>
  </w:abstractNum>
  <w:abstractNum w:abstractNumId="3">
    <w:nsid w:val="C634A10F"/>
    <w:multiLevelType w:val="multilevel"/>
    <w:tmpl w:val="C634A10F"/>
    <w:lvl w:ilvl="0" w:tentative="0">
      <w:start w:val="1"/>
      <w:numFmt w:val="decimal"/>
      <w:lvlText w:val="%1."/>
      <w:lvlJc w:val="left"/>
      <w:pPr>
        <w:ind w:left="425" w:hanging="425"/>
      </w:pPr>
      <w:rPr>
        <w:rFonts w:hint="eastAsia" w:ascii="微软雅黑" w:hAnsi="微软雅黑" w:eastAsia="微软雅黑" w:cs="微软雅黑"/>
      </w:rPr>
    </w:lvl>
    <w:lvl w:ilvl="1" w:tentative="0">
      <w:start w:val="1"/>
      <w:numFmt w:val="decimal"/>
      <w:lvlText w:val="%1.%2."/>
      <w:lvlJc w:val="left"/>
      <w:pPr>
        <w:ind w:left="567" w:hanging="567"/>
      </w:pPr>
      <w:rPr>
        <w:rFonts w:hint="default" w:ascii="宋体" w:hAnsi="宋体" w:eastAsia="宋体" w:cs="宋体"/>
      </w:rPr>
    </w:lvl>
    <w:lvl w:ilvl="2" w:tentative="0">
      <w:start w:val="1"/>
      <w:numFmt w:val="decimal"/>
      <w:lvlText w:val="%1.%2.%3."/>
      <w:lvlJc w:val="left"/>
      <w:pPr>
        <w:ind w:left="709" w:hanging="709"/>
      </w:pPr>
      <w:rPr>
        <w:rFonts w:hint="default" w:ascii="宋体" w:hAnsi="宋体" w:eastAsia="宋体" w:cs="宋体"/>
      </w:rPr>
    </w:lvl>
    <w:lvl w:ilvl="3" w:tentative="0">
      <w:start w:val="1"/>
      <w:numFmt w:val="decimal"/>
      <w:lvlText w:val="%1.%2.%3.%4."/>
      <w:lvlJc w:val="left"/>
      <w:pPr>
        <w:ind w:left="850" w:hanging="850"/>
      </w:pPr>
      <w:rPr>
        <w:rFonts w:hint="default" w:ascii="宋体" w:hAnsi="宋体" w:eastAsia="宋体" w:cs="宋体"/>
      </w:rPr>
    </w:lvl>
    <w:lvl w:ilvl="4" w:tentative="0">
      <w:start w:val="1"/>
      <w:numFmt w:val="decimal"/>
      <w:lvlText w:val="%1.%2.%3.%4.%5."/>
      <w:lvlJc w:val="left"/>
      <w:pPr>
        <w:ind w:left="991" w:hanging="991"/>
      </w:pPr>
      <w:rPr>
        <w:rFonts w:hint="default" w:ascii="宋体" w:hAnsi="宋体" w:eastAsia="宋体" w:cs="宋体"/>
        <w:b w:val="0"/>
        <w:bCs w:val="0"/>
      </w:rPr>
    </w:lvl>
    <w:lvl w:ilvl="5" w:tentative="0">
      <w:start w:val="1"/>
      <w:numFmt w:val="decimal"/>
      <w:lvlText w:val="%1.%2.%3.%4.%5.%6."/>
      <w:lvlJc w:val="left"/>
      <w:pPr>
        <w:ind w:left="1134" w:hanging="1134"/>
      </w:pPr>
      <w:rPr>
        <w:rFonts w:hint="default" w:ascii="Times New Roman" w:hAnsi="Times New Roman" w:cs="Times New Roman"/>
      </w:rPr>
    </w:lvl>
    <w:lvl w:ilvl="6" w:tentative="0">
      <w:start w:val="1"/>
      <w:numFmt w:val="decimal"/>
      <w:lvlText w:val="%1.%2.%3.%4.%5.%6.%7."/>
      <w:lvlJc w:val="left"/>
      <w:pPr>
        <w:ind w:left="1275" w:hanging="1275"/>
      </w:pPr>
      <w:rPr>
        <w:rFonts w:hint="default" w:ascii="Times New Roman" w:hAnsi="Times New Roman" w:cs="Times New Roman"/>
      </w:rPr>
    </w:lvl>
    <w:lvl w:ilvl="7" w:tentative="0">
      <w:start w:val="1"/>
      <w:numFmt w:val="decimal"/>
      <w:lvlText w:val="%1.%2.%3.%4.%5.%6.%7.%8."/>
      <w:lvlJc w:val="left"/>
      <w:pPr>
        <w:ind w:left="1418" w:hanging="1418"/>
      </w:pPr>
      <w:rPr>
        <w:rFonts w:hint="default" w:ascii="Times New Roman" w:hAnsi="Times New Roman" w:cs="Times New Roman"/>
      </w:rPr>
    </w:lvl>
    <w:lvl w:ilvl="8" w:tentative="0">
      <w:start w:val="1"/>
      <w:numFmt w:val="decimal"/>
      <w:lvlText w:val="%1.%2.%3.%4.%5.%6.%7.%8.%9."/>
      <w:lvlJc w:val="left"/>
      <w:pPr>
        <w:ind w:left="1558" w:hanging="1558"/>
      </w:pPr>
      <w:rPr>
        <w:rFonts w:hint="default" w:ascii="Times New Roman" w:hAnsi="Times New Roman" w:cs="Times New Roman"/>
      </w:rPr>
    </w:lvl>
  </w:abstractNum>
  <w:abstractNum w:abstractNumId="4">
    <w:nsid w:val="EABBFC7D"/>
    <w:multiLevelType w:val="singleLevel"/>
    <w:tmpl w:val="EABBFC7D"/>
    <w:lvl w:ilvl="0" w:tentative="0">
      <w:start w:val="1"/>
      <w:numFmt w:val="decimal"/>
      <w:suff w:val="nothing"/>
      <w:lvlText w:val="%1．"/>
      <w:lvlJc w:val="left"/>
      <w:pPr>
        <w:ind w:left="0" w:firstLine="400"/>
      </w:pPr>
      <w:rPr>
        <w:rFonts w:hint="default"/>
      </w:rPr>
    </w:lvl>
  </w:abstractNum>
  <w:abstractNum w:abstractNumId="5">
    <w:nsid w:val="100F0F43"/>
    <w:multiLevelType w:val="singleLevel"/>
    <w:tmpl w:val="100F0F43"/>
    <w:lvl w:ilvl="0" w:tentative="0">
      <w:start w:val="1"/>
      <w:numFmt w:val="decimalEnclosedCircleChinese"/>
      <w:suff w:val="nothing"/>
      <w:lvlText w:val="%1　"/>
      <w:lvlJc w:val="left"/>
      <w:pPr>
        <w:ind w:left="0" w:firstLine="400"/>
      </w:pPr>
      <w:rPr>
        <w:rFonts w:hint="eastAsia"/>
      </w:rPr>
    </w:lvl>
  </w:abstractNum>
  <w:abstractNum w:abstractNumId="6">
    <w:nsid w:val="35D71722"/>
    <w:multiLevelType w:val="singleLevel"/>
    <w:tmpl w:val="35D71722"/>
    <w:lvl w:ilvl="0" w:tentative="0">
      <w:start w:val="2"/>
      <w:numFmt w:val="chineseCounting"/>
      <w:suff w:val="nothing"/>
      <w:lvlText w:val="%1、"/>
      <w:lvlJc w:val="left"/>
      <w:rPr>
        <w:rFonts w:hint="eastAsia"/>
      </w:rPr>
    </w:lvl>
  </w:abstractNum>
  <w:abstractNum w:abstractNumId="7">
    <w:nsid w:val="41892D21"/>
    <w:multiLevelType w:val="singleLevel"/>
    <w:tmpl w:val="41892D21"/>
    <w:lvl w:ilvl="0" w:tentative="0">
      <w:start w:val="1"/>
      <w:numFmt w:val="decimal"/>
      <w:suff w:val="nothing"/>
      <w:lvlText w:val="（%1）"/>
      <w:lvlJc w:val="left"/>
    </w:lvl>
  </w:abstractNum>
  <w:abstractNum w:abstractNumId="8">
    <w:nsid w:val="676F7AB8"/>
    <w:multiLevelType w:val="multilevel"/>
    <w:tmpl w:val="676F7AB8"/>
    <w:lvl w:ilvl="0" w:tentative="0">
      <w:start w:val="2"/>
      <w:numFmt w:val="decimal"/>
      <w:lvlText w:val="%1."/>
      <w:lvlJc w:val="left"/>
      <w:pPr>
        <w:ind w:left="425" w:hanging="425"/>
      </w:pPr>
      <w:rPr>
        <w:rFonts w:hint="default"/>
      </w:rPr>
    </w:lvl>
    <w:lvl w:ilvl="1" w:tentative="0">
      <w:start w:val="1"/>
      <w:numFmt w:val="decimal"/>
      <w:lvlText w:val="%1.%2."/>
      <w:lvlJc w:val="left"/>
      <w:pPr>
        <w:ind w:left="567" w:hanging="567"/>
      </w:pPr>
      <w:rPr>
        <w:rFonts w:hint="default"/>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9">
    <w:nsid w:val="6FBEBC2A"/>
    <w:multiLevelType w:val="multilevel"/>
    <w:tmpl w:val="6FBEBC2A"/>
    <w:lvl w:ilvl="0" w:tentative="0">
      <w:start w:val="1"/>
      <w:numFmt w:val="decimal"/>
      <w:lvlText w:val="%1"/>
      <w:lvlJc w:val="left"/>
      <w:pPr>
        <w:ind w:left="432" w:hanging="432"/>
      </w:pPr>
      <w:rPr>
        <w:rFonts w:hint="default"/>
      </w:rPr>
    </w:lvl>
    <w:lvl w:ilvl="1" w:tentative="0">
      <w:start w:val="1"/>
      <w:numFmt w:val="decimal"/>
      <w:lvlText w:val="%1.%2"/>
      <w:lvlJc w:val="left"/>
      <w:pPr>
        <w:ind w:left="576" w:hanging="576"/>
      </w:pPr>
      <w:rPr>
        <w:rFonts w:hint="default"/>
      </w:rPr>
    </w:lvl>
    <w:lvl w:ilvl="2" w:tentative="0">
      <w:start w:val="1"/>
      <w:numFmt w:val="decimal"/>
      <w:lvlText w:val="%1.%2.%3"/>
      <w:lvlJc w:val="left"/>
      <w:pPr>
        <w:ind w:left="720" w:hanging="720"/>
      </w:pPr>
      <w:rPr>
        <w:rFonts w:hint="default"/>
      </w:rPr>
    </w:lvl>
    <w:lvl w:ilvl="3" w:tentative="0">
      <w:start w:val="1"/>
      <w:numFmt w:val="decimal"/>
      <w:lvlText w:val="%1.%2.%3.%4"/>
      <w:lvlJc w:val="left"/>
      <w:pPr>
        <w:ind w:left="5401" w:hanging="864"/>
      </w:pPr>
      <w:rPr>
        <w:rFonts w:hint="default"/>
      </w:rPr>
    </w:lvl>
    <w:lvl w:ilvl="4" w:tentative="0">
      <w:start w:val="1"/>
      <w:numFmt w:val="decimal"/>
      <w:lvlText w:val="%1.%2.%3.%4.%5"/>
      <w:lvlJc w:val="left"/>
      <w:pPr>
        <w:ind w:left="1008" w:hanging="1008"/>
      </w:pPr>
      <w:rPr>
        <w:rFonts w:hint="default"/>
      </w:rPr>
    </w:lvl>
    <w:lvl w:ilvl="5" w:tentative="0">
      <w:start w:val="1"/>
      <w:numFmt w:val="decimal"/>
      <w:lvlText w:val="%1.%2.%3.%4.%5.%6"/>
      <w:lvlJc w:val="left"/>
      <w:pPr>
        <w:ind w:left="1152" w:hanging="1152"/>
      </w:pPr>
      <w:rPr>
        <w:rFonts w:hint="default"/>
      </w:rPr>
    </w:lvl>
    <w:lvl w:ilvl="6" w:tentative="0">
      <w:start w:val="1"/>
      <w:numFmt w:val="decimal"/>
      <w:lvlText w:val="%1.%2.%3.%4.%5.%6.%7"/>
      <w:lvlJc w:val="left"/>
      <w:pPr>
        <w:ind w:left="1296" w:hanging="1296"/>
      </w:pPr>
      <w:rPr>
        <w:rFonts w:hint="default"/>
      </w:rPr>
    </w:lvl>
    <w:lvl w:ilvl="7" w:tentative="0">
      <w:start w:val="1"/>
      <w:numFmt w:val="decimal"/>
      <w:lvlText w:val="%1.%2.%3.%4.%5.%6.%7.%8"/>
      <w:lvlJc w:val="left"/>
      <w:pPr>
        <w:ind w:left="1440" w:hanging="1440"/>
      </w:pPr>
      <w:rPr>
        <w:rFonts w:hint="default"/>
      </w:rPr>
    </w:lvl>
    <w:lvl w:ilvl="8" w:tentative="0">
      <w:start w:val="1"/>
      <w:numFmt w:val="decimal"/>
      <w:lvlText w:val="%1.%2.%3.%4.%5.%6.%7.%8.%9"/>
      <w:lvlJc w:val="left"/>
      <w:pPr>
        <w:ind w:left="1584" w:hanging="1584"/>
      </w:pPr>
      <w:rPr>
        <w:rFonts w:hint="default"/>
      </w:rPr>
    </w:lvl>
  </w:abstractNum>
  <w:abstractNum w:abstractNumId="10">
    <w:nsid w:val="726FDF76"/>
    <w:multiLevelType w:val="singleLevel"/>
    <w:tmpl w:val="726FDF76"/>
    <w:lvl w:ilvl="0" w:tentative="0">
      <w:start w:val="1"/>
      <w:numFmt w:val="decimal"/>
      <w:suff w:val="nothing"/>
      <w:lvlText w:val="%1、"/>
      <w:lvlJc w:val="left"/>
    </w:lvl>
  </w:abstractNum>
  <w:abstractNum w:abstractNumId="11">
    <w:nsid w:val="749556B6"/>
    <w:multiLevelType w:val="multilevel"/>
    <w:tmpl w:val="749556B6"/>
    <w:lvl w:ilvl="0" w:tentative="0">
      <w:start w:val="1"/>
      <w:numFmt w:val="chineseCountingThousand"/>
      <w:pStyle w:val="970"/>
      <w:lvlText w:val="%1、"/>
      <w:lvlJc w:val="left"/>
      <w:pPr>
        <w:ind w:left="1022" w:hanging="420"/>
      </w:pPr>
      <w:rPr>
        <w:rFonts w:hint="eastAsia"/>
      </w:rPr>
    </w:lvl>
    <w:lvl w:ilvl="1" w:tentative="0">
      <w:start w:val="1"/>
      <w:numFmt w:val="lowerLetter"/>
      <w:lvlText w:val="%2)"/>
      <w:lvlJc w:val="left"/>
      <w:pPr>
        <w:ind w:left="1442" w:hanging="420"/>
      </w:pPr>
    </w:lvl>
    <w:lvl w:ilvl="2" w:tentative="0">
      <w:start w:val="1"/>
      <w:numFmt w:val="lowerRoman"/>
      <w:lvlText w:val="%3."/>
      <w:lvlJc w:val="right"/>
      <w:pPr>
        <w:ind w:left="1862" w:hanging="420"/>
      </w:pPr>
    </w:lvl>
    <w:lvl w:ilvl="3" w:tentative="0">
      <w:start w:val="1"/>
      <w:numFmt w:val="decimal"/>
      <w:lvlText w:val="%4."/>
      <w:lvlJc w:val="left"/>
      <w:pPr>
        <w:ind w:left="2282" w:hanging="420"/>
      </w:pPr>
    </w:lvl>
    <w:lvl w:ilvl="4" w:tentative="0">
      <w:start w:val="1"/>
      <w:numFmt w:val="lowerLetter"/>
      <w:lvlText w:val="%5)"/>
      <w:lvlJc w:val="left"/>
      <w:pPr>
        <w:ind w:left="2702" w:hanging="420"/>
      </w:pPr>
    </w:lvl>
    <w:lvl w:ilvl="5" w:tentative="0">
      <w:start w:val="1"/>
      <w:numFmt w:val="lowerRoman"/>
      <w:lvlText w:val="%6."/>
      <w:lvlJc w:val="right"/>
      <w:pPr>
        <w:ind w:left="3122" w:hanging="420"/>
      </w:pPr>
    </w:lvl>
    <w:lvl w:ilvl="6" w:tentative="0">
      <w:start w:val="1"/>
      <w:numFmt w:val="decimal"/>
      <w:lvlText w:val="%7."/>
      <w:lvlJc w:val="left"/>
      <w:pPr>
        <w:ind w:left="3542" w:hanging="420"/>
      </w:pPr>
    </w:lvl>
    <w:lvl w:ilvl="7" w:tentative="0">
      <w:start w:val="1"/>
      <w:numFmt w:val="lowerLetter"/>
      <w:lvlText w:val="%8)"/>
      <w:lvlJc w:val="left"/>
      <w:pPr>
        <w:ind w:left="3962" w:hanging="420"/>
      </w:pPr>
    </w:lvl>
    <w:lvl w:ilvl="8" w:tentative="0">
      <w:start w:val="1"/>
      <w:numFmt w:val="lowerRoman"/>
      <w:lvlText w:val="%9."/>
      <w:lvlJc w:val="right"/>
      <w:pPr>
        <w:ind w:left="4382" w:hanging="420"/>
      </w:pPr>
    </w:lvl>
  </w:abstractNum>
  <w:num w:numId="1">
    <w:abstractNumId w:val="11"/>
  </w:num>
  <w:num w:numId="2">
    <w:abstractNumId w:val="0"/>
  </w:num>
  <w:num w:numId="3">
    <w:abstractNumId w:val="3"/>
  </w:num>
  <w:num w:numId="4">
    <w:abstractNumId w:val="1"/>
  </w:num>
  <w:num w:numId="5">
    <w:abstractNumId w:val="8"/>
  </w:num>
  <w:num w:numId="6">
    <w:abstractNumId w:val="4"/>
  </w:num>
  <w:num w:numId="7">
    <w:abstractNumId w:val="10"/>
  </w:num>
  <w:num w:numId="8">
    <w:abstractNumId w:val="9"/>
  </w:num>
  <w:num w:numId="9">
    <w:abstractNumId w:val="5"/>
  </w:num>
  <w:num w:numId="10">
    <w:abstractNumId w:val="2"/>
  </w:num>
  <w:num w:numId="11">
    <w:abstractNumId w:val="7"/>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NotDisplayPageBoundaries w:val="1"/>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RhZDg3NWJmZmNlYTBkM2I2ZDdhMGZkZDNlNTQ3OWYifQ=="/>
    <w:docVar w:name="KSO_WPS_MARK_KEY" w:val="770740b8-9925-4379-a928-fa9a6bc56174"/>
  </w:docVars>
  <w:rsids>
    <w:rsidRoot w:val="00172A27"/>
    <w:rsid w:val="00000451"/>
    <w:rsid w:val="0000108B"/>
    <w:rsid w:val="0000133D"/>
    <w:rsid w:val="00001509"/>
    <w:rsid w:val="00001E3F"/>
    <w:rsid w:val="00002DEE"/>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176F9"/>
    <w:rsid w:val="00020287"/>
    <w:rsid w:val="000202FE"/>
    <w:rsid w:val="00020B5F"/>
    <w:rsid w:val="000211BC"/>
    <w:rsid w:val="0002207B"/>
    <w:rsid w:val="000232FD"/>
    <w:rsid w:val="00023323"/>
    <w:rsid w:val="000233E4"/>
    <w:rsid w:val="00023495"/>
    <w:rsid w:val="0002355A"/>
    <w:rsid w:val="00023777"/>
    <w:rsid w:val="00023C06"/>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376BD"/>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B"/>
    <w:rsid w:val="0006785E"/>
    <w:rsid w:val="00067AFB"/>
    <w:rsid w:val="00067F92"/>
    <w:rsid w:val="00067FA7"/>
    <w:rsid w:val="0007038E"/>
    <w:rsid w:val="0007077C"/>
    <w:rsid w:val="00070825"/>
    <w:rsid w:val="00071CD8"/>
    <w:rsid w:val="00071DB2"/>
    <w:rsid w:val="0007237B"/>
    <w:rsid w:val="00072AED"/>
    <w:rsid w:val="00072B56"/>
    <w:rsid w:val="00072D2B"/>
    <w:rsid w:val="00072D51"/>
    <w:rsid w:val="000730B1"/>
    <w:rsid w:val="00073860"/>
    <w:rsid w:val="00073879"/>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05F6"/>
    <w:rsid w:val="000D11E5"/>
    <w:rsid w:val="000D19E8"/>
    <w:rsid w:val="000D1FA1"/>
    <w:rsid w:val="000D2834"/>
    <w:rsid w:val="000D286B"/>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866"/>
    <w:rsid w:val="000E6AE1"/>
    <w:rsid w:val="000E7142"/>
    <w:rsid w:val="000E7632"/>
    <w:rsid w:val="000E7737"/>
    <w:rsid w:val="000E7739"/>
    <w:rsid w:val="000E77EE"/>
    <w:rsid w:val="000F1332"/>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0A"/>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A26"/>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047"/>
    <w:rsid w:val="0013116E"/>
    <w:rsid w:val="00131C2D"/>
    <w:rsid w:val="0013202C"/>
    <w:rsid w:val="00132704"/>
    <w:rsid w:val="00132CBF"/>
    <w:rsid w:val="00133707"/>
    <w:rsid w:val="00133742"/>
    <w:rsid w:val="00133B70"/>
    <w:rsid w:val="00133E97"/>
    <w:rsid w:val="001350F7"/>
    <w:rsid w:val="00135769"/>
    <w:rsid w:val="00135BE9"/>
    <w:rsid w:val="00135E5C"/>
    <w:rsid w:val="0013635D"/>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7E9"/>
    <w:rsid w:val="00173826"/>
    <w:rsid w:val="00173C58"/>
    <w:rsid w:val="00173E59"/>
    <w:rsid w:val="001741DC"/>
    <w:rsid w:val="00174C4F"/>
    <w:rsid w:val="00174F57"/>
    <w:rsid w:val="00175078"/>
    <w:rsid w:val="001755DC"/>
    <w:rsid w:val="00176AA6"/>
    <w:rsid w:val="00177063"/>
    <w:rsid w:val="00180A47"/>
    <w:rsid w:val="00181025"/>
    <w:rsid w:val="00182014"/>
    <w:rsid w:val="001827B7"/>
    <w:rsid w:val="001827EF"/>
    <w:rsid w:val="00182982"/>
    <w:rsid w:val="001829BC"/>
    <w:rsid w:val="00182D68"/>
    <w:rsid w:val="00183031"/>
    <w:rsid w:val="00183468"/>
    <w:rsid w:val="0018397E"/>
    <w:rsid w:val="00184466"/>
    <w:rsid w:val="00184DBF"/>
    <w:rsid w:val="00184E83"/>
    <w:rsid w:val="001852A8"/>
    <w:rsid w:val="0018620A"/>
    <w:rsid w:val="00186EB0"/>
    <w:rsid w:val="00187121"/>
    <w:rsid w:val="00187243"/>
    <w:rsid w:val="00187C29"/>
    <w:rsid w:val="00190782"/>
    <w:rsid w:val="00190942"/>
    <w:rsid w:val="001909A7"/>
    <w:rsid w:val="001909C3"/>
    <w:rsid w:val="00190CF7"/>
    <w:rsid w:val="00191459"/>
    <w:rsid w:val="00191603"/>
    <w:rsid w:val="0019173E"/>
    <w:rsid w:val="0019174E"/>
    <w:rsid w:val="0019196B"/>
    <w:rsid w:val="00191EEF"/>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2F1E"/>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B7EB6"/>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9B1"/>
    <w:rsid w:val="001D1D55"/>
    <w:rsid w:val="001D21EF"/>
    <w:rsid w:val="001D29A4"/>
    <w:rsid w:val="001D2B73"/>
    <w:rsid w:val="001D3136"/>
    <w:rsid w:val="001D3177"/>
    <w:rsid w:val="001D330D"/>
    <w:rsid w:val="001D4AB6"/>
    <w:rsid w:val="001D4AD3"/>
    <w:rsid w:val="001D5281"/>
    <w:rsid w:val="001E0F77"/>
    <w:rsid w:val="001E17E3"/>
    <w:rsid w:val="001E2052"/>
    <w:rsid w:val="001E2492"/>
    <w:rsid w:val="001E257C"/>
    <w:rsid w:val="001E286C"/>
    <w:rsid w:val="001E2F34"/>
    <w:rsid w:val="001E35EE"/>
    <w:rsid w:val="001E46A4"/>
    <w:rsid w:val="001E4B2C"/>
    <w:rsid w:val="001E507F"/>
    <w:rsid w:val="001E56C2"/>
    <w:rsid w:val="001E59FB"/>
    <w:rsid w:val="001E7F81"/>
    <w:rsid w:val="001F0FD1"/>
    <w:rsid w:val="001F1526"/>
    <w:rsid w:val="001F19D1"/>
    <w:rsid w:val="001F1CB9"/>
    <w:rsid w:val="001F1F18"/>
    <w:rsid w:val="001F2F92"/>
    <w:rsid w:val="001F456F"/>
    <w:rsid w:val="001F50E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57ED"/>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6BE"/>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6F7"/>
    <w:rsid w:val="00242F79"/>
    <w:rsid w:val="0024415B"/>
    <w:rsid w:val="00245565"/>
    <w:rsid w:val="002458C1"/>
    <w:rsid w:val="00245E62"/>
    <w:rsid w:val="002460D0"/>
    <w:rsid w:val="00246357"/>
    <w:rsid w:val="00247422"/>
    <w:rsid w:val="00247BA2"/>
    <w:rsid w:val="00250870"/>
    <w:rsid w:val="0025117F"/>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ADB"/>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5DE8"/>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ACD"/>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4FD2"/>
    <w:rsid w:val="002C519E"/>
    <w:rsid w:val="002C5D5E"/>
    <w:rsid w:val="002C6116"/>
    <w:rsid w:val="002C643D"/>
    <w:rsid w:val="002C66B8"/>
    <w:rsid w:val="002C70E7"/>
    <w:rsid w:val="002D0767"/>
    <w:rsid w:val="002D0C27"/>
    <w:rsid w:val="002D0E88"/>
    <w:rsid w:val="002D0EA7"/>
    <w:rsid w:val="002D0F31"/>
    <w:rsid w:val="002D1593"/>
    <w:rsid w:val="002D1A1E"/>
    <w:rsid w:val="002D22A6"/>
    <w:rsid w:val="002D2819"/>
    <w:rsid w:val="002D2BB8"/>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11E"/>
    <w:rsid w:val="002E12FA"/>
    <w:rsid w:val="002E13CF"/>
    <w:rsid w:val="002E201C"/>
    <w:rsid w:val="002E22CA"/>
    <w:rsid w:val="002E236F"/>
    <w:rsid w:val="002E30C6"/>
    <w:rsid w:val="002E37C5"/>
    <w:rsid w:val="002E3956"/>
    <w:rsid w:val="002E3C08"/>
    <w:rsid w:val="002E3CF2"/>
    <w:rsid w:val="002E469E"/>
    <w:rsid w:val="002E4C01"/>
    <w:rsid w:val="002E4D50"/>
    <w:rsid w:val="002E51AF"/>
    <w:rsid w:val="002E55FF"/>
    <w:rsid w:val="002E587E"/>
    <w:rsid w:val="002E672A"/>
    <w:rsid w:val="002E6853"/>
    <w:rsid w:val="002E7EC1"/>
    <w:rsid w:val="002E7EE5"/>
    <w:rsid w:val="002F0323"/>
    <w:rsid w:val="002F0DFB"/>
    <w:rsid w:val="002F0F4E"/>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4A2"/>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09B"/>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2872"/>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475"/>
    <w:rsid w:val="00372842"/>
    <w:rsid w:val="003729A5"/>
    <w:rsid w:val="00372C89"/>
    <w:rsid w:val="00372E9A"/>
    <w:rsid w:val="003735B9"/>
    <w:rsid w:val="00373634"/>
    <w:rsid w:val="00374677"/>
    <w:rsid w:val="0037510C"/>
    <w:rsid w:val="00375850"/>
    <w:rsid w:val="0037632F"/>
    <w:rsid w:val="00377B26"/>
    <w:rsid w:val="00377E4C"/>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8C4"/>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8E8"/>
    <w:rsid w:val="00396F7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2C8D"/>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44"/>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37E7D"/>
    <w:rsid w:val="00440262"/>
    <w:rsid w:val="004406BF"/>
    <w:rsid w:val="00440814"/>
    <w:rsid w:val="004408AE"/>
    <w:rsid w:val="0044105D"/>
    <w:rsid w:val="00441424"/>
    <w:rsid w:val="00442731"/>
    <w:rsid w:val="00442C12"/>
    <w:rsid w:val="004434DF"/>
    <w:rsid w:val="0044354B"/>
    <w:rsid w:val="00443841"/>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1C4"/>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7C2"/>
    <w:rsid w:val="0049492D"/>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92A"/>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44F"/>
    <w:rsid w:val="004C0BF0"/>
    <w:rsid w:val="004C0D40"/>
    <w:rsid w:val="004C114F"/>
    <w:rsid w:val="004C11A9"/>
    <w:rsid w:val="004C27CF"/>
    <w:rsid w:val="004C2CA7"/>
    <w:rsid w:val="004C3592"/>
    <w:rsid w:val="004C36D8"/>
    <w:rsid w:val="004C3D56"/>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11"/>
    <w:rsid w:val="004D1934"/>
    <w:rsid w:val="004D1E41"/>
    <w:rsid w:val="004D2326"/>
    <w:rsid w:val="004D2E11"/>
    <w:rsid w:val="004D2F9F"/>
    <w:rsid w:val="004D3108"/>
    <w:rsid w:val="004D329C"/>
    <w:rsid w:val="004D34D1"/>
    <w:rsid w:val="004D4523"/>
    <w:rsid w:val="004D4990"/>
    <w:rsid w:val="004D4AAA"/>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3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6DA"/>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CDE"/>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1E0"/>
    <w:rsid w:val="00594437"/>
    <w:rsid w:val="00594B70"/>
    <w:rsid w:val="00596CFA"/>
    <w:rsid w:val="00596EC6"/>
    <w:rsid w:val="005975CE"/>
    <w:rsid w:val="005977F2"/>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8D9"/>
    <w:rsid w:val="005C4E4D"/>
    <w:rsid w:val="005C58F2"/>
    <w:rsid w:val="005C5A97"/>
    <w:rsid w:val="005C5F77"/>
    <w:rsid w:val="005C6AAB"/>
    <w:rsid w:val="005C6D5D"/>
    <w:rsid w:val="005C6DEC"/>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136"/>
    <w:rsid w:val="00603373"/>
    <w:rsid w:val="006036D0"/>
    <w:rsid w:val="00603B1C"/>
    <w:rsid w:val="006042CD"/>
    <w:rsid w:val="00605217"/>
    <w:rsid w:val="006054A5"/>
    <w:rsid w:val="006059E4"/>
    <w:rsid w:val="00605D60"/>
    <w:rsid w:val="006062A0"/>
    <w:rsid w:val="00606F3D"/>
    <w:rsid w:val="00607015"/>
    <w:rsid w:val="0061098D"/>
    <w:rsid w:val="00610B78"/>
    <w:rsid w:val="00611B59"/>
    <w:rsid w:val="00611FBA"/>
    <w:rsid w:val="00612098"/>
    <w:rsid w:val="0061272A"/>
    <w:rsid w:val="0061299E"/>
    <w:rsid w:val="006130D0"/>
    <w:rsid w:val="0061355D"/>
    <w:rsid w:val="0061392B"/>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4EC"/>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93F"/>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4BB"/>
    <w:rsid w:val="0067772D"/>
    <w:rsid w:val="00677991"/>
    <w:rsid w:val="00677AD2"/>
    <w:rsid w:val="00680326"/>
    <w:rsid w:val="00680714"/>
    <w:rsid w:val="0068071D"/>
    <w:rsid w:val="00680C6B"/>
    <w:rsid w:val="006811F3"/>
    <w:rsid w:val="00681240"/>
    <w:rsid w:val="00681408"/>
    <w:rsid w:val="00681E43"/>
    <w:rsid w:val="00683068"/>
    <w:rsid w:val="00683565"/>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373"/>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36"/>
    <w:rsid w:val="006A0582"/>
    <w:rsid w:val="006A060C"/>
    <w:rsid w:val="006A06F8"/>
    <w:rsid w:val="006A071C"/>
    <w:rsid w:val="006A0DC7"/>
    <w:rsid w:val="006A150D"/>
    <w:rsid w:val="006A1B00"/>
    <w:rsid w:val="006A2766"/>
    <w:rsid w:val="006A2D20"/>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63"/>
    <w:rsid w:val="006B54E8"/>
    <w:rsid w:val="006B5FBC"/>
    <w:rsid w:val="006B6ED2"/>
    <w:rsid w:val="006B7F74"/>
    <w:rsid w:val="006C0230"/>
    <w:rsid w:val="006C05C7"/>
    <w:rsid w:val="006C25AB"/>
    <w:rsid w:val="006C2DA6"/>
    <w:rsid w:val="006C3581"/>
    <w:rsid w:val="006C39A0"/>
    <w:rsid w:val="006C3DB7"/>
    <w:rsid w:val="006C3EFE"/>
    <w:rsid w:val="006C46C7"/>
    <w:rsid w:val="006C4767"/>
    <w:rsid w:val="006C47E5"/>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2C1"/>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3E"/>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67BAF"/>
    <w:rsid w:val="007702BF"/>
    <w:rsid w:val="007705F0"/>
    <w:rsid w:val="00770C04"/>
    <w:rsid w:val="00771CAC"/>
    <w:rsid w:val="00772036"/>
    <w:rsid w:val="00772794"/>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08A"/>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4F2"/>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263C"/>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49C5"/>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15E"/>
    <w:rsid w:val="008465B4"/>
    <w:rsid w:val="00846D25"/>
    <w:rsid w:val="00850013"/>
    <w:rsid w:val="008500DD"/>
    <w:rsid w:val="00850A0A"/>
    <w:rsid w:val="00850A94"/>
    <w:rsid w:val="00851CEF"/>
    <w:rsid w:val="00851E96"/>
    <w:rsid w:val="00851F1C"/>
    <w:rsid w:val="0085237B"/>
    <w:rsid w:val="0085287D"/>
    <w:rsid w:val="00852FA5"/>
    <w:rsid w:val="00853864"/>
    <w:rsid w:val="00853F7D"/>
    <w:rsid w:val="0085517F"/>
    <w:rsid w:val="0085562D"/>
    <w:rsid w:val="00855A78"/>
    <w:rsid w:val="00856154"/>
    <w:rsid w:val="00856286"/>
    <w:rsid w:val="0085657E"/>
    <w:rsid w:val="00856BD5"/>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8A7"/>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00"/>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168"/>
    <w:rsid w:val="008D5432"/>
    <w:rsid w:val="008D54C0"/>
    <w:rsid w:val="008D5558"/>
    <w:rsid w:val="008D5806"/>
    <w:rsid w:val="008D5ED9"/>
    <w:rsid w:val="008D65BE"/>
    <w:rsid w:val="008D7247"/>
    <w:rsid w:val="008D7567"/>
    <w:rsid w:val="008E0EE4"/>
    <w:rsid w:val="008E12BE"/>
    <w:rsid w:val="008E13FD"/>
    <w:rsid w:val="008E15AC"/>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491"/>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B4B"/>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1EB2"/>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6F5"/>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218"/>
    <w:rsid w:val="0099361F"/>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4AC"/>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310"/>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71"/>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0C7F"/>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3E38"/>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569CF"/>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B8E"/>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29E"/>
    <w:rsid w:val="00A82D32"/>
    <w:rsid w:val="00A82EAE"/>
    <w:rsid w:val="00A82FC7"/>
    <w:rsid w:val="00A847F9"/>
    <w:rsid w:val="00A84CB7"/>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A3"/>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27BC"/>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8B6"/>
    <w:rsid w:val="00B07A43"/>
    <w:rsid w:val="00B07F74"/>
    <w:rsid w:val="00B10618"/>
    <w:rsid w:val="00B10B04"/>
    <w:rsid w:val="00B10CC6"/>
    <w:rsid w:val="00B10CD4"/>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6C44"/>
    <w:rsid w:val="00B274E3"/>
    <w:rsid w:val="00B2765C"/>
    <w:rsid w:val="00B27C4B"/>
    <w:rsid w:val="00B3020F"/>
    <w:rsid w:val="00B30563"/>
    <w:rsid w:val="00B3069E"/>
    <w:rsid w:val="00B30A76"/>
    <w:rsid w:val="00B31246"/>
    <w:rsid w:val="00B32295"/>
    <w:rsid w:val="00B33AB5"/>
    <w:rsid w:val="00B3412E"/>
    <w:rsid w:val="00B343E0"/>
    <w:rsid w:val="00B35137"/>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440"/>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6759C"/>
    <w:rsid w:val="00B70200"/>
    <w:rsid w:val="00B702D7"/>
    <w:rsid w:val="00B70389"/>
    <w:rsid w:val="00B70E01"/>
    <w:rsid w:val="00B718FA"/>
    <w:rsid w:val="00B72A0B"/>
    <w:rsid w:val="00B72CF0"/>
    <w:rsid w:val="00B72F50"/>
    <w:rsid w:val="00B7380E"/>
    <w:rsid w:val="00B740F6"/>
    <w:rsid w:val="00B74615"/>
    <w:rsid w:val="00B74789"/>
    <w:rsid w:val="00B755B6"/>
    <w:rsid w:val="00B75977"/>
    <w:rsid w:val="00B75A48"/>
    <w:rsid w:val="00B75CC0"/>
    <w:rsid w:val="00B76021"/>
    <w:rsid w:val="00B76FCD"/>
    <w:rsid w:val="00B7764D"/>
    <w:rsid w:val="00B804F8"/>
    <w:rsid w:val="00B80861"/>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325"/>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428"/>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73D"/>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3E9"/>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30"/>
    <w:rsid w:val="00C20051"/>
    <w:rsid w:val="00C2021B"/>
    <w:rsid w:val="00C203C7"/>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872"/>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1633"/>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1F1"/>
    <w:rsid w:val="00CD44FF"/>
    <w:rsid w:val="00CD46A7"/>
    <w:rsid w:val="00CD47BC"/>
    <w:rsid w:val="00CD4E50"/>
    <w:rsid w:val="00CD57CB"/>
    <w:rsid w:val="00CD64E1"/>
    <w:rsid w:val="00CD66BA"/>
    <w:rsid w:val="00CD68D5"/>
    <w:rsid w:val="00CD699D"/>
    <w:rsid w:val="00CD6BA3"/>
    <w:rsid w:val="00CD70DB"/>
    <w:rsid w:val="00CD7544"/>
    <w:rsid w:val="00CD75B6"/>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346D"/>
    <w:rsid w:val="00CF43F4"/>
    <w:rsid w:val="00CF475F"/>
    <w:rsid w:val="00CF4E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98"/>
    <w:rsid w:val="00D144D8"/>
    <w:rsid w:val="00D14919"/>
    <w:rsid w:val="00D14E25"/>
    <w:rsid w:val="00D15470"/>
    <w:rsid w:val="00D15AE3"/>
    <w:rsid w:val="00D160C4"/>
    <w:rsid w:val="00D165D8"/>
    <w:rsid w:val="00D1724E"/>
    <w:rsid w:val="00D178E8"/>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5CD4"/>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0F74"/>
    <w:rsid w:val="00D511E7"/>
    <w:rsid w:val="00D51372"/>
    <w:rsid w:val="00D517ED"/>
    <w:rsid w:val="00D5251C"/>
    <w:rsid w:val="00D52F56"/>
    <w:rsid w:val="00D537B7"/>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6A56"/>
    <w:rsid w:val="00D774F4"/>
    <w:rsid w:val="00D77687"/>
    <w:rsid w:val="00D77AF6"/>
    <w:rsid w:val="00D804C5"/>
    <w:rsid w:val="00D815E6"/>
    <w:rsid w:val="00D81A28"/>
    <w:rsid w:val="00D81BDE"/>
    <w:rsid w:val="00D8201D"/>
    <w:rsid w:val="00D82043"/>
    <w:rsid w:val="00D826E6"/>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2AA"/>
    <w:rsid w:val="00DC4311"/>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3C9"/>
    <w:rsid w:val="00E105CE"/>
    <w:rsid w:val="00E10712"/>
    <w:rsid w:val="00E10DD1"/>
    <w:rsid w:val="00E1224C"/>
    <w:rsid w:val="00E1254C"/>
    <w:rsid w:val="00E12BDF"/>
    <w:rsid w:val="00E13326"/>
    <w:rsid w:val="00E13D07"/>
    <w:rsid w:val="00E14356"/>
    <w:rsid w:val="00E14961"/>
    <w:rsid w:val="00E14D76"/>
    <w:rsid w:val="00E15183"/>
    <w:rsid w:val="00E15995"/>
    <w:rsid w:val="00E15D6C"/>
    <w:rsid w:val="00E1720B"/>
    <w:rsid w:val="00E203DE"/>
    <w:rsid w:val="00E20971"/>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6D8"/>
    <w:rsid w:val="00E31761"/>
    <w:rsid w:val="00E31812"/>
    <w:rsid w:val="00E31889"/>
    <w:rsid w:val="00E31CE7"/>
    <w:rsid w:val="00E333D5"/>
    <w:rsid w:val="00E3394F"/>
    <w:rsid w:val="00E33A0B"/>
    <w:rsid w:val="00E34A2F"/>
    <w:rsid w:val="00E35A45"/>
    <w:rsid w:val="00E35F7F"/>
    <w:rsid w:val="00E36112"/>
    <w:rsid w:val="00E36392"/>
    <w:rsid w:val="00E3694F"/>
    <w:rsid w:val="00E36B32"/>
    <w:rsid w:val="00E36E40"/>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1C41"/>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77F2F"/>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5B5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46F6"/>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0FB"/>
    <w:rsid w:val="00EF71E6"/>
    <w:rsid w:val="00F0058A"/>
    <w:rsid w:val="00F00630"/>
    <w:rsid w:val="00F00922"/>
    <w:rsid w:val="00F00924"/>
    <w:rsid w:val="00F0161A"/>
    <w:rsid w:val="00F0187E"/>
    <w:rsid w:val="00F01956"/>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2C3"/>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8E1"/>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895"/>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2E15"/>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300"/>
    <w:rsid w:val="00F54E5E"/>
    <w:rsid w:val="00F551DB"/>
    <w:rsid w:val="00F551DF"/>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6678"/>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47E5"/>
    <w:rsid w:val="00FB5138"/>
    <w:rsid w:val="00FB547F"/>
    <w:rsid w:val="00FB5A71"/>
    <w:rsid w:val="00FB63F6"/>
    <w:rsid w:val="00FB7823"/>
    <w:rsid w:val="00FC05B2"/>
    <w:rsid w:val="00FC08B3"/>
    <w:rsid w:val="00FC09D7"/>
    <w:rsid w:val="00FC0ABE"/>
    <w:rsid w:val="00FC1269"/>
    <w:rsid w:val="00FC22D0"/>
    <w:rsid w:val="00FC3668"/>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7B4"/>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9E9"/>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395070"/>
    <w:rsid w:val="019F7441"/>
    <w:rsid w:val="01B37585"/>
    <w:rsid w:val="01BE12BF"/>
    <w:rsid w:val="01D55165"/>
    <w:rsid w:val="01DF6BF8"/>
    <w:rsid w:val="01E03DA0"/>
    <w:rsid w:val="01EC2C57"/>
    <w:rsid w:val="02300221"/>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6DCB"/>
    <w:rsid w:val="05A7762D"/>
    <w:rsid w:val="05BEE927"/>
    <w:rsid w:val="05DB4947"/>
    <w:rsid w:val="060A6FDB"/>
    <w:rsid w:val="060E5941"/>
    <w:rsid w:val="06110FAF"/>
    <w:rsid w:val="06493CA7"/>
    <w:rsid w:val="064A4B6B"/>
    <w:rsid w:val="065A6178"/>
    <w:rsid w:val="066F1CF3"/>
    <w:rsid w:val="06930BB8"/>
    <w:rsid w:val="07245D42"/>
    <w:rsid w:val="07264C62"/>
    <w:rsid w:val="0779354C"/>
    <w:rsid w:val="07C55751"/>
    <w:rsid w:val="08061376"/>
    <w:rsid w:val="08410597"/>
    <w:rsid w:val="08452D77"/>
    <w:rsid w:val="086401F8"/>
    <w:rsid w:val="08751CAA"/>
    <w:rsid w:val="087E4C40"/>
    <w:rsid w:val="08A871D0"/>
    <w:rsid w:val="08D66AD6"/>
    <w:rsid w:val="08DA33A3"/>
    <w:rsid w:val="08E80F13"/>
    <w:rsid w:val="08EF5238"/>
    <w:rsid w:val="09313BAC"/>
    <w:rsid w:val="09335624"/>
    <w:rsid w:val="093C74AB"/>
    <w:rsid w:val="0944690F"/>
    <w:rsid w:val="09535675"/>
    <w:rsid w:val="095F057D"/>
    <w:rsid w:val="09642282"/>
    <w:rsid w:val="09733572"/>
    <w:rsid w:val="09772C16"/>
    <w:rsid w:val="098353B5"/>
    <w:rsid w:val="09A92330"/>
    <w:rsid w:val="09B06B87"/>
    <w:rsid w:val="09C13146"/>
    <w:rsid w:val="09E04166"/>
    <w:rsid w:val="09EE4315"/>
    <w:rsid w:val="0A1C0718"/>
    <w:rsid w:val="0A3E7710"/>
    <w:rsid w:val="0A4E70E3"/>
    <w:rsid w:val="0A5B7E63"/>
    <w:rsid w:val="0A6F38B0"/>
    <w:rsid w:val="0AA374A5"/>
    <w:rsid w:val="0AAB7649"/>
    <w:rsid w:val="0ABC5606"/>
    <w:rsid w:val="0B30404E"/>
    <w:rsid w:val="0B4C6C14"/>
    <w:rsid w:val="0B547599"/>
    <w:rsid w:val="0B5542B2"/>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246BD4"/>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0FE34B24"/>
    <w:rsid w:val="10646583"/>
    <w:rsid w:val="107D4B15"/>
    <w:rsid w:val="108A3C80"/>
    <w:rsid w:val="10C26171"/>
    <w:rsid w:val="10F33360"/>
    <w:rsid w:val="10FC16EA"/>
    <w:rsid w:val="110F1D40"/>
    <w:rsid w:val="11266F33"/>
    <w:rsid w:val="118963A1"/>
    <w:rsid w:val="11C6522A"/>
    <w:rsid w:val="11E104CC"/>
    <w:rsid w:val="11E20309"/>
    <w:rsid w:val="12154D3D"/>
    <w:rsid w:val="12255233"/>
    <w:rsid w:val="12530213"/>
    <w:rsid w:val="127723A9"/>
    <w:rsid w:val="12862074"/>
    <w:rsid w:val="12883966"/>
    <w:rsid w:val="129E45B4"/>
    <w:rsid w:val="12D81596"/>
    <w:rsid w:val="13072A44"/>
    <w:rsid w:val="135F4BE2"/>
    <w:rsid w:val="13631AD8"/>
    <w:rsid w:val="139B1A0A"/>
    <w:rsid w:val="139D25C7"/>
    <w:rsid w:val="13BF3CE4"/>
    <w:rsid w:val="13C92283"/>
    <w:rsid w:val="141008D8"/>
    <w:rsid w:val="14125FE6"/>
    <w:rsid w:val="1457788F"/>
    <w:rsid w:val="146D271E"/>
    <w:rsid w:val="147310E7"/>
    <w:rsid w:val="147C10A3"/>
    <w:rsid w:val="14982588"/>
    <w:rsid w:val="149A5AD9"/>
    <w:rsid w:val="14A7619D"/>
    <w:rsid w:val="150536C3"/>
    <w:rsid w:val="150C1963"/>
    <w:rsid w:val="151447A0"/>
    <w:rsid w:val="154A6454"/>
    <w:rsid w:val="15762120"/>
    <w:rsid w:val="16A8729C"/>
    <w:rsid w:val="16B33777"/>
    <w:rsid w:val="16BC70A7"/>
    <w:rsid w:val="16C6339E"/>
    <w:rsid w:val="1729546F"/>
    <w:rsid w:val="172F2D79"/>
    <w:rsid w:val="17557BEF"/>
    <w:rsid w:val="17D17D2F"/>
    <w:rsid w:val="17D349C1"/>
    <w:rsid w:val="1830729E"/>
    <w:rsid w:val="1870062C"/>
    <w:rsid w:val="18817102"/>
    <w:rsid w:val="18830A15"/>
    <w:rsid w:val="18852B28"/>
    <w:rsid w:val="188B5321"/>
    <w:rsid w:val="18E85CF6"/>
    <w:rsid w:val="19932372"/>
    <w:rsid w:val="19A20DD5"/>
    <w:rsid w:val="19AE03F1"/>
    <w:rsid w:val="1A071A03"/>
    <w:rsid w:val="1A1F16AE"/>
    <w:rsid w:val="1A2C70C8"/>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D266CE1"/>
    <w:rsid w:val="1D3963AF"/>
    <w:rsid w:val="1D6A673C"/>
    <w:rsid w:val="1D9247AE"/>
    <w:rsid w:val="1DB567EC"/>
    <w:rsid w:val="1DF51A98"/>
    <w:rsid w:val="1E1A4B05"/>
    <w:rsid w:val="1E3D060F"/>
    <w:rsid w:val="1E3F7D2E"/>
    <w:rsid w:val="1E4134E4"/>
    <w:rsid w:val="1E5062B3"/>
    <w:rsid w:val="1E523514"/>
    <w:rsid w:val="1E714A66"/>
    <w:rsid w:val="1E802593"/>
    <w:rsid w:val="1E8B6156"/>
    <w:rsid w:val="1EA703CC"/>
    <w:rsid w:val="1EB7330C"/>
    <w:rsid w:val="1F0A0FF3"/>
    <w:rsid w:val="1F5771FF"/>
    <w:rsid w:val="1FD52DD5"/>
    <w:rsid w:val="1FE868A9"/>
    <w:rsid w:val="20034907"/>
    <w:rsid w:val="20173E4B"/>
    <w:rsid w:val="204E48BC"/>
    <w:rsid w:val="208921B3"/>
    <w:rsid w:val="20973DEB"/>
    <w:rsid w:val="20B26522"/>
    <w:rsid w:val="20B44310"/>
    <w:rsid w:val="211116EB"/>
    <w:rsid w:val="211724F3"/>
    <w:rsid w:val="216133FC"/>
    <w:rsid w:val="217D645B"/>
    <w:rsid w:val="21A30F79"/>
    <w:rsid w:val="21D56769"/>
    <w:rsid w:val="21E52EF3"/>
    <w:rsid w:val="21E97D80"/>
    <w:rsid w:val="21FB5D7B"/>
    <w:rsid w:val="22015E94"/>
    <w:rsid w:val="220B1C3D"/>
    <w:rsid w:val="221D1D20"/>
    <w:rsid w:val="22334A87"/>
    <w:rsid w:val="226D06CE"/>
    <w:rsid w:val="22BE6801"/>
    <w:rsid w:val="233500BF"/>
    <w:rsid w:val="23377FF7"/>
    <w:rsid w:val="236B425F"/>
    <w:rsid w:val="23836192"/>
    <w:rsid w:val="23901F29"/>
    <w:rsid w:val="239C0061"/>
    <w:rsid w:val="23B00D6A"/>
    <w:rsid w:val="23B908A4"/>
    <w:rsid w:val="23E95BEF"/>
    <w:rsid w:val="23FD0064"/>
    <w:rsid w:val="245375B0"/>
    <w:rsid w:val="24642C0A"/>
    <w:rsid w:val="248A481F"/>
    <w:rsid w:val="24B22173"/>
    <w:rsid w:val="24B95AD9"/>
    <w:rsid w:val="24BE24DA"/>
    <w:rsid w:val="24CF5825"/>
    <w:rsid w:val="24D663E6"/>
    <w:rsid w:val="24D77F2B"/>
    <w:rsid w:val="258B00E2"/>
    <w:rsid w:val="25A917A6"/>
    <w:rsid w:val="25BE27CC"/>
    <w:rsid w:val="25F74A5C"/>
    <w:rsid w:val="261455E0"/>
    <w:rsid w:val="2628662C"/>
    <w:rsid w:val="262D45DE"/>
    <w:rsid w:val="26871DC8"/>
    <w:rsid w:val="26A53EF9"/>
    <w:rsid w:val="26A94201"/>
    <w:rsid w:val="26AC274F"/>
    <w:rsid w:val="27044A29"/>
    <w:rsid w:val="271D34C8"/>
    <w:rsid w:val="276142BF"/>
    <w:rsid w:val="27783712"/>
    <w:rsid w:val="27907362"/>
    <w:rsid w:val="28123DA1"/>
    <w:rsid w:val="28333E1D"/>
    <w:rsid w:val="28454BD6"/>
    <w:rsid w:val="28455253"/>
    <w:rsid w:val="28551971"/>
    <w:rsid w:val="285B1C53"/>
    <w:rsid w:val="289F7086"/>
    <w:rsid w:val="28C32028"/>
    <w:rsid w:val="28C66939"/>
    <w:rsid w:val="28CC490F"/>
    <w:rsid w:val="28DE40AA"/>
    <w:rsid w:val="290F336C"/>
    <w:rsid w:val="29345E77"/>
    <w:rsid w:val="294C65AD"/>
    <w:rsid w:val="29806583"/>
    <w:rsid w:val="29817BFA"/>
    <w:rsid w:val="298B3C4C"/>
    <w:rsid w:val="29F26D24"/>
    <w:rsid w:val="2A15033F"/>
    <w:rsid w:val="2A1662C1"/>
    <w:rsid w:val="2A1C7367"/>
    <w:rsid w:val="2A2815FA"/>
    <w:rsid w:val="2A6D6092"/>
    <w:rsid w:val="2A7D76B4"/>
    <w:rsid w:val="2B3F3E85"/>
    <w:rsid w:val="2B437463"/>
    <w:rsid w:val="2B5E0B35"/>
    <w:rsid w:val="2B7807EE"/>
    <w:rsid w:val="2BA50BF7"/>
    <w:rsid w:val="2BBF00EC"/>
    <w:rsid w:val="2BC37CFD"/>
    <w:rsid w:val="2BD5237F"/>
    <w:rsid w:val="2BE536CE"/>
    <w:rsid w:val="2BE758D9"/>
    <w:rsid w:val="2C09049E"/>
    <w:rsid w:val="2C0A653C"/>
    <w:rsid w:val="2C191F85"/>
    <w:rsid w:val="2CE82D6F"/>
    <w:rsid w:val="2D343236"/>
    <w:rsid w:val="2DD15014"/>
    <w:rsid w:val="2DF72DE4"/>
    <w:rsid w:val="2E0220AF"/>
    <w:rsid w:val="2E4B082A"/>
    <w:rsid w:val="2E5D4E86"/>
    <w:rsid w:val="2E5D790B"/>
    <w:rsid w:val="2E7B3D22"/>
    <w:rsid w:val="2E9A3C18"/>
    <w:rsid w:val="2EBB0FEE"/>
    <w:rsid w:val="2EC63002"/>
    <w:rsid w:val="2F0A6B38"/>
    <w:rsid w:val="2F124686"/>
    <w:rsid w:val="2F946CCB"/>
    <w:rsid w:val="2FD25781"/>
    <w:rsid w:val="2FDC745C"/>
    <w:rsid w:val="2FF7D722"/>
    <w:rsid w:val="2FFD7934"/>
    <w:rsid w:val="303C2E81"/>
    <w:rsid w:val="30733ACD"/>
    <w:rsid w:val="308C3862"/>
    <w:rsid w:val="309379D8"/>
    <w:rsid w:val="30A270F7"/>
    <w:rsid w:val="30DF1478"/>
    <w:rsid w:val="30EC586F"/>
    <w:rsid w:val="310402C4"/>
    <w:rsid w:val="314550B7"/>
    <w:rsid w:val="319C6071"/>
    <w:rsid w:val="31AC537E"/>
    <w:rsid w:val="31E3679B"/>
    <w:rsid w:val="31E732FD"/>
    <w:rsid w:val="32517576"/>
    <w:rsid w:val="32AA4DE3"/>
    <w:rsid w:val="32AE7576"/>
    <w:rsid w:val="32BE5C2C"/>
    <w:rsid w:val="32FB6478"/>
    <w:rsid w:val="33263B3F"/>
    <w:rsid w:val="33571B89"/>
    <w:rsid w:val="336963EB"/>
    <w:rsid w:val="33816EEB"/>
    <w:rsid w:val="33EB55CD"/>
    <w:rsid w:val="33EC4C02"/>
    <w:rsid w:val="340D2360"/>
    <w:rsid w:val="3410665D"/>
    <w:rsid w:val="34211214"/>
    <w:rsid w:val="342E63AB"/>
    <w:rsid w:val="34950E68"/>
    <w:rsid w:val="34986E94"/>
    <w:rsid w:val="34AF62C9"/>
    <w:rsid w:val="34CB4388"/>
    <w:rsid w:val="34FA6E12"/>
    <w:rsid w:val="3502519D"/>
    <w:rsid w:val="354D7158"/>
    <w:rsid w:val="358D5588"/>
    <w:rsid w:val="363A3B40"/>
    <w:rsid w:val="365302AE"/>
    <w:rsid w:val="36607A0A"/>
    <w:rsid w:val="366E227C"/>
    <w:rsid w:val="366F2E0D"/>
    <w:rsid w:val="367B6A5C"/>
    <w:rsid w:val="36A74ADA"/>
    <w:rsid w:val="36AD60D5"/>
    <w:rsid w:val="36B224F9"/>
    <w:rsid w:val="36EC0CC9"/>
    <w:rsid w:val="3706758A"/>
    <w:rsid w:val="373F410B"/>
    <w:rsid w:val="37EE7094"/>
    <w:rsid w:val="37FF0B27"/>
    <w:rsid w:val="38296C89"/>
    <w:rsid w:val="383002EB"/>
    <w:rsid w:val="38586797"/>
    <w:rsid w:val="38BC0149"/>
    <w:rsid w:val="38D87D1C"/>
    <w:rsid w:val="396106E4"/>
    <w:rsid w:val="39636459"/>
    <w:rsid w:val="396B7F6C"/>
    <w:rsid w:val="39B417A9"/>
    <w:rsid w:val="39FC5695"/>
    <w:rsid w:val="3A006D8E"/>
    <w:rsid w:val="3A3651E5"/>
    <w:rsid w:val="3A744481"/>
    <w:rsid w:val="3A8C7BEF"/>
    <w:rsid w:val="3A906246"/>
    <w:rsid w:val="3B2349B7"/>
    <w:rsid w:val="3B616CFF"/>
    <w:rsid w:val="3B6259F6"/>
    <w:rsid w:val="3B976654"/>
    <w:rsid w:val="3BBBA69F"/>
    <w:rsid w:val="3BC01EFC"/>
    <w:rsid w:val="3BCA786A"/>
    <w:rsid w:val="3BD31E2F"/>
    <w:rsid w:val="3BF15831"/>
    <w:rsid w:val="3C105946"/>
    <w:rsid w:val="3C471448"/>
    <w:rsid w:val="3C5F759A"/>
    <w:rsid w:val="3C6C525A"/>
    <w:rsid w:val="3CB120CB"/>
    <w:rsid w:val="3CCE23CB"/>
    <w:rsid w:val="3CD17D17"/>
    <w:rsid w:val="3D3C7F39"/>
    <w:rsid w:val="3D440F09"/>
    <w:rsid w:val="3D4504A0"/>
    <w:rsid w:val="3D8734BB"/>
    <w:rsid w:val="3D9A11D4"/>
    <w:rsid w:val="3DA16D89"/>
    <w:rsid w:val="3DA364BE"/>
    <w:rsid w:val="3DD006F5"/>
    <w:rsid w:val="3DE041CB"/>
    <w:rsid w:val="3E0D48F6"/>
    <w:rsid w:val="3E1868B4"/>
    <w:rsid w:val="3E377251"/>
    <w:rsid w:val="3E42664B"/>
    <w:rsid w:val="3E5A7334"/>
    <w:rsid w:val="3E7B5D6B"/>
    <w:rsid w:val="3E843E66"/>
    <w:rsid w:val="3E8F51FE"/>
    <w:rsid w:val="3E926F87"/>
    <w:rsid w:val="3E9A59DE"/>
    <w:rsid w:val="3EAD617A"/>
    <w:rsid w:val="3EAF4836"/>
    <w:rsid w:val="3EC33DFA"/>
    <w:rsid w:val="3F060E16"/>
    <w:rsid w:val="3F1D1096"/>
    <w:rsid w:val="3F2F0234"/>
    <w:rsid w:val="3F5A338C"/>
    <w:rsid w:val="3F6363FE"/>
    <w:rsid w:val="3F756B8F"/>
    <w:rsid w:val="3F95482B"/>
    <w:rsid w:val="3FCA1C69"/>
    <w:rsid w:val="3FFA025B"/>
    <w:rsid w:val="4019356B"/>
    <w:rsid w:val="40592157"/>
    <w:rsid w:val="406E1CAE"/>
    <w:rsid w:val="4078217E"/>
    <w:rsid w:val="40A0133A"/>
    <w:rsid w:val="40C120CD"/>
    <w:rsid w:val="40C31A53"/>
    <w:rsid w:val="40FF545D"/>
    <w:rsid w:val="410067C8"/>
    <w:rsid w:val="413B4AA4"/>
    <w:rsid w:val="418F0D2A"/>
    <w:rsid w:val="41D01505"/>
    <w:rsid w:val="42360234"/>
    <w:rsid w:val="42474939"/>
    <w:rsid w:val="424C3C57"/>
    <w:rsid w:val="42613FF3"/>
    <w:rsid w:val="42660D96"/>
    <w:rsid w:val="428667D2"/>
    <w:rsid w:val="42CD1CE0"/>
    <w:rsid w:val="42DA5063"/>
    <w:rsid w:val="42E1381E"/>
    <w:rsid w:val="42ED6459"/>
    <w:rsid w:val="42FE58DD"/>
    <w:rsid w:val="43106CD7"/>
    <w:rsid w:val="43174B3D"/>
    <w:rsid w:val="433235D2"/>
    <w:rsid w:val="434B790E"/>
    <w:rsid w:val="4360274F"/>
    <w:rsid w:val="43977AB6"/>
    <w:rsid w:val="43A3342B"/>
    <w:rsid w:val="43B27D8E"/>
    <w:rsid w:val="43C77C27"/>
    <w:rsid w:val="43DE09EE"/>
    <w:rsid w:val="44002FAD"/>
    <w:rsid w:val="440A1978"/>
    <w:rsid w:val="449101DD"/>
    <w:rsid w:val="44A91191"/>
    <w:rsid w:val="44DE1391"/>
    <w:rsid w:val="44E623E5"/>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6DC75FC"/>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E56AF9"/>
    <w:rsid w:val="49F6167F"/>
    <w:rsid w:val="4A064FA0"/>
    <w:rsid w:val="4A16615C"/>
    <w:rsid w:val="4A4424D7"/>
    <w:rsid w:val="4AB82D0F"/>
    <w:rsid w:val="4AEB7664"/>
    <w:rsid w:val="4AFD7C19"/>
    <w:rsid w:val="4B0567D1"/>
    <w:rsid w:val="4B236AAE"/>
    <w:rsid w:val="4B65492A"/>
    <w:rsid w:val="4B707271"/>
    <w:rsid w:val="4B9739F7"/>
    <w:rsid w:val="4BEE2503"/>
    <w:rsid w:val="4C175734"/>
    <w:rsid w:val="4C245A30"/>
    <w:rsid w:val="4C79769B"/>
    <w:rsid w:val="4CB6685F"/>
    <w:rsid w:val="4CC367FE"/>
    <w:rsid w:val="4D077F3C"/>
    <w:rsid w:val="4D123355"/>
    <w:rsid w:val="4D2A3B31"/>
    <w:rsid w:val="4D312C52"/>
    <w:rsid w:val="4D905305"/>
    <w:rsid w:val="4D93478D"/>
    <w:rsid w:val="4D964A72"/>
    <w:rsid w:val="4D9C1254"/>
    <w:rsid w:val="4E793892"/>
    <w:rsid w:val="4E800872"/>
    <w:rsid w:val="4EC569ED"/>
    <w:rsid w:val="4ED50EA1"/>
    <w:rsid w:val="4EEC050C"/>
    <w:rsid w:val="4F104EC3"/>
    <w:rsid w:val="4F47354A"/>
    <w:rsid w:val="4F6D4A83"/>
    <w:rsid w:val="4F911C54"/>
    <w:rsid w:val="4FE625E0"/>
    <w:rsid w:val="5021480F"/>
    <w:rsid w:val="50962ECB"/>
    <w:rsid w:val="50A42E38"/>
    <w:rsid w:val="50A4577F"/>
    <w:rsid w:val="50B73D1F"/>
    <w:rsid w:val="50BD5BC9"/>
    <w:rsid w:val="50C11EEE"/>
    <w:rsid w:val="50E97CFC"/>
    <w:rsid w:val="50FA4028"/>
    <w:rsid w:val="510D65B7"/>
    <w:rsid w:val="511157AB"/>
    <w:rsid w:val="511A291E"/>
    <w:rsid w:val="5142540C"/>
    <w:rsid w:val="518832C8"/>
    <w:rsid w:val="519D3C50"/>
    <w:rsid w:val="51A0432A"/>
    <w:rsid w:val="51A86090"/>
    <w:rsid w:val="51B7396D"/>
    <w:rsid w:val="522E4CC3"/>
    <w:rsid w:val="5244713B"/>
    <w:rsid w:val="52615633"/>
    <w:rsid w:val="526F4DE4"/>
    <w:rsid w:val="52977FD4"/>
    <w:rsid w:val="52A25790"/>
    <w:rsid w:val="52A96B6F"/>
    <w:rsid w:val="52B45975"/>
    <w:rsid w:val="52B86552"/>
    <w:rsid w:val="52C207C8"/>
    <w:rsid w:val="52D94AA4"/>
    <w:rsid w:val="52EA3A62"/>
    <w:rsid w:val="52F50BB8"/>
    <w:rsid w:val="53097272"/>
    <w:rsid w:val="53544462"/>
    <w:rsid w:val="5397158E"/>
    <w:rsid w:val="54013861"/>
    <w:rsid w:val="54352A4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82C5A"/>
    <w:rsid w:val="566B6D1E"/>
    <w:rsid w:val="566E38A2"/>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3C2F"/>
    <w:rsid w:val="57D95FDD"/>
    <w:rsid w:val="582C4102"/>
    <w:rsid w:val="58917D2F"/>
    <w:rsid w:val="5894085C"/>
    <w:rsid w:val="589E3B49"/>
    <w:rsid w:val="58AE4F0C"/>
    <w:rsid w:val="58B85899"/>
    <w:rsid w:val="58E363A9"/>
    <w:rsid w:val="58E574CE"/>
    <w:rsid w:val="595E1678"/>
    <w:rsid w:val="596D5BD4"/>
    <w:rsid w:val="597E3DD8"/>
    <w:rsid w:val="59A26483"/>
    <w:rsid w:val="59F80043"/>
    <w:rsid w:val="5A09252F"/>
    <w:rsid w:val="5A0B2778"/>
    <w:rsid w:val="5A2A7C7B"/>
    <w:rsid w:val="5A3E2560"/>
    <w:rsid w:val="5A5D3B6E"/>
    <w:rsid w:val="5A637A76"/>
    <w:rsid w:val="5A6D33BA"/>
    <w:rsid w:val="5A792B1F"/>
    <w:rsid w:val="5A874767"/>
    <w:rsid w:val="5AA85BE2"/>
    <w:rsid w:val="5AAD6F28"/>
    <w:rsid w:val="5AD63A24"/>
    <w:rsid w:val="5B144C0A"/>
    <w:rsid w:val="5B2E1A1D"/>
    <w:rsid w:val="5B5639C9"/>
    <w:rsid w:val="5B843A1C"/>
    <w:rsid w:val="5B873E3F"/>
    <w:rsid w:val="5C02690E"/>
    <w:rsid w:val="5C196DA7"/>
    <w:rsid w:val="5C2A048C"/>
    <w:rsid w:val="5C80234E"/>
    <w:rsid w:val="5C8A680C"/>
    <w:rsid w:val="5D0C4701"/>
    <w:rsid w:val="5D0F0395"/>
    <w:rsid w:val="5D221076"/>
    <w:rsid w:val="5D397964"/>
    <w:rsid w:val="5D5A391C"/>
    <w:rsid w:val="5D5F10C0"/>
    <w:rsid w:val="5D891B7B"/>
    <w:rsid w:val="5DAD38EE"/>
    <w:rsid w:val="5E006862"/>
    <w:rsid w:val="5E0207B9"/>
    <w:rsid w:val="5E09741C"/>
    <w:rsid w:val="5E1834A1"/>
    <w:rsid w:val="5E261785"/>
    <w:rsid w:val="5E4A7017"/>
    <w:rsid w:val="5E552BBA"/>
    <w:rsid w:val="5E611C10"/>
    <w:rsid w:val="5E7A0F3F"/>
    <w:rsid w:val="5EFC7377"/>
    <w:rsid w:val="5F06174D"/>
    <w:rsid w:val="5F3A3602"/>
    <w:rsid w:val="5F45733B"/>
    <w:rsid w:val="5F6277C6"/>
    <w:rsid w:val="5F6D0B1D"/>
    <w:rsid w:val="5F8D0B82"/>
    <w:rsid w:val="5F968556"/>
    <w:rsid w:val="5F9F5213"/>
    <w:rsid w:val="5FCC5339"/>
    <w:rsid w:val="5FE34A5B"/>
    <w:rsid w:val="5FFE1E36"/>
    <w:rsid w:val="60232584"/>
    <w:rsid w:val="60545F6A"/>
    <w:rsid w:val="607330CE"/>
    <w:rsid w:val="60825176"/>
    <w:rsid w:val="60921B4C"/>
    <w:rsid w:val="609F2AC4"/>
    <w:rsid w:val="60E6759D"/>
    <w:rsid w:val="60FA2EE8"/>
    <w:rsid w:val="60FC0DF8"/>
    <w:rsid w:val="61054A27"/>
    <w:rsid w:val="610A52BC"/>
    <w:rsid w:val="611D2366"/>
    <w:rsid w:val="61421856"/>
    <w:rsid w:val="615227C4"/>
    <w:rsid w:val="61654E3F"/>
    <w:rsid w:val="6182292A"/>
    <w:rsid w:val="619F7F92"/>
    <w:rsid w:val="61F23D20"/>
    <w:rsid w:val="61F94C26"/>
    <w:rsid w:val="62000E56"/>
    <w:rsid w:val="62055E54"/>
    <w:rsid w:val="624F3E49"/>
    <w:rsid w:val="62632286"/>
    <w:rsid w:val="62885958"/>
    <w:rsid w:val="629D3C8C"/>
    <w:rsid w:val="62F40B65"/>
    <w:rsid w:val="62FC2CFE"/>
    <w:rsid w:val="63024505"/>
    <w:rsid w:val="635600A5"/>
    <w:rsid w:val="635B1DB5"/>
    <w:rsid w:val="6362529D"/>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5993FAF"/>
    <w:rsid w:val="65DE3244"/>
    <w:rsid w:val="66016B80"/>
    <w:rsid w:val="66195831"/>
    <w:rsid w:val="662E75B1"/>
    <w:rsid w:val="66342C2E"/>
    <w:rsid w:val="663E784C"/>
    <w:rsid w:val="668B6A45"/>
    <w:rsid w:val="67011F07"/>
    <w:rsid w:val="672F3F24"/>
    <w:rsid w:val="673E055F"/>
    <w:rsid w:val="67551CE3"/>
    <w:rsid w:val="67A22552"/>
    <w:rsid w:val="67B22DCC"/>
    <w:rsid w:val="67BE71AA"/>
    <w:rsid w:val="67D90273"/>
    <w:rsid w:val="67DE5875"/>
    <w:rsid w:val="67DF4D46"/>
    <w:rsid w:val="67E55852"/>
    <w:rsid w:val="67EB1AB4"/>
    <w:rsid w:val="67FA1285"/>
    <w:rsid w:val="67FF2CF3"/>
    <w:rsid w:val="683A2B28"/>
    <w:rsid w:val="68551F4F"/>
    <w:rsid w:val="687C10C9"/>
    <w:rsid w:val="68840C16"/>
    <w:rsid w:val="68872541"/>
    <w:rsid w:val="68876EFB"/>
    <w:rsid w:val="68884654"/>
    <w:rsid w:val="689F444F"/>
    <w:rsid w:val="68B96DBB"/>
    <w:rsid w:val="68CA2805"/>
    <w:rsid w:val="68E937A3"/>
    <w:rsid w:val="691664E5"/>
    <w:rsid w:val="69256789"/>
    <w:rsid w:val="693E15D3"/>
    <w:rsid w:val="69627681"/>
    <w:rsid w:val="6977531D"/>
    <w:rsid w:val="69CC2BFF"/>
    <w:rsid w:val="69FD55B8"/>
    <w:rsid w:val="6A0B1C62"/>
    <w:rsid w:val="6A2406C8"/>
    <w:rsid w:val="6ADE0BD1"/>
    <w:rsid w:val="6AE96859"/>
    <w:rsid w:val="6AF40B09"/>
    <w:rsid w:val="6B147746"/>
    <w:rsid w:val="6B24787C"/>
    <w:rsid w:val="6B573233"/>
    <w:rsid w:val="6B5B6274"/>
    <w:rsid w:val="6B935D53"/>
    <w:rsid w:val="6C196F71"/>
    <w:rsid w:val="6C226FCB"/>
    <w:rsid w:val="6C31226F"/>
    <w:rsid w:val="6C552F0B"/>
    <w:rsid w:val="6C8C67B7"/>
    <w:rsid w:val="6C9D744C"/>
    <w:rsid w:val="6D167928"/>
    <w:rsid w:val="6D26299B"/>
    <w:rsid w:val="6D4772EC"/>
    <w:rsid w:val="6D5B47A9"/>
    <w:rsid w:val="6D9078AF"/>
    <w:rsid w:val="6DAA3FEF"/>
    <w:rsid w:val="6DC0172B"/>
    <w:rsid w:val="6DCB690C"/>
    <w:rsid w:val="6DD41A5B"/>
    <w:rsid w:val="6DF43C2E"/>
    <w:rsid w:val="6DF51CA3"/>
    <w:rsid w:val="6E8335BD"/>
    <w:rsid w:val="6E8E12EF"/>
    <w:rsid w:val="6E972936"/>
    <w:rsid w:val="6ED446C5"/>
    <w:rsid w:val="6F2A7D94"/>
    <w:rsid w:val="6F8331F1"/>
    <w:rsid w:val="6FAE1A09"/>
    <w:rsid w:val="6FD75BF8"/>
    <w:rsid w:val="6FDD181C"/>
    <w:rsid w:val="704B4683"/>
    <w:rsid w:val="70565D7A"/>
    <w:rsid w:val="707723D0"/>
    <w:rsid w:val="70F5661B"/>
    <w:rsid w:val="71360107"/>
    <w:rsid w:val="713B688E"/>
    <w:rsid w:val="71743F62"/>
    <w:rsid w:val="71CF1988"/>
    <w:rsid w:val="71D43752"/>
    <w:rsid w:val="71F1796A"/>
    <w:rsid w:val="72154626"/>
    <w:rsid w:val="721E646B"/>
    <w:rsid w:val="72262B5D"/>
    <w:rsid w:val="72283FF7"/>
    <w:rsid w:val="722E7212"/>
    <w:rsid w:val="723A0474"/>
    <w:rsid w:val="725923E4"/>
    <w:rsid w:val="72864BF7"/>
    <w:rsid w:val="729023FC"/>
    <w:rsid w:val="7366631C"/>
    <w:rsid w:val="73BB6668"/>
    <w:rsid w:val="73C0646E"/>
    <w:rsid w:val="7419513C"/>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6FD013A"/>
    <w:rsid w:val="77052AA4"/>
    <w:rsid w:val="77136511"/>
    <w:rsid w:val="77340A39"/>
    <w:rsid w:val="77351FD0"/>
    <w:rsid w:val="77472422"/>
    <w:rsid w:val="777F31F2"/>
    <w:rsid w:val="77935205"/>
    <w:rsid w:val="77D1700D"/>
    <w:rsid w:val="77EC04CC"/>
    <w:rsid w:val="78775729"/>
    <w:rsid w:val="78A42DB0"/>
    <w:rsid w:val="78A656AB"/>
    <w:rsid w:val="78B2245C"/>
    <w:rsid w:val="78E172CC"/>
    <w:rsid w:val="78EA1D1F"/>
    <w:rsid w:val="78FD502C"/>
    <w:rsid w:val="7904172F"/>
    <w:rsid w:val="790F7E27"/>
    <w:rsid w:val="79177688"/>
    <w:rsid w:val="7927654D"/>
    <w:rsid w:val="792A231A"/>
    <w:rsid w:val="79316829"/>
    <w:rsid w:val="79557440"/>
    <w:rsid w:val="797E66A9"/>
    <w:rsid w:val="798518A4"/>
    <w:rsid w:val="79A97383"/>
    <w:rsid w:val="79E27E8B"/>
    <w:rsid w:val="79F850CE"/>
    <w:rsid w:val="79FD443C"/>
    <w:rsid w:val="7A1D1975"/>
    <w:rsid w:val="7A1D3524"/>
    <w:rsid w:val="7A3E5150"/>
    <w:rsid w:val="7A4670D6"/>
    <w:rsid w:val="7A534B63"/>
    <w:rsid w:val="7A615382"/>
    <w:rsid w:val="7A67303B"/>
    <w:rsid w:val="7AA46E29"/>
    <w:rsid w:val="7AAB1D04"/>
    <w:rsid w:val="7ABA4368"/>
    <w:rsid w:val="7AD05746"/>
    <w:rsid w:val="7B023DB3"/>
    <w:rsid w:val="7B257FFD"/>
    <w:rsid w:val="7B273D20"/>
    <w:rsid w:val="7B2A40D3"/>
    <w:rsid w:val="7B343476"/>
    <w:rsid w:val="7B5A2978"/>
    <w:rsid w:val="7B5A7E4C"/>
    <w:rsid w:val="7B667AF9"/>
    <w:rsid w:val="7B7468F8"/>
    <w:rsid w:val="7B7610C6"/>
    <w:rsid w:val="7BA9702E"/>
    <w:rsid w:val="7BEE0103"/>
    <w:rsid w:val="7C0A0FE4"/>
    <w:rsid w:val="7C254906"/>
    <w:rsid w:val="7C590818"/>
    <w:rsid w:val="7C7C10F6"/>
    <w:rsid w:val="7C853BEA"/>
    <w:rsid w:val="7C881368"/>
    <w:rsid w:val="7CE27788"/>
    <w:rsid w:val="7D0C32F1"/>
    <w:rsid w:val="7D0F408D"/>
    <w:rsid w:val="7D491C6C"/>
    <w:rsid w:val="7D5429C0"/>
    <w:rsid w:val="7D6E6D43"/>
    <w:rsid w:val="7DB57A34"/>
    <w:rsid w:val="7DE60973"/>
    <w:rsid w:val="7DEF0916"/>
    <w:rsid w:val="7DFB58B2"/>
    <w:rsid w:val="7E1E5218"/>
    <w:rsid w:val="7E9A4E1F"/>
    <w:rsid w:val="7EA7723A"/>
    <w:rsid w:val="7EF56FBB"/>
    <w:rsid w:val="7F0768EB"/>
    <w:rsid w:val="7F143BEC"/>
    <w:rsid w:val="7F715AF2"/>
    <w:rsid w:val="7F886E69"/>
    <w:rsid w:val="9CBF4418"/>
    <w:rsid w:val="9FBF0B8A"/>
    <w:rsid w:val="AC1F4E35"/>
    <w:rsid w:val="B3DD2E1E"/>
    <w:rsid w:val="B7E6E635"/>
    <w:rsid w:val="BB7FA927"/>
    <w:rsid w:val="F5FFD31F"/>
    <w:rsid w:val="F79C7C0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90"/>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6"/>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31"/>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82"/>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5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86"/>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61"/>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91"/>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styleId="2">
    <w:name w:val="Body Text Indent"/>
    <w:basedOn w:val="1"/>
    <w:next w:val="1"/>
    <w:link w:val="272"/>
    <w:qFormat/>
    <w:uiPriority w:val="0"/>
    <w:pPr>
      <w:spacing w:line="480" w:lineRule="exact"/>
      <w:ind w:firstLine="480" w:firstLineChars="200"/>
    </w:pPr>
    <w:rPr>
      <w:rFonts w:ascii="宋体" w:hAnsi="宋体"/>
      <w:sz w:val="24"/>
    </w:rPr>
  </w:style>
  <w:style w:type="paragraph" w:styleId="6">
    <w:name w:val="Normal Indent"/>
    <w:basedOn w:val="1"/>
    <w:next w:val="1"/>
    <w:link w:val="202"/>
    <w:qFormat/>
    <w:uiPriority w:val="0"/>
    <w:pPr>
      <w:widowControl/>
      <w:snapToGrid w:val="0"/>
      <w:spacing w:line="480" w:lineRule="exact"/>
      <w:ind w:firstLine="567"/>
    </w:pPr>
    <w:rPr>
      <w:rFonts w:ascii="宋体"/>
      <w:snapToGrid w:val="0"/>
      <w:color w:val="000000"/>
      <w:kern w:val="28"/>
      <w:sz w:val="28"/>
      <w:szCs w:val="20"/>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caption"/>
    <w:basedOn w:val="1"/>
    <w:next w:val="1"/>
    <w:link w:val="238"/>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11"/>
    <w:qFormat/>
    <w:uiPriority w:val="0"/>
    <w:pPr>
      <w:shd w:val="clear" w:color="auto" w:fill="000080"/>
    </w:pPr>
  </w:style>
  <w:style w:type="paragraph" w:styleId="20">
    <w:name w:val="annotation text"/>
    <w:basedOn w:val="1"/>
    <w:link w:val="348"/>
    <w:qFormat/>
    <w:uiPriority w:val="99"/>
    <w:pPr>
      <w:jc w:val="left"/>
    </w:pPr>
  </w:style>
  <w:style w:type="paragraph" w:styleId="21">
    <w:name w:val="Salutation"/>
    <w:basedOn w:val="1"/>
    <w:next w:val="1"/>
    <w:link w:val="304"/>
    <w:qFormat/>
    <w:uiPriority w:val="0"/>
    <w:rPr>
      <w:rFonts w:ascii="仿宋_GB2312" w:eastAsia="仿宋_GB2312"/>
      <w:sz w:val="28"/>
      <w:szCs w:val="20"/>
    </w:rPr>
  </w:style>
  <w:style w:type="paragraph" w:styleId="22">
    <w:name w:val="Body Text 3"/>
    <w:basedOn w:val="1"/>
    <w:link w:val="334"/>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w:basedOn w:val="1"/>
    <w:next w:val="25"/>
    <w:link w:val="432"/>
    <w:qFormat/>
    <w:uiPriority w:val="0"/>
    <w:pPr>
      <w:autoSpaceDE w:val="0"/>
      <w:autoSpaceDN w:val="0"/>
      <w:spacing w:line="360" w:lineRule="auto"/>
    </w:pPr>
    <w:rPr>
      <w:rFonts w:ascii="宋体" w:hAnsi="Arial" w:cs="Arial"/>
      <w:snapToGrid w:val="0"/>
      <w:sz w:val="24"/>
      <w:szCs w:val="21"/>
      <w:lang w:val="zh-CN"/>
    </w:rPr>
  </w:style>
  <w:style w:type="paragraph" w:styleId="25">
    <w:name w:val="Body Text First Indent"/>
    <w:basedOn w:val="24"/>
    <w:next w:val="26"/>
    <w:link w:val="325"/>
    <w:qFormat/>
    <w:uiPriority w:val="0"/>
    <w:pPr>
      <w:ind w:firstLine="420"/>
    </w:pPr>
    <w:rPr>
      <w:rFonts w:hAnsi="Calibri" w:cs="Times New Roman"/>
      <w:snapToGrid/>
      <w:szCs w:val="20"/>
    </w:rPr>
  </w:style>
  <w:style w:type="paragraph" w:styleId="26">
    <w:name w:val="toc 6"/>
    <w:basedOn w:val="1"/>
    <w:next w:val="1"/>
    <w:qFormat/>
    <w:uiPriority w:val="0"/>
    <w:pPr>
      <w:ind w:left="2100" w:leftChars="1000"/>
    </w:p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28"/>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link w:val="135"/>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190"/>
    <w:qFormat/>
    <w:uiPriority w:val="0"/>
    <w:pPr>
      <w:ind w:left="100" w:leftChars="2500"/>
    </w:pPr>
    <w:rPr>
      <w:rFonts w:ascii="宋体"/>
      <w:sz w:val="24"/>
      <w:szCs w:val="21"/>
      <w:lang w:val="zh-CN"/>
    </w:rPr>
  </w:style>
  <w:style w:type="paragraph" w:styleId="38">
    <w:name w:val="Body Text Indent 2"/>
    <w:basedOn w:val="1"/>
    <w:link w:val="312"/>
    <w:qFormat/>
    <w:uiPriority w:val="0"/>
    <w:pPr>
      <w:spacing w:line="360" w:lineRule="auto"/>
      <w:ind w:firstLine="601"/>
      <w:textAlignment w:val="baseline"/>
    </w:pPr>
    <w:rPr>
      <w:rFonts w:ascii="宋体"/>
      <w:kern w:val="0"/>
      <w:sz w:val="28"/>
      <w:szCs w:val="20"/>
    </w:rPr>
  </w:style>
  <w:style w:type="paragraph" w:styleId="39">
    <w:name w:val="endnote text"/>
    <w:basedOn w:val="1"/>
    <w:link w:val="933"/>
    <w:qFormat/>
    <w:uiPriority w:val="0"/>
    <w:rPr>
      <w:lang w:val="zh-CN"/>
    </w:rPr>
  </w:style>
  <w:style w:type="paragraph" w:styleId="40">
    <w:name w:val="Balloon Text"/>
    <w:basedOn w:val="1"/>
    <w:link w:val="197"/>
    <w:qFormat/>
    <w:uiPriority w:val="0"/>
    <w:rPr>
      <w:sz w:val="18"/>
      <w:szCs w:val="18"/>
    </w:rPr>
  </w:style>
  <w:style w:type="paragraph" w:styleId="41">
    <w:name w:val="footer"/>
    <w:basedOn w:val="1"/>
    <w:link w:val="385"/>
    <w:qFormat/>
    <w:uiPriority w:val="99"/>
    <w:pPr>
      <w:tabs>
        <w:tab w:val="center" w:pos="4153"/>
        <w:tab w:val="right" w:pos="8306"/>
      </w:tabs>
      <w:snapToGrid w:val="0"/>
      <w:jc w:val="left"/>
    </w:pPr>
    <w:rPr>
      <w:sz w:val="18"/>
      <w:szCs w:val="18"/>
    </w:rPr>
  </w:style>
  <w:style w:type="paragraph" w:styleId="42">
    <w:name w:val="envelope return"/>
    <w:basedOn w:val="1"/>
    <w:qFormat/>
    <w:uiPriority w:val="0"/>
    <w:pPr>
      <w:snapToGrid w:val="0"/>
    </w:pPr>
    <w:rPr>
      <w:rFonts w:ascii="Arial" w:hAnsi="Arial"/>
    </w:rPr>
  </w:style>
  <w:style w:type="paragraph" w:styleId="43">
    <w:name w:val="header"/>
    <w:basedOn w:val="1"/>
    <w:link w:val="394"/>
    <w:qFormat/>
    <w:uiPriority w:val="99"/>
    <w:pPr>
      <w:pBdr>
        <w:bottom w:val="single" w:color="auto" w:sz="6" w:space="1"/>
      </w:pBdr>
      <w:tabs>
        <w:tab w:val="center" w:pos="4153"/>
        <w:tab w:val="right" w:pos="8306"/>
      </w:tabs>
      <w:snapToGrid w:val="0"/>
      <w:jc w:val="center"/>
    </w:pPr>
    <w:rPr>
      <w:sz w:val="18"/>
      <w:szCs w:val="18"/>
    </w:rPr>
  </w:style>
  <w:style w:type="paragraph" w:styleId="44">
    <w:name w:val="Signature"/>
    <w:basedOn w:val="1"/>
    <w:link w:val="349"/>
    <w:qFormat/>
    <w:uiPriority w:val="0"/>
    <w:pPr>
      <w:spacing w:after="600" w:line="312" w:lineRule="atLeast"/>
      <w:jc w:val="center"/>
      <w:textAlignment w:val="baseline"/>
    </w:pPr>
    <w:rPr>
      <w:rFonts w:eastAsia="仿宋_GB2312"/>
      <w:kern w:val="0"/>
      <w:sz w:val="24"/>
      <w:szCs w:val="20"/>
    </w:rPr>
  </w:style>
  <w:style w:type="paragraph" w:styleId="45">
    <w:name w:val="toc 1"/>
    <w:basedOn w:val="1"/>
    <w:next w:val="1"/>
    <w:qFormat/>
    <w:uiPriority w:val="0"/>
  </w:style>
  <w:style w:type="paragraph" w:styleId="46">
    <w:name w:val="toc 4"/>
    <w:basedOn w:val="1"/>
    <w:next w:val="1"/>
    <w:qFormat/>
    <w:uiPriority w:val="0"/>
    <w:pPr>
      <w:ind w:left="1260" w:leftChars="600"/>
    </w:pPr>
  </w:style>
  <w:style w:type="paragraph" w:styleId="47">
    <w:name w:val="index heading"/>
    <w:basedOn w:val="1"/>
    <w:next w:val="48"/>
    <w:qFormat/>
    <w:uiPriority w:val="0"/>
    <w:pPr>
      <w:adjustRightInd/>
      <w:ind w:firstLine="200" w:firstLineChars="200"/>
    </w:pPr>
  </w:style>
  <w:style w:type="paragraph" w:styleId="48">
    <w:name w:val="index 1"/>
    <w:basedOn w:val="1"/>
    <w:next w:val="1"/>
    <w:qFormat/>
    <w:uiPriority w:val="0"/>
    <w:pPr>
      <w:adjustRightInd/>
      <w:spacing w:line="360" w:lineRule="auto"/>
      <w:ind w:firstLine="200" w:firstLineChars="200"/>
      <w:jc w:val="center"/>
    </w:pPr>
    <w:rPr>
      <w:sz w:val="24"/>
      <w:szCs w:val="20"/>
    </w:rPr>
  </w:style>
  <w:style w:type="paragraph" w:styleId="49">
    <w:name w:val="Subtitle"/>
    <w:link w:val="14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0">
    <w:name w:val="List Number 5"/>
    <w:basedOn w:val="1"/>
    <w:qFormat/>
    <w:uiPriority w:val="0"/>
    <w:pPr>
      <w:tabs>
        <w:tab w:val="left" w:pos="902"/>
      </w:tabs>
      <w:adjustRightInd/>
      <w:spacing w:line="400" w:lineRule="exact"/>
      <w:ind w:left="902" w:hanging="420"/>
    </w:pPr>
    <w:rPr>
      <w:sz w:val="24"/>
      <w:szCs w:val="20"/>
    </w:rPr>
  </w:style>
  <w:style w:type="paragraph" w:styleId="51">
    <w:name w:val="List"/>
    <w:basedOn w:val="1"/>
    <w:qFormat/>
    <w:uiPriority w:val="0"/>
    <w:pPr>
      <w:ind w:left="200" w:hanging="200" w:hangingChars="200"/>
    </w:pPr>
  </w:style>
  <w:style w:type="paragraph" w:styleId="52">
    <w:name w:val="footnote text"/>
    <w:basedOn w:val="6"/>
    <w:link w:val="314"/>
    <w:qFormat/>
    <w:uiPriority w:val="0"/>
    <w:pPr>
      <w:adjustRightInd/>
      <w:snapToGrid/>
      <w:spacing w:before="60" w:after="60" w:line="300" w:lineRule="exact"/>
      <w:ind w:firstLine="0"/>
    </w:pPr>
    <w:rPr>
      <w:rFonts w:ascii="Calibri"/>
      <w:snapToGrid/>
      <w:color w:val="0000FF"/>
      <w:kern w:val="0"/>
      <w:sz w:val="21"/>
    </w:r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7"/>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307"/>
    <w:qFormat/>
    <w:uiPriority w:val="0"/>
    <w:pPr>
      <w:spacing w:after="120" w:line="480" w:lineRule="auto"/>
    </w:pPr>
  </w:style>
  <w:style w:type="paragraph" w:styleId="58">
    <w:name w:val="HTML Preformatted"/>
    <w:basedOn w:val="1"/>
    <w:link w:val="306"/>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93"/>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0"/>
    <w:next w:val="20"/>
    <w:link w:val="107"/>
    <w:qFormat/>
    <w:uiPriority w:val="0"/>
    <w:rPr>
      <w:b/>
      <w:bCs/>
    </w:rPr>
  </w:style>
  <w:style w:type="paragraph" w:styleId="62">
    <w:name w:val="Body Text First Indent 2"/>
    <w:basedOn w:val="2"/>
    <w:next w:val="2"/>
    <w:link w:val="131"/>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paragraph" w:styleId="80">
    <w:name w:val="List Paragraph"/>
    <w:basedOn w:val="1"/>
    <w:qFormat/>
    <w:uiPriority w:val="34"/>
    <w:pPr>
      <w:spacing w:line="360" w:lineRule="auto"/>
      <w:ind w:firstLine="200" w:firstLineChars="200"/>
    </w:pPr>
    <w:rPr>
      <w:rFonts w:eastAsia="楷体_GB2312" w:cs="Lucida Sans"/>
      <w:sz w:val="24"/>
    </w:rPr>
  </w:style>
  <w:style w:type="character" w:customStyle="1" w:styleId="81">
    <w:name w:val="标题 4 字符"/>
    <w:qFormat/>
    <w:uiPriority w:val="9"/>
    <w:rPr>
      <w:rFonts w:ascii="等线 Light" w:hAnsi="等线 Light" w:eastAsia="等线 Light" w:cs="Times New Roman"/>
      <w:b/>
      <w:bCs/>
      <w:snapToGrid w:val="0"/>
      <w:kern w:val="0"/>
      <w:sz w:val="28"/>
      <w:szCs w:val="28"/>
    </w:rPr>
  </w:style>
  <w:style w:type="character" w:customStyle="1" w:styleId="82">
    <w:name w:val="标题 5 字符"/>
    <w:link w:val="8"/>
    <w:qFormat/>
    <w:uiPriority w:val="9"/>
    <w:rPr>
      <w:b/>
      <w:bCs/>
      <w:kern w:val="2"/>
      <w:sz w:val="28"/>
      <w:szCs w:val="28"/>
    </w:rPr>
  </w:style>
  <w:style w:type="character" w:customStyle="1" w:styleId="83">
    <w:name w:val="标题 3 字符"/>
    <w:qFormat/>
    <w:uiPriority w:val="9"/>
    <w:rPr>
      <w:b/>
      <w:bCs/>
      <w:kern w:val="2"/>
      <w:sz w:val="32"/>
      <w:szCs w:val="32"/>
    </w:rPr>
  </w:style>
  <w:style w:type="character" w:customStyle="1" w:styleId="84">
    <w:name w:val="标题 2 字符"/>
    <w:qFormat/>
    <w:uiPriority w:val="1"/>
    <w:rPr>
      <w:rFonts w:ascii="仿宋_GB2312" w:hAnsi="Times New Roman" w:eastAsia="仿宋_GB2312" w:cs="Times New Roman"/>
      <w:b/>
      <w:kern w:val="2"/>
      <w:sz w:val="24"/>
      <w:lang w:val="zh-CN"/>
    </w:rPr>
  </w:style>
  <w:style w:type="paragraph" w:customStyle="1" w:styleId="85">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character" w:customStyle="1" w:styleId="86">
    <w:name w:val="标题 7 字符"/>
    <w:link w:val="10"/>
    <w:qFormat/>
    <w:uiPriority w:val="0"/>
    <w:rPr>
      <w:b/>
      <w:bCs/>
      <w:kern w:val="2"/>
      <w:sz w:val="24"/>
      <w:szCs w:val="24"/>
    </w:rPr>
  </w:style>
  <w:style w:type="character" w:customStyle="1" w:styleId="87">
    <w:name w:val="正文缩进 字符"/>
    <w:qFormat/>
    <w:uiPriority w:val="0"/>
    <w:rPr>
      <w:rFonts w:ascii="宋体" w:eastAsia="宋体"/>
      <w:snapToGrid w:val="0"/>
      <w:color w:val="000000"/>
      <w:kern w:val="28"/>
      <w:sz w:val="28"/>
      <w:lang w:val="en-US" w:eastAsia="zh-CN" w:bidi="ar-SA"/>
    </w:rPr>
  </w:style>
  <w:style w:type="character" w:customStyle="1" w:styleId="88">
    <w:name w:val="正文文本 Char"/>
    <w:qFormat/>
    <w:uiPriority w:val="0"/>
    <w:rPr>
      <w:rFonts w:eastAsia="宋体"/>
      <w:kern w:val="2"/>
      <w:sz w:val="24"/>
      <w:szCs w:val="24"/>
      <w:lang w:val="en-US" w:eastAsia="zh-CN" w:bidi="ar-SA"/>
    </w:rPr>
  </w:style>
  <w:style w:type="paragraph" w:customStyle="1" w:styleId="8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90">
    <w:name w:val="Default"/>
    <w:link w:val="243"/>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91">
    <w:name w:val="正文空2字"/>
    <w:basedOn w:val="92"/>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92">
    <w:name w:val="左对齐正文"/>
    <w:qFormat/>
    <w:uiPriority w:val="99"/>
    <w:rPr>
      <w:rFonts w:ascii="Calibri" w:hAnsi="Calibri" w:eastAsia="仿宋_GB2312" w:cs="Calibri"/>
      <w:kern w:val="2"/>
      <w:sz w:val="32"/>
      <w:szCs w:val="32"/>
      <w:lang w:val="en-US" w:eastAsia="zh-CN" w:bidi="ar-SA"/>
    </w:rPr>
  </w:style>
  <w:style w:type="character" w:customStyle="1" w:styleId="93">
    <w:name w:val="表格非标题文字 Char"/>
    <w:link w:val="94"/>
    <w:qFormat/>
    <w:uiPriority w:val="0"/>
    <w:rPr>
      <w:rFonts w:ascii="Futura Bk" w:hAnsi="Futura Bk"/>
      <w:kern w:val="2"/>
      <w:sz w:val="18"/>
      <w:szCs w:val="21"/>
      <w:lang w:val="en-US" w:eastAsia="zh-CN" w:bidi="ar-SA"/>
    </w:rPr>
  </w:style>
  <w:style w:type="paragraph" w:customStyle="1" w:styleId="94">
    <w:name w:val="表格非标题文字"/>
    <w:link w:val="93"/>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95">
    <w:name w:val="*正文 Char"/>
    <w:link w:val="96"/>
    <w:qFormat/>
    <w:locked/>
    <w:uiPriority w:val="0"/>
    <w:rPr>
      <w:rFonts w:ascii="宋体" w:hAnsi="宋体"/>
      <w:sz w:val="24"/>
    </w:rPr>
  </w:style>
  <w:style w:type="paragraph" w:customStyle="1" w:styleId="96">
    <w:name w:val="*正文"/>
    <w:basedOn w:val="1"/>
    <w:link w:val="95"/>
    <w:qFormat/>
    <w:uiPriority w:val="0"/>
    <w:pPr>
      <w:snapToGrid w:val="0"/>
      <w:spacing w:line="360" w:lineRule="auto"/>
      <w:ind w:firstLine="482"/>
      <w:jc w:val="left"/>
    </w:pPr>
    <w:rPr>
      <w:rFonts w:ascii="宋体" w:hAnsi="宋体"/>
      <w:kern w:val="0"/>
      <w:sz w:val="24"/>
      <w:szCs w:val="20"/>
    </w:rPr>
  </w:style>
  <w:style w:type="character" w:customStyle="1" w:styleId="97">
    <w:name w:val="Char Char71"/>
    <w:semiHidden/>
    <w:qFormat/>
    <w:uiPriority w:val="0"/>
    <w:rPr>
      <w:rFonts w:eastAsia="宋体"/>
      <w:kern w:val="2"/>
      <w:sz w:val="21"/>
      <w:szCs w:val="24"/>
      <w:lang w:val="en-US" w:eastAsia="zh-CN" w:bidi="ar-SA"/>
    </w:rPr>
  </w:style>
  <w:style w:type="character" w:customStyle="1" w:styleId="98">
    <w:name w:val="Char Char6"/>
    <w:qFormat/>
    <w:uiPriority w:val="0"/>
    <w:rPr>
      <w:rFonts w:eastAsia="宋体"/>
      <w:kern w:val="2"/>
      <w:sz w:val="21"/>
      <w:szCs w:val="24"/>
      <w:lang w:val="en-US" w:eastAsia="zh-CN" w:bidi="ar-SA"/>
    </w:rPr>
  </w:style>
  <w:style w:type="character" w:customStyle="1" w:styleId="99">
    <w:name w:val="正文缩进 Char"/>
    <w:qFormat/>
    <w:uiPriority w:val="0"/>
    <w:rPr>
      <w:rFonts w:eastAsia="宋体"/>
      <w:kern w:val="2"/>
      <w:sz w:val="21"/>
      <w:lang w:val="en-US" w:eastAsia="zh-CN"/>
    </w:rPr>
  </w:style>
  <w:style w:type="character" w:customStyle="1" w:styleId="100">
    <w:name w:val="正文首行缩进 Char1"/>
    <w:qFormat/>
    <w:uiPriority w:val="0"/>
    <w:rPr>
      <w:rFonts w:ascii="宋体" w:hAnsi="Times New Roman" w:eastAsia="宋体" w:cs="Times New Roman"/>
      <w:snapToGrid w:val="0"/>
      <w:kern w:val="2"/>
      <w:sz w:val="24"/>
      <w:szCs w:val="21"/>
      <w:lang w:val="zh-CN"/>
    </w:rPr>
  </w:style>
  <w:style w:type="character" w:customStyle="1" w:styleId="101">
    <w:name w:val="Char Char28"/>
    <w:qFormat/>
    <w:uiPriority w:val="6"/>
    <w:rPr>
      <w:rFonts w:ascii="仿宋_GB2312" w:hAnsi="仿宋_GB2312" w:eastAsia="仿宋_GB2312"/>
      <w:kern w:val="1"/>
      <w:sz w:val="28"/>
    </w:rPr>
  </w:style>
  <w:style w:type="character" w:customStyle="1" w:styleId="102">
    <w:name w:val="标题 3 Char1"/>
    <w:qFormat/>
    <w:uiPriority w:val="0"/>
    <w:rPr>
      <w:rFonts w:hint="eastAsia" w:ascii="华文中宋" w:hAnsi="华文中宋" w:eastAsia="华文中宋"/>
      <w:b/>
      <w:bCs/>
      <w:kern w:val="2"/>
      <w:sz w:val="32"/>
      <w:szCs w:val="32"/>
      <w:lang w:val="en-US" w:eastAsia="zh-CN" w:bidi="ar-SA"/>
    </w:rPr>
  </w:style>
  <w:style w:type="character" w:customStyle="1" w:styleId="103">
    <w:name w:val="Heading 1 Char"/>
    <w:qFormat/>
    <w:uiPriority w:val="6"/>
    <w:rPr>
      <w:rFonts w:ascii="Times New Roman" w:hAnsi="Times New Roman" w:eastAsia="黑体" w:cs="Times New Roman"/>
      <w:b/>
      <w:kern w:val="0"/>
      <w:sz w:val="24"/>
      <w:szCs w:val="24"/>
    </w:rPr>
  </w:style>
  <w:style w:type="character" w:customStyle="1" w:styleId="104">
    <w:name w:val="U_正文 Char"/>
    <w:link w:val="105"/>
    <w:qFormat/>
    <w:uiPriority w:val="0"/>
    <w:rPr>
      <w:sz w:val="24"/>
      <w:szCs w:val="24"/>
    </w:rPr>
  </w:style>
  <w:style w:type="paragraph" w:customStyle="1" w:styleId="105">
    <w:name w:val="U_正文"/>
    <w:basedOn w:val="1"/>
    <w:link w:val="104"/>
    <w:qFormat/>
    <w:uiPriority w:val="0"/>
    <w:pPr>
      <w:adjustRightInd/>
      <w:spacing w:beforeLines="20" w:afterLines="20" w:line="300" w:lineRule="auto"/>
      <w:ind w:firstLine="200" w:firstLineChars="200"/>
    </w:pPr>
    <w:rPr>
      <w:kern w:val="0"/>
      <w:sz w:val="24"/>
    </w:rPr>
  </w:style>
  <w:style w:type="character" w:customStyle="1" w:styleId="106">
    <w:name w:val="HTML 地址 Char1"/>
    <w:qFormat/>
    <w:uiPriority w:val="0"/>
    <w:rPr>
      <w:rFonts w:ascii="Times New Roman" w:hAnsi="Times New Roman" w:eastAsia="宋体" w:cs="Times New Roman"/>
      <w:i/>
      <w:iCs/>
      <w:szCs w:val="24"/>
    </w:rPr>
  </w:style>
  <w:style w:type="character" w:customStyle="1" w:styleId="107">
    <w:name w:val="批注主题 字符"/>
    <w:link w:val="61"/>
    <w:qFormat/>
    <w:uiPriority w:val="0"/>
    <w:rPr>
      <w:b/>
      <w:bCs/>
      <w:kern w:val="2"/>
      <w:sz w:val="21"/>
      <w:szCs w:val="24"/>
    </w:rPr>
  </w:style>
  <w:style w:type="character" w:customStyle="1" w:styleId="108">
    <w:name w:val="Char Char51"/>
    <w:qFormat/>
    <w:uiPriority w:val="0"/>
    <w:rPr>
      <w:rFonts w:ascii="宋体" w:hAnsi="Courier New" w:eastAsia="宋体"/>
      <w:kern w:val="2"/>
      <w:sz w:val="21"/>
      <w:lang w:val="en-US" w:eastAsia="zh-CN"/>
    </w:rPr>
  </w:style>
  <w:style w:type="character" w:customStyle="1" w:styleId="109">
    <w:name w:val="表正文 Char"/>
    <w:qFormat/>
    <w:uiPriority w:val="0"/>
    <w:rPr>
      <w:rFonts w:ascii="宋体" w:eastAsia="宋体"/>
      <w:snapToGrid w:val="0"/>
      <w:color w:val="000000"/>
      <w:kern w:val="28"/>
      <w:sz w:val="28"/>
      <w:lang w:val="en-US" w:eastAsia="zh-CN" w:bidi="ar-SA"/>
    </w:rPr>
  </w:style>
  <w:style w:type="character" w:customStyle="1" w:styleId="110">
    <w:name w:val="Char Char34"/>
    <w:qFormat/>
    <w:uiPriority w:val="6"/>
    <w:rPr>
      <w:b/>
      <w:kern w:val="1"/>
      <w:sz w:val="28"/>
      <w:szCs w:val="28"/>
    </w:rPr>
  </w:style>
  <w:style w:type="character" w:customStyle="1" w:styleId="111">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12">
    <w:name w:val="哈哈正文 Char"/>
    <w:link w:val="113"/>
    <w:qFormat/>
    <w:uiPriority w:val="0"/>
    <w:rPr>
      <w:rFonts w:ascii="宋体" w:hAnsi="宋体" w:eastAsia="宋体"/>
      <w:kern w:val="2"/>
      <w:sz w:val="24"/>
      <w:lang w:bidi="ar-SA"/>
    </w:rPr>
  </w:style>
  <w:style w:type="paragraph" w:customStyle="1" w:styleId="113">
    <w:name w:val="哈哈正文"/>
    <w:basedOn w:val="1"/>
    <w:link w:val="112"/>
    <w:qFormat/>
    <w:uiPriority w:val="0"/>
    <w:pPr>
      <w:adjustRightInd/>
      <w:spacing w:line="360" w:lineRule="auto"/>
      <w:ind w:firstLine="200" w:firstLineChars="200"/>
    </w:pPr>
    <w:rPr>
      <w:rFonts w:ascii="宋体" w:hAnsi="宋体"/>
      <w:sz w:val="24"/>
      <w:szCs w:val="20"/>
    </w:rPr>
  </w:style>
  <w:style w:type="character" w:customStyle="1" w:styleId="114">
    <w:name w:val="未处理的提及1"/>
    <w:qFormat/>
    <w:uiPriority w:val="0"/>
    <w:rPr>
      <w:color w:val="808080"/>
      <w:shd w:val="clear" w:color="auto" w:fill="E6E6E6"/>
    </w:rPr>
  </w:style>
  <w:style w:type="character" w:customStyle="1" w:styleId="115">
    <w:name w:val="txt"/>
    <w:qFormat/>
    <w:uiPriority w:val="0"/>
    <w:rPr>
      <w:rFonts w:ascii="仿宋_GB2312" w:eastAsia="微软雅黑"/>
      <w:b/>
      <w:kern w:val="2"/>
      <w:sz w:val="32"/>
      <w:szCs w:val="32"/>
      <w:lang w:val="en-US" w:eastAsia="zh-CN" w:bidi="ar-SA"/>
    </w:rPr>
  </w:style>
  <w:style w:type="character" w:customStyle="1" w:styleId="116">
    <w:name w:val="二级标题 Char Char"/>
    <w:qFormat/>
    <w:uiPriority w:val="0"/>
    <w:rPr>
      <w:rFonts w:ascii="宋体" w:hAnsi="宋体" w:eastAsia="宋体"/>
      <w:b/>
      <w:snapToGrid w:val="0"/>
      <w:kern w:val="2"/>
      <w:sz w:val="24"/>
      <w:szCs w:val="24"/>
      <w:lang w:val="en-US" w:eastAsia="zh-CN" w:bidi="ar-SA"/>
    </w:rPr>
  </w:style>
  <w:style w:type="character" w:customStyle="1" w:styleId="117">
    <w:name w:val="Char Char32"/>
    <w:qFormat/>
    <w:uiPriority w:val="6"/>
    <w:rPr>
      <w:b/>
      <w:kern w:val="1"/>
      <w:sz w:val="24"/>
      <w:szCs w:val="24"/>
    </w:rPr>
  </w:style>
  <w:style w:type="character" w:customStyle="1" w:styleId="118">
    <w:name w:val="PI Char1"/>
    <w:qFormat/>
    <w:uiPriority w:val="0"/>
    <w:rPr>
      <w:rFonts w:ascii="宋体" w:hAnsi="宋体"/>
      <w:kern w:val="2"/>
      <w:sz w:val="24"/>
      <w:szCs w:val="24"/>
    </w:rPr>
  </w:style>
  <w:style w:type="character" w:customStyle="1" w:styleId="119">
    <w:name w:val="tw4winTerm"/>
    <w:qFormat/>
    <w:uiPriority w:val="0"/>
    <w:rPr>
      <w:color w:val="0000FF"/>
    </w:rPr>
  </w:style>
  <w:style w:type="character" w:customStyle="1" w:styleId="120">
    <w:name w:val="Footer Char"/>
    <w:qFormat/>
    <w:locked/>
    <w:uiPriority w:val="0"/>
    <w:rPr>
      <w:rFonts w:eastAsia="宋体"/>
      <w:kern w:val="2"/>
      <w:sz w:val="18"/>
      <w:lang w:val="en-US" w:eastAsia="zh-CN" w:bidi="ar-SA"/>
    </w:rPr>
  </w:style>
  <w:style w:type="character" w:customStyle="1" w:styleId="121">
    <w:name w:val="普通文字 Char Char1"/>
    <w:qFormat/>
    <w:uiPriority w:val="0"/>
    <w:rPr>
      <w:rFonts w:ascii="宋体" w:hAnsi="Courier New"/>
      <w:kern w:val="2"/>
      <w:sz w:val="21"/>
    </w:rPr>
  </w:style>
  <w:style w:type="character" w:customStyle="1" w:styleId="122">
    <w:name w:val="Char Char101"/>
    <w:qFormat/>
    <w:uiPriority w:val="6"/>
    <w:rPr>
      <w:rFonts w:ascii="宋体" w:hAnsi="宋体"/>
      <w:kern w:val="2"/>
      <w:sz w:val="21"/>
      <w:szCs w:val="24"/>
      <w:lang w:val="en-US" w:eastAsia="zh-CN"/>
    </w:rPr>
  </w:style>
  <w:style w:type="character" w:customStyle="1" w:styleId="123">
    <w:name w:val="标题 4 Char"/>
    <w:qFormat/>
    <w:uiPriority w:val="0"/>
    <w:rPr>
      <w:rFonts w:ascii="Arial" w:hAnsi="Arial" w:eastAsia="黑体"/>
      <w:b/>
      <w:kern w:val="2"/>
      <w:sz w:val="28"/>
    </w:rPr>
  </w:style>
  <w:style w:type="character" w:customStyle="1" w:styleId="124">
    <w:name w:val="链接"/>
    <w:qFormat/>
    <w:uiPriority w:val="0"/>
    <w:rPr>
      <w:color w:val="0000FF"/>
      <w:sz w:val="21"/>
      <w:szCs w:val="21"/>
      <w:u w:val="single"/>
    </w:rPr>
  </w:style>
  <w:style w:type="character" w:customStyle="1" w:styleId="125">
    <w:name w:val="h4 Char"/>
    <w:qFormat/>
    <w:uiPriority w:val="0"/>
    <w:rPr>
      <w:rFonts w:ascii="Arial" w:hAnsi="Arial" w:eastAsia="黑体"/>
      <w:b/>
      <w:bCs/>
      <w:kern w:val="2"/>
      <w:sz w:val="28"/>
      <w:szCs w:val="28"/>
      <w:lang w:val="zh-CN" w:eastAsia="zh-CN" w:bidi="ar-SA"/>
    </w:rPr>
  </w:style>
  <w:style w:type="character" w:customStyle="1" w:styleId="126">
    <w:name w:val="5正文 Char"/>
    <w:link w:val="127"/>
    <w:qFormat/>
    <w:uiPriority w:val="0"/>
    <w:rPr>
      <w:rFonts w:ascii="仿宋_GB2312" w:hAnsi="微软雅黑" w:eastAsia="仿宋_GB2312"/>
      <w:sz w:val="28"/>
      <w:szCs w:val="21"/>
    </w:rPr>
  </w:style>
  <w:style w:type="paragraph" w:customStyle="1" w:styleId="127">
    <w:name w:val="5正文"/>
    <w:basedOn w:val="1"/>
    <w:link w:val="126"/>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8">
    <w:name w:val="样式6 Char"/>
    <w:qFormat/>
    <w:uiPriority w:val="0"/>
    <w:rPr>
      <w:rFonts w:ascii="仿宋_GB2312" w:hAnsi="宋体" w:eastAsia="仿宋_GB2312"/>
      <w:b/>
      <w:bCs/>
      <w:kern w:val="2"/>
      <w:sz w:val="24"/>
      <w:szCs w:val="24"/>
      <w:lang w:val="en-US" w:eastAsia="zh-CN" w:bidi="ar-SA"/>
    </w:rPr>
  </w:style>
  <w:style w:type="character" w:customStyle="1" w:styleId="129">
    <w:name w:val="Char Char14"/>
    <w:qFormat/>
    <w:uiPriority w:val="6"/>
    <w:rPr>
      <w:rFonts w:ascii="黑体" w:hAnsi="黑体" w:eastAsia="黑体"/>
    </w:rPr>
  </w:style>
  <w:style w:type="character" w:customStyle="1" w:styleId="130">
    <w:name w:val="Heading 2 Hidden Char"/>
    <w:qFormat/>
    <w:uiPriority w:val="0"/>
    <w:rPr>
      <w:rFonts w:ascii="仿宋_GB2312" w:eastAsia="仿宋_GB2312"/>
      <w:b/>
      <w:bCs/>
      <w:kern w:val="2"/>
      <w:sz w:val="24"/>
      <w:szCs w:val="24"/>
      <w:lang w:val="zh-CN" w:eastAsia="zh-CN" w:bidi="ar-SA"/>
    </w:rPr>
  </w:style>
  <w:style w:type="character" w:customStyle="1" w:styleId="131">
    <w:name w:val="正文文本首行缩进 2 字符"/>
    <w:link w:val="62"/>
    <w:qFormat/>
    <w:uiPriority w:val="0"/>
    <w:rPr>
      <w:rFonts w:ascii="宋体" w:hAnsi="宋体"/>
      <w:kern w:val="2"/>
      <w:sz w:val="21"/>
      <w:szCs w:val="24"/>
    </w:rPr>
  </w:style>
  <w:style w:type="character" w:customStyle="1" w:styleId="132">
    <w:name w:val="font11"/>
    <w:qFormat/>
    <w:uiPriority w:val="0"/>
    <w:rPr>
      <w:rFonts w:hint="default" w:ascii="Times New Roman" w:hAnsi="Times New Roman" w:cs="Times New Roman"/>
      <w:color w:val="000000"/>
      <w:sz w:val="22"/>
      <w:szCs w:val="22"/>
      <w:u w:val="none"/>
    </w:rPr>
  </w:style>
  <w:style w:type="character" w:customStyle="1" w:styleId="133">
    <w:name w:val="表正文 Char1"/>
    <w:qFormat/>
    <w:uiPriority w:val="0"/>
    <w:rPr>
      <w:rFonts w:ascii="宋体" w:eastAsia="宋体"/>
      <w:snapToGrid w:val="0"/>
      <w:color w:val="000000"/>
      <w:kern w:val="28"/>
      <w:sz w:val="28"/>
    </w:rPr>
  </w:style>
  <w:style w:type="character" w:customStyle="1" w:styleId="134">
    <w:name w:val="blue1"/>
    <w:basedOn w:val="70"/>
    <w:qFormat/>
    <w:uiPriority w:val="0"/>
    <w:rPr>
      <w:rFonts w:ascii="Arial" w:hAnsi="Arial" w:eastAsia="黑体" w:cs="Arial"/>
      <w:snapToGrid w:val="0"/>
      <w:kern w:val="0"/>
      <w:szCs w:val="21"/>
    </w:rPr>
  </w:style>
  <w:style w:type="character" w:customStyle="1" w:styleId="135">
    <w:name w:val="纯文本 字符1"/>
    <w:link w:val="34"/>
    <w:qFormat/>
    <w:uiPriority w:val="0"/>
    <w:rPr>
      <w:rFonts w:ascii="宋体" w:hAnsi="Courier New" w:eastAsia="宋体" w:cs="Arial"/>
      <w:snapToGrid w:val="0"/>
      <w:kern w:val="2"/>
      <w:sz w:val="21"/>
      <w:szCs w:val="21"/>
      <w:lang w:val="en-US" w:eastAsia="zh-CN" w:bidi="ar-SA"/>
    </w:rPr>
  </w:style>
  <w:style w:type="character" w:customStyle="1" w:styleId="136">
    <w:name w:val="标书1 Char"/>
    <w:qFormat/>
    <w:uiPriority w:val="0"/>
    <w:rPr>
      <w:rFonts w:eastAsia="宋体"/>
      <w:b/>
      <w:bCs/>
      <w:kern w:val="44"/>
      <w:sz w:val="44"/>
      <w:szCs w:val="44"/>
      <w:lang w:val="en-US" w:eastAsia="zh-CN" w:bidi="ar-SA"/>
    </w:rPr>
  </w:style>
  <w:style w:type="character" w:customStyle="1" w:styleId="137">
    <w:name w:val="样式5 Char"/>
    <w:qFormat/>
    <w:uiPriority w:val="0"/>
    <w:rPr>
      <w:rFonts w:ascii="仿宋_GB2312" w:hAnsi="仿宋" w:eastAsia="仿宋_GB2312"/>
      <w:kern w:val="2"/>
      <w:sz w:val="24"/>
      <w:szCs w:val="24"/>
    </w:rPr>
  </w:style>
  <w:style w:type="character" w:customStyle="1" w:styleId="138">
    <w:name w:val="样式4 Char"/>
    <w:qFormat/>
    <w:uiPriority w:val="0"/>
    <w:rPr>
      <w:rFonts w:ascii="仿宋_GB2312" w:hAnsi="仿宋" w:eastAsia="仿宋_GB2312"/>
      <w:b/>
      <w:kern w:val="2"/>
      <w:sz w:val="32"/>
      <w:szCs w:val="32"/>
      <w:lang w:bidi="ar-SA"/>
    </w:rPr>
  </w:style>
  <w:style w:type="character" w:customStyle="1" w:styleId="139">
    <w:name w:val="插图说明 Char"/>
    <w:qFormat/>
    <w:uiPriority w:val="0"/>
    <w:rPr>
      <w:rFonts w:eastAsia="黑体"/>
      <w:sz w:val="24"/>
      <w:lang w:val="en-US" w:eastAsia="zh-CN"/>
    </w:rPr>
  </w:style>
  <w:style w:type="character" w:customStyle="1" w:styleId="140">
    <w:name w:val="正文2 Char Char"/>
    <w:link w:val="141"/>
    <w:qFormat/>
    <w:uiPriority w:val="0"/>
    <w:rPr>
      <w:rFonts w:eastAsia="宋体"/>
      <w:kern w:val="2"/>
      <w:sz w:val="24"/>
      <w:lang w:val="en-US" w:eastAsia="zh-CN" w:bidi="ar-SA"/>
    </w:rPr>
  </w:style>
  <w:style w:type="paragraph" w:customStyle="1" w:styleId="141">
    <w:name w:val="正文2"/>
    <w:basedOn w:val="1"/>
    <w:link w:val="140"/>
    <w:qFormat/>
    <w:uiPriority w:val="0"/>
    <w:pPr>
      <w:spacing w:before="156" w:line="360" w:lineRule="auto"/>
      <w:ind w:firstLine="510" w:firstLineChars="200"/>
    </w:pPr>
    <w:rPr>
      <w:sz w:val="24"/>
      <w:szCs w:val="20"/>
    </w:rPr>
  </w:style>
  <w:style w:type="character" w:customStyle="1" w:styleId="142">
    <w:name w:val="Char Char24"/>
    <w:qFormat/>
    <w:uiPriority w:val="6"/>
    <w:rPr>
      <w:kern w:val="1"/>
      <w:sz w:val="21"/>
    </w:rPr>
  </w:style>
  <w:style w:type="character" w:customStyle="1" w:styleId="143">
    <w:name w:val="副标题 字符"/>
    <w:link w:val="49"/>
    <w:qFormat/>
    <w:uiPriority w:val="0"/>
    <w:rPr>
      <w:rFonts w:ascii="Arial" w:hAnsi="Arial" w:eastAsia="隶书"/>
      <w:b/>
      <w:bCs/>
      <w:kern w:val="28"/>
      <w:sz w:val="44"/>
      <w:szCs w:val="32"/>
      <w:lang w:val="en-US" w:eastAsia="zh-CN" w:bidi="ar-SA"/>
    </w:rPr>
  </w:style>
  <w:style w:type="character" w:customStyle="1" w:styleId="144">
    <w:name w:val="普通文字 Char1 Char"/>
    <w:qFormat/>
    <w:uiPriority w:val="0"/>
    <w:rPr>
      <w:rFonts w:ascii="宋体" w:hAnsi="Courier New" w:eastAsia="宋体"/>
      <w:kern w:val="2"/>
      <w:sz w:val="21"/>
      <w:szCs w:val="24"/>
      <w:lang w:val="en-US" w:eastAsia="zh-CN" w:bidi="ar-SA"/>
    </w:rPr>
  </w:style>
  <w:style w:type="character" w:customStyle="1" w:styleId="145">
    <w:name w:val="h3 Char1"/>
    <w:qFormat/>
    <w:uiPriority w:val="0"/>
    <w:rPr>
      <w:rFonts w:eastAsia="宋体"/>
      <w:b/>
      <w:bCs/>
      <w:kern w:val="2"/>
      <w:sz w:val="32"/>
      <w:szCs w:val="32"/>
      <w:lang w:bidi="ar-SA"/>
    </w:rPr>
  </w:style>
  <w:style w:type="character" w:customStyle="1" w:styleId="146">
    <w:name w:val="标题 Char1"/>
    <w:qFormat/>
    <w:uiPriority w:val="0"/>
    <w:rPr>
      <w:rFonts w:ascii="Cambria" w:hAnsi="Cambria" w:eastAsia="宋体" w:cs="Times New Roman"/>
      <w:b/>
      <w:bCs/>
      <w:sz w:val="32"/>
      <w:szCs w:val="32"/>
      <w:lang w:bidi="ar-SA"/>
    </w:rPr>
  </w:style>
  <w:style w:type="character" w:customStyle="1" w:styleId="147">
    <w:name w:val="gf正文1 Char"/>
    <w:qFormat/>
    <w:uiPriority w:val="0"/>
    <w:rPr>
      <w:rFonts w:ascii="宋体" w:hAnsi="宋体" w:eastAsia="宋体" w:cs="宋体"/>
      <w:kern w:val="2"/>
      <w:sz w:val="24"/>
      <w:szCs w:val="24"/>
      <w:lang w:val="en-US" w:eastAsia="zh-CN" w:bidi="ar-SA"/>
    </w:rPr>
  </w:style>
  <w:style w:type="character" w:customStyle="1" w:styleId="148">
    <w:name w:val="正文文本缩进 Char1"/>
    <w:qFormat/>
    <w:uiPriority w:val="0"/>
    <w:rPr>
      <w:rFonts w:ascii="Calibri" w:hAnsi="Calibri"/>
      <w:sz w:val="28"/>
    </w:rPr>
  </w:style>
  <w:style w:type="character" w:customStyle="1" w:styleId="149">
    <w:name w:val="No Spacing Char"/>
    <w:link w:val="150"/>
    <w:qFormat/>
    <w:uiPriority w:val="1"/>
    <w:rPr>
      <w:sz w:val="22"/>
      <w:szCs w:val="22"/>
      <w:lang w:val="en-US" w:eastAsia="zh-CN" w:bidi="ar-SA"/>
    </w:rPr>
  </w:style>
  <w:style w:type="paragraph" w:customStyle="1" w:styleId="150">
    <w:name w:val="无间隔1"/>
    <w:link w:val="149"/>
    <w:qFormat/>
    <w:uiPriority w:val="1"/>
    <w:rPr>
      <w:rFonts w:ascii="Times New Roman" w:hAnsi="Times New Roman" w:eastAsia="宋体" w:cs="Times New Roman"/>
      <w:sz w:val="22"/>
      <w:szCs w:val="22"/>
      <w:lang w:val="en-US" w:eastAsia="zh-CN" w:bidi="ar-SA"/>
    </w:rPr>
  </w:style>
  <w:style w:type="character" w:customStyle="1" w:styleId="151">
    <w:name w:val="样式7 Char"/>
    <w:qFormat/>
    <w:uiPriority w:val="0"/>
    <w:rPr>
      <w:rFonts w:ascii="仿宋_GB2312" w:hAnsi="仿宋" w:eastAsia="仿宋_GB2312"/>
      <w:b/>
      <w:kern w:val="2"/>
      <w:sz w:val="24"/>
      <w:szCs w:val="24"/>
    </w:rPr>
  </w:style>
  <w:style w:type="character" w:customStyle="1" w:styleId="152">
    <w:name w:val="font12gray1"/>
    <w:qFormat/>
    <w:uiPriority w:val="0"/>
    <w:rPr>
      <w:rFonts w:ascii="仿宋_GB2312" w:eastAsia="微软雅黑"/>
      <w:b/>
      <w:spacing w:val="300"/>
      <w:kern w:val="2"/>
      <w:sz w:val="18"/>
      <w:szCs w:val="18"/>
      <w:lang w:val="en-US" w:eastAsia="zh-CN" w:bidi="ar-SA"/>
    </w:rPr>
  </w:style>
  <w:style w:type="character" w:customStyle="1" w:styleId="153">
    <w:name w:val="Char Char7"/>
    <w:semiHidden/>
    <w:qFormat/>
    <w:uiPriority w:val="0"/>
    <w:rPr>
      <w:rFonts w:eastAsia="宋体"/>
      <w:kern w:val="2"/>
      <w:sz w:val="21"/>
      <w:szCs w:val="24"/>
      <w:lang w:val="en-US" w:eastAsia="zh-CN" w:bidi="ar-SA"/>
    </w:rPr>
  </w:style>
  <w:style w:type="character" w:customStyle="1" w:styleId="154">
    <w:name w:val="表名 Char"/>
    <w:qFormat/>
    <w:uiPriority w:val="0"/>
    <w:rPr>
      <w:rFonts w:eastAsia="宋体"/>
      <w:b/>
      <w:bCs/>
      <w:kern w:val="2"/>
      <w:sz w:val="24"/>
      <w:szCs w:val="24"/>
      <w:lang w:val="en-US" w:eastAsia="zh-CN" w:bidi="ar-SA"/>
    </w:rPr>
  </w:style>
  <w:style w:type="character" w:customStyle="1" w:styleId="155">
    <w:name w:val="Document Map Char"/>
    <w:qFormat/>
    <w:locked/>
    <w:uiPriority w:val="0"/>
    <w:rPr>
      <w:rFonts w:eastAsia="宋体"/>
      <w:kern w:val="2"/>
      <w:sz w:val="21"/>
      <w:szCs w:val="24"/>
      <w:lang w:val="en-US" w:eastAsia="zh-CN" w:bidi="ar-SA"/>
    </w:rPr>
  </w:style>
  <w:style w:type="character" w:customStyle="1" w:styleId="156">
    <w:name w:val="font41"/>
    <w:qFormat/>
    <w:uiPriority w:val="0"/>
    <w:rPr>
      <w:rFonts w:hint="eastAsia" w:ascii="仿宋_GB2312" w:eastAsia="仿宋_GB2312" w:cs="仿宋_GB2312"/>
      <w:color w:val="000000"/>
      <w:sz w:val="22"/>
      <w:szCs w:val="22"/>
      <w:u w:val="none"/>
    </w:rPr>
  </w:style>
  <w:style w:type="character" w:customStyle="1" w:styleId="157">
    <w:name w:val="标题 6 字符"/>
    <w:link w:val="9"/>
    <w:qFormat/>
    <w:uiPriority w:val="0"/>
    <w:rPr>
      <w:rFonts w:ascii="Arial" w:hAnsi="Arial" w:eastAsia="黑体"/>
      <w:b/>
      <w:bCs/>
      <w:kern w:val="2"/>
      <w:sz w:val="24"/>
      <w:szCs w:val="24"/>
    </w:rPr>
  </w:style>
  <w:style w:type="character" w:customStyle="1" w:styleId="158">
    <w:name w:val="纯文本 Char_0"/>
    <w:link w:val="159"/>
    <w:qFormat/>
    <w:uiPriority w:val="0"/>
    <w:rPr>
      <w:rFonts w:ascii="宋体" w:hAnsi="Courier New"/>
      <w:kern w:val="2"/>
      <w:sz w:val="21"/>
      <w:szCs w:val="21"/>
      <w:lang w:val="en-US" w:eastAsia="zh-CN"/>
    </w:rPr>
  </w:style>
  <w:style w:type="paragraph" w:customStyle="1" w:styleId="159">
    <w:name w:val="纯文本_0_0"/>
    <w:basedOn w:val="160"/>
    <w:link w:val="158"/>
    <w:qFormat/>
    <w:uiPriority w:val="0"/>
    <w:rPr>
      <w:rFonts w:ascii="宋体" w:hAnsi="Courier New"/>
      <w:szCs w:val="21"/>
    </w:rPr>
  </w:style>
  <w:style w:type="paragraph" w:customStyle="1" w:styleId="16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61">
    <w:name w:val="Balloon Text Char"/>
    <w:qFormat/>
    <w:locked/>
    <w:uiPriority w:val="0"/>
    <w:rPr>
      <w:rFonts w:eastAsia="宋体"/>
      <w:kern w:val="2"/>
      <w:sz w:val="18"/>
      <w:szCs w:val="18"/>
      <w:lang w:val="en-US" w:eastAsia="zh-CN" w:bidi="ar-SA"/>
    </w:rPr>
  </w:style>
  <w:style w:type="character" w:customStyle="1" w:styleId="162">
    <w:name w:val="正文 项目2 Char"/>
    <w:basedOn w:val="163"/>
    <w:qFormat/>
    <w:uiPriority w:val="0"/>
    <w:rPr>
      <w:rFonts w:ascii="仿宋_GB2312" w:hAnsi="仿宋_GB2312" w:eastAsia="仿宋_GB2312"/>
      <w:kern w:val="2"/>
      <w:sz w:val="24"/>
      <w:lang w:bidi="ar-SA"/>
    </w:rPr>
  </w:style>
  <w:style w:type="character" w:customStyle="1" w:styleId="163">
    <w:name w:val="正文 项目 Char"/>
    <w:qFormat/>
    <w:uiPriority w:val="0"/>
    <w:rPr>
      <w:rFonts w:ascii="仿宋_GB2312" w:hAnsi="仿宋_GB2312" w:eastAsia="仿宋_GB2312"/>
      <w:kern w:val="2"/>
      <w:sz w:val="24"/>
      <w:lang w:bidi="ar-SA"/>
    </w:rPr>
  </w:style>
  <w:style w:type="character" w:customStyle="1" w:styleId="164">
    <w:name w:val="h Char Char1"/>
    <w:qFormat/>
    <w:uiPriority w:val="0"/>
    <w:rPr>
      <w:rFonts w:eastAsia="宋体"/>
      <w:kern w:val="2"/>
      <w:sz w:val="18"/>
      <w:szCs w:val="18"/>
      <w:lang w:val="en-US" w:eastAsia="zh-CN" w:bidi="ar-SA"/>
    </w:rPr>
  </w:style>
  <w:style w:type="character" w:customStyle="1" w:styleId="165">
    <w:name w:val="Char Char27"/>
    <w:qFormat/>
    <w:uiPriority w:val="6"/>
    <w:rPr>
      <w:rFonts w:ascii="宋体" w:hAnsi="宋体" w:eastAsia="宋体"/>
      <w:color w:val="000000"/>
      <w:kern w:val="1"/>
      <w:sz w:val="28"/>
      <w:lang w:val="en-US" w:eastAsia="zh-CN" w:bidi="ar-SA"/>
    </w:rPr>
  </w:style>
  <w:style w:type="character" w:customStyle="1" w:styleId="166">
    <w:name w:val="px14"/>
    <w:qFormat/>
    <w:uiPriority w:val="0"/>
    <w:rPr>
      <w:rFonts w:ascii="仿宋_GB2312" w:eastAsia="微软雅黑" w:cs="Times New Roman"/>
      <w:b/>
      <w:kern w:val="2"/>
      <w:sz w:val="32"/>
      <w:szCs w:val="32"/>
      <w:lang w:val="en-US" w:eastAsia="zh-CN" w:bidi="ar-SA"/>
    </w:rPr>
  </w:style>
  <w:style w:type="character" w:customStyle="1" w:styleId="167">
    <w:name w:val="HTML 预设格式 Char1"/>
    <w:qFormat/>
    <w:uiPriority w:val="0"/>
    <w:rPr>
      <w:rFonts w:ascii="Courier New" w:hAnsi="Courier New" w:eastAsia="宋体" w:cs="Courier New"/>
      <w:sz w:val="20"/>
      <w:szCs w:val="20"/>
    </w:rPr>
  </w:style>
  <w:style w:type="character" w:customStyle="1" w:styleId="168">
    <w:name w:val="普通文字 Char1"/>
    <w:qFormat/>
    <w:uiPriority w:val="0"/>
    <w:rPr>
      <w:rFonts w:ascii="宋体" w:hAnsi="Courier New" w:eastAsia="宋体"/>
      <w:kern w:val="2"/>
      <w:sz w:val="21"/>
      <w:lang w:val="en-US" w:eastAsia="zh-CN"/>
    </w:rPr>
  </w:style>
  <w:style w:type="character" w:customStyle="1" w:styleId="169">
    <w:name w:val="hei16b1"/>
    <w:qFormat/>
    <w:uiPriority w:val="0"/>
    <w:rPr>
      <w:rFonts w:hint="default" w:ascii="Arial" w:hAnsi="Arial" w:cs="Arial"/>
      <w:b/>
      <w:bCs/>
      <w:color w:val="000000"/>
      <w:sz w:val="24"/>
      <w:szCs w:val="24"/>
    </w:rPr>
  </w:style>
  <w:style w:type="character" w:customStyle="1" w:styleId="170">
    <w:name w:val="正文（绿盟科技） Char"/>
    <w:link w:val="171"/>
    <w:qFormat/>
    <w:uiPriority w:val="0"/>
    <w:rPr>
      <w:rFonts w:ascii="Arial" w:hAnsi="Arial"/>
      <w:sz w:val="21"/>
      <w:szCs w:val="21"/>
    </w:rPr>
  </w:style>
  <w:style w:type="paragraph" w:customStyle="1" w:styleId="171">
    <w:name w:val="正文（绿盟科技）"/>
    <w:link w:val="170"/>
    <w:qFormat/>
    <w:uiPriority w:val="0"/>
    <w:pPr>
      <w:spacing w:line="300" w:lineRule="auto"/>
    </w:pPr>
    <w:rPr>
      <w:rFonts w:ascii="Arial" w:hAnsi="Arial" w:eastAsia="宋体" w:cs="Times New Roman"/>
      <w:sz w:val="21"/>
      <w:szCs w:val="21"/>
      <w:lang w:val="en-US" w:eastAsia="zh-CN" w:bidi="ar-SA"/>
    </w:rPr>
  </w:style>
  <w:style w:type="character" w:customStyle="1" w:styleId="172">
    <w:name w:val="Char Char19"/>
    <w:qFormat/>
    <w:uiPriority w:val="6"/>
    <w:rPr>
      <w:rFonts w:ascii="宋体" w:hAnsi="宋体"/>
      <w:i/>
      <w:sz w:val="24"/>
      <w:szCs w:val="24"/>
    </w:rPr>
  </w:style>
  <w:style w:type="character" w:customStyle="1" w:styleId="173">
    <w:name w:val="页脚 Char"/>
    <w:qFormat/>
    <w:uiPriority w:val="0"/>
    <w:rPr>
      <w:rFonts w:eastAsia="仿宋_GB2312"/>
      <w:kern w:val="2"/>
      <w:sz w:val="18"/>
      <w:lang w:val="en-US" w:eastAsia="zh-CN"/>
    </w:rPr>
  </w:style>
  <w:style w:type="character" w:customStyle="1" w:styleId="174">
    <w:name w:val="批注主题 Char"/>
    <w:qFormat/>
    <w:uiPriority w:val="0"/>
    <w:rPr>
      <w:rFonts w:eastAsia="宋体"/>
      <w:b/>
      <w:bCs/>
      <w:kern w:val="2"/>
      <w:sz w:val="21"/>
      <w:szCs w:val="24"/>
      <w:lang w:val="en-US" w:eastAsia="zh-CN" w:bidi="ar-SA"/>
    </w:rPr>
  </w:style>
  <w:style w:type="character" w:customStyle="1" w:styleId="175">
    <w:name w:val="Comment Text Char"/>
    <w:qFormat/>
    <w:locked/>
    <w:uiPriority w:val="0"/>
    <w:rPr>
      <w:rFonts w:ascii="宋体" w:hAnsi="宋体" w:eastAsia="宋体"/>
      <w:kern w:val="2"/>
      <w:sz w:val="24"/>
      <w:lang w:val="en-US" w:eastAsia="zh-CN" w:bidi="ar-SA"/>
    </w:rPr>
  </w:style>
  <w:style w:type="character" w:customStyle="1" w:styleId="176">
    <w:name w:val="Char Char72"/>
    <w:qFormat/>
    <w:uiPriority w:val="0"/>
    <w:rPr>
      <w:rFonts w:eastAsia="宋体"/>
      <w:kern w:val="2"/>
      <w:sz w:val="21"/>
      <w:szCs w:val="24"/>
      <w:lang w:val="en-US" w:eastAsia="zh-CN" w:bidi="ar-SA"/>
    </w:rPr>
  </w:style>
  <w:style w:type="character" w:customStyle="1" w:styleId="177">
    <w:name w:val="正文文本缩进 Char2"/>
    <w:qFormat/>
    <w:uiPriority w:val="0"/>
    <w:rPr>
      <w:rFonts w:ascii="Times New Roman" w:hAnsi="Times New Roman" w:eastAsia="宋体" w:cs="Times New Roman"/>
      <w:snapToGrid w:val="0"/>
      <w:kern w:val="0"/>
      <w:szCs w:val="24"/>
    </w:rPr>
  </w:style>
  <w:style w:type="character" w:customStyle="1" w:styleId="178">
    <w:name w:val="样式2 Char"/>
    <w:qFormat/>
    <w:uiPriority w:val="0"/>
    <w:rPr>
      <w:rFonts w:ascii="仿宋_GB2312" w:hAnsi="仿宋" w:eastAsia="仿宋_GB2312" w:cs="仿宋_GB2312"/>
      <w:b/>
      <w:bCs/>
      <w:sz w:val="32"/>
      <w:szCs w:val="30"/>
      <w:lang w:val="zh-CN"/>
    </w:rPr>
  </w:style>
  <w:style w:type="character" w:customStyle="1" w:styleId="179">
    <w:name w:val="表格名称[858D7CFB-ED40-4347-BF05-701D383B685F]"/>
    <w:link w:val="180"/>
    <w:qFormat/>
    <w:uiPriority w:val="0"/>
    <w:rPr>
      <w:sz w:val="32"/>
    </w:rPr>
  </w:style>
  <w:style w:type="paragraph" w:customStyle="1" w:styleId="180">
    <w:name w:val="表格名称"/>
    <w:basedOn w:val="4"/>
    <w:link w:val="179"/>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81">
    <w:name w:val="Char Char4"/>
    <w:qFormat/>
    <w:uiPriority w:val="0"/>
    <w:rPr>
      <w:rFonts w:eastAsia="宋体"/>
      <w:b/>
      <w:sz w:val="24"/>
      <w:lang w:val="en-GB" w:eastAsia="zh-CN" w:bidi="ar-SA"/>
    </w:rPr>
  </w:style>
  <w:style w:type="character" w:customStyle="1" w:styleId="182">
    <w:name w:val="c7 style3"/>
    <w:qFormat/>
    <w:uiPriority w:val="0"/>
  </w:style>
  <w:style w:type="character" w:customStyle="1" w:styleId="183">
    <w:name w:val="正文文本 3 Char1"/>
    <w:semiHidden/>
    <w:qFormat/>
    <w:uiPriority w:val="99"/>
    <w:rPr>
      <w:rFonts w:ascii="Times New Roman" w:hAnsi="Times New Roman" w:eastAsia="宋体" w:cs="Times New Roman"/>
      <w:sz w:val="16"/>
      <w:szCs w:val="16"/>
    </w:rPr>
  </w:style>
  <w:style w:type="character" w:customStyle="1" w:styleId="184">
    <w:name w:val="tw4winInternal"/>
    <w:qFormat/>
    <w:uiPriority w:val="0"/>
    <w:rPr>
      <w:rFonts w:ascii="Courier New" w:hAnsi="Courier New" w:cs="Courier New"/>
      <w:color w:val="FF0000"/>
      <w:lang w:val="en-US" w:eastAsia="zh-CN"/>
    </w:rPr>
  </w:style>
  <w:style w:type="character" w:customStyle="1" w:styleId="185">
    <w:name w:val="Char Char10"/>
    <w:semiHidden/>
    <w:qFormat/>
    <w:uiPriority w:val="0"/>
    <w:rPr>
      <w:rFonts w:ascii="宋体" w:hAnsi="宋体"/>
      <w:kern w:val="2"/>
      <w:sz w:val="21"/>
      <w:szCs w:val="24"/>
      <w:lang w:val="en-US" w:eastAsia="zh-CN"/>
    </w:rPr>
  </w:style>
  <w:style w:type="character" w:customStyle="1" w:styleId="186">
    <w:name w:val="shadow11"/>
    <w:qFormat/>
    <w:uiPriority w:val="0"/>
    <w:rPr>
      <w:color w:val="000000"/>
      <w:sz w:val="21"/>
    </w:rPr>
  </w:style>
  <w:style w:type="character" w:customStyle="1" w:styleId="187">
    <w:name w:val="正文非缩进 Char3"/>
    <w:qFormat/>
    <w:uiPriority w:val="0"/>
    <w:rPr>
      <w:rFonts w:ascii="宋体" w:eastAsia="宋体"/>
      <w:snapToGrid w:val="0"/>
      <w:color w:val="000000"/>
      <w:kern w:val="28"/>
      <w:sz w:val="28"/>
      <w:lang w:val="en-US" w:eastAsia="zh-CN" w:bidi="ar-SA"/>
    </w:rPr>
  </w:style>
  <w:style w:type="character" w:customStyle="1" w:styleId="188">
    <w:name w:val="Char Char"/>
    <w:qFormat/>
    <w:uiPriority w:val="0"/>
    <w:rPr>
      <w:rFonts w:ascii="宋体" w:hAnsi="Courier New" w:eastAsia="宋体"/>
      <w:kern w:val="2"/>
      <w:sz w:val="21"/>
      <w:lang w:val="en-US" w:eastAsia="zh-CN" w:bidi="ar-SA"/>
    </w:rPr>
  </w:style>
  <w:style w:type="character" w:customStyle="1" w:styleId="189">
    <w:name w:val="签名 Char1"/>
    <w:qFormat/>
    <w:uiPriority w:val="0"/>
    <w:rPr>
      <w:rFonts w:ascii="Times New Roman" w:hAnsi="Times New Roman" w:eastAsia="宋体" w:cs="Times New Roman"/>
      <w:szCs w:val="24"/>
    </w:rPr>
  </w:style>
  <w:style w:type="character" w:customStyle="1" w:styleId="190">
    <w:name w:val="日期 字符"/>
    <w:link w:val="37"/>
    <w:qFormat/>
    <w:uiPriority w:val="0"/>
    <w:rPr>
      <w:rFonts w:ascii="宋体"/>
      <w:kern w:val="2"/>
      <w:sz w:val="24"/>
      <w:szCs w:val="21"/>
      <w:lang w:val="zh-CN"/>
    </w:rPr>
  </w:style>
  <w:style w:type="character" w:customStyle="1" w:styleId="191">
    <w:name w:val="标题 9 字符"/>
    <w:link w:val="12"/>
    <w:qFormat/>
    <w:uiPriority w:val="0"/>
    <w:rPr>
      <w:rFonts w:ascii="Arial" w:hAnsi="Arial" w:eastAsia="黑体"/>
      <w:kern w:val="2"/>
      <w:sz w:val="21"/>
      <w:szCs w:val="21"/>
    </w:rPr>
  </w:style>
  <w:style w:type="character" w:customStyle="1" w:styleId="192">
    <w:name w:val="Char Char18"/>
    <w:qFormat/>
    <w:uiPriority w:val="6"/>
    <w:rPr>
      <w:rFonts w:ascii="宋体" w:hAnsi="宋体"/>
      <w:sz w:val="28"/>
    </w:rPr>
  </w:style>
  <w:style w:type="character" w:customStyle="1" w:styleId="193">
    <w:name w:val="批注文字 Char"/>
    <w:qFormat/>
    <w:uiPriority w:val="99"/>
    <w:rPr>
      <w:kern w:val="2"/>
      <w:sz w:val="21"/>
      <w:szCs w:val="24"/>
    </w:rPr>
  </w:style>
  <w:style w:type="character" w:customStyle="1" w:styleId="194">
    <w:name w:val="Char Char22"/>
    <w:qFormat/>
    <w:uiPriority w:val="6"/>
    <w:rPr>
      <w:rFonts w:ascii="宋体" w:hAnsi="宋体"/>
      <w:kern w:val="1"/>
      <w:sz w:val="24"/>
      <w:szCs w:val="24"/>
    </w:rPr>
  </w:style>
  <w:style w:type="character" w:customStyle="1" w:styleId="195">
    <w:name w:val="pt141"/>
    <w:qFormat/>
    <w:uiPriority w:val="0"/>
    <w:rPr>
      <w:color w:val="330066"/>
      <w:sz w:val="22"/>
      <w:szCs w:val="22"/>
    </w:rPr>
  </w:style>
  <w:style w:type="character" w:customStyle="1" w:styleId="196">
    <w:name w:val="正文文本缩进 2 Char1"/>
    <w:semiHidden/>
    <w:qFormat/>
    <w:uiPriority w:val="99"/>
    <w:rPr>
      <w:rFonts w:ascii="Times New Roman" w:hAnsi="Times New Roman" w:eastAsia="宋体" w:cs="Times New Roman"/>
      <w:szCs w:val="24"/>
    </w:rPr>
  </w:style>
  <w:style w:type="character" w:customStyle="1" w:styleId="197">
    <w:name w:val="批注框文本 字符1"/>
    <w:link w:val="40"/>
    <w:qFormat/>
    <w:uiPriority w:val="0"/>
    <w:rPr>
      <w:kern w:val="2"/>
      <w:sz w:val="18"/>
      <w:szCs w:val="18"/>
    </w:rPr>
  </w:style>
  <w:style w:type="character" w:customStyle="1" w:styleId="198">
    <w:name w:val="Char Char611"/>
    <w:qFormat/>
    <w:uiPriority w:val="0"/>
    <w:rPr>
      <w:rFonts w:eastAsia="宋体"/>
      <w:kern w:val="2"/>
      <w:sz w:val="21"/>
      <w:szCs w:val="24"/>
      <w:lang w:val="en-US" w:eastAsia="zh-CN" w:bidi="ar-SA"/>
    </w:rPr>
  </w:style>
  <w:style w:type="character" w:customStyle="1" w:styleId="199">
    <w:name w:val="highlight1"/>
    <w:qFormat/>
    <w:uiPriority w:val="0"/>
    <w:rPr>
      <w:rFonts w:ascii="仿宋_GB2312" w:eastAsia="微软雅黑"/>
      <w:b/>
      <w:kern w:val="2"/>
      <w:sz w:val="23"/>
      <w:szCs w:val="23"/>
      <w:lang w:val="en-US" w:eastAsia="zh-CN" w:bidi="ar-SA"/>
    </w:rPr>
  </w:style>
  <w:style w:type="character" w:customStyle="1" w:styleId="200">
    <w:name w:val="my正文 Char"/>
    <w:link w:val="201"/>
    <w:qFormat/>
    <w:locked/>
    <w:uiPriority w:val="0"/>
    <w:rPr>
      <w:rFonts w:ascii="Tahoma" w:hAnsi="Tahoma"/>
      <w:sz w:val="24"/>
      <w:szCs w:val="24"/>
    </w:rPr>
  </w:style>
  <w:style w:type="paragraph" w:customStyle="1" w:styleId="201">
    <w:name w:val="my正文"/>
    <w:basedOn w:val="1"/>
    <w:link w:val="200"/>
    <w:qFormat/>
    <w:uiPriority w:val="0"/>
    <w:pPr>
      <w:adjustRightInd/>
      <w:spacing w:line="360" w:lineRule="auto"/>
      <w:ind w:firstLine="480" w:firstLineChars="200"/>
    </w:pPr>
    <w:rPr>
      <w:rFonts w:ascii="Tahoma" w:hAnsi="Tahoma"/>
      <w:kern w:val="0"/>
      <w:sz w:val="24"/>
    </w:rPr>
  </w:style>
  <w:style w:type="character" w:customStyle="1" w:styleId="202">
    <w:name w:val="正文缩进 字符2"/>
    <w:link w:val="6"/>
    <w:qFormat/>
    <w:uiPriority w:val="0"/>
    <w:rPr>
      <w:rFonts w:ascii="宋体" w:eastAsia="宋体"/>
      <w:snapToGrid w:val="0"/>
      <w:color w:val="000000"/>
      <w:kern w:val="28"/>
      <w:sz w:val="28"/>
      <w:lang w:val="en-US" w:eastAsia="zh-CN" w:bidi="ar-SA"/>
    </w:rPr>
  </w:style>
  <w:style w:type="character" w:customStyle="1" w:styleId="203">
    <w:name w:val="Used by Word for text of Help footnotes Char Char1"/>
    <w:qFormat/>
    <w:uiPriority w:val="0"/>
    <w:rPr>
      <w:color w:val="0000FF"/>
      <w:sz w:val="21"/>
    </w:rPr>
  </w:style>
  <w:style w:type="character" w:customStyle="1" w:styleId="204">
    <w:name w:val="页眉 Char"/>
    <w:qFormat/>
    <w:uiPriority w:val="0"/>
    <w:rPr>
      <w:rFonts w:eastAsia="仿宋_GB2312"/>
      <w:kern w:val="2"/>
      <w:sz w:val="18"/>
      <w:lang w:val="en-US" w:eastAsia="zh-CN"/>
    </w:rPr>
  </w:style>
  <w:style w:type="character" w:customStyle="1" w:styleId="205">
    <w:name w:val="FA正文 Char Char"/>
    <w:qFormat/>
    <w:uiPriority w:val="0"/>
    <w:rPr>
      <w:rFonts w:hAnsi="宋体"/>
      <w:kern w:val="2"/>
      <w:sz w:val="24"/>
      <w:lang w:bidi="ar-SA"/>
    </w:rPr>
  </w:style>
  <w:style w:type="character" w:customStyle="1" w:styleId="206">
    <w:name w:val="纯文本 字符"/>
    <w:qFormat/>
    <w:uiPriority w:val="0"/>
    <w:rPr>
      <w:rFonts w:ascii="宋体" w:hAnsi="Courier New" w:eastAsia="宋体" w:cs="Arial"/>
      <w:snapToGrid w:val="0"/>
      <w:kern w:val="2"/>
      <w:sz w:val="21"/>
      <w:szCs w:val="21"/>
      <w:lang w:val="en-US" w:eastAsia="zh-CN" w:bidi="ar-SA"/>
    </w:rPr>
  </w:style>
  <w:style w:type="character" w:customStyle="1" w:styleId="207">
    <w:name w:val="3级 Char"/>
    <w:link w:val="208"/>
    <w:qFormat/>
    <w:uiPriority w:val="0"/>
    <w:rPr>
      <w:rFonts w:ascii="宋体" w:hAnsi="宋体"/>
      <w:b/>
      <w:bCs/>
      <w:snapToGrid/>
      <w:sz w:val="28"/>
    </w:rPr>
  </w:style>
  <w:style w:type="paragraph" w:customStyle="1" w:styleId="208">
    <w:name w:val="3级"/>
    <w:basedOn w:val="209"/>
    <w:link w:val="207"/>
    <w:qFormat/>
    <w:uiPriority w:val="0"/>
    <w:pPr>
      <w:ind w:left="0" w:right="466" w:firstLine="288"/>
    </w:pPr>
    <w:rPr>
      <w:rFonts w:hAnsi="宋体"/>
      <w:snapToGrid/>
    </w:rPr>
  </w:style>
  <w:style w:type="paragraph" w:customStyle="1" w:styleId="209">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10">
    <w:name w:val="myp11"/>
    <w:qFormat/>
    <w:uiPriority w:val="0"/>
    <w:rPr>
      <w:rFonts w:ascii="仿宋_GB2312" w:eastAsia="微软雅黑"/>
      <w:b/>
      <w:kern w:val="2"/>
      <w:sz w:val="32"/>
      <w:szCs w:val="32"/>
      <w:lang w:val="en-US" w:eastAsia="zh-CN" w:bidi="ar-SA"/>
    </w:rPr>
  </w:style>
  <w:style w:type="character" w:customStyle="1" w:styleId="211">
    <w:name w:val="文档结构图 字符"/>
    <w:link w:val="19"/>
    <w:qFormat/>
    <w:uiPriority w:val="0"/>
    <w:rPr>
      <w:kern w:val="2"/>
      <w:sz w:val="21"/>
      <w:szCs w:val="24"/>
      <w:shd w:val="clear" w:color="auto" w:fill="000080"/>
    </w:rPr>
  </w:style>
  <w:style w:type="character" w:customStyle="1" w:styleId="212">
    <w:name w:val="H6 Char"/>
    <w:qFormat/>
    <w:uiPriority w:val="0"/>
    <w:rPr>
      <w:rFonts w:ascii="Arial" w:hAnsi="Arial" w:eastAsia="黑体"/>
      <w:b/>
      <w:bCs/>
      <w:kern w:val="2"/>
      <w:sz w:val="24"/>
      <w:szCs w:val="24"/>
    </w:rPr>
  </w:style>
  <w:style w:type="character" w:customStyle="1" w:styleId="213">
    <w:name w:val="Char Char91"/>
    <w:qFormat/>
    <w:uiPriority w:val="0"/>
    <w:rPr>
      <w:rFonts w:eastAsia="宋体"/>
      <w:kern w:val="2"/>
      <w:sz w:val="18"/>
      <w:szCs w:val="18"/>
      <w:lang w:val="en-US" w:eastAsia="zh-CN" w:bidi="ar-SA"/>
    </w:rPr>
  </w:style>
  <w:style w:type="character" w:customStyle="1" w:styleId="214">
    <w:name w:val="副标题 Char1"/>
    <w:qFormat/>
    <w:uiPriority w:val="0"/>
    <w:rPr>
      <w:rFonts w:ascii="Cambria" w:hAnsi="Cambria" w:eastAsia="宋体" w:cs="Times New Roman"/>
      <w:b/>
      <w:bCs/>
      <w:snapToGrid w:val="0"/>
      <w:kern w:val="28"/>
      <w:sz w:val="32"/>
      <w:szCs w:val="32"/>
    </w:rPr>
  </w:style>
  <w:style w:type="character" w:customStyle="1" w:styleId="215">
    <w:name w:val="font61"/>
    <w:qFormat/>
    <w:uiPriority w:val="0"/>
    <w:rPr>
      <w:rFonts w:hint="eastAsia" w:ascii="仿宋" w:hAnsi="仿宋" w:eastAsia="仿宋" w:cs="仿宋"/>
      <w:color w:val="000000"/>
      <w:sz w:val="20"/>
      <w:szCs w:val="20"/>
      <w:u w:val="none"/>
    </w:rPr>
  </w:style>
  <w:style w:type="character" w:customStyle="1" w:styleId="216">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7">
    <w:name w:val="Char Char211"/>
    <w:qFormat/>
    <w:uiPriority w:val="0"/>
    <w:rPr>
      <w:rFonts w:eastAsia="宋体"/>
      <w:b/>
      <w:bCs/>
      <w:kern w:val="2"/>
      <w:sz w:val="21"/>
      <w:szCs w:val="24"/>
      <w:lang w:val="en-US" w:eastAsia="zh-CN" w:bidi="ar-SA"/>
    </w:rPr>
  </w:style>
  <w:style w:type="character" w:customStyle="1" w:styleId="218">
    <w:name w:val="标题 2 Char"/>
    <w:qFormat/>
    <w:uiPriority w:val="0"/>
    <w:rPr>
      <w:rFonts w:ascii="Arial" w:hAnsi="Arial" w:eastAsia="黑体"/>
      <w:b/>
      <w:kern w:val="2"/>
      <w:sz w:val="32"/>
      <w:lang w:val="en-US" w:eastAsia="zh-CN"/>
    </w:rPr>
  </w:style>
  <w:style w:type="character" w:customStyle="1" w:styleId="219">
    <w:name w:val="maywed421"/>
    <w:qFormat/>
    <w:uiPriority w:val="0"/>
    <w:rPr>
      <w:color w:val="366FB6"/>
      <w:u w:val="none"/>
    </w:rPr>
  </w:style>
  <w:style w:type="character" w:customStyle="1" w:styleId="220">
    <w:name w:val="正文文本缩进 Char"/>
    <w:qFormat/>
    <w:uiPriority w:val="0"/>
    <w:rPr>
      <w:rFonts w:ascii="宋体" w:hAnsi="宋体"/>
      <w:kern w:val="2"/>
      <w:sz w:val="24"/>
      <w:szCs w:val="24"/>
    </w:rPr>
  </w:style>
  <w:style w:type="character" w:customStyle="1" w:styleId="221">
    <w:name w:val="Char Char102"/>
    <w:semiHidden/>
    <w:qFormat/>
    <w:uiPriority w:val="0"/>
    <w:rPr>
      <w:rFonts w:ascii="宋体" w:hAnsi="宋体"/>
      <w:kern w:val="2"/>
      <w:sz w:val="21"/>
      <w:szCs w:val="24"/>
      <w:lang w:val="en-US" w:eastAsia="zh-CN"/>
    </w:rPr>
  </w:style>
  <w:style w:type="character" w:customStyle="1" w:styleId="222">
    <w:name w:val="页眉 Char1"/>
    <w:qFormat/>
    <w:uiPriority w:val="0"/>
    <w:rPr>
      <w:rFonts w:eastAsia="宋体"/>
      <w:kern w:val="2"/>
      <w:sz w:val="18"/>
      <w:szCs w:val="18"/>
      <w:lang w:val="en-US" w:eastAsia="zh-CN" w:bidi="ar-SA"/>
    </w:rPr>
  </w:style>
  <w:style w:type="character" w:customStyle="1" w:styleId="223">
    <w:name w:val="md"/>
    <w:basedOn w:val="70"/>
    <w:qFormat/>
    <w:uiPriority w:val="0"/>
    <w:rPr>
      <w:rFonts w:ascii="Arial" w:hAnsi="Arial" w:eastAsia="黑体" w:cs="Arial"/>
      <w:snapToGrid w:val="0"/>
      <w:kern w:val="0"/>
      <w:szCs w:val="21"/>
    </w:rPr>
  </w:style>
  <w:style w:type="character" w:customStyle="1" w:styleId="224">
    <w:name w:val="big1"/>
    <w:qFormat/>
    <w:uiPriority w:val="0"/>
    <w:rPr>
      <w:rFonts w:hint="eastAsia" w:ascii="宋体" w:hAnsi="宋体" w:eastAsia="宋体"/>
      <w:color w:val="333333"/>
      <w:sz w:val="22"/>
      <w:szCs w:val="22"/>
    </w:rPr>
  </w:style>
  <w:style w:type="character" w:customStyle="1" w:styleId="225">
    <w:name w:val="Char Char311"/>
    <w:qFormat/>
    <w:uiPriority w:val="0"/>
    <w:rPr>
      <w:rFonts w:eastAsia="宋体"/>
      <w:kern w:val="2"/>
      <w:sz w:val="21"/>
      <w:szCs w:val="24"/>
      <w:lang w:val="en-US" w:eastAsia="zh-CN" w:bidi="ar-SA"/>
    </w:rPr>
  </w:style>
  <w:style w:type="character" w:customStyle="1" w:styleId="226">
    <w:name w:val="Char Char81"/>
    <w:qFormat/>
    <w:uiPriority w:val="6"/>
    <w:rPr>
      <w:rFonts w:eastAsia="宋体"/>
      <w:b/>
      <w:sz w:val="24"/>
      <w:lang w:val="en-GB" w:eastAsia="zh-CN"/>
    </w:rPr>
  </w:style>
  <w:style w:type="character" w:customStyle="1" w:styleId="227">
    <w:name w:val="样式3 Char"/>
    <w:basedOn w:val="178"/>
    <w:qFormat/>
    <w:uiPriority w:val="0"/>
    <w:rPr>
      <w:rFonts w:ascii="仿宋_GB2312" w:hAnsi="仿宋" w:eastAsia="仿宋_GB2312" w:cs="仿宋_GB2312"/>
      <w:sz w:val="32"/>
      <w:szCs w:val="30"/>
      <w:lang w:val="zh-CN"/>
    </w:rPr>
  </w:style>
  <w:style w:type="character" w:customStyle="1" w:styleId="228">
    <w:name w:val="HTML 地址 字符"/>
    <w:link w:val="31"/>
    <w:qFormat/>
    <w:uiPriority w:val="0"/>
    <w:rPr>
      <w:rFonts w:ascii="宋体" w:hAnsi="宋体"/>
      <w:i/>
      <w:iCs/>
      <w:sz w:val="24"/>
      <w:szCs w:val="24"/>
    </w:rPr>
  </w:style>
  <w:style w:type="character" w:customStyle="1" w:styleId="229">
    <w:name w:val="正文首行缩进 2 Char1"/>
    <w:qFormat/>
    <w:uiPriority w:val="0"/>
    <w:rPr>
      <w:rFonts w:ascii="Times New Roman" w:hAnsi="Times New Roman" w:eastAsia="宋体" w:cs="Times New Roman"/>
      <w:kern w:val="2"/>
      <w:sz w:val="24"/>
      <w:szCs w:val="24"/>
    </w:rPr>
  </w:style>
  <w:style w:type="character" w:customStyle="1" w:styleId="230">
    <w:name w:val="副标题 Char2"/>
    <w:qFormat/>
    <w:uiPriority w:val="0"/>
    <w:rPr>
      <w:rFonts w:ascii="Cambria" w:hAnsi="Cambria" w:eastAsia="宋体" w:cs="Times New Roman"/>
      <w:b/>
      <w:bCs/>
      <w:snapToGrid w:val="0"/>
      <w:kern w:val="28"/>
      <w:sz w:val="32"/>
      <w:szCs w:val="32"/>
    </w:rPr>
  </w:style>
  <w:style w:type="character" w:customStyle="1" w:styleId="231">
    <w:name w:val="标题4-dyf Char"/>
    <w:link w:val="232"/>
    <w:qFormat/>
    <w:uiPriority w:val="0"/>
    <w:rPr>
      <w:rFonts w:ascii="Cambria" w:hAnsi="Cambria"/>
      <w:b/>
      <w:bCs/>
      <w:color w:val="000000"/>
      <w:kern w:val="2"/>
      <w:sz w:val="21"/>
      <w:szCs w:val="21"/>
    </w:rPr>
  </w:style>
  <w:style w:type="paragraph" w:customStyle="1" w:styleId="232">
    <w:name w:val="标题4-dyf"/>
    <w:basedOn w:val="7"/>
    <w:link w:val="231"/>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33">
    <w:name w:val="dectext1"/>
    <w:qFormat/>
    <w:uiPriority w:val="0"/>
    <w:rPr>
      <w:rFonts w:ascii="宋体" w:hAnsi="宋体" w:eastAsia="宋体"/>
      <w:color w:val="333333"/>
      <w:sz w:val="21"/>
      <w:szCs w:val="21"/>
      <w:u w:val="none"/>
    </w:rPr>
  </w:style>
  <w:style w:type="character" w:customStyle="1" w:styleId="234">
    <w:name w:val="冯 Char"/>
    <w:link w:val="235"/>
    <w:qFormat/>
    <w:uiPriority w:val="0"/>
    <w:rPr>
      <w:rFonts w:ascii="宋体" w:hAnsi="宋体"/>
      <w:color w:val="000000"/>
      <w:sz w:val="24"/>
      <w:szCs w:val="24"/>
    </w:rPr>
  </w:style>
  <w:style w:type="paragraph" w:customStyle="1" w:styleId="235">
    <w:name w:val="冯"/>
    <w:basedOn w:val="1"/>
    <w:link w:val="234"/>
    <w:qFormat/>
    <w:uiPriority w:val="0"/>
    <w:pPr>
      <w:widowControl/>
      <w:adjustRightInd/>
      <w:spacing w:line="360" w:lineRule="auto"/>
      <w:ind w:firstLine="480" w:firstLineChars="200"/>
    </w:pPr>
    <w:rPr>
      <w:rFonts w:ascii="宋体" w:hAnsi="宋体"/>
      <w:color w:val="000000"/>
      <w:kern w:val="0"/>
      <w:sz w:val="24"/>
    </w:rPr>
  </w:style>
  <w:style w:type="character" w:customStyle="1" w:styleId="236">
    <w:name w:val="Header Char"/>
    <w:qFormat/>
    <w:locked/>
    <w:uiPriority w:val="0"/>
    <w:rPr>
      <w:rFonts w:eastAsia="宋体"/>
      <w:kern w:val="2"/>
      <w:sz w:val="18"/>
      <w:szCs w:val="18"/>
      <w:lang w:val="en-US" w:eastAsia="zh-CN" w:bidi="ar-SA"/>
    </w:rPr>
  </w:style>
  <w:style w:type="character" w:customStyle="1" w:styleId="237">
    <w:name w:val="Char Char12"/>
    <w:qFormat/>
    <w:uiPriority w:val="0"/>
    <w:rPr>
      <w:rFonts w:ascii="仿宋_GB2312" w:eastAsia="仿宋_GB2312"/>
      <w:b/>
      <w:bCs/>
      <w:kern w:val="2"/>
      <w:sz w:val="24"/>
      <w:szCs w:val="24"/>
      <w:lang w:val="zh-CN" w:eastAsia="zh-CN" w:bidi="ar-SA"/>
    </w:rPr>
  </w:style>
  <w:style w:type="character" w:customStyle="1" w:styleId="238">
    <w:name w:val="题注 字符"/>
    <w:link w:val="17"/>
    <w:qFormat/>
    <w:uiPriority w:val="0"/>
    <w:rPr>
      <w:b/>
      <w:kern w:val="2"/>
      <w:sz w:val="28"/>
    </w:rPr>
  </w:style>
  <w:style w:type="character" w:customStyle="1" w:styleId="239">
    <w:name w:val="普通文字 Char3"/>
    <w:qFormat/>
    <w:uiPriority w:val="0"/>
    <w:rPr>
      <w:rFonts w:ascii="宋体" w:hAnsi="Courier New" w:eastAsia="宋体"/>
      <w:kern w:val="2"/>
      <w:sz w:val="21"/>
      <w:lang w:val="en-US" w:eastAsia="zh-CN" w:bidi="ar-SA"/>
    </w:rPr>
  </w:style>
  <w:style w:type="character" w:customStyle="1" w:styleId="240">
    <w:name w:val="公文正文 Char"/>
    <w:qFormat/>
    <w:uiPriority w:val="0"/>
    <w:rPr>
      <w:rFonts w:ascii="仿宋_GB2312" w:eastAsia="仿宋_GB2312"/>
      <w:kern w:val="2"/>
      <w:sz w:val="24"/>
      <w:szCs w:val="24"/>
      <w:lang w:val="en-US" w:eastAsia="zh-CN" w:bidi="ar-SA"/>
    </w:rPr>
  </w:style>
  <w:style w:type="character" w:customStyle="1" w:styleId="241">
    <w:name w:val="正文首行缩进 Char Char Char Char Char"/>
    <w:qFormat/>
    <w:uiPriority w:val="0"/>
    <w:rPr>
      <w:rFonts w:ascii="宋体"/>
      <w:kern w:val="2"/>
      <w:sz w:val="24"/>
      <w:lang w:val="zh-CN"/>
    </w:rPr>
  </w:style>
  <w:style w:type="character" w:customStyle="1" w:styleId="242">
    <w:name w:val="PI Char"/>
    <w:qFormat/>
    <w:uiPriority w:val="0"/>
    <w:rPr>
      <w:rFonts w:ascii="宋体" w:hAnsi="宋体" w:eastAsia="宋体"/>
      <w:kern w:val="2"/>
      <w:sz w:val="24"/>
      <w:szCs w:val="24"/>
      <w:lang w:val="en-US" w:eastAsia="zh-CN" w:bidi="ar-SA"/>
    </w:rPr>
  </w:style>
  <w:style w:type="character" w:customStyle="1" w:styleId="243">
    <w:name w:val="Default Char"/>
    <w:link w:val="90"/>
    <w:qFormat/>
    <w:uiPriority w:val="0"/>
    <w:rPr>
      <w:rFonts w:ascii="仿宋_GB2312" w:eastAsia="仿宋_GB2312" w:cs="仿宋_GB2312"/>
      <w:color w:val="000000"/>
      <w:sz w:val="24"/>
      <w:szCs w:val="24"/>
      <w:lang w:val="en-US" w:eastAsia="zh-CN" w:bidi="ar-SA"/>
    </w:rPr>
  </w:style>
  <w:style w:type="character" w:customStyle="1" w:styleId="244">
    <w:name w:val="style91"/>
    <w:qFormat/>
    <w:uiPriority w:val="0"/>
    <w:rPr>
      <w:color w:val="333333"/>
    </w:rPr>
  </w:style>
  <w:style w:type="character" w:customStyle="1" w:styleId="245">
    <w:name w:val="列出段落 Char2"/>
    <w:qFormat/>
    <w:uiPriority w:val="34"/>
    <w:rPr>
      <w:rFonts w:ascii="Calibri" w:hAnsi="Calibri"/>
      <w:kern w:val="2"/>
      <w:sz w:val="28"/>
    </w:rPr>
  </w:style>
  <w:style w:type="character" w:customStyle="1" w:styleId="246">
    <w:name w:val="mdeck"/>
    <w:qFormat/>
    <w:uiPriority w:val="0"/>
    <w:rPr>
      <w:rFonts w:ascii="仿宋_GB2312" w:eastAsia="微软雅黑"/>
      <w:b/>
      <w:kern w:val="2"/>
      <w:sz w:val="32"/>
      <w:szCs w:val="32"/>
      <w:lang w:val="en-US" w:eastAsia="zh-CN" w:bidi="ar-SA"/>
    </w:rPr>
  </w:style>
  <w:style w:type="character" w:customStyle="1" w:styleId="247">
    <w:name w:val="unnamed11"/>
    <w:qFormat/>
    <w:uiPriority w:val="0"/>
    <w:rPr>
      <w:sz w:val="20"/>
      <w:szCs w:val="20"/>
    </w:rPr>
  </w:style>
  <w:style w:type="character" w:customStyle="1" w:styleId="248">
    <w:name w:val="正文文本 Char2"/>
    <w:semiHidden/>
    <w:qFormat/>
    <w:uiPriority w:val="99"/>
    <w:rPr>
      <w:rFonts w:ascii="Times New Roman" w:hAnsi="Times New Roman" w:eastAsia="宋体" w:cs="Times New Roman"/>
      <w:snapToGrid w:val="0"/>
      <w:kern w:val="0"/>
      <w:szCs w:val="24"/>
    </w:rPr>
  </w:style>
  <w:style w:type="character" w:customStyle="1" w:styleId="249">
    <w:name w:val="标书正文格式 Char"/>
    <w:qFormat/>
    <w:uiPriority w:val="0"/>
    <w:rPr>
      <w:rFonts w:eastAsia="楷体_GB2312"/>
      <w:kern w:val="2"/>
      <w:sz w:val="24"/>
      <w:szCs w:val="24"/>
      <w:lang w:bidi="ar-SA"/>
    </w:rPr>
  </w:style>
  <w:style w:type="character" w:customStyle="1" w:styleId="250">
    <w:name w:val="Char Char11"/>
    <w:qFormat/>
    <w:locked/>
    <w:uiPriority w:val="0"/>
    <w:rPr>
      <w:rFonts w:ascii="宋体" w:hAnsi="宋体" w:eastAsia="宋体"/>
      <w:b/>
      <w:kern w:val="2"/>
      <w:sz w:val="24"/>
      <w:szCs w:val="24"/>
      <w:lang w:val="en-US" w:eastAsia="zh-CN" w:bidi="ar-SA"/>
    </w:rPr>
  </w:style>
  <w:style w:type="character" w:customStyle="1" w:styleId="251">
    <w:name w:val="ca-131"/>
    <w:qFormat/>
    <w:uiPriority w:val="0"/>
    <w:rPr>
      <w:rFonts w:hint="eastAsia" w:ascii="仿宋_GB2312" w:eastAsia="仿宋_GB2312"/>
      <w:b/>
      <w:bCs/>
      <w:color w:val="000000"/>
      <w:spacing w:val="-20"/>
      <w:sz w:val="24"/>
      <w:szCs w:val="24"/>
    </w:rPr>
  </w:style>
  <w:style w:type="character" w:customStyle="1" w:styleId="252">
    <w:name w:val="tw4winMark"/>
    <w:qFormat/>
    <w:uiPriority w:val="0"/>
    <w:rPr>
      <w:rFonts w:ascii="Courier New" w:hAnsi="Courier New" w:cs="Courier New"/>
      <w:vanish/>
      <w:color w:val="800080"/>
      <w:sz w:val="24"/>
      <w:szCs w:val="24"/>
      <w:vertAlign w:val="subscript"/>
    </w:rPr>
  </w:style>
  <w:style w:type="character" w:customStyle="1" w:styleId="253">
    <w:name w:val="正文样式 Char"/>
    <w:link w:val="254"/>
    <w:qFormat/>
    <w:uiPriority w:val="0"/>
    <w:rPr>
      <w:rFonts w:ascii="Calibri" w:hAnsi="Calibri"/>
      <w:sz w:val="24"/>
      <w:szCs w:val="24"/>
    </w:rPr>
  </w:style>
  <w:style w:type="paragraph" w:customStyle="1" w:styleId="254">
    <w:name w:val="正文样式"/>
    <w:basedOn w:val="1"/>
    <w:link w:val="253"/>
    <w:qFormat/>
    <w:uiPriority w:val="0"/>
    <w:pPr>
      <w:adjustRightInd/>
      <w:spacing w:line="360" w:lineRule="auto"/>
      <w:ind w:firstLine="480" w:firstLineChars="200"/>
    </w:pPr>
    <w:rPr>
      <w:kern w:val="0"/>
      <w:sz w:val="24"/>
    </w:rPr>
  </w:style>
  <w:style w:type="character" w:customStyle="1" w:styleId="255">
    <w:name w:val="表正文 Char3"/>
    <w:qFormat/>
    <w:uiPriority w:val="0"/>
    <w:rPr>
      <w:rFonts w:eastAsia="宋体"/>
    </w:rPr>
  </w:style>
  <w:style w:type="character" w:customStyle="1" w:styleId="256">
    <w:name w:val="H5 Char"/>
    <w:qFormat/>
    <w:uiPriority w:val="0"/>
    <w:rPr>
      <w:b/>
      <w:bCs/>
      <w:kern w:val="2"/>
      <w:sz w:val="28"/>
      <w:szCs w:val="28"/>
    </w:rPr>
  </w:style>
  <w:style w:type="character" w:customStyle="1" w:styleId="257">
    <w:name w:val="Char Char3"/>
    <w:qFormat/>
    <w:uiPriority w:val="0"/>
    <w:rPr>
      <w:rFonts w:eastAsia="宋体"/>
      <w:kern w:val="2"/>
      <w:sz w:val="21"/>
      <w:szCs w:val="24"/>
      <w:lang w:val="en-US" w:eastAsia="zh-CN" w:bidi="ar-SA"/>
    </w:rPr>
  </w:style>
  <w:style w:type="character" w:customStyle="1" w:styleId="258">
    <w:name w:val="正文 编号 Char"/>
    <w:qFormat/>
    <w:uiPriority w:val="0"/>
    <w:rPr>
      <w:rFonts w:ascii="仿宋_GB2312" w:hAnsi="仿宋_GB2312" w:eastAsia="仿宋_GB2312"/>
      <w:kern w:val="2"/>
      <w:sz w:val="24"/>
      <w:lang w:bidi="ar-SA"/>
    </w:rPr>
  </w:style>
  <w:style w:type="character" w:customStyle="1" w:styleId="259">
    <w:name w:val="question-title2"/>
    <w:qFormat/>
    <w:uiPriority w:val="6"/>
    <w:rPr>
      <w:rFonts w:ascii="Arial" w:hAnsi="Arial" w:eastAsia="黑体" w:cs="Arial"/>
      <w:snapToGrid w:val="0"/>
      <w:kern w:val="0"/>
      <w:szCs w:val="21"/>
    </w:rPr>
  </w:style>
  <w:style w:type="character" w:customStyle="1" w:styleId="260">
    <w:name w:val="gf正文1 Char Char"/>
    <w:link w:val="261"/>
    <w:qFormat/>
    <w:uiPriority w:val="0"/>
    <w:rPr>
      <w:rFonts w:ascii="宋体" w:hAnsi="宋体" w:cs="宋体"/>
      <w:kern w:val="2"/>
      <w:sz w:val="24"/>
      <w:szCs w:val="24"/>
    </w:rPr>
  </w:style>
  <w:style w:type="paragraph" w:customStyle="1" w:styleId="261">
    <w:name w:val="gf正文1"/>
    <w:basedOn w:val="1"/>
    <w:link w:val="260"/>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62">
    <w:name w:val="Char Char15"/>
    <w:qFormat/>
    <w:uiPriority w:val="6"/>
    <w:rPr>
      <w:rFonts w:ascii="宋体" w:hAnsi="宋体"/>
      <w:kern w:val="1"/>
      <w:sz w:val="21"/>
    </w:rPr>
  </w:style>
  <w:style w:type="character" w:customStyle="1" w:styleId="263">
    <w:name w:val="正文缩进 Char3"/>
    <w:qFormat/>
    <w:uiPriority w:val="0"/>
    <w:rPr>
      <w:rFonts w:ascii="宋体" w:eastAsia="宋体"/>
      <w:snapToGrid w:val="0"/>
      <w:color w:val="000000"/>
      <w:kern w:val="28"/>
      <w:sz w:val="28"/>
      <w:lang w:val="en-US" w:eastAsia="zh-CN" w:bidi="ar-SA"/>
    </w:rPr>
  </w:style>
  <w:style w:type="character" w:customStyle="1" w:styleId="264">
    <w:name w:val="列出段落 Char1"/>
    <w:link w:val="265"/>
    <w:qFormat/>
    <w:uiPriority w:val="0"/>
    <w:rPr>
      <w:rFonts w:ascii="Calibri" w:hAnsi="Calibri"/>
      <w:sz w:val="24"/>
      <w:lang w:eastAsia="en-US"/>
    </w:rPr>
  </w:style>
  <w:style w:type="paragraph" w:customStyle="1" w:styleId="265">
    <w:name w:val="列表1"/>
    <w:basedOn w:val="1"/>
    <w:next w:val="80"/>
    <w:link w:val="264"/>
    <w:qFormat/>
    <w:uiPriority w:val="0"/>
    <w:pPr>
      <w:widowControl/>
      <w:adjustRightInd/>
      <w:spacing w:after="200" w:line="360" w:lineRule="auto"/>
      <w:ind w:left="720" w:firstLine="200" w:firstLineChars="200"/>
      <w:jc w:val="left"/>
    </w:pPr>
    <w:rPr>
      <w:kern w:val="0"/>
      <w:sz w:val="24"/>
      <w:szCs w:val="20"/>
      <w:lang w:eastAsia="en-US"/>
    </w:rPr>
  </w:style>
  <w:style w:type="character" w:customStyle="1" w:styleId="266">
    <w:name w:val="Char Char8"/>
    <w:qFormat/>
    <w:uiPriority w:val="0"/>
    <w:rPr>
      <w:rFonts w:eastAsia="宋体"/>
      <w:b/>
      <w:sz w:val="24"/>
      <w:lang w:val="en-GB" w:eastAsia="zh-CN"/>
    </w:rPr>
  </w:style>
  <w:style w:type="character" w:customStyle="1" w:styleId="267">
    <w:name w:val="Normal Indent Char Char"/>
    <w:qFormat/>
    <w:uiPriority w:val="0"/>
    <w:rPr>
      <w:rFonts w:eastAsia="宋体"/>
      <w:kern w:val="2"/>
      <w:sz w:val="21"/>
      <w:lang w:val="en-US" w:eastAsia="zh-CN" w:bidi="ar-SA"/>
    </w:rPr>
  </w:style>
  <w:style w:type="character" w:customStyle="1" w:styleId="268">
    <w:name w:val="列表段落 字符"/>
    <w:qFormat/>
    <w:uiPriority w:val="99"/>
  </w:style>
  <w:style w:type="character" w:customStyle="1" w:styleId="269">
    <w:name w:val="Ò³Ã¼ Char Char1"/>
    <w:qFormat/>
    <w:uiPriority w:val="0"/>
    <w:rPr>
      <w:rFonts w:eastAsia="宋体"/>
      <w:kern w:val="2"/>
      <w:sz w:val="18"/>
      <w:szCs w:val="18"/>
      <w:lang w:val="en-US" w:eastAsia="zh-CN" w:bidi="ar-SA"/>
    </w:rPr>
  </w:style>
  <w:style w:type="character" w:customStyle="1" w:styleId="270">
    <w:name w:val="方案正文 Char"/>
    <w:qFormat/>
    <w:uiPriority w:val="0"/>
    <w:rPr>
      <w:rFonts w:ascii="仿宋_GB2312" w:eastAsia="仿宋_GB2312"/>
      <w:b/>
      <w:color w:val="000000"/>
      <w:kern w:val="2"/>
      <w:sz w:val="24"/>
      <w:lang w:val="en-US" w:eastAsia="zh-CN" w:bidi="ar-SA"/>
    </w:rPr>
  </w:style>
  <w:style w:type="character" w:customStyle="1" w:styleId="271">
    <w:name w:val="Char Char30"/>
    <w:qFormat/>
    <w:uiPriority w:val="6"/>
    <w:rPr>
      <w:rFonts w:ascii="Arial" w:hAnsi="Arial" w:eastAsia="黑体"/>
      <w:kern w:val="1"/>
      <w:sz w:val="21"/>
      <w:szCs w:val="21"/>
    </w:rPr>
  </w:style>
  <w:style w:type="character" w:customStyle="1" w:styleId="272">
    <w:name w:val="正文文本缩进 字符1"/>
    <w:link w:val="2"/>
    <w:qFormat/>
    <w:uiPriority w:val="0"/>
    <w:rPr>
      <w:rFonts w:ascii="宋体" w:hAnsi="宋体"/>
      <w:kern w:val="2"/>
      <w:sz w:val="24"/>
      <w:szCs w:val="24"/>
    </w:rPr>
  </w:style>
  <w:style w:type="character" w:customStyle="1" w:styleId="273">
    <w:name w:val="font01"/>
    <w:qFormat/>
    <w:uiPriority w:val="0"/>
    <w:rPr>
      <w:rFonts w:hint="eastAsia" w:ascii="微软雅黑" w:hAnsi="微软雅黑" w:eastAsia="微软雅黑" w:cs="微软雅黑"/>
      <w:color w:val="000000"/>
      <w:sz w:val="20"/>
      <w:szCs w:val="20"/>
      <w:u w:val="none"/>
    </w:rPr>
  </w:style>
  <w:style w:type="character" w:customStyle="1" w:styleId="274">
    <w:name w:val="Char Char20"/>
    <w:qFormat/>
    <w:uiPriority w:val="6"/>
    <w:rPr>
      <w:kern w:val="1"/>
      <w:sz w:val="24"/>
    </w:rPr>
  </w:style>
  <w:style w:type="character" w:customStyle="1" w:styleId="275">
    <w:name w:val="tw4winExternal"/>
    <w:qFormat/>
    <w:uiPriority w:val="0"/>
    <w:rPr>
      <w:rFonts w:ascii="Courier New" w:hAnsi="Courier New" w:cs="Courier New"/>
      <w:color w:val="808080"/>
      <w:lang w:val="en-US" w:eastAsia="zh-CN"/>
    </w:rPr>
  </w:style>
  <w:style w:type="character" w:customStyle="1" w:styleId="276">
    <w:name w:val="标题 4 Char1"/>
    <w:qFormat/>
    <w:uiPriority w:val="9"/>
    <w:rPr>
      <w:rFonts w:ascii="Cambria" w:hAnsi="Cambria" w:eastAsia="宋体" w:cs="Times New Roman"/>
      <w:b/>
      <w:bCs/>
      <w:kern w:val="2"/>
      <w:sz w:val="28"/>
      <w:szCs w:val="28"/>
    </w:rPr>
  </w:style>
  <w:style w:type="character" w:customStyle="1" w:styleId="277">
    <w:name w:val="批注文字 Char2"/>
    <w:qFormat/>
    <w:uiPriority w:val="99"/>
    <w:rPr>
      <w:rFonts w:ascii="Times New Roman" w:hAnsi="Times New Roman" w:eastAsia="宋体" w:cs="Times New Roman"/>
      <w:snapToGrid w:val="0"/>
      <w:kern w:val="0"/>
      <w:szCs w:val="24"/>
    </w:rPr>
  </w:style>
  <w:style w:type="character" w:customStyle="1" w:styleId="278">
    <w:name w:val="正文文本 2 Char"/>
    <w:qFormat/>
    <w:uiPriority w:val="0"/>
    <w:rPr>
      <w:rFonts w:eastAsia="宋体"/>
      <w:kern w:val="2"/>
      <w:sz w:val="21"/>
      <w:szCs w:val="24"/>
      <w:lang w:val="en-US" w:eastAsia="zh-CN" w:bidi="ar-SA"/>
    </w:rPr>
  </w:style>
  <w:style w:type="character" w:customStyle="1" w:styleId="279">
    <w:name w:val="Ò³Ã¼ Char Char"/>
    <w:qFormat/>
    <w:uiPriority w:val="0"/>
    <w:rPr>
      <w:rFonts w:eastAsia="宋体"/>
      <w:kern w:val="2"/>
      <w:sz w:val="18"/>
      <w:lang w:val="en-US" w:eastAsia="zh-CN" w:bidi="ar-SA"/>
    </w:rPr>
  </w:style>
  <w:style w:type="character" w:customStyle="1" w:styleId="280">
    <w:name w:val="message1"/>
    <w:qFormat/>
    <w:uiPriority w:val="0"/>
    <w:rPr>
      <w:rFonts w:hint="default" w:ascii="Tahoma" w:hAnsi="Tahoma" w:cs="Tahoma"/>
      <w:sz w:val="18"/>
      <w:szCs w:val="18"/>
    </w:rPr>
  </w:style>
  <w:style w:type="character" w:customStyle="1" w:styleId="281">
    <w:name w:val="Char Char23"/>
    <w:qFormat/>
    <w:uiPriority w:val="6"/>
    <w:rPr>
      <w:color w:val="0000FF"/>
      <w:sz w:val="21"/>
    </w:rPr>
  </w:style>
  <w:style w:type="character" w:customStyle="1" w:styleId="282">
    <w:name w:val="批注框文本 字符"/>
    <w:qFormat/>
    <w:uiPriority w:val="0"/>
    <w:rPr>
      <w:rFonts w:ascii="Arial" w:hAnsi="Arial" w:eastAsia="黑体" w:cs="Arial"/>
      <w:snapToGrid w:val="0"/>
      <w:kern w:val="0"/>
      <w:sz w:val="18"/>
      <w:szCs w:val="18"/>
    </w:rPr>
  </w:style>
  <w:style w:type="character" w:customStyle="1" w:styleId="283">
    <w:name w:val="纯文本 Char2"/>
    <w:semiHidden/>
    <w:qFormat/>
    <w:uiPriority w:val="99"/>
    <w:rPr>
      <w:rFonts w:ascii="宋体" w:hAnsi="Courier New" w:eastAsia="宋体" w:cs="Courier New"/>
    </w:rPr>
  </w:style>
  <w:style w:type="character" w:customStyle="1" w:styleId="284">
    <w:name w:val="Char Char25"/>
    <w:qFormat/>
    <w:uiPriority w:val="6"/>
    <w:rPr>
      <w:rFonts w:ascii="宋体" w:hAnsi="宋体"/>
      <w:kern w:val="1"/>
      <w:sz w:val="24"/>
      <w:lang w:val="zh-CN"/>
    </w:rPr>
  </w:style>
  <w:style w:type="character" w:customStyle="1" w:styleId="285">
    <w:name w:val="Char Char411"/>
    <w:qFormat/>
    <w:uiPriority w:val="0"/>
    <w:rPr>
      <w:rFonts w:eastAsia="宋体"/>
      <w:b/>
      <w:sz w:val="24"/>
      <w:lang w:val="en-GB" w:eastAsia="zh-CN" w:bidi="ar-SA"/>
    </w:rPr>
  </w:style>
  <w:style w:type="character" w:customStyle="1" w:styleId="286">
    <w:name w:val="Heading 7 Char"/>
    <w:qFormat/>
    <w:locked/>
    <w:uiPriority w:val="0"/>
    <w:rPr>
      <w:rFonts w:ascii="宋体" w:hAnsi="宋体" w:eastAsia="宋体"/>
      <w:b/>
      <w:bCs/>
      <w:kern w:val="2"/>
      <w:sz w:val="24"/>
      <w:szCs w:val="24"/>
      <w:lang w:val="en-US" w:eastAsia="zh-CN" w:bidi="ar-SA"/>
    </w:rPr>
  </w:style>
  <w:style w:type="character" w:customStyle="1" w:styleId="287">
    <w:name w:val="此正文 Char"/>
    <w:link w:val="288"/>
    <w:qFormat/>
    <w:uiPriority w:val="0"/>
    <w:rPr>
      <w:kern w:val="2"/>
      <w:sz w:val="24"/>
      <w:szCs w:val="24"/>
    </w:rPr>
  </w:style>
  <w:style w:type="paragraph" w:customStyle="1" w:styleId="288">
    <w:name w:val="此正文"/>
    <w:basedOn w:val="1"/>
    <w:link w:val="287"/>
    <w:qFormat/>
    <w:uiPriority w:val="0"/>
    <w:pPr>
      <w:adjustRightInd/>
      <w:spacing w:line="360" w:lineRule="auto"/>
      <w:ind w:firstLine="200" w:firstLineChars="200"/>
    </w:pPr>
    <w:rPr>
      <w:sz w:val="24"/>
    </w:rPr>
  </w:style>
  <w:style w:type="character" w:customStyle="1" w:styleId="289">
    <w:name w:val="Char Char2"/>
    <w:qFormat/>
    <w:uiPriority w:val="0"/>
    <w:rPr>
      <w:rFonts w:eastAsia="宋体"/>
      <w:b/>
      <w:bCs/>
      <w:kern w:val="2"/>
      <w:sz w:val="21"/>
      <w:szCs w:val="24"/>
      <w:lang w:val="en-US" w:eastAsia="zh-CN" w:bidi="ar-SA"/>
    </w:rPr>
  </w:style>
  <w:style w:type="character" w:customStyle="1" w:styleId="290">
    <w:name w:val="标题 1 字符1"/>
    <w:link w:val="3"/>
    <w:qFormat/>
    <w:uiPriority w:val="9"/>
    <w:rPr>
      <w:b/>
      <w:bCs/>
      <w:kern w:val="44"/>
      <w:sz w:val="44"/>
      <w:szCs w:val="44"/>
    </w:rPr>
  </w:style>
  <w:style w:type="character" w:customStyle="1" w:styleId="291">
    <w:name w:val="Footer-Even Char1"/>
    <w:qFormat/>
    <w:uiPriority w:val="0"/>
    <w:rPr>
      <w:rFonts w:eastAsia="宋体"/>
      <w:kern w:val="2"/>
      <w:sz w:val="18"/>
      <w:szCs w:val="18"/>
      <w:lang w:val="en-US" w:eastAsia="zh-CN" w:bidi="ar-SA"/>
    </w:rPr>
  </w:style>
  <w:style w:type="character" w:customStyle="1" w:styleId="292">
    <w:name w:val="Char Char29"/>
    <w:qFormat/>
    <w:uiPriority w:val="6"/>
    <w:rPr>
      <w:rFonts w:ascii="Arial" w:hAnsi="Arial" w:eastAsia="微软雅黑"/>
      <w:b/>
      <w:kern w:val="1"/>
      <w:sz w:val="44"/>
      <w:szCs w:val="32"/>
      <w:lang w:val="en-US" w:eastAsia="zh-CN" w:bidi="ar-SA"/>
    </w:rPr>
  </w:style>
  <w:style w:type="character" w:customStyle="1" w:styleId="293">
    <w:name w:val="标题 字符"/>
    <w:link w:val="60"/>
    <w:qFormat/>
    <w:uiPriority w:val="10"/>
    <w:rPr>
      <w:b/>
      <w:sz w:val="24"/>
      <w:lang w:val="en-GB"/>
    </w:rPr>
  </w:style>
  <w:style w:type="character" w:customStyle="1" w:styleId="294">
    <w:name w:val="font81"/>
    <w:qFormat/>
    <w:uiPriority w:val="0"/>
    <w:rPr>
      <w:rFonts w:ascii="微软雅黑" w:hAnsi="微软雅黑" w:eastAsia="微软雅黑" w:cs="微软雅黑"/>
      <w:color w:val="000000"/>
      <w:sz w:val="20"/>
      <w:szCs w:val="20"/>
      <w:u w:val="none"/>
    </w:rPr>
  </w:style>
  <w:style w:type="character" w:customStyle="1" w:styleId="295">
    <w:name w:val="Char Char312"/>
    <w:qFormat/>
    <w:uiPriority w:val="0"/>
    <w:rPr>
      <w:rFonts w:ascii="Times New Roman" w:hAnsi="Times New Roman" w:eastAsia="宋体" w:cs="Times New Roman"/>
      <w:b/>
      <w:kern w:val="2"/>
      <w:sz w:val="32"/>
      <w:szCs w:val="24"/>
      <w:lang w:val="en-US" w:eastAsia="zh-CN" w:bidi="ar-SA"/>
    </w:rPr>
  </w:style>
  <w:style w:type="character" w:customStyle="1" w:styleId="296">
    <w:name w:val="t21"/>
    <w:qFormat/>
    <w:uiPriority w:val="0"/>
    <w:rPr>
      <w:rFonts w:ascii="仿宋_GB2312" w:eastAsia="微软雅黑"/>
      <w:b/>
      <w:kern w:val="2"/>
      <w:sz w:val="23"/>
      <w:szCs w:val="23"/>
      <w:lang w:val="en-US" w:eastAsia="zh-CN" w:bidi="ar-SA"/>
    </w:rPr>
  </w:style>
  <w:style w:type="character" w:customStyle="1" w:styleId="297">
    <w:name w:val="样式8 Char"/>
    <w:qFormat/>
    <w:uiPriority w:val="0"/>
    <w:rPr>
      <w:rFonts w:ascii="仿宋_GB2312" w:hAnsi="宋体" w:eastAsia="仿宋_GB2312"/>
      <w:b/>
      <w:bCs/>
      <w:kern w:val="2"/>
      <w:sz w:val="24"/>
      <w:szCs w:val="24"/>
    </w:rPr>
  </w:style>
  <w:style w:type="character" w:customStyle="1" w:styleId="298">
    <w:name w:val="表格 Char Char"/>
    <w:qFormat/>
    <w:uiPriority w:val="0"/>
    <w:rPr>
      <w:rFonts w:ascii="宋体" w:hAnsi="宋体" w:eastAsia="宋体"/>
      <w:lang w:bidi="ar-SA"/>
    </w:rPr>
  </w:style>
  <w:style w:type="character" w:customStyle="1" w:styleId="299">
    <w:name w:val="正文文本 字符1"/>
    <w:qFormat/>
    <w:uiPriority w:val="0"/>
    <w:rPr>
      <w:rFonts w:ascii="Calibri" w:hAnsi="Calibri" w:eastAsia="黑体" w:cs="Arial"/>
      <w:snapToGrid w:val="0"/>
      <w:kern w:val="2"/>
      <w:sz w:val="28"/>
      <w:szCs w:val="21"/>
    </w:rPr>
  </w:style>
  <w:style w:type="character" w:customStyle="1" w:styleId="300">
    <w:name w:val="标题 6 Char1"/>
    <w:qFormat/>
    <w:uiPriority w:val="0"/>
    <w:rPr>
      <w:rFonts w:ascii="Arial" w:hAnsi="Arial" w:eastAsia="黑体" w:cs="Times New Roman"/>
      <w:b/>
      <w:sz w:val="24"/>
      <w:szCs w:val="20"/>
      <w:lang w:bidi="ar-SA"/>
    </w:rPr>
  </w:style>
  <w:style w:type="character" w:customStyle="1" w:styleId="301">
    <w:name w:val="带编号样式 Char"/>
    <w:qFormat/>
    <w:uiPriority w:val="0"/>
    <w:rPr>
      <w:rFonts w:ascii="仿宋_GB2312" w:eastAsia="仿宋_GB2312"/>
      <w:color w:val="000000"/>
      <w:sz w:val="24"/>
      <w:lang w:bidi="ar-SA"/>
    </w:rPr>
  </w:style>
  <w:style w:type="character" w:customStyle="1" w:styleId="302">
    <w:name w:val="unnamed31"/>
    <w:qFormat/>
    <w:uiPriority w:val="0"/>
    <w:rPr>
      <w:rFonts w:ascii="Tahoma" w:hAnsi="Tahoma" w:eastAsia="宋体"/>
      <w:b/>
      <w:kern w:val="2"/>
      <w:sz w:val="24"/>
      <w:szCs w:val="32"/>
      <w:u w:val="none"/>
      <w:lang w:val="en-US" w:eastAsia="zh-CN" w:bidi="ar-SA"/>
    </w:rPr>
  </w:style>
  <w:style w:type="character" w:customStyle="1" w:styleId="303">
    <w:name w:val="正文首行缩进 Char Char Char Char Char Char1"/>
    <w:qFormat/>
    <w:uiPriority w:val="0"/>
    <w:rPr>
      <w:rFonts w:ascii="宋体" w:eastAsia="宋体"/>
      <w:kern w:val="2"/>
      <w:sz w:val="24"/>
      <w:szCs w:val="24"/>
      <w:lang w:val="zh-CN" w:bidi="ar-SA"/>
    </w:rPr>
  </w:style>
  <w:style w:type="character" w:customStyle="1" w:styleId="304">
    <w:name w:val="称呼 字符"/>
    <w:link w:val="21"/>
    <w:qFormat/>
    <w:uiPriority w:val="0"/>
    <w:rPr>
      <w:rFonts w:ascii="仿宋_GB2312" w:eastAsia="仿宋_GB2312"/>
      <w:kern w:val="2"/>
      <w:sz w:val="28"/>
    </w:rPr>
  </w:style>
  <w:style w:type="character" w:customStyle="1" w:styleId="305">
    <w:name w:val="文本正文 Char Char"/>
    <w:qFormat/>
    <w:locked/>
    <w:uiPriority w:val="0"/>
    <w:rPr>
      <w:sz w:val="24"/>
      <w:lang w:bidi="ar-SA"/>
    </w:rPr>
  </w:style>
  <w:style w:type="character" w:customStyle="1" w:styleId="306">
    <w:name w:val="HTML 预设格式 字符"/>
    <w:link w:val="58"/>
    <w:qFormat/>
    <w:uiPriority w:val="0"/>
    <w:rPr>
      <w:rFonts w:ascii="黑体" w:hAnsi="Courier New" w:eastAsia="黑体"/>
    </w:rPr>
  </w:style>
  <w:style w:type="character" w:customStyle="1" w:styleId="307">
    <w:name w:val="正文文本 2 字符1"/>
    <w:link w:val="57"/>
    <w:qFormat/>
    <w:uiPriority w:val="0"/>
    <w:rPr>
      <w:kern w:val="2"/>
      <w:sz w:val="21"/>
      <w:szCs w:val="24"/>
    </w:rPr>
  </w:style>
  <w:style w:type="character" w:customStyle="1" w:styleId="308">
    <w:name w:val="样式 样式 标题 4h4H4Fab-4T5Ref Heading 1rh1Heading sqlsect 1.2.3.... +... Char"/>
    <w:link w:val="309"/>
    <w:qFormat/>
    <w:uiPriority w:val="0"/>
    <w:rPr>
      <w:rFonts w:ascii="微软雅黑" w:hAnsi="微软雅黑" w:eastAsia="微软雅黑"/>
      <w:b/>
      <w:bCs/>
      <w:kern w:val="2"/>
      <w:sz w:val="24"/>
      <w:szCs w:val="28"/>
    </w:rPr>
  </w:style>
  <w:style w:type="paragraph" w:customStyle="1" w:styleId="309">
    <w:name w:val="样式 样式 标题 4h4H4Fab-4T5Ref Heading 1rh1Heading sqlsect 1.2.3.... +..."/>
    <w:basedOn w:val="310"/>
    <w:link w:val="308"/>
    <w:qFormat/>
    <w:uiPriority w:val="0"/>
    <w:pPr>
      <w:tabs>
        <w:tab w:val="left" w:pos="2356"/>
      </w:tabs>
    </w:pPr>
  </w:style>
  <w:style w:type="paragraph" w:customStyle="1" w:styleId="310">
    <w:name w:val="样式 标题 4h4H4Fab-4T5Ref Heading 1rh1Heading sqlsect 1.2.3...."/>
    <w:basedOn w:val="7"/>
    <w:link w:val="415"/>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11">
    <w:name w:val="正文非缩进 Char"/>
    <w:qFormat/>
    <w:uiPriority w:val="0"/>
    <w:rPr>
      <w:rFonts w:ascii="宋体" w:eastAsia="宋体"/>
      <w:snapToGrid w:val="0"/>
      <w:color w:val="000000"/>
      <w:kern w:val="28"/>
      <w:sz w:val="28"/>
      <w:lang w:val="en-US" w:eastAsia="zh-CN" w:bidi="ar-SA"/>
    </w:rPr>
  </w:style>
  <w:style w:type="character" w:customStyle="1" w:styleId="312">
    <w:name w:val="正文文本缩进 2 字符"/>
    <w:link w:val="38"/>
    <w:qFormat/>
    <w:uiPriority w:val="0"/>
    <w:rPr>
      <w:rFonts w:ascii="宋体"/>
      <w:sz w:val="28"/>
    </w:rPr>
  </w:style>
  <w:style w:type="character" w:customStyle="1" w:styleId="313">
    <w:name w:val="Char Char5"/>
    <w:qFormat/>
    <w:uiPriority w:val="0"/>
    <w:rPr>
      <w:rFonts w:ascii="宋体" w:hAnsi="Courier New" w:eastAsia="宋体"/>
      <w:kern w:val="2"/>
      <w:sz w:val="21"/>
      <w:lang w:val="en-US" w:eastAsia="zh-CN"/>
    </w:rPr>
  </w:style>
  <w:style w:type="character" w:customStyle="1" w:styleId="314">
    <w:name w:val="脚注文本 字符"/>
    <w:link w:val="52"/>
    <w:qFormat/>
    <w:uiPriority w:val="0"/>
    <w:rPr>
      <w:color w:val="0000FF"/>
      <w:sz w:val="21"/>
    </w:rPr>
  </w:style>
  <w:style w:type="character" w:customStyle="1" w:styleId="315">
    <w:name w:val="称呼 Char1"/>
    <w:qFormat/>
    <w:uiPriority w:val="0"/>
    <w:rPr>
      <w:rFonts w:ascii="Times New Roman" w:hAnsi="Times New Roman" w:eastAsia="宋体" w:cs="Times New Roman"/>
      <w:szCs w:val="24"/>
    </w:rPr>
  </w:style>
  <w:style w:type="character" w:customStyle="1" w:styleId="316">
    <w:name w:val="正文1 Char"/>
    <w:qFormat/>
    <w:uiPriority w:val="0"/>
    <w:rPr>
      <w:rFonts w:ascii="宋体" w:eastAsia="宋体"/>
      <w:snapToGrid w:val="0"/>
      <w:color w:val="000000"/>
      <w:kern w:val="28"/>
      <w:sz w:val="28"/>
      <w:lang w:val="en-US" w:eastAsia="zh-CN" w:bidi="ar-SA"/>
    </w:rPr>
  </w:style>
  <w:style w:type="character" w:customStyle="1" w:styleId="317">
    <w:name w:val="正文缩进 Char1"/>
    <w:qFormat/>
    <w:uiPriority w:val="0"/>
    <w:rPr>
      <w:rFonts w:ascii="宋体" w:eastAsia="宋体"/>
      <w:snapToGrid w:val="0"/>
      <w:color w:val="000000"/>
      <w:kern w:val="28"/>
      <w:sz w:val="28"/>
      <w:lang w:val="en-US" w:eastAsia="zh-CN" w:bidi="ar-SA"/>
    </w:rPr>
  </w:style>
  <w:style w:type="character" w:customStyle="1" w:styleId="318">
    <w:name w:val="font21"/>
    <w:qFormat/>
    <w:uiPriority w:val="0"/>
    <w:rPr>
      <w:rFonts w:hint="eastAsia" w:ascii="宋体" w:hAnsi="宋体" w:eastAsia="宋体"/>
      <w:kern w:val="2"/>
      <w:sz w:val="28"/>
      <w:szCs w:val="28"/>
      <w:lang w:val="en-US" w:eastAsia="zh-CN" w:bidi="ar-SA"/>
    </w:rPr>
  </w:style>
  <w:style w:type="character" w:customStyle="1" w:styleId="319">
    <w:name w:val="Char Char26"/>
    <w:qFormat/>
    <w:uiPriority w:val="6"/>
    <w:rPr>
      <w:kern w:val="1"/>
      <w:sz w:val="21"/>
      <w:szCs w:val="24"/>
    </w:rPr>
  </w:style>
  <w:style w:type="character" w:customStyle="1" w:styleId="320">
    <w:name w:val="Item List Char"/>
    <w:link w:val="321"/>
    <w:qFormat/>
    <w:uiPriority w:val="0"/>
    <w:rPr>
      <w:rFonts w:ascii="Arial"/>
      <w:bCs/>
      <w:sz w:val="21"/>
      <w:szCs w:val="21"/>
      <w:lang w:val="en-US" w:eastAsia="zh-CN" w:bidi="ar-SA"/>
    </w:rPr>
  </w:style>
  <w:style w:type="paragraph" w:customStyle="1" w:styleId="321">
    <w:name w:val="Item List"/>
    <w:link w:val="320"/>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2">
    <w:name w:val="批注框文本 Char1"/>
    <w:qFormat/>
    <w:uiPriority w:val="0"/>
    <w:rPr>
      <w:rFonts w:ascii="Times New Roman" w:hAnsi="Times New Roman" w:eastAsia="宋体" w:cs="Times New Roman"/>
      <w:sz w:val="18"/>
      <w:szCs w:val="18"/>
    </w:rPr>
  </w:style>
  <w:style w:type="character" w:customStyle="1" w:styleId="323">
    <w:name w:val="纯文本 Char1"/>
    <w:link w:val="324"/>
    <w:qFormat/>
    <w:uiPriority w:val="0"/>
    <w:rPr>
      <w:rFonts w:ascii="宋体" w:hAnsi="Courier New"/>
    </w:rPr>
  </w:style>
  <w:style w:type="paragraph" w:customStyle="1" w:styleId="324">
    <w:name w:val="纯文本1"/>
    <w:basedOn w:val="1"/>
    <w:link w:val="323"/>
    <w:qFormat/>
    <w:uiPriority w:val="0"/>
    <w:pPr>
      <w:adjustRightInd/>
    </w:pPr>
    <w:rPr>
      <w:rFonts w:ascii="宋体" w:hAnsi="Courier New"/>
      <w:kern w:val="0"/>
      <w:sz w:val="20"/>
      <w:szCs w:val="20"/>
    </w:rPr>
  </w:style>
  <w:style w:type="character" w:customStyle="1" w:styleId="325">
    <w:name w:val="正文文本首行缩进 字符"/>
    <w:link w:val="25"/>
    <w:qFormat/>
    <w:uiPriority w:val="0"/>
    <w:rPr>
      <w:rFonts w:ascii="宋体"/>
      <w:kern w:val="2"/>
      <w:sz w:val="24"/>
      <w:lang w:val="zh-CN"/>
    </w:rPr>
  </w:style>
  <w:style w:type="character" w:customStyle="1" w:styleId="326">
    <w:name w:val="h3 Char"/>
    <w:qFormat/>
    <w:uiPriority w:val="0"/>
    <w:rPr>
      <w:rFonts w:eastAsia="宋体"/>
      <w:b/>
      <w:kern w:val="2"/>
      <w:sz w:val="32"/>
      <w:lang w:val="en-US" w:eastAsia="zh-CN" w:bidi="ar-SA"/>
    </w:rPr>
  </w:style>
  <w:style w:type="character" w:customStyle="1" w:styleId="327">
    <w:name w:val="dandyren_title1"/>
    <w:qFormat/>
    <w:uiPriority w:val="0"/>
    <w:rPr>
      <w:b/>
      <w:bCs/>
      <w:color w:val="FF6633"/>
      <w:sz w:val="18"/>
      <w:szCs w:val="18"/>
    </w:rPr>
  </w:style>
  <w:style w:type="character" w:customStyle="1" w:styleId="328">
    <w:name w:val="Char Char31"/>
    <w:qFormat/>
    <w:uiPriority w:val="6"/>
    <w:rPr>
      <w:rFonts w:ascii="Arial" w:hAnsi="Arial" w:eastAsia="黑体"/>
      <w:kern w:val="1"/>
      <w:sz w:val="24"/>
      <w:szCs w:val="24"/>
    </w:rPr>
  </w:style>
  <w:style w:type="character" w:customStyle="1" w:styleId="329">
    <w:name w:val="h Char1"/>
    <w:qFormat/>
    <w:uiPriority w:val="0"/>
    <w:rPr>
      <w:sz w:val="18"/>
      <w:szCs w:val="18"/>
    </w:rPr>
  </w:style>
  <w:style w:type="character" w:customStyle="1" w:styleId="330">
    <w:name w:val="solutionfonts"/>
    <w:qFormat/>
    <w:uiPriority w:val="0"/>
  </w:style>
  <w:style w:type="character" w:customStyle="1" w:styleId="331">
    <w:name w:val="标题 4 字符1"/>
    <w:link w:val="7"/>
    <w:qFormat/>
    <w:uiPriority w:val="9"/>
    <w:rPr>
      <w:rFonts w:ascii="Arial" w:hAnsi="Arial" w:eastAsia="黑体"/>
      <w:b/>
      <w:bCs/>
      <w:kern w:val="2"/>
      <w:sz w:val="28"/>
      <w:szCs w:val="28"/>
      <w:lang w:val="zh-CN"/>
    </w:rPr>
  </w:style>
  <w:style w:type="character" w:customStyle="1" w:styleId="332">
    <w:name w:val="首行缩进 Char"/>
    <w:qFormat/>
    <w:uiPriority w:val="0"/>
    <w:rPr>
      <w:rFonts w:ascii="宋体" w:eastAsia="宋体"/>
      <w:kern w:val="2"/>
      <w:sz w:val="24"/>
      <w:lang w:val="en-US" w:eastAsia="zh-CN" w:bidi="ar-SA"/>
    </w:rPr>
  </w:style>
  <w:style w:type="character" w:customStyle="1" w:styleId="333">
    <w:name w:val="Char Char52"/>
    <w:qFormat/>
    <w:uiPriority w:val="0"/>
    <w:rPr>
      <w:rFonts w:ascii="宋体" w:hAnsi="Courier New" w:eastAsia="宋体"/>
      <w:kern w:val="2"/>
      <w:sz w:val="21"/>
      <w:lang w:val="en-US" w:eastAsia="zh-CN"/>
    </w:rPr>
  </w:style>
  <w:style w:type="character" w:customStyle="1" w:styleId="334">
    <w:name w:val="正文文本 3 字符"/>
    <w:link w:val="22"/>
    <w:qFormat/>
    <w:uiPriority w:val="0"/>
    <w:rPr>
      <w:kern w:val="2"/>
      <w:sz w:val="21"/>
    </w:rPr>
  </w:style>
  <w:style w:type="character" w:customStyle="1" w:styleId="335">
    <w:name w:val="font31"/>
    <w:basedOn w:val="70"/>
    <w:qFormat/>
    <w:uiPriority w:val="0"/>
    <w:rPr>
      <w:rFonts w:hint="eastAsia" w:ascii="仿宋" w:hAnsi="仿宋" w:eastAsia="仿宋" w:cs="仿宋"/>
      <w:color w:val="000000"/>
      <w:sz w:val="20"/>
      <w:szCs w:val="20"/>
      <w:u w:val="none"/>
    </w:rPr>
  </w:style>
  <w:style w:type="character" w:customStyle="1" w:styleId="336">
    <w:name w:val="正文说明 Char"/>
    <w:link w:val="337"/>
    <w:qFormat/>
    <w:uiPriority w:val="0"/>
    <w:rPr>
      <w:sz w:val="24"/>
      <w:szCs w:val="24"/>
    </w:rPr>
  </w:style>
  <w:style w:type="paragraph" w:customStyle="1" w:styleId="337">
    <w:name w:val="正文说明"/>
    <w:basedOn w:val="1"/>
    <w:link w:val="336"/>
    <w:qFormat/>
    <w:uiPriority w:val="0"/>
    <w:pPr>
      <w:adjustRightInd/>
      <w:spacing w:line="360" w:lineRule="auto"/>
    </w:pPr>
    <w:rPr>
      <w:kern w:val="0"/>
      <w:sz w:val="24"/>
    </w:rPr>
  </w:style>
  <w:style w:type="character" w:customStyle="1" w:styleId="338">
    <w:name w:val="脚注文本 Char1"/>
    <w:qFormat/>
    <w:uiPriority w:val="0"/>
    <w:rPr>
      <w:rFonts w:ascii="Times New Roman" w:hAnsi="Times New Roman" w:eastAsia="宋体" w:cs="Times New Roman"/>
      <w:sz w:val="18"/>
      <w:szCs w:val="18"/>
    </w:rPr>
  </w:style>
  <w:style w:type="character" w:customStyle="1" w:styleId="339">
    <w:name w:val="Char Char1211"/>
    <w:qFormat/>
    <w:uiPriority w:val="0"/>
    <w:rPr>
      <w:rFonts w:ascii="仿宋_GB2312" w:eastAsia="仿宋_GB2312"/>
      <w:b/>
      <w:bCs/>
      <w:kern w:val="2"/>
      <w:sz w:val="24"/>
      <w:szCs w:val="24"/>
      <w:lang w:val="zh-CN" w:eastAsia="zh-CN" w:bidi="ar-SA"/>
    </w:rPr>
  </w:style>
  <w:style w:type="character" w:customStyle="1" w:styleId="340">
    <w:name w:val="标题 Char"/>
    <w:qFormat/>
    <w:uiPriority w:val="0"/>
    <w:rPr>
      <w:rFonts w:eastAsia="宋体"/>
      <w:b/>
      <w:sz w:val="24"/>
      <w:lang w:val="en-GB" w:eastAsia="zh-CN" w:bidi="ar-SA"/>
    </w:rPr>
  </w:style>
  <w:style w:type="character" w:customStyle="1" w:styleId="341">
    <w:name w:val="Char Char35"/>
    <w:qFormat/>
    <w:uiPriority w:val="6"/>
    <w:rPr>
      <w:rFonts w:ascii="Arial" w:hAnsi="Arial" w:eastAsia="黑体"/>
      <w:b/>
      <w:kern w:val="1"/>
      <w:sz w:val="28"/>
      <w:szCs w:val="28"/>
      <w:lang w:val="zh-CN"/>
    </w:rPr>
  </w:style>
  <w:style w:type="character" w:customStyle="1" w:styleId="342">
    <w:name w:val="纯文本 Char Char Char"/>
    <w:qFormat/>
    <w:uiPriority w:val="0"/>
    <w:rPr>
      <w:rFonts w:ascii="宋体" w:hAnsi="Courier New" w:eastAsia="宋体"/>
      <w:kern w:val="2"/>
      <w:sz w:val="21"/>
      <w:lang w:val="en-US" w:eastAsia="zh-CN" w:bidi="ar-SA"/>
    </w:rPr>
  </w:style>
  <w:style w:type="character" w:customStyle="1" w:styleId="343">
    <w:name w:val="Table Text Char"/>
    <w:link w:val="344"/>
    <w:qFormat/>
    <w:uiPriority w:val="0"/>
    <w:rPr>
      <w:sz w:val="24"/>
      <w:szCs w:val="24"/>
    </w:rPr>
  </w:style>
  <w:style w:type="paragraph" w:customStyle="1" w:styleId="344">
    <w:name w:val="Table Text"/>
    <w:basedOn w:val="1"/>
    <w:link w:val="343"/>
    <w:qFormat/>
    <w:uiPriority w:val="0"/>
    <w:pPr>
      <w:widowControl/>
      <w:spacing w:before="60" w:after="60"/>
      <w:jc w:val="left"/>
    </w:pPr>
    <w:rPr>
      <w:kern w:val="0"/>
      <w:sz w:val="24"/>
    </w:rPr>
  </w:style>
  <w:style w:type="character" w:customStyle="1" w:styleId="345">
    <w:name w:val="正文1 Char1"/>
    <w:qFormat/>
    <w:uiPriority w:val="0"/>
    <w:rPr>
      <w:rFonts w:ascii="仿宋_GB2312" w:hAnsi="Courier New" w:eastAsia="仿宋_GB2312"/>
      <w:kern w:val="28"/>
      <w:sz w:val="24"/>
      <w:szCs w:val="24"/>
      <w:lang w:val="en-US" w:eastAsia="zh-CN"/>
    </w:rPr>
  </w:style>
  <w:style w:type="character" w:customStyle="1" w:styleId="346">
    <w:name w:val="页脚 Char1"/>
    <w:qFormat/>
    <w:uiPriority w:val="0"/>
    <w:rPr>
      <w:rFonts w:eastAsia="宋体"/>
      <w:kern w:val="2"/>
      <w:sz w:val="18"/>
      <w:szCs w:val="18"/>
      <w:lang w:val="en-US" w:eastAsia="zh-CN" w:bidi="ar-SA"/>
    </w:rPr>
  </w:style>
  <w:style w:type="character" w:customStyle="1" w:styleId="347">
    <w:name w:val="Bold"/>
    <w:qFormat/>
    <w:uiPriority w:val="0"/>
    <w:rPr>
      <w:rFonts w:ascii="Arial" w:hAnsi="Arial" w:eastAsia="黑体" w:cs="Times New Roman"/>
      <w:b/>
      <w:kern w:val="2"/>
      <w:sz w:val="32"/>
      <w:szCs w:val="32"/>
      <w:lang w:val="en-US" w:eastAsia="zh-CN" w:bidi="ar-SA"/>
    </w:rPr>
  </w:style>
  <w:style w:type="character" w:customStyle="1" w:styleId="348">
    <w:name w:val="批注文字 字符1"/>
    <w:link w:val="20"/>
    <w:qFormat/>
    <w:uiPriority w:val="99"/>
    <w:rPr>
      <w:kern w:val="2"/>
      <w:sz w:val="21"/>
      <w:szCs w:val="24"/>
    </w:rPr>
  </w:style>
  <w:style w:type="character" w:customStyle="1" w:styleId="349">
    <w:name w:val="签名 字符"/>
    <w:link w:val="44"/>
    <w:qFormat/>
    <w:uiPriority w:val="0"/>
    <w:rPr>
      <w:rFonts w:eastAsia="仿宋_GB2312"/>
      <w:sz w:val="24"/>
    </w:rPr>
  </w:style>
  <w:style w:type="character" w:customStyle="1" w:styleId="350">
    <w:name w:val="hui3"/>
    <w:qFormat/>
    <w:uiPriority w:val="0"/>
    <w:rPr>
      <w:color w:val="333333"/>
    </w:rPr>
  </w:style>
  <w:style w:type="character" w:customStyle="1" w:styleId="351">
    <w:name w:val="Char Char17"/>
    <w:qFormat/>
    <w:uiPriority w:val="6"/>
    <w:rPr>
      <w:rFonts w:eastAsia="仿宋_GB2312"/>
      <w:sz w:val="24"/>
    </w:rPr>
  </w:style>
  <w:style w:type="character" w:customStyle="1" w:styleId="352">
    <w:name w:val="Char Char37"/>
    <w:qFormat/>
    <w:uiPriority w:val="6"/>
    <w:rPr>
      <w:b/>
      <w:kern w:val="1"/>
      <w:sz w:val="44"/>
      <w:szCs w:val="44"/>
    </w:rPr>
  </w:style>
  <w:style w:type="character" w:customStyle="1" w:styleId="353">
    <w:name w:val="列出段落 Char"/>
    <w:qFormat/>
    <w:uiPriority w:val="0"/>
    <w:rPr>
      <w:rFonts w:eastAsia="楷体_GB2312" w:cs="Lucida Sans"/>
      <w:kern w:val="2"/>
      <w:sz w:val="24"/>
      <w:szCs w:val="24"/>
      <w:lang w:val="en-US" w:eastAsia="zh-CN" w:bidi="ar-SA"/>
    </w:rPr>
  </w:style>
  <w:style w:type="character" w:customStyle="1" w:styleId="354">
    <w:name w:val="正文文本缩进 3 Char1"/>
    <w:semiHidden/>
    <w:qFormat/>
    <w:uiPriority w:val="99"/>
    <w:rPr>
      <w:rFonts w:ascii="Times New Roman" w:hAnsi="Times New Roman" w:eastAsia="宋体" w:cs="Times New Roman"/>
      <w:sz w:val="16"/>
      <w:szCs w:val="16"/>
    </w:rPr>
  </w:style>
  <w:style w:type="character" w:customStyle="1" w:styleId="355">
    <w:name w:val="公文正文 Char Char"/>
    <w:link w:val="356"/>
    <w:qFormat/>
    <w:uiPriority w:val="0"/>
    <w:rPr>
      <w:rFonts w:ascii="仿宋_GB2312" w:eastAsia="仿宋_GB2312"/>
      <w:kern w:val="2"/>
      <w:sz w:val="24"/>
      <w:szCs w:val="24"/>
    </w:rPr>
  </w:style>
  <w:style w:type="paragraph" w:customStyle="1" w:styleId="356">
    <w:name w:val="公文正文"/>
    <w:basedOn w:val="1"/>
    <w:link w:val="355"/>
    <w:qFormat/>
    <w:uiPriority w:val="0"/>
    <w:pPr>
      <w:adjustRightInd/>
      <w:spacing w:before="156" w:line="360" w:lineRule="auto"/>
      <w:ind w:firstLine="360" w:firstLineChars="200"/>
    </w:pPr>
    <w:rPr>
      <w:rFonts w:ascii="仿宋_GB2312" w:eastAsia="仿宋_GB2312"/>
      <w:sz w:val="24"/>
    </w:rPr>
  </w:style>
  <w:style w:type="character" w:customStyle="1" w:styleId="357">
    <w:name w:val="Table Text Char1"/>
    <w:qFormat/>
    <w:uiPriority w:val="0"/>
    <w:rPr>
      <w:rFonts w:eastAsia="宋体"/>
      <w:sz w:val="24"/>
      <w:szCs w:val="24"/>
      <w:lang w:val="en-US" w:eastAsia="zh-CN" w:bidi="ar-SA"/>
    </w:rPr>
  </w:style>
  <w:style w:type="character" w:customStyle="1" w:styleId="358">
    <w:name w:val="标题 1 Char Char"/>
    <w:qFormat/>
    <w:uiPriority w:val="0"/>
    <w:rPr>
      <w:rFonts w:hint="eastAsia" w:ascii="宋体" w:hAnsi="宋体" w:eastAsia="宋体"/>
      <w:b/>
      <w:spacing w:val="-2"/>
      <w:sz w:val="24"/>
      <w:lang w:val="en-US" w:eastAsia="zh-CN" w:bidi="ar-SA"/>
    </w:rPr>
  </w:style>
  <w:style w:type="character" w:customStyle="1" w:styleId="359">
    <w:name w:val="正文（缩进2汉字） Char"/>
    <w:link w:val="360"/>
    <w:qFormat/>
    <w:uiPriority w:val="0"/>
    <w:rPr>
      <w:rFonts w:ascii="宋体"/>
    </w:rPr>
  </w:style>
  <w:style w:type="paragraph" w:customStyle="1" w:styleId="360">
    <w:name w:val="正文（缩进2汉字）"/>
    <w:basedOn w:val="1"/>
    <w:link w:val="359"/>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1">
    <w:name w:val="标题 8 字符"/>
    <w:link w:val="11"/>
    <w:qFormat/>
    <w:uiPriority w:val="0"/>
    <w:rPr>
      <w:rFonts w:ascii="Arial" w:hAnsi="Arial" w:eastAsia="黑体"/>
      <w:kern w:val="2"/>
      <w:sz w:val="24"/>
      <w:szCs w:val="24"/>
    </w:rPr>
  </w:style>
  <w:style w:type="character" w:customStyle="1" w:styleId="362">
    <w:name w:val="标书表格字体格式 Char"/>
    <w:qFormat/>
    <w:uiPriority w:val="0"/>
    <w:rPr>
      <w:kern w:val="2"/>
      <w:sz w:val="21"/>
      <w:szCs w:val="24"/>
      <w:lang w:bidi="ar-SA"/>
    </w:rPr>
  </w:style>
  <w:style w:type="character" w:customStyle="1" w:styleId="363">
    <w:name w:val="tw4winError"/>
    <w:qFormat/>
    <w:uiPriority w:val="0"/>
    <w:rPr>
      <w:rFonts w:ascii="Courier New" w:hAnsi="Courier New" w:cs="Courier New"/>
      <w:color w:val="00FF00"/>
      <w:sz w:val="40"/>
      <w:szCs w:val="40"/>
    </w:rPr>
  </w:style>
  <w:style w:type="character" w:customStyle="1" w:styleId="364">
    <w:name w:val="Body Text(ch) Char Char"/>
    <w:qFormat/>
    <w:uiPriority w:val="0"/>
    <w:rPr>
      <w:rFonts w:ascii="宋体"/>
      <w:kern w:val="2"/>
      <w:sz w:val="24"/>
      <w:szCs w:val="21"/>
      <w:lang w:val="zh-CN"/>
    </w:rPr>
  </w:style>
  <w:style w:type="character" w:customStyle="1" w:styleId="365">
    <w:name w:val="正文首行缩进两字 Char"/>
    <w:qFormat/>
    <w:uiPriority w:val="0"/>
    <w:rPr>
      <w:sz w:val="24"/>
      <w:szCs w:val="24"/>
      <w:lang w:val="en-US" w:eastAsia="zh-CN" w:bidi="ar-SA"/>
    </w:rPr>
  </w:style>
  <w:style w:type="character" w:customStyle="1" w:styleId="366">
    <w:name w:val="文档结构图 字符1"/>
    <w:qFormat/>
    <w:uiPriority w:val="0"/>
    <w:rPr>
      <w:rFonts w:ascii="宋体" w:hAnsi="Calibri" w:eastAsia="黑体" w:cs="Arial"/>
      <w:snapToGrid w:val="0"/>
      <w:kern w:val="2"/>
      <w:sz w:val="18"/>
      <w:szCs w:val="18"/>
    </w:rPr>
  </w:style>
  <w:style w:type="character" w:customStyle="1" w:styleId="367">
    <w:name w:val="content"/>
    <w:qFormat/>
    <w:uiPriority w:val="0"/>
  </w:style>
  <w:style w:type="character" w:customStyle="1" w:styleId="368">
    <w:name w:val="tw4winPopup"/>
    <w:qFormat/>
    <w:uiPriority w:val="0"/>
    <w:rPr>
      <w:rFonts w:ascii="Courier New" w:hAnsi="Courier New" w:cs="Courier New"/>
      <w:color w:val="008000"/>
      <w:lang w:val="en-US" w:eastAsia="zh-CN"/>
    </w:rPr>
  </w:style>
  <w:style w:type="character" w:customStyle="1" w:styleId="369">
    <w:name w:val="param-name"/>
    <w:qFormat/>
    <w:uiPriority w:val="99"/>
    <w:rPr>
      <w:rFonts w:ascii="Arial" w:hAnsi="Arial" w:eastAsia="黑体" w:cs="Arial"/>
      <w:snapToGrid w:val="0"/>
      <w:kern w:val="0"/>
      <w:szCs w:val="21"/>
    </w:rPr>
  </w:style>
  <w:style w:type="character" w:customStyle="1" w:styleId="370">
    <w:name w:val="标准正文格式 Char"/>
    <w:qFormat/>
    <w:uiPriority w:val="0"/>
    <w:rPr>
      <w:rFonts w:ascii="宋体" w:eastAsia="仿宋_GB2312" w:cs="宋体"/>
      <w:color w:val="000000"/>
      <w:sz w:val="24"/>
      <w:lang w:val="en-US" w:eastAsia="zh-CN" w:bidi="ar-SA"/>
    </w:rPr>
  </w:style>
  <w:style w:type="character" w:customStyle="1" w:styleId="371">
    <w:name w:val="Char Char212"/>
    <w:qFormat/>
    <w:uiPriority w:val="0"/>
    <w:rPr>
      <w:rFonts w:eastAsia="宋体"/>
      <w:b/>
      <w:bCs/>
      <w:kern w:val="2"/>
      <w:sz w:val="21"/>
      <w:szCs w:val="24"/>
      <w:lang w:val="en-US" w:eastAsia="zh-CN" w:bidi="ar-SA"/>
    </w:rPr>
  </w:style>
  <w:style w:type="character" w:customStyle="1" w:styleId="372">
    <w:name w:val="文档结构图 Char"/>
    <w:qFormat/>
    <w:uiPriority w:val="0"/>
    <w:rPr>
      <w:rFonts w:eastAsia="宋体"/>
      <w:kern w:val="2"/>
      <w:sz w:val="21"/>
      <w:szCs w:val="24"/>
      <w:lang w:val="en-US" w:eastAsia="zh-CN" w:bidi="ar-SA"/>
    </w:rPr>
  </w:style>
  <w:style w:type="character" w:customStyle="1" w:styleId="373">
    <w:name w:val="zbggmain style9"/>
    <w:qFormat/>
    <w:uiPriority w:val="0"/>
  </w:style>
  <w:style w:type="character" w:customStyle="1" w:styleId="374">
    <w:name w:val="Char Char16"/>
    <w:qFormat/>
    <w:uiPriority w:val="6"/>
    <w:rPr>
      <w:kern w:val="1"/>
      <w:sz w:val="18"/>
      <w:szCs w:val="18"/>
    </w:rPr>
  </w:style>
  <w:style w:type="character" w:customStyle="1" w:styleId="375">
    <w:name w:val="font51"/>
    <w:basedOn w:val="70"/>
    <w:qFormat/>
    <w:uiPriority w:val="0"/>
    <w:rPr>
      <w:rFonts w:hint="eastAsia" w:ascii="仿宋" w:hAnsi="仿宋" w:eastAsia="仿宋" w:cs="仿宋"/>
      <w:color w:val="000000"/>
      <w:sz w:val="20"/>
      <w:szCs w:val="20"/>
      <w:u w:val="none"/>
    </w:rPr>
  </w:style>
  <w:style w:type="character" w:customStyle="1" w:styleId="376">
    <w:name w:val="Char Char82"/>
    <w:qFormat/>
    <w:uiPriority w:val="0"/>
    <w:rPr>
      <w:rFonts w:eastAsia="宋体"/>
      <w:b/>
      <w:sz w:val="24"/>
      <w:lang w:val="en-GB" w:eastAsia="zh-CN"/>
    </w:rPr>
  </w:style>
  <w:style w:type="character" w:customStyle="1" w:styleId="377">
    <w:name w:val="正文文本缩进 3 字符"/>
    <w:link w:val="54"/>
    <w:qFormat/>
    <w:uiPriority w:val="0"/>
    <w:rPr>
      <w:kern w:val="2"/>
      <w:sz w:val="24"/>
    </w:rPr>
  </w:style>
  <w:style w:type="character" w:customStyle="1" w:styleId="378">
    <w:name w:val="日期 Char1"/>
    <w:semiHidden/>
    <w:qFormat/>
    <w:uiPriority w:val="99"/>
    <w:rPr>
      <w:rFonts w:ascii="Times New Roman" w:hAnsi="Times New Roman" w:eastAsia="宋体" w:cs="Times New Roman"/>
      <w:szCs w:val="24"/>
    </w:rPr>
  </w:style>
  <w:style w:type="character" w:customStyle="1" w:styleId="379">
    <w:name w:val="页眉 字符"/>
    <w:qFormat/>
    <w:uiPriority w:val="99"/>
    <w:rPr>
      <w:kern w:val="2"/>
      <w:sz w:val="18"/>
      <w:szCs w:val="18"/>
    </w:rPr>
  </w:style>
  <w:style w:type="character" w:customStyle="1" w:styleId="380">
    <w:name w:val="Char Char33"/>
    <w:qFormat/>
    <w:uiPriority w:val="6"/>
    <w:rPr>
      <w:rFonts w:ascii="Arial" w:hAnsi="Arial" w:eastAsia="黑体"/>
      <w:b/>
      <w:kern w:val="1"/>
      <w:sz w:val="24"/>
      <w:szCs w:val="24"/>
    </w:rPr>
  </w:style>
  <w:style w:type="character" w:customStyle="1" w:styleId="381">
    <w:name w:val="b11_01b Char"/>
    <w:link w:val="382"/>
    <w:qFormat/>
    <w:uiPriority w:val="0"/>
    <w:rPr>
      <w:rFonts w:ascii="Verdana" w:hAnsi="Verdana"/>
      <w:b/>
      <w:bCs/>
      <w:color w:val="4A82CA"/>
      <w:sz w:val="17"/>
      <w:szCs w:val="17"/>
    </w:rPr>
  </w:style>
  <w:style w:type="paragraph" w:customStyle="1" w:styleId="382">
    <w:name w:val="b11_01b"/>
    <w:basedOn w:val="1"/>
    <w:next w:val="1"/>
    <w:link w:val="381"/>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3">
    <w:name w:val="Char Char121"/>
    <w:qFormat/>
    <w:uiPriority w:val="6"/>
    <w:rPr>
      <w:rFonts w:ascii="仿宋_GB2312" w:eastAsia="仿宋_GB2312"/>
      <w:b/>
      <w:bCs/>
      <w:kern w:val="2"/>
      <w:sz w:val="24"/>
      <w:szCs w:val="24"/>
      <w:lang w:val="zh-CN" w:eastAsia="zh-CN" w:bidi="ar-SA"/>
    </w:rPr>
  </w:style>
  <w:style w:type="character" w:customStyle="1" w:styleId="384">
    <w:name w:val="Footer-Even Char"/>
    <w:qFormat/>
    <w:uiPriority w:val="0"/>
    <w:rPr>
      <w:rFonts w:eastAsia="宋体"/>
      <w:kern w:val="2"/>
      <w:sz w:val="18"/>
      <w:lang w:val="en-US" w:eastAsia="zh-CN" w:bidi="ar-SA"/>
    </w:rPr>
  </w:style>
  <w:style w:type="character" w:customStyle="1" w:styleId="385">
    <w:name w:val="页脚 字符2"/>
    <w:link w:val="41"/>
    <w:qFormat/>
    <w:locked/>
    <w:uiPriority w:val="99"/>
    <w:rPr>
      <w:kern w:val="2"/>
      <w:sz w:val="18"/>
      <w:szCs w:val="18"/>
    </w:rPr>
  </w:style>
  <w:style w:type="character" w:customStyle="1" w:styleId="386">
    <w:name w:val="Char Char36"/>
    <w:qFormat/>
    <w:uiPriority w:val="6"/>
    <w:rPr>
      <w:rFonts w:ascii="仿宋_GB2312" w:hAnsi="仿宋_GB2312" w:eastAsia="仿宋_GB2312" w:cs="Arial"/>
      <w:b/>
      <w:kern w:val="1"/>
      <w:sz w:val="32"/>
      <w:szCs w:val="32"/>
      <w:lang w:val="zh-CN" w:eastAsia="zh-CN" w:bidi="ar-SA"/>
    </w:rPr>
  </w:style>
  <w:style w:type="character" w:customStyle="1" w:styleId="387">
    <w:name w:val="Char Char61"/>
    <w:qFormat/>
    <w:uiPriority w:val="6"/>
    <w:rPr>
      <w:rFonts w:eastAsia="宋体"/>
      <w:kern w:val="2"/>
      <w:sz w:val="21"/>
      <w:szCs w:val="24"/>
      <w:lang w:val="en-US" w:eastAsia="zh-CN" w:bidi="ar-SA"/>
    </w:rPr>
  </w:style>
  <w:style w:type="character" w:customStyle="1" w:styleId="388">
    <w:name w:val="正文文字缩进 2 Char Char"/>
    <w:qFormat/>
    <w:uiPriority w:val="0"/>
    <w:rPr>
      <w:rFonts w:ascii="宋体"/>
      <w:sz w:val="28"/>
    </w:rPr>
  </w:style>
  <w:style w:type="character" w:customStyle="1" w:styleId="389">
    <w:name w:val="f141"/>
    <w:qFormat/>
    <w:uiPriority w:val="0"/>
    <w:rPr>
      <w:rFonts w:ascii="Tahoma" w:hAnsi="Tahoma" w:eastAsia="宋体"/>
      <w:b/>
      <w:kern w:val="2"/>
      <w:sz w:val="21"/>
      <w:szCs w:val="21"/>
      <w:lang w:val="en-US" w:eastAsia="zh-CN" w:bidi="ar-SA"/>
    </w:rPr>
  </w:style>
  <w:style w:type="character" w:customStyle="1" w:styleId="390">
    <w:name w:val="段落 Char Char"/>
    <w:link w:val="391"/>
    <w:qFormat/>
    <w:uiPriority w:val="0"/>
    <w:rPr>
      <w:rFonts w:ascii="宋体" w:hAnsi="宋体"/>
      <w:sz w:val="24"/>
    </w:rPr>
  </w:style>
  <w:style w:type="paragraph" w:customStyle="1" w:styleId="391">
    <w:name w:val="段落"/>
    <w:basedOn w:val="1"/>
    <w:link w:val="390"/>
    <w:qFormat/>
    <w:uiPriority w:val="0"/>
    <w:pPr>
      <w:adjustRightInd/>
      <w:spacing w:line="360" w:lineRule="auto"/>
      <w:ind w:firstLine="480" w:firstLineChars="200"/>
    </w:pPr>
    <w:rPr>
      <w:rFonts w:ascii="宋体" w:hAnsi="宋体"/>
      <w:kern w:val="0"/>
      <w:sz w:val="24"/>
      <w:szCs w:val="20"/>
    </w:rPr>
  </w:style>
  <w:style w:type="character" w:customStyle="1" w:styleId="392">
    <w:name w:val="标题 3 Char2"/>
    <w:qFormat/>
    <w:uiPriority w:val="0"/>
    <w:rPr>
      <w:rFonts w:eastAsia="宋体"/>
      <w:b/>
      <w:bCs/>
      <w:kern w:val="2"/>
      <w:sz w:val="32"/>
      <w:szCs w:val="32"/>
      <w:lang w:val="en-US" w:eastAsia="zh-CN" w:bidi="ar-SA"/>
    </w:rPr>
  </w:style>
  <w:style w:type="character" w:customStyle="1" w:styleId="393">
    <w:name w:val="apple-converted-space"/>
    <w:qFormat/>
    <w:uiPriority w:val="0"/>
  </w:style>
  <w:style w:type="character" w:customStyle="1" w:styleId="394">
    <w:name w:val="页眉 字符2"/>
    <w:link w:val="43"/>
    <w:qFormat/>
    <w:uiPriority w:val="99"/>
    <w:rPr>
      <w:kern w:val="2"/>
      <w:sz w:val="18"/>
      <w:szCs w:val="18"/>
    </w:rPr>
  </w:style>
  <w:style w:type="character" w:customStyle="1" w:styleId="395">
    <w:name w:val="Char Char9"/>
    <w:qFormat/>
    <w:uiPriority w:val="0"/>
    <w:rPr>
      <w:rFonts w:eastAsia="宋体"/>
      <w:kern w:val="2"/>
      <w:sz w:val="18"/>
      <w:szCs w:val="18"/>
      <w:lang w:val="en-US" w:eastAsia="zh-CN" w:bidi="ar-SA"/>
    </w:rPr>
  </w:style>
  <w:style w:type="character" w:customStyle="1" w:styleId="396">
    <w:name w:val="Char Char41"/>
    <w:qFormat/>
    <w:uiPriority w:val="0"/>
    <w:rPr>
      <w:rFonts w:eastAsia="宋体"/>
      <w:b/>
      <w:sz w:val="24"/>
      <w:lang w:val="en-GB" w:eastAsia="zh-CN" w:bidi="ar-SA"/>
    </w:rPr>
  </w:style>
  <w:style w:type="character" w:customStyle="1" w:styleId="397">
    <w:name w:val="large1"/>
    <w:qFormat/>
    <w:uiPriority w:val="0"/>
    <w:rPr>
      <w:rFonts w:hint="eastAsia" w:ascii="宋体" w:hAnsi="宋体" w:eastAsia="宋体"/>
      <w:sz w:val="21"/>
      <w:szCs w:val="21"/>
    </w:rPr>
  </w:style>
  <w:style w:type="character" w:customStyle="1" w:styleId="398">
    <w:name w:val="正文段 Char"/>
    <w:link w:val="399"/>
    <w:qFormat/>
    <w:uiPriority w:val="0"/>
    <w:rPr>
      <w:sz w:val="24"/>
    </w:rPr>
  </w:style>
  <w:style w:type="paragraph" w:customStyle="1" w:styleId="399">
    <w:name w:val="正文段"/>
    <w:basedOn w:val="1"/>
    <w:link w:val="398"/>
    <w:qFormat/>
    <w:uiPriority w:val="0"/>
    <w:pPr>
      <w:widowControl/>
      <w:snapToGrid w:val="0"/>
      <w:spacing w:after="156" w:afterLines="50"/>
      <w:ind w:firstLine="200" w:firstLineChars="200"/>
    </w:pPr>
    <w:rPr>
      <w:kern w:val="0"/>
      <w:sz w:val="24"/>
      <w:szCs w:val="20"/>
    </w:rPr>
  </w:style>
  <w:style w:type="character" w:customStyle="1" w:styleId="400">
    <w:name w:val="Char Char13"/>
    <w:qFormat/>
    <w:uiPriority w:val="6"/>
    <w:rPr>
      <w:rFonts w:ascii="宋体" w:hAnsi="宋体"/>
      <w:kern w:val="1"/>
      <w:sz w:val="21"/>
      <w:szCs w:val="24"/>
    </w:rPr>
  </w:style>
  <w:style w:type="character" w:customStyle="1" w:styleId="401">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2">
    <w:name w:val="冯广丽 Char"/>
    <w:link w:val="403"/>
    <w:qFormat/>
    <w:uiPriority w:val="0"/>
    <w:rPr>
      <w:rFonts w:ascii="宋体" w:hAnsi="宋体"/>
      <w:kern w:val="2"/>
      <w:sz w:val="24"/>
      <w:szCs w:val="22"/>
    </w:rPr>
  </w:style>
  <w:style w:type="paragraph" w:customStyle="1" w:styleId="403">
    <w:name w:val="冯广丽"/>
    <w:basedOn w:val="1"/>
    <w:link w:val="402"/>
    <w:qFormat/>
    <w:uiPriority w:val="0"/>
    <w:pPr>
      <w:adjustRightInd/>
      <w:spacing w:line="360" w:lineRule="auto"/>
      <w:ind w:firstLine="480" w:firstLineChars="200"/>
    </w:pPr>
    <w:rPr>
      <w:rFonts w:ascii="宋体" w:hAnsi="宋体"/>
      <w:sz w:val="24"/>
      <w:szCs w:val="22"/>
    </w:rPr>
  </w:style>
  <w:style w:type="character" w:customStyle="1" w:styleId="404">
    <w:name w:val="批注文字 字符"/>
    <w:qFormat/>
    <w:uiPriority w:val="0"/>
    <w:rPr>
      <w:rFonts w:ascii="Arial" w:hAnsi="Arial" w:eastAsia="黑体" w:cs="Arial"/>
      <w:snapToGrid w:val="0"/>
      <w:kern w:val="0"/>
      <w:szCs w:val="21"/>
    </w:rPr>
  </w:style>
  <w:style w:type="character" w:customStyle="1" w:styleId="405">
    <w:name w:val="Char Char161"/>
    <w:qFormat/>
    <w:uiPriority w:val="0"/>
    <w:rPr>
      <w:rFonts w:eastAsia="宋体"/>
      <w:b/>
      <w:kern w:val="2"/>
      <w:sz w:val="32"/>
      <w:lang w:val="en-US" w:eastAsia="zh-CN"/>
    </w:rPr>
  </w:style>
  <w:style w:type="character" w:customStyle="1" w:styleId="406">
    <w:name w:val="javascript"/>
    <w:qFormat/>
    <w:uiPriority w:val="0"/>
  </w:style>
  <w:style w:type="character" w:customStyle="1" w:styleId="407">
    <w:name w:val="图名 Char"/>
    <w:qFormat/>
    <w:uiPriority w:val="0"/>
    <w:rPr>
      <w:rFonts w:ascii="Arial" w:hAnsi="Arial" w:eastAsia="黑体"/>
      <w:kern w:val="2"/>
      <w:sz w:val="24"/>
      <w:szCs w:val="24"/>
      <w:lang w:val="en-US" w:eastAsia="zh-CN" w:bidi="ar-SA"/>
    </w:rPr>
  </w:style>
  <w:style w:type="character" w:customStyle="1" w:styleId="408">
    <w:name w:val="Used by Word for text of Help footnotes Char Char"/>
    <w:qFormat/>
    <w:uiPriority w:val="0"/>
    <w:rPr>
      <w:rFonts w:ascii="Times New Roman" w:hAnsi="Times New Roman" w:eastAsia="宋体" w:cs="Times New Roman"/>
      <w:sz w:val="20"/>
      <w:szCs w:val="20"/>
    </w:rPr>
  </w:style>
  <w:style w:type="character" w:customStyle="1" w:styleId="409">
    <w:name w:val="编号，小四 Char"/>
    <w:link w:val="410"/>
    <w:qFormat/>
    <w:uiPriority w:val="0"/>
    <w:rPr>
      <w:rFonts w:ascii="Arial" w:hAnsi="Arial"/>
      <w:sz w:val="24"/>
    </w:rPr>
  </w:style>
  <w:style w:type="paragraph" w:customStyle="1" w:styleId="410">
    <w:name w:val="编号，小四"/>
    <w:basedOn w:val="1"/>
    <w:link w:val="409"/>
    <w:qFormat/>
    <w:uiPriority w:val="0"/>
    <w:pPr>
      <w:tabs>
        <w:tab w:val="left" w:pos="432"/>
      </w:tabs>
      <w:adjustRightInd/>
      <w:spacing w:line="360" w:lineRule="auto"/>
      <w:ind w:left="432" w:hanging="432"/>
    </w:pPr>
    <w:rPr>
      <w:rFonts w:ascii="Arial" w:hAnsi="Arial"/>
      <w:kern w:val="0"/>
      <w:sz w:val="24"/>
      <w:szCs w:val="20"/>
    </w:rPr>
  </w:style>
  <w:style w:type="character" w:customStyle="1" w:styleId="411">
    <w:name w:val="Font Style82"/>
    <w:qFormat/>
    <w:uiPriority w:val="99"/>
    <w:rPr>
      <w:rFonts w:ascii="宋体" w:eastAsia="宋体" w:cs="宋体"/>
      <w:color w:val="000000"/>
      <w:sz w:val="14"/>
      <w:szCs w:val="14"/>
    </w:rPr>
  </w:style>
  <w:style w:type="character" w:customStyle="1" w:styleId="412">
    <w:name w:val="标题 2 Char Char"/>
    <w:qFormat/>
    <w:uiPriority w:val="0"/>
    <w:rPr>
      <w:rFonts w:ascii="楷体_GB2312" w:hAnsi="Arial" w:eastAsia="楷体_GB2312"/>
      <w:b/>
      <w:bCs/>
      <w:kern w:val="2"/>
      <w:sz w:val="24"/>
      <w:szCs w:val="32"/>
      <w:lang w:val="en-US" w:eastAsia="zh-CN" w:bidi="ar-SA"/>
    </w:rPr>
  </w:style>
  <w:style w:type="character" w:customStyle="1" w:styleId="413">
    <w:name w:val="未用 Char"/>
    <w:qFormat/>
    <w:uiPriority w:val="0"/>
    <w:rPr>
      <w:rFonts w:ascii="Arial" w:hAnsi="Arial" w:eastAsia="黑体"/>
      <w:kern w:val="2"/>
      <w:sz w:val="21"/>
      <w:szCs w:val="21"/>
      <w:lang w:val="en-US" w:eastAsia="zh-CN" w:bidi="ar-SA"/>
    </w:rPr>
  </w:style>
  <w:style w:type="character" w:customStyle="1" w:styleId="414">
    <w:name w:val="myp1111"/>
    <w:qFormat/>
    <w:uiPriority w:val="0"/>
    <w:rPr>
      <w:rFonts w:hint="default" w:ascii="ˎ̥" w:hAnsi="ˎ̥"/>
      <w:color w:val="000000"/>
      <w:sz w:val="20"/>
      <w:szCs w:val="20"/>
      <w:u w:val="none"/>
    </w:rPr>
  </w:style>
  <w:style w:type="character" w:customStyle="1" w:styleId="415">
    <w:name w:val="样式 标题 4h4H4Fab-4T5Ref Heading 1rh1Heading sqlsect 1.2.3.... Char"/>
    <w:link w:val="310"/>
    <w:qFormat/>
    <w:uiPriority w:val="0"/>
    <w:rPr>
      <w:rFonts w:ascii="微软雅黑" w:hAnsi="微软雅黑" w:eastAsia="微软雅黑"/>
      <w:b/>
      <w:bCs/>
      <w:kern w:val="2"/>
      <w:sz w:val="24"/>
      <w:szCs w:val="28"/>
    </w:rPr>
  </w:style>
  <w:style w:type="character" w:customStyle="1" w:styleId="416">
    <w:name w:val="h Char Char"/>
    <w:qFormat/>
    <w:uiPriority w:val="0"/>
    <w:rPr>
      <w:rFonts w:eastAsia="宋体"/>
      <w:kern w:val="2"/>
      <w:sz w:val="18"/>
      <w:lang w:val="en-US" w:eastAsia="zh-CN" w:bidi="ar-SA"/>
    </w:rPr>
  </w:style>
  <w:style w:type="character" w:customStyle="1" w:styleId="417">
    <w:name w:val="仿宋正文 Char"/>
    <w:link w:val="418"/>
    <w:qFormat/>
    <w:uiPriority w:val="0"/>
    <w:rPr>
      <w:rFonts w:ascii="仿宋_GB2312" w:eastAsia="仿宋_GB2312"/>
      <w:kern w:val="2"/>
      <w:sz w:val="24"/>
      <w:lang w:val="en-US" w:eastAsia="zh-CN" w:bidi="ar-SA"/>
    </w:rPr>
  </w:style>
  <w:style w:type="paragraph" w:customStyle="1" w:styleId="418">
    <w:name w:val="仿宋正文"/>
    <w:basedOn w:val="1"/>
    <w:link w:val="417"/>
    <w:qFormat/>
    <w:uiPriority w:val="0"/>
    <w:pPr>
      <w:adjustRightInd/>
      <w:spacing w:line="360" w:lineRule="auto"/>
      <w:ind w:firstLine="480" w:firstLineChars="200"/>
    </w:pPr>
    <w:rPr>
      <w:rFonts w:ascii="仿宋_GB2312" w:eastAsia="仿宋_GB2312"/>
      <w:sz w:val="24"/>
      <w:szCs w:val="20"/>
    </w:rPr>
  </w:style>
  <w:style w:type="character" w:customStyle="1" w:styleId="419">
    <w:name w:val="正文首行缩进 Char Char Char Char Char Char"/>
    <w:qFormat/>
    <w:uiPriority w:val="0"/>
    <w:rPr>
      <w:rFonts w:ascii="宋体" w:eastAsia="宋体"/>
      <w:kern w:val="2"/>
      <w:sz w:val="24"/>
      <w:lang w:val="zh-CN" w:bidi="ar-SA"/>
    </w:rPr>
  </w:style>
  <w:style w:type="character" w:customStyle="1" w:styleId="420">
    <w:name w:val="样式 宋体"/>
    <w:qFormat/>
    <w:uiPriority w:val="0"/>
    <w:rPr>
      <w:rFonts w:ascii="宋体" w:hAnsi="宋体"/>
      <w:sz w:val="24"/>
    </w:rPr>
  </w:style>
  <w:style w:type="character" w:customStyle="1" w:styleId="421">
    <w:name w:val="tw4winJump"/>
    <w:qFormat/>
    <w:uiPriority w:val="0"/>
    <w:rPr>
      <w:rFonts w:ascii="Courier New" w:hAnsi="Courier New" w:cs="Courier New"/>
      <w:color w:val="008080"/>
      <w:lang w:val="en-US" w:eastAsia="zh-CN"/>
    </w:rPr>
  </w:style>
  <w:style w:type="character" w:customStyle="1" w:styleId="422">
    <w:name w:val="标题 1 字符"/>
    <w:qFormat/>
    <w:uiPriority w:val="9"/>
    <w:rPr>
      <w:rFonts w:ascii="Arial" w:hAnsi="Arial" w:eastAsia="黑体" w:cs="Arial"/>
      <w:b/>
      <w:bCs/>
      <w:snapToGrid w:val="0"/>
      <w:kern w:val="44"/>
      <w:sz w:val="44"/>
      <w:szCs w:val="44"/>
    </w:rPr>
  </w:style>
  <w:style w:type="character" w:customStyle="1" w:styleId="423">
    <w:name w:val="style36"/>
    <w:basedOn w:val="70"/>
    <w:qFormat/>
    <w:uiPriority w:val="0"/>
    <w:rPr>
      <w:rFonts w:ascii="Arial" w:hAnsi="Arial" w:eastAsia="黑体" w:cs="Arial"/>
      <w:snapToGrid w:val="0"/>
      <w:kern w:val="0"/>
      <w:szCs w:val="21"/>
    </w:rPr>
  </w:style>
  <w:style w:type="character" w:customStyle="1" w:styleId="424">
    <w:name w:val="pt9"/>
    <w:qFormat/>
    <w:uiPriority w:val="0"/>
    <w:rPr>
      <w:rFonts w:ascii="仿宋_GB2312" w:eastAsia="微软雅黑"/>
      <w:b/>
      <w:kern w:val="2"/>
      <w:sz w:val="32"/>
      <w:szCs w:val="32"/>
      <w:lang w:val="en-US" w:eastAsia="zh-CN" w:bidi="ar-SA"/>
    </w:rPr>
  </w:style>
  <w:style w:type="character" w:customStyle="1" w:styleId="425">
    <w:name w:val="DO_NOT_TRANSLATE"/>
    <w:qFormat/>
    <w:uiPriority w:val="0"/>
    <w:rPr>
      <w:rFonts w:ascii="Courier New" w:hAnsi="Courier New" w:cs="Courier New"/>
      <w:color w:val="800000"/>
      <w:lang w:val="en-US" w:eastAsia="zh-CN"/>
    </w:rPr>
  </w:style>
  <w:style w:type="character" w:customStyle="1" w:styleId="426">
    <w:name w:val="标书1 Char1"/>
    <w:qFormat/>
    <w:uiPriority w:val="0"/>
    <w:rPr>
      <w:rFonts w:eastAsia="宋体"/>
      <w:b/>
      <w:bCs/>
      <w:kern w:val="44"/>
      <w:sz w:val="44"/>
      <w:szCs w:val="44"/>
      <w:lang w:val="en-US" w:eastAsia="zh-CN" w:bidi="ar-SA"/>
    </w:rPr>
  </w:style>
  <w:style w:type="character" w:customStyle="1" w:styleId="427">
    <w:name w:val="页脚 字符"/>
    <w:qFormat/>
    <w:uiPriority w:val="99"/>
    <w:rPr>
      <w:kern w:val="2"/>
      <w:sz w:val="18"/>
      <w:szCs w:val="18"/>
    </w:rPr>
  </w:style>
  <w:style w:type="character" w:customStyle="1" w:styleId="428">
    <w:name w:val="正文2 Char"/>
    <w:qFormat/>
    <w:uiPriority w:val="0"/>
    <w:rPr>
      <w:rFonts w:eastAsia="宋体"/>
      <w:kern w:val="2"/>
      <w:sz w:val="24"/>
      <w:lang w:val="en-US" w:eastAsia="zh-CN" w:bidi="ar-SA"/>
    </w:rPr>
  </w:style>
  <w:style w:type="character" w:customStyle="1" w:styleId="429">
    <w:name w:val="Char Char21"/>
    <w:qFormat/>
    <w:uiPriority w:val="6"/>
    <w:rPr>
      <w:rFonts w:ascii="宋体" w:hAnsi="宋体"/>
      <w:kern w:val="1"/>
      <w:sz w:val="24"/>
      <w:szCs w:val="21"/>
      <w:lang w:val="zh-CN"/>
    </w:rPr>
  </w:style>
  <w:style w:type="character" w:customStyle="1" w:styleId="430">
    <w:name w:val="样式 正文缩进 + 首行缩进:  2 字符 Char Char"/>
    <w:link w:val="431"/>
    <w:qFormat/>
    <w:uiPriority w:val="0"/>
    <w:rPr>
      <w:rFonts w:cs="宋体"/>
      <w:kern w:val="2"/>
      <w:sz w:val="24"/>
    </w:rPr>
  </w:style>
  <w:style w:type="paragraph" w:customStyle="1" w:styleId="431">
    <w:name w:val="样式 正文缩进 + 首行缩进:  2 字符"/>
    <w:basedOn w:val="6"/>
    <w:link w:val="430"/>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2">
    <w:name w:val="正文文本 字符"/>
    <w:link w:val="24"/>
    <w:qFormat/>
    <w:uiPriority w:val="0"/>
    <w:rPr>
      <w:rFonts w:ascii="宋体" w:hAnsi="Arial" w:eastAsia="宋体" w:cs="Arial"/>
      <w:snapToGrid w:val="0"/>
      <w:kern w:val="2"/>
      <w:sz w:val="24"/>
      <w:szCs w:val="21"/>
      <w:lang w:val="zh-CN" w:eastAsia="zh-CN" w:bidi="ar-SA"/>
    </w:rPr>
  </w:style>
  <w:style w:type="character" w:customStyle="1" w:styleId="433">
    <w:name w:val="gray6"/>
    <w:basedOn w:val="70"/>
    <w:qFormat/>
    <w:uiPriority w:val="0"/>
    <w:rPr>
      <w:rFonts w:ascii="Arial" w:hAnsi="Arial" w:eastAsia="黑体" w:cs="Arial"/>
      <w:snapToGrid w:val="0"/>
      <w:kern w:val="0"/>
      <w:szCs w:val="21"/>
    </w:rPr>
  </w:style>
  <w:style w:type="character" w:customStyle="1" w:styleId="434">
    <w:name w:val="hui"/>
    <w:basedOn w:val="70"/>
    <w:qFormat/>
    <w:uiPriority w:val="0"/>
    <w:rPr>
      <w:rFonts w:ascii="Arial" w:hAnsi="Arial" w:eastAsia="黑体" w:cs="Arial"/>
      <w:snapToGrid w:val="0"/>
      <w:kern w:val="0"/>
      <w:szCs w:val="21"/>
    </w:rPr>
  </w:style>
  <w:style w:type="character" w:customStyle="1" w:styleId="435">
    <w:name w:val="哈哈正文 Char Char"/>
    <w:qFormat/>
    <w:uiPriority w:val="0"/>
    <w:rPr>
      <w:rFonts w:ascii="宋体" w:hAnsi="宋体" w:eastAsia="宋体" w:cs="宋体"/>
      <w:kern w:val="2"/>
      <w:sz w:val="24"/>
      <w:lang w:val="en-US" w:eastAsia="zh-CN" w:bidi="ar-SA"/>
    </w:rPr>
  </w:style>
  <w:style w:type="paragraph" w:customStyle="1" w:styleId="436">
    <w:name w:val="样式 正文文本缩进 + 左侧:  2 字符 首行缩进:  2 字符"/>
    <w:basedOn w:val="2"/>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7">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8">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9">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40">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1">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2">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3">
    <w:name w:val="标题4_自定义"/>
    <w:basedOn w:val="7"/>
    <w:qFormat/>
    <w:uiPriority w:val="0"/>
    <w:pPr>
      <w:adjustRightInd/>
      <w:spacing w:before="0" w:after="0" w:line="360" w:lineRule="auto"/>
    </w:pPr>
    <w:rPr>
      <w:rFonts w:ascii="Verdana" w:eastAsia="Verdana"/>
      <w:sz w:val="21"/>
      <w:lang w:val="en-US"/>
    </w:rPr>
  </w:style>
  <w:style w:type="paragraph" w:customStyle="1" w:styleId="444">
    <w:name w:val="正文 内标 序号标"/>
    <w:basedOn w:val="445"/>
    <w:qFormat/>
    <w:uiPriority w:val="0"/>
    <w:pPr>
      <w:tabs>
        <w:tab w:val="left" w:pos="0"/>
      </w:tabs>
      <w:adjustRightInd/>
      <w:spacing w:before="0"/>
      <w:ind w:firstLine="482"/>
    </w:pPr>
    <w:rPr>
      <w:rFonts w:ascii="微软雅黑" w:hAnsi="微软雅黑"/>
      <w:sz w:val="24"/>
      <w:szCs w:val="24"/>
    </w:rPr>
  </w:style>
  <w:style w:type="paragraph" w:customStyle="1" w:styleId="445">
    <w:name w:val="My正文"/>
    <w:basedOn w:val="1"/>
    <w:qFormat/>
    <w:uiPriority w:val="0"/>
    <w:pPr>
      <w:spacing w:before="120" w:line="360" w:lineRule="auto"/>
      <w:ind w:firstLine="567"/>
    </w:pPr>
    <w:rPr>
      <w:rFonts w:ascii="Arial" w:hAnsi="Arial"/>
      <w:sz w:val="20"/>
      <w:szCs w:val="20"/>
    </w:rPr>
  </w:style>
  <w:style w:type="paragraph" w:customStyle="1" w:styleId="446">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7">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8">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9">
    <w:name w:val="修订2"/>
    <w:qFormat/>
    <w:uiPriority w:val="0"/>
    <w:rPr>
      <w:rFonts w:ascii="Times New Roman" w:hAnsi="Times New Roman" w:eastAsia="宋体" w:cs="Times New Roman"/>
      <w:kern w:val="2"/>
      <w:sz w:val="21"/>
      <w:lang w:val="en-US" w:eastAsia="zh-CN" w:bidi="ar-SA"/>
    </w:rPr>
  </w:style>
  <w:style w:type="paragraph" w:customStyle="1" w:styleId="450">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1">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2">
    <w:name w:val="文章标题"/>
    <w:next w:val="453"/>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3">
    <w:name w:val="封面公司名"/>
    <w:qFormat/>
    <w:uiPriority w:val="0"/>
    <w:pPr>
      <w:jc w:val="center"/>
    </w:pPr>
    <w:rPr>
      <w:rFonts w:ascii="Arial" w:hAnsi="Arial" w:eastAsia="楷体_GB2312" w:cs="宋体"/>
      <w:bCs/>
      <w:kern w:val="2"/>
      <w:sz w:val="28"/>
      <w:lang w:val="en-US" w:eastAsia="zh-CN" w:bidi="ar-SA"/>
    </w:rPr>
  </w:style>
  <w:style w:type="paragraph" w:customStyle="1" w:styleId="454">
    <w:name w:val="Char1 Char Char Char5"/>
    <w:basedOn w:val="1"/>
    <w:qFormat/>
    <w:uiPriority w:val="0"/>
    <w:pPr>
      <w:adjustRightInd/>
      <w:ind w:firstLine="200" w:firstLineChars="200"/>
    </w:pPr>
    <w:rPr>
      <w:rFonts w:ascii="Tahoma" w:hAnsi="Tahoma"/>
      <w:sz w:val="24"/>
      <w:szCs w:val="20"/>
    </w:rPr>
  </w:style>
  <w:style w:type="paragraph" w:customStyle="1" w:styleId="455">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6">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7">
    <w:name w:val="Char Char Char Char Char Char Char Char"/>
    <w:basedOn w:val="1"/>
    <w:qFormat/>
    <w:uiPriority w:val="0"/>
    <w:pPr>
      <w:tabs>
        <w:tab w:val="left" w:pos="360"/>
      </w:tabs>
    </w:pPr>
    <w:rPr>
      <w:sz w:val="24"/>
      <w:szCs w:val="20"/>
    </w:rPr>
  </w:style>
  <w:style w:type="paragraph" w:customStyle="1" w:styleId="458">
    <w:name w:val="Char Char11 Char Char Char"/>
    <w:basedOn w:val="1"/>
    <w:qFormat/>
    <w:uiPriority w:val="0"/>
    <w:pPr>
      <w:spacing w:line="360" w:lineRule="auto"/>
    </w:pPr>
    <w:rPr>
      <w:szCs w:val="20"/>
    </w:rPr>
  </w:style>
  <w:style w:type="paragraph" w:customStyle="1" w:styleId="459">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0">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1">
    <w:name w:val="样式3"/>
    <w:basedOn w:val="462"/>
    <w:qFormat/>
    <w:uiPriority w:val="0"/>
    <w:pPr>
      <w:tabs>
        <w:tab w:val="left" w:pos="2790"/>
        <w:tab w:val="left" w:pos="4230"/>
      </w:tabs>
      <w:spacing w:before="312" w:beforeLines="100"/>
      <w:jc w:val="left"/>
    </w:pPr>
  </w:style>
  <w:style w:type="paragraph" w:customStyle="1" w:styleId="462">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3">
    <w:name w:val="Char Char1 Char Char1 Char Char1"/>
    <w:basedOn w:val="1"/>
    <w:qFormat/>
    <w:uiPriority w:val="0"/>
    <w:pPr>
      <w:tabs>
        <w:tab w:val="left" w:pos="840"/>
      </w:tabs>
      <w:ind w:left="840" w:hanging="420"/>
    </w:pPr>
    <w:rPr>
      <w:rFonts w:ascii="Tahoma" w:hAnsi="Tahoma"/>
      <w:sz w:val="24"/>
    </w:rPr>
  </w:style>
  <w:style w:type="paragraph" w:customStyle="1" w:styleId="464">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5">
    <w:name w:val="标书标题2"/>
    <w:basedOn w:val="4"/>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6">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7">
    <w:name w:val="正文21"/>
    <w:basedOn w:val="1"/>
    <w:qFormat/>
    <w:uiPriority w:val="0"/>
    <w:pPr>
      <w:adjustRightInd/>
      <w:spacing w:before="156" w:line="360" w:lineRule="auto"/>
      <w:ind w:firstLine="510" w:firstLineChars="200"/>
    </w:pPr>
    <w:rPr>
      <w:sz w:val="24"/>
      <w:szCs w:val="20"/>
    </w:rPr>
  </w:style>
  <w:style w:type="paragraph" w:customStyle="1" w:styleId="468">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9">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0">
    <w:name w:val="Char1"/>
    <w:basedOn w:val="1"/>
    <w:qFormat/>
    <w:uiPriority w:val="0"/>
    <w:rPr>
      <w:rFonts w:ascii="仿宋_GB2312" w:eastAsia="仿宋_GB2312"/>
      <w:b/>
      <w:sz w:val="32"/>
      <w:szCs w:val="32"/>
    </w:rPr>
  </w:style>
  <w:style w:type="paragraph" w:customStyle="1" w:styleId="471">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2">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3">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4">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5">
    <w:name w:val="6级标题"/>
    <w:basedOn w:val="476"/>
    <w:qFormat/>
    <w:uiPriority w:val="0"/>
    <w:pPr>
      <w:keepNext/>
      <w:tabs>
        <w:tab w:val="left" w:pos="360"/>
      </w:tabs>
      <w:spacing w:before="0" w:after="0"/>
      <w:outlineLvl w:val="5"/>
    </w:pPr>
  </w:style>
  <w:style w:type="paragraph" w:customStyle="1" w:styleId="476">
    <w:name w:val="5级标题"/>
    <w:basedOn w:val="477"/>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7">
    <w:name w:val="4级标题"/>
    <w:basedOn w:val="80"/>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8">
    <w:name w:val="样式 正文文本缩进 + 段前: 2 字符"/>
    <w:basedOn w:val="1"/>
    <w:qFormat/>
    <w:uiPriority w:val="0"/>
    <w:pPr>
      <w:adjustRightInd/>
      <w:ind w:left="420" w:leftChars="200"/>
      <w:jc w:val="left"/>
    </w:pPr>
    <w:rPr>
      <w:sz w:val="28"/>
      <w:szCs w:val="20"/>
      <w:lang w:eastAsia="zh-TW"/>
    </w:rPr>
  </w:style>
  <w:style w:type="paragraph" w:customStyle="1" w:styleId="479">
    <w:name w:val="Char2 Char Char"/>
    <w:basedOn w:val="1"/>
    <w:qFormat/>
    <w:uiPriority w:val="0"/>
    <w:pPr>
      <w:adjustRightInd/>
    </w:pPr>
    <w:rPr>
      <w:rFonts w:ascii="Tahoma" w:hAnsi="Tahoma"/>
      <w:sz w:val="24"/>
      <w:szCs w:val="20"/>
    </w:rPr>
  </w:style>
  <w:style w:type="paragraph" w:customStyle="1" w:styleId="480">
    <w:name w:val="_Style 11"/>
    <w:basedOn w:val="1"/>
    <w:qFormat/>
    <w:uiPriority w:val="34"/>
    <w:pPr>
      <w:adjustRightInd/>
      <w:ind w:firstLine="420" w:firstLineChars="200"/>
    </w:pPr>
    <w:rPr>
      <w:rFonts w:eastAsia="仿宋_GB2312"/>
      <w:sz w:val="28"/>
    </w:rPr>
  </w:style>
  <w:style w:type="paragraph" w:customStyle="1" w:styleId="481">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2">
    <w:name w:val="Char Char Char"/>
    <w:basedOn w:val="1"/>
    <w:qFormat/>
    <w:uiPriority w:val="0"/>
    <w:rPr>
      <w:rFonts w:ascii="Tahoma" w:hAnsi="Tahoma"/>
      <w:sz w:val="24"/>
      <w:szCs w:val="20"/>
    </w:rPr>
  </w:style>
  <w:style w:type="paragraph" w:customStyle="1" w:styleId="483">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84">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5">
    <w:name w:val="No Spacing"/>
    <w:basedOn w:val="1"/>
    <w:link w:val="934"/>
    <w:qFormat/>
    <w:uiPriority w:val="99"/>
    <w:rPr>
      <w:szCs w:val="22"/>
    </w:rPr>
  </w:style>
  <w:style w:type="paragraph" w:customStyle="1" w:styleId="486">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7">
    <w:name w:val="Char Char Char Char Char Char Char Char Char Char Char Char1 Char1"/>
    <w:basedOn w:val="1"/>
    <w:qFormat/>
    <w:uiPriority w:val="6"/>
    <w:rPr>
      <w:rFonts w:ascii="Tahoma" w:hAnsi="Tahoma" w:cs="仿宋_GB2312"/>
      <w:sz w:val="24"/>
      <w:szCs w:val="20"/>
    </w:rPr>
  </w:style>
  <w:style w:type="paragraph" w:customStyle="1" w:styleId="488">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9">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0">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1">
    <w:name w:val="MM Topic 2"/>
    <w:basedOn w:val="4"/>
    <w:qFormat/>
    <w:uiPriority w:val="0"/>
    <w:pPr>
      <w:tabs>
        <w:tab w:val="left" w:pos="1260"/>
      </w:tabs>
      <w:ind w:left="1260" w:hanging="420"/>
    </w:pPr>
    <w:rPr>
      <w:rFonts w:ascii="Arial" w:hAnsi="Arial" w:eastAsia="黑体"/>
      <w:lang w:val="en-US"/>
    </w:rPr>
  </w:style>
  <w:style w:type="paragraph" w:customStyle="1" w:styleId="492">
    <w:name w:val="五级无标题条"/>
    <w:basedOn w:val="1"/>
    <w:qFormat/>
    <w:uiPriority w:val="0"/>
    <w:pPr>
      <w:adjustRightInd/>
    </w:pPr>
  </w:style>
  <w:style w:type="paragraph" w:customStyle="1" w:styleId="493">
    <w:name w:val="Char5"/>
    <w:basedOn w:val="1"/>
    <w:qFormat/>
    <w:uiPriority w:val="0"/>
    <w:rPr>
      <w:rFonts w:ascii="仿宋_GB2312" w:eastAsia="仿宋_GB2312"/>
      <w:b/>
      <w:sz w:val="32"/>
      <w:szCs w:val="32"/>
    </w:rPr>
  </w:style>
  <w:style w:type="paragraph" w:customStyle="1" w:styleId="494">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5">
    <w:name w:val="彩色列表 - 强调文字颜色 12"/>
    <w:basedOn w:val="1"/>
    <w:qFormat/>
    <w:uiPriority w:val="0"/>
    <w:pPr>
      <w:adjustRightInd/>
      <w:ind w:firstLine="420" w:firstLineChars="200"/>
    </w:pPr>
    <w:rPr>
      <w:rFonts w:ascii="Calibri" w:hAnsi="Calibri"/>
      <w:szCs w:val="22"/>
    </w:rPr>
  </w:style>
  <w:style w:type="paragraph" w:customStyle="1" w:styleId="496">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7">
    <w:name w:val="Char2"/>
    <w:basedOn w:val="1"/>
    <w:qFormat/>
    <w:uiPriority w:val="0"/>
    <w:rPr>
      <w:rFonts w:ascii="仿宋_GB2312" w:eastAsia="仿宋_GB2312"/>
      <w:b/>
      <w:sz w:val="32"/>
      <w:szCs w:val="32"/>
    </w:rPr>
  </w:style>
  <w:style w:type="paragraph" w:customStyle="1" w:styleId="498">
    <w:name w:val="数字标题3"/>
    <w:basedOn w:val="5"/>
    <w:next w:val="1"/>
    <w:qFormat/>
    <w:uiPriority w:val="0"/>
    <w:pPr>
      <w:spacing w:line="240" w:lineRule="auto"/>
    </w:pPr>
    <w:rPr>
      <w:sz w:val="28"/>
      <w:szCs w:val="28"/>
    </w:rPr>
  </w:style>
  <w:style w:type="paragraph" w:customStyle="1" w:styleId="499">
    <w:name w:val="FA正文"/>
    <w:basedOn w:val="1"/>
    <w:qFormat/>
    <w:uiPriority w:val="0"/>
    <w:pPr>
      <w:spacing w:line="360" w:lineRule="auto"/>
      <w:ind w:firstLine="480" w:firstLineChars="200"/>
    </w:pPr>
    <w:rPr>
      <w:rFonts w:hAnsi="宋体"/>
      <w:sz w:val="24"/>
      <w:szCs w:val="20"/>
    </w:rPr>
  </w:style>
  <w:style w:type="paragraph" w:customStyle="1" w:styleId="500">
    <w:name w:val="MM Topic 5"/>
    <w:basedOn w:val="8"/>
    <w:qFormat/>
    <w:uiPriority w:val="0"/>
    <w:pPr>
      <w:tabs>
        <w:tab w:val="left" w:pos="2520"/>
      </w:tabs>
      <w:adjustRightInd/>
      <w:ind w:left="2520" w:hanging="420"/>
    </w:pPr>
  </w:style>
  <w:style w:type="paragraph" w:customStyle="1" w:styleId="501">
    <w:name w:val="Char Char Char Char Char Char Char Char Char Char1"/>
    <w:basedOn w:val="1"/>
    <w:qFormat/>
    <w:uiPriority w:val="0"/>
    <w:rPr>
      <w:rFonts w:ascii="仿宋_GB2312" w:eastAsia="仿宋_GB2312"/>
      <w:b/>
      <w:sz w:val="32"/>
      <w:szCs w:val="32"/>
    </w:rPr>
  </w:style>
  <w:style w:type="paragraph" w:customStyle="1" w:styleId="502">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3">
    <w:name w:val="修订1"/>
    <w:qFormat/>
    <w:uiPriority w:val="3"/>
    <w:rPr>
      <w:rFonts w:ascii="Times New Roman" w:hAnsi="Times New Roman" w:eastAsia="宋体" w:cs="Times New Roman"/>
      <w:color w:val="000000"/>
      <w:kern w:val="1"/>
      <w:sz w:val="21"/>
      <w:lang w:val="en-US" w:eastAsia="zh-CN" w:bidi="ar-SA"/>
    </w:rPr>
  </w:style>
  <w:style w:type="paragraph" w:customStyle="1" w:styleId="504">
    <w:name w:val="Char2 Char Char Char"/>
    <w:basedOn w:val="1"/>
    <w:qFormat/>
    <w:uiPriority w:val="0"/>
    <w:rPr>
      <w:rFonts w:ascii="仿宋_GB2312" w:eastAsia="仿宋_GB2312"/>
      <w:b/>
      <w:sz w:val="32"/>
      <w:szCs w:val="32"/>
    </w:rPr>
  </w:style>
  <w:style w:type="paragraph" w:customStyle="1" w:styleId="505">
    <w:name w:val="Char2 Char Char Char1"/>
    <w:basedOn w:val="1"/>
    <w:qFormat/>
    <w:uiPriority w:val="6"/>
    <w:rPr>
      <w:rFonts w:ascii="仿宋_GB2312" w:eastAsia="仿宋_GB2312"/>
      <w:b/>
      <w:sz w:val="32"/>
      <w:szCs w:val="32"/>
    </w:rPr>
  </w:style>
  <w:style w:type="paragraph" w:customStyle="1" w:styleId="506">
    <w:name w:val="默认段落样式"/>
    <w:basedOn w:val="141"/>
    <w:qFormat/>
    <w:uiPriority w:val="0"/>
    <w:pPr>
      <w:spacing w:before="0"/>
      <w:ind w:firstLine="480"/>
      <w:outlineLvl w:val="2"/>
    </w:pPr>
    <w:rPr>
      <w:rFonts w:ascii="仿宋_GB2312" w:hAnsi="宋体" w:eastAsia="仿宋_GB2312"/>
      <w:color w:val="000000"/>
      <w:szCs w:val="24"/>
    </w:rPr>
  </w:style>
  <w:style w:type="paragraph" w:customStyle="1" w:styleId="507">
    <w:name w:val="图中文字"/>
    <w:basedOn w:val="1"/>
    <w:qFormat/>
    <w:uiPriority w:val="0"/>
    <w:pPr>
      <w:snapToGrid w:val="0"/>
      <w:spacing w:line="0" w:lineRule="atLeast"/>
      <w:ind w:firstLine="200" w:firstLineChars="200"/>
      <w:jc w:val="center"/>
    </w:pPr>
    <w:rPr>
      <w:sz w:val="24"/>
      <w:szCs w:val="20"/>
    </w:rPr>
  </w:style>
  <w:style w:type="paragraph" w:customStyle="1" w:styleId="508">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9">
    <w:name w:val="MM Topic 3"/>
    <w:basedOn w:val="5"/>
    <w:qFormat/>
    <w:uiPriority w:val="0"/>
    <w:pPr>
      <w:tabs>
        <w:tab w:val="left" w:pos="1680"/>
      </w:tabs>
      <w:adjustRightInd/>
      <w:ind w:left="1680" w:hanging="420"/>
    </w:pPr>
  </w:style>
  <w:style w:type="paragraph" w:customStyle="1" w:styleId="510">
    <w:name w:val="标准小四"/>
    <w:basedOn w:val="1"/>
    <w:qFormat/>
    <w:uiPriority w:val="0"/>
    <w:pPr>
      <w:spacing w:line="360" w:lineRule="auto"/>
      <w:ind w:firstLine="480" w:firstLineChars="200"/>
    </w:pPr>
    <w:rPr>
      <w:rFonts w:ascii="Arial" w:hAnsi="Arial"/>
      <w:sz w:val="24"/>
      <w:szCs w:val="21"/>
    </w:rPr>
  </w:style>
  <w:style w:type="paragraph" w:customStyle="1" w:styleId="511">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12">
    <w:name w:val="表格（小）"/>
    <w:basedOn w:val="1"/>
    <w:qFormat/>
    <w:uiPriority w:val="0"/>
    <w:pPr>
      <w:adjustRightInd/>
      <w:snapToGrid w:val="0"/>
      <w:spacing w:line="300" w:lineRule="auto"/>
    </w:pPr>
    <w:rPr>
      <w:rFonts w:eastAsia="仿宋"/>
      <w:szCs w:val="21"/>
    </w:rPr>
  </w:style>
  <w:style w:type="paragraph" w:customStyle="1" w:styleId="513">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4">
    <w:name w:val="Char2 Char Char1"/>
    <w:basedOn w:val="1"/>
    <w:qFormat/>
    <w:uiPriority w:val="6"/>
    <w:pPr>
      <w:adjustRightInd/>
    </w:pPr>
    <w:rPr>
      <w:rFonts w:ascii="Tahoma" w:hAnsi="Tahoma"/>
      <w:sz w:val="24"/>
      <w:szCs w:val="20"/>
    </w:rPr>
  </w:style>
  <w:style w:type="paragraph" w:customStyle="1" w:styleId="515">
    <w:name w:val="列出段落5"/>
    <w:basedOn w:val="1"/>
    <w:qFormat/>
    <w:uiPriority w:val="0"/>
    <w:pPr>
      <w:spacing w:line="360" w:lineRule="auto"/>
      <w:ind w:firstLine="200" w:firstLineChars="200"/>
    </w:pPr>
    <w:rPr>
      <w:rFonts w:eastAsia="楷体_GB2312" w:cs="Lucida Sans"/>
      <w:sz w:val="24"/>
    </w:rPr>
  </w:style>
  <w:style w:type="paragraph" w:customStyle="1" w:styleId="516">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7">
    <w:name w:val="表格文字"/>
    <w:basedOn w:val="1"/>
    <w:next w:val="6"/>
    <w:qFormat/>
    <w:uiPriority w:val="0"/>
    <w:pPr>
      <w:adjustRightInd/>
      <w:ind w:firstLine="200" w:firstLineChars="200"/>
    </w:pPr>
    <w:rPr>
      <w:rFonts w:ascii="Arial" w:hAnsi="Arial"/>
      <w:spacing w:val="-5"/>
      <w:kern w:val="0"/>
      <w:sz w:val="24"/>
      <w:szCs w:val="20"/>
    </w:rPr>
  </w:style>
  <w:style w:type="paragraph" w:customStyle="1" w:styleId="518">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9">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0">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1">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2">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3">
    <w:name w:val="_Style 3"/>
    <w:basedOn w:val="1"/>
    <w:qFormat/>
    <w:uiPriority w:val="0"/>
    <w:pPr>
      <w:adjustRightInd/>
      <w:ind w:firstLine="420" w:firstLineChars="200"/>
    </w:pPr>
    <w:rPr>
      <w:rFonts w:eastAsia="仿宋_GB2312"/>
      <w:sz w:val="28"/>
    </w:rPr>
  </w:style>
  <w:style w:type="paragraph" w:customStyle="1" w:styleId="524">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5">
    <w:name w:val="Bulleting First Indent 1"/>
    <w:basedOn w:val="25"/>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6">
    <w:name w:val="左对齐表格文字"/>
    <w:basedOn w:val="1"/>
    <w:qFormat/>
    <w:uiPriority w:val="0"/>
    <w:pPr>
      <w:adjustRightInd/>
      <w:ind w:firstLine="200" w:firstLineChars="200"/>
      <w:jc w:val="right"/>
    </w:pPr>
  </w:style>
  <w:style w:type="paragraph" w:customStyle="1" w:styleId="527">
    <w:name w:val="Char Char11 Char Char Char Char Char Char Char Char Char"/>
    <w:basedOn w:val="1"/>
    <w:qFormat/>
    <w:uiPriority w:val="0"/>
    <w:pPr>
      <w:spacing w:line="360" w:lineRule="auto"/>
    </w:pPr>
    <w:rPr>
      <w:szCs w:val="20"/>
    </w:rPr>
  </w:style>
  <w:style w:type="paragraph" w:customStyle="1" w:styleId="528">
    <w:name w:val="正文1.25"/>
    <w:basedOn w:val="1"/>
    <w:qFormat/>
    <w:uiPriority w:val="0"/>
    <w:pPr>
      <w:adjustRightInd/>
      <w:spacing w:line="300" w:lineRule="auto"/>
      <w:ind w:firstLine="480" w:firstLineChars="200"/>
    </w:pPr>
    <w:rPr>
      <w:sz w:val="24"/>
      <w:szCs w:val="20"/>
    </w:rPr>
  </w:style>
  <w:style w:type="paragraph" w:customStyle="1" w:styleId="529">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30">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1">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2">
    <w:name w:val="Char Char1 Char Char Char1"/>
    <w:basedOn w:val="1"/>
    <w:qFormat/>
    <w:uiPriority w:val="6"/>
    <w:rPr>
      <w:rFonts w:ascii="仿宋_GB2312" w:eastAsia="仿宋_GB2312"/>
      <w:b/>
      <w:sz w:val="32"/>
      <w:szCs w:val="20"/>
    </w:rPr>
  </w:style>
  <w:style w:type="paragraph" w:customStyle="1" w:styleId="533">
    <w:name w:val="列出段落2"/>
    <w:basedOn w:val="1"/>
    <w:qFormat/>
    <w:uiPriority w:val="0"/>
    <w:pPr>
      <w:adjustRightInd/>
      <w:ind w:firstLine="420" w:firstLineChars="200"/>
    </w:pPr>
    <w:rPr>
      <w:rFonts w:ascii="宋体" w:hAnsi="宋体"/>
      <w:sz w:val="24"/>
    </w:rPr>
  </w:style>
  <w:style w:type="paragraph" w:customStyle="1" w:styleId="534">
    <w:name w:val="默认段落字体 Para Char Char Char Char Char Char Char"/>
    <w:basedOn w:val="1"/>
    <w:qFormat/>
    <w:uiPriority w:val="0"/>
    <w:rPr>
      <w:rFonts w:eastAsia="仿宋_GB2312"/>
      <w:sz w:val="28"/>
      <w:szCs w:val="20"/>
    </w:rPr>
  </w:style>
  <w:style w:type="paragraph" w:customStyle="1" w:styleId="535">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6">
    <w:name w:val="样式 标题 4PIM 4H4h4bulletblbbH41H42H43H44H45H46H47H48...1"/>
    <w:basedOn w:val="7"/>
    <w:qFormat/>
    <w:uiPriority w:val="0"/>
    <w:pPr>
      <w:widowControl/>
      <w:jc w:val="left"/>
    </w:pPr>
    <w:rPr>
      <w:rFonts w:cs="宋体"/>
      <w:sz w:val="24"/>
      <w:szCs w:val="20"/>
    </w:rPr>
  </w:style>
  <w:style w:type="paragraph" w:customStyle="1" w:styleId="537">
    <w:name w:val="彩色列表 - 强调文字颜色 11"/>
    <w:basedOn w:val="1"/>
    <w:qFormat/>
    <w:uiPriority w:val="0"/>
    <w:pPr>
      <w:adjustRightInd/>
      <w:ind w:firstLine="420" w:firstLineChars="200"/>
    </w:pPr>
    <w:rPr>
      <w:rFonts w:ascii="Calibri" w:hAnsi="Calibri"/>
      <w:szCs w:val="22"/>
    </w:rPr>
  </w:style>
  <w:style w:type="paragraph" w:customStyle="1" w:styleId="538">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9">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0">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1">
    <w:name w:val="Char Char Char1 Char1"/>
    <w:basedOn w:val="1"/>
    <w:qFormat/>
    <w:uiPriority w:val="6"/>
    <w:rPr>
      <w:szCs w:val="20"/>
    </w:rPr>
  </w:style>
  <w:style w:type="paragraph" w:customStyle="1" w:styleId="542">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3">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4">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5">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6">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7">
    <w:name w:val="CM14"/>
    <w:basedOn w:val="90"/>
    <w:next w:val="90"/>
    <w:qFormat/>
    <w:uiPriority w:val="0"/>
    <w:pPr>
      <w:spacing w:after="68"/>
    </w:pPr>
    <w:rPr>
      <w:rFonts w:ascii="FHLHE E+ Futura Bk" w:eastAsia="FHLHE E+ Futura Bk" w:cs="Times New Roman"/>
      <w:color w:val="auto"/>
    </w:rPr>
  </w:style>
  <w:style w:type="paragraph" w:customStyle="1" w:styleId="548">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9">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0">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1">
    <w:name w:val="正文文字 2"/>
    <w:basedOn w:val="90"/>
    <w:next w:val="90"/>
    <w:qFormat/>
    <w:uiPriority w:val="0"/>
    <w:rPr>
      <w:rFonts w:ascii="宋体" w:eastAsia="宋体" w:cs="Times New Roman"/>
      <w:color w:val="auto"/>
    </w:rPr>
  </w:style>
  <w:style w:type="paragraph" w:customStyle="1" w:styleId="552">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3">
    <w:name w:val="Char Char1 Char"/>
    <w:basedOn w:val="1"/>
    <w:qFormat/>
    <w:uiPriority w:val="0"/>
    <w:rPr>
      <w:rFonts w:ascii="仿宋_GB2312" w:eastAsia="仿宋_GB2312"/>
      <w:b/>
      <w:sz w:val="32"/>
      <w:szCs w:val="32"/>
    </w:rPr>
  </w:style>
  <w:style w:type="paragraph" w:customStyle="1" w:styleId="554">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5">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6">
    <w:name w:val="Char Char111"/>
    <w:basedOn w:val="1"/>
    <w:qFormat/>
    <w:uiPriority w:val="0"/>
    <w:pPr>
      <w:spacing w:line="360" w:lineRule="auto"/>
    </w:pPr>
    <w:rPr>
      <w:szCs w:val="20"/>
    </w:rPr>
  </w:style>
  <w:style w:type="paragraph" w:customStyle="1" w:styleId="557">
    <w:name w:val="Char"/>
    <w:basedOn w:val="1"/>
    <w:qFormat/>
    <w:uiPriority w:val="0"/>
    <w:rPr>
      <w:rFonts w:ascii="仿宋_GB2312" w:eastAsia="仿宋_GB2312"/>
      <w:b/>
      <w:sz w:val="32"/>
      <w:szCs w:val="32"/>
    </w:rPr>
  </w:style>
  <w:style w:type="paragraph" w:customStyle="1" w:styleId="558">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9">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0">
    <w:name w:val="Char Char Char1 Char"/>
    <w:basedOn w:val="1"/>
    <w:qFormat/>
    <w:uiPriority w:val="0"/>
    <w:rPr>
      <w:szCs w:val="20"/>
    </w:rPr>
  </w:style>
  <w:style w:type="paragraph" w:customStyle="1" w:styleId="561">
    <w:name w:val="正文标准"/>
    <w:basedOn w:val="1"/>
    <w:qFormat/>
    <w:uiPriority w:val="0"/>
    <w:pPr>
      <w:adjustRightInd/>
      <w:spacing w:line="360" w:lineRule="auto"/>
      <w:ind w:firstLine="200" w:firstLineChars="200"/>
    </w:pPr>
    <w:rPr>
      <w:rFonts w:ascii="宋体" w:hAnsi="Calibri"/>
      <w:sz w:val="24"/>
    </w:rPr>
  </w:style>
  <w:style w:type="paragraph" w:customStyle="1" w:styleId="562">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3">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4">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5">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6">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7">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8">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9">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1">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2">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3">
    <w:name w:val="标准有序列表（L1）"/>
    <w:basedOn w:val="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4">
    <w:name w:val="Char Char Char Char Char Char Char Char Char Char"/>
    <w:basedOn w:val="1"/>
    <w:qFormat/>
    <w:uiPriority w:val="0"/>
    <w:rPr>
      <w:rFonts w:ascii="仿宋_GB2312" w:eastAsia="仿宋_GB2312"/>
      <w:b/>
      <w:sz w:val="32"/>
      <w:szCs w:val="32"/>
    </w:rPr>
  </w:style>
  <w:style w:type="paragraph" w:customStyle="1" w:styleId="575">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6">
    <w:name w:val="_正文段落"/>
    <w:basedOn w:val="1"/>
    <w:qFormat/>
    <w:uiPriority w:val="0"/>
    <w:pPr>
      <w:adjustRightInd/>
      <w:ind w:firstLine="560"/>
    </w:pPr>
    <w:rPr>
      <w:rFonts w:ascii="仿宋_GB2312" w:hAnsi="仿宋" w:eastAsia="仿宋_GB2312"/>
      <w:kern w:val="0"/>
      <w:sz w:val="28"/>
      <w:szCs w:val="28"/>
    </w:rPr>
  </w:style>
  <w:style w:type="paragraph" w:customStyle="1" w:styleId="577">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8">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9">
    <w:name w:val="正文（首行缩进）"/>
    <w:basedOn w:val="2"/>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0">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1">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2">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3">
    <w:name w:val="Char Char Char1 Char2"/>
    <w:basedOn w:val="1"/>
    <w:qFormat/>
    <w:uiPriority w:val="0"/>
    <w:rPr>
      <w:szCs w:val="20"/>
    </w:rPr>
  </w:style>
  <w:style w:type="paragraph" w:customStyle="1" w:styleId="584">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5">
    <w:name w:val="默认段落字体 Para Char"/>
    <w:basedOn w:val="1"/>
    <w:qFormat/>
    <w:uiPriority w:val="0"/>
    <w:rPr>
      <w:rFonts w:ascii="Tahoma" w:hAnsi="Tahoma"/>
      <w:sz w:val="24"/>
      <w:szCs w:val="20"/>
    </w:rPr>
  </w:style>
  <w:style w:type="paragraph" w:customStyle="1" w:styleId="586">
    <w:name w:val="标题五"/>
    <w:basedOn w:val="1"/>
    <w:qFormat/>
    <w:uiPriority w:val="0"/>
    <w:pPr>
      <w:adjustRightInd/>
      <w:spacing w:before="156" w:beforeLines="50" w:line="360" w:lineRule="auto"/>
    </w:pPr>
    <w:rPr>
      <w:b/>
      <w:sz w:val="24"/>
    </w:rPr>
  </w:style>
  <w:style w:type="paragraph" w:customStyle="1" w:styleId="587">
    <w:name w:val="Char Char1101"/>
    <w:basedOn w:val="1"/>
    <w:qFormat/>
    <w:uiPriority w:val="0"/>
    <w:pPr>
      <w:spacing w:line="360" w:lineRule="auto"/>
    </w:pPr>
    <w:rPr>
      <w:rFonts w:ascii="Tahoma" w:hAnsi="Tahoma"/>
      <w:sz w:val="24"/>
      <w:szCs w:val="20"/>
    </w:rPr>
  </w:style>
  <w:style w:type="paragraph" w:customStyle="1" w:styleId="588">
    <w:name w:val="Char Char Char Char Char Char Char Char1"/>
    <w:basedOn w:val="1"/>
    <w:qFormat/>
    <w:uiPriority w:val="0"/>
    <w:pPr>
      <w:tabs>
        <w:tab w:val="left" w:pos="360"/>
      </w:tabs>
    </w:pPr>
    <w:rPr>
      <w:sz w:val="24"/>
      <w:szCs w:val="20"/>
    </w:rPr>
  </w:style>
  <w:style w:type="paragraph" w:customStyle="1" w:styleId="589">
    <w:name w:val="Char Char Char 字元 字元"/>
    <w:basedOn w:val="1"/>
    <w:qFormat/>
    <w:uiPriority w:val="0"/>
    <w:pPr>
      <w:adjustRightInd/>
      <w:spacing w:line="360" w:lineRule="auto"/>
      <w:ind w:firstLine="200" w:firstLineChars="200"/>
    </w:pPr>
    <w:rPr>
      <w:szCs w:val="20"/>
    </w:rPr>
  </w:style>
  <w:style w:type="paragraph" w:customStyle="1" w:styleId="590">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1">
    <w:name w:val="Char Char Char Char Char Char Char"/>
    <w:basedOn w:val="1"/>
    <w:qFormat/>
    <w:uiPriority w:val="0"/>
    <w:rPr>
      <w:rFonts w:ascii="仿宋_GB2312" w:eastAsia="仿宋_GB2312"/>
      <w:b/>
      <w:sz w:val="32"/>
      <w:szCs w:val="32"/>
    </w:rPr>
  </w:style>
  <w:style w:type="paragraph" w:customStyle="1" w:styleId="592">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3">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4">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5">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596">
    <w:name w:val="批注框文本 Char Char"/>
    <w:basedOn w:val="1"/>
    <w:qFormat/>
    <w:uiPriority w:val="0"/>
    <w:pPr>
      <w:adjustRightInd/>
    </w:pPr>
    <w:rPr>
      <w:sz w:val="18"/>
      <w:szCs w:val="20"/>
    </w:rPr>
  </w:style>
  <w:style w:type="paragraph" w:customStyle="1" w:styleId="597">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8">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9">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600">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1">
    <w:name w:val="索引 11"/>
    <w:basedOn w:val="1"/>
    <w:next w:val="1"/>
    <w:qFormat/>
    <w:uiPriority w:val="99"/>
    <w:pPr>
      <w:adjustRightInd/>
      <w:spacing w:line="360" w:lineRule="auto"/>
    </w:pPr>
    <w:rPr>
      <w:rFonts w:ascii="仿宋_GB2312" w:eastAsia="仿宋_GB2312"/>
      <w:sz w:val="24"/>
      <w:szCs w:val="20"/>
    </w:rPr>
  </w:style>
  <w:style w:type="paragraph" w:customStyle="1" w:styleId="602">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3">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4">
    <w:name w:val="正文文字缩进项目"/>
    <w:basedOn w:val="2"/>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5">
    <w:name w:val="文档正文"/>
    <w:basedOn w:val="1"/>
    <w:qFormat/>
    <w:uiPriority w:val="0"/>
    <w:pPr>
      <w:spacing w:line="480" w:lineRule="atLeast"/>
      <w:ind w:firstLine="567"/>
      <w:textAlignment w:val="baseline"/>
    </w:pPr>
    <w:rPr>
      <w:kern w:val="0"/>
      <w:sz w:val="24"/>
      <w:szCs w:val="20"/>
    </w:rPr>
  </w:style>
  <w:style w:type="paragraph" w:customStyle="1" w:styleId="606">
    <w:name w:val="正文文字表格居中"/>
    <w:basedOn w:val="1"/>
    <w:next w:val="57"/>
    <w:qFormat/>
    <w:uiPriority w:val="0"/>
    <w:pPr>
      <w:snapToGrid w:val="0"/>
      <w:spacing w:line="360" w:lineRule="auto"/>
    </w:pPr>
    <w:rPr>
      <w:rFonts w:ascii="宋体"/>
      <w:b/>
      <w:sz w:val="24"/>
      <w:szCs w:val="20"/>
    </w:rPr>
  </w:style>
  <w:style w:type="paragraph" w:customStyle="1" w:styleId="607">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8">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9">
    <w:name w:val="Plain Text1"/>
    <w:basedOn w:val="1"/>
    <w:qFormat/>
    <w:uiPriority w:val="7"/>
    <w:pPr>
      <w:adjustRightInd/>
    </w:pPr>
    <w:rPr>
      <w:rFonts w:ascii="宋体" w:hAnsi="Courier New"/>
    </w:rPr>
  </w:style>
  <w:style w:type="paragraph" w:customStyle="1" w:styleId="610">
    <w:name w:val="Char3"/>
    <w:basedOn w:val="1"/>
    <w:qFormat/>
    <w:uiPriority w:val="0"/>
    <w:pPr>
      <w:adjustRightInd/>
    </w:pPr>
    <w:rPr>
      <w:rFonts w:ascii="仿宋_GB2312" w:eastAsia="仿宋_GB2312"/>
      <w:b/>
      <w:sz w:val="32"/>
      <w:szCs w:val="32"/>
    </w:rPr>
  </w:style>
  <w:style w:type="paragraph" w:customStyle="1" w:styleId="611">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2">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3">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4">
    <w:name w:val="List Paragraph1"/>
    <w:basedOn w:val="1"/>
    <w:qFormat/>
    <w:uiPriority w:val="0"/>
    <w:pPr>
      <w:spacing w:line="360" w:lineRule="auto"/>
      <w:ind w:firstLine="200" w:firstLineChars="200"/>
    </w:pPr>
    <w:rPr>
      <w:rFonts w:eastAsia="楷体_GB2312" w:cs="Lucida Sans"/>
      <w:sz w:val="24"/>
    </w:rPr>
  </w:style>
  <w:style w:type="paragraph" w:customStyle="1" w:styleId="615">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6">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7">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8">
    <w:name w:val="Char3 Char Char Char"/>
    <w:basedOn w:val="1"/>
    <w:qFormat/>
    <w:uiPriority w:val="0"/>
    <w:pPr>
      <w:widowControl/>
      <w:adjustRightInd/>
      <w:spacing w:after="160" w:line="240" w:lineRule="exact"/>
      <w:jc w:val="left"/>
    </w:pPr>
    <w:rPr>
      <w:szCs w:val="20"/>
    </w:rPr>
  </w:style>
  <w:style w:type="paragraph" w:customStyle="1" w:styleId="619">
    <w:name w:val="表格标题2"/>
    <w:basedOn w:val="620"/>
    <w:qFormat/>
    <w:uiPriority w:val="0"/>
    <w:rPr>
      <w:b/>
    </w:rPr>
  </w:style>
  <w:style w:type="paragraph" w:customStyle="1" w:styleId="620">
    <w:name w:val="表格内文"/>
    <w:basedOn w:val="1"/>
    <w:qFormat/>
    <w:uiPriority w:val="0"/>
    <w:pPr>
      <w:adjustRightInd/>
      <w:spacing w:line="360" w:lineRule="auto"/>
    </w:pPr>
    <w:rPr>
      <w:rFonts w:ascii="宋体" w:hAnsi="宋体" w:cs="宋体"/>
      <w:color w:val="000000"/>
      <w:szCs w:val="20"/>
    </w:rPr>
  </w:style>
  <w:style w:type="paragraph" w:customStyle="1" w:styleId="621">
    <w:name w:val="Char Char Char Char Char Char Char Char Char Char2"/>
    <w:basedOn w:val="1"/>
    <w:qFormat/>
    <w:uiPriority w:val="0"/>
    <w:rPr>
      <w:rFonts w:ascii="仿宋_GB2312" w:eastAsia="仿宋_GB2312"/>
      <w:b/>
      <w:sz w:val="32"/>
      <w:szCs w:val="32"/>
    </w:rPr>
  </w:style>
  <w:style w:type="paragraph" w:customStyle="1" w:styleId="622">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3">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4">
    <w:name w:val="Char Char11 Char Char Char Char Char Char Char Char Char11"/>
    <w:basedOn w:val="1"/>
    <w:qFormat/>
    <w:uiPriority w:val="0"/>
    <w:pPr>
      <w:spacing w:line="360" w:lineRule="auto"/>
    </w:pPr>
    <w:rPr>
      <w:szCs w:val="20"/>
    </w:rPr>
  </w:style>
  <w:style w:type="paragraph" w:customStyle="1" w:styleId="625">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6">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7">
    <w:name w:val="MM Topic 1"/>
    <w:basedOn w:val="3"/>
    <w:qFormat/>
    <w:uiPriority w:val="0"/>
    <w:pPr>
      <w:tabs>
        <w:tab w:val="left" w:pos="840"/>
      </w:tabs>
      <w:adjustRightInd/>
      <w:ind w:left="840" w:hanging="420"/>
    </w:pPr>
  </w:style>
  <w:style w:type="paragraph" w:customStyle="1" w:styleId="628">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9">
    <w:name w:val="文本正文 Char"/>
    <w:basedOn w:val="1"/>
    <w:qFormat/>
    <w:uiPriority w:val="0"/>
    <w:pPr>
      <w:spacing w:line="360" w:lineRule="auto"/>
      <w:ind w:firstLine="200" w:firstLineChars="200"/>
    </w:pPr>
    <w:rPr>
      <w:kern w:val="0"/>
      <w:sz w:val="24"/>
      <w:szCs w:val="20"/>
    </w:rPr>
  </w:style>
  <w:style w:type="paragraph" w:customStyle="1" w:styleId="630">
    <w:name w:val="表格"/>
    <w:basedOn w:val="1"/>
    <w:qFormat/>
    <w:uiPriority w:val="0"/>
    <w:pPr>
      <w:snapToGrid w:val="0"/>
      <w:ind w:firstLine="42" w:firstLineChars="21"/>
    </w:pPr>
    <w:rPr>
      <w:rFonts w:ascii="宋体" w:hAnsi="宋体"/>
      <w:kern w:val="0"/>
      <w:sz w:val="20"/>
      <w:szCs w:val="20"/>
    </w:rPr>
  </w:style>
  <w:style w:type="paragraph" w:customStyle="1" w:styleId="631">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2">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3">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4">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5">
    <w:name w:val="EB_表格"/>
    <w:basedOn w:val="1"/>
    <w:qFormat/>
    <w:uiPriority w:val="0"/>
    <w:pPr>
      <w:adjustRightInd/>
      <w:spacing w:line="300" w:lineRule="auto"/>
      <w:jc w:val="center"/>
    </w:pPr>
  </w:style>
  <w:style w:type="paragraph" w:customStyle="1" w:styleId="636">
    <w:name w:val="_Style 6"/>
    <w:basedOn w:val="1"/>
    <w:qFormat/>
    <w:uiPriority w:val="34"/>
    <w:pPr>
      <w:adjustRightInd/>
      <w:ind w:firstLine="420" w:firstLineChars="200"/>
    </w:pPr>
    <w:rPr>
      <w:rFonts w:eastAsia="仿宋_GB2312"/>
      <w:sz w:val="28"/>
    </w:rPr>
  </w:style>
  <w:style w:type="paragraph" w:customStyle="1" w:styleId="637">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8">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9">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40">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1">
    <w:name w:val="正文表标题"/>
    <w:next w:val="642"/>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2">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3">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4">
    <w:name w:val="trademark"/>
    <w:qFormat/>
    <w:uiPriority w:val="0"/>
    <w:pPr>
      <w:spacing w:after="60"/>
    </w:pPr>
    <w:rPr>
      <w:rFonts w:ascii="Futura Bk" w:hAnsi="Futura Bk" w:eastAsia="宋体" w:cs="Times New Roman"/>
      <w:sz w:val="15"/>
      <w:lang w:val="en-US" w:eastAsia="en-US" w:bidi="ar-SA"/>
    </w:rPr>
  </w:style>
  <w:style w:type="paragraph" w:customStyle="1" w:styleId="645">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6">
    <w:name w:val="Char Char1 Char Char Char Char Char Char1"/>
    <w:basedOn w:val="1"/>
    <w:qFormat/>
    <w:uiPriority w:val="0"/>
    <w:rPr>
      <w:rFonts w:ascii="仿宋_GB2312" w:eastAsia="仿宋_GB2312"/>
      <w:b/>
      <w:sz w:val="32"/>
      <w:szCs w:val="20"/>
    </w:rPr>
  </w:style>
  <w:style w:type="paragraph" w:customStyle="1" w:styleId="647">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8">
    <w:name w:val="Char1 Char Char Char1"/>
    <w:basedOn w:val="1"/>
    <w:qFormat/>
    <w:uiPriority w:val="0"/>
    <w:pPr>
      <w:adjustRightInd/>
      <w:ind w:firstLine="200" w:firstLineChars="200"/>
    </w:pPr>
    <w:rPr>
      <w:rFonts w:ascii="Tahoma" w:hAnsi="Tahoma"/>
      <w:sz w:val="24"/>
      <w:szCs w:val="20"/>
    </w:rPr>
  </w:style>
  <w:style w:type="paragraph" w:customStyle="1" w:styleId="649">
    <w:name w:val="a1"/>
    <w:basedOn w:val="1"/>
    <w:qFormat/>
    <w:uiPriority w:val="0"/>
    <w:pPr>
      <w:widowControl/>
      <w:spacing w:line="300" w:lineRule="atLeast"/>
      <w:jc w:val="left"/>
    </w:pPr>
    <w:rPr>
      <w:rFonts w:ascii="宋体" w:hAnsi="宋体"/>
      <w:kern w:val="0"/>
      <w:sz w:val="18"/>
      <w:szCs w:val="20"/>
    </w:rPr>
  </w:style>
  <w:style w:type="paragraph" w:customStyle="1" w:styleId="650">
    <w:name w:val="样式7"/>
    <w:basedOn w:val="651"/>
    <w:next w:val="1"/>
    <w:qFormat/>
    <w:uiPriority w:val="0"/>
    <w:pPr>
      <w:spacing w:after="156" w:afterLines="50"/>
      <w:jc w:val="left"/>
      <w:outlineLvl w:val="3"/>
    </w:pPr>
    <w:rPr>
      <w:sz w:val="24"/>
      <w:szCs w:val="24"/>
    </w:rPr>
  </w:style>
  <w:style w:type="paragraph" w:customStyle="1" w:styleId="651">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2">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3">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4">
    <w:name w:val="样式 样式2 + 左侧:  1 字符 右侧:  1 字符"/>
    <w:basedOn w:val="462"/>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5">
    <w:name w:val="Char2 Char Char2"/>
    <w:basedOn w:val="1"/>
    <w:qFormat/>
    <w:uiPriority w:val="0"/>
    <w:pPr>
      <w:adjustRightInd/>
    </w:pPr>
    <w:rPr>
      <w:rFonts w:ascii="Tahoma" w:hAnsi="Tahoma"/>
      <w:sz w:val="24"/>
      <w:szCs w:val="20"/>
    </w:rPr>
  </w:style>
  <w:style w:type="paragraph" w:customStyle="1" w:styleId="656">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7">
    <w:name w:val="三级条标题"/>
    <w:basedOn w:val="658"/>
    <w:next w:val="642"/>
    <w:qFormat/>
    <w:uiPriority w:val="0"/>
    <w:pPr>
      <w:tabs>
        <w:tab w:val="left" w:pos="1260"/>
        <w:tab w:val="left" w:pos="1680"/>
        <w:tab w:val="left" w:pos="2100"/>
        <w:tab w:val="left" w:pos="2520"/>
      </w:tabs>
      <w:ind w:left="2520"/>
      <w:outlineLvl w:val="4"/>
    </w:pPr>
  </w:style>
  <w:style w:type="paragraph" w:customStyle="1" w:styleId="658">
    <w:name w:val="二级条标题"/>
    <w:basedOn w:val="659"/>
    <w:next w:val="642"/>
    <w:qFormat/>
    <w:uiPriority w:val="0"/>
    <w:pPr>
      <w:tabs>
        <w:tab w:val="left" w:pos="1260"/>
        <w:tab w:val="left" w:pos="1680"/>
        <w:tab w:val="left" w:pos="2100"/>
      </w:tabs>
      <w:ind w:left="0"/>
      <w:outlineLvl w:val="3"/>
    </w:pPr>
  </w:style>
  <w:style w:type="paragraph" w:customStyle="1" w:styleId="659">
    <w:name w:val="一级条标题"/>
    <w:basedOn w:val="660"/>
    <w:next w:val="642"/>
    <w:qFormat/>
    <w:uiPriority w:val="0"/>
    <w:pPr>
      <w:tabs>
        <w:tab w:val="left" w:pos="1260"/>
        <w:tab w:val="left" w:pos="1680"/>
      </w:tabs>
      <w:spacing w:before="0" w:beforeLines="0" w:after="0" w:afterLines="0"/>
      <w:ind w:left="1680"/>
      <w:outlineLvl w:val="2"/>
    </w:pPr>
  </w:style>
  <w:style w:type="paragraph" w:customStyle="1" w:styleId="660">
    <w:name w:val="章标题"/>
    <w:next w:val="642"/>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1">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62">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3">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4">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5">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6">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7">
    <w:name w:val="正文 项目2"/>
    <w:basedOn w:val="668"/>
    <w:qFormat/>
    <w:uiPriority w:val="0"/>
    <w:pPr>
      <w:tabs>
        <w:tab w:val="left" w:pos="840"/>
      </w:tabs>
      <w:spacing w:after="0"/>
      <w:ind w:left="900"/>
    </w:pPr>
  </w:style>
  <w:style w:type="paragraph" w:customStyle="1" w:styleId="668">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9">
    <w:name w:val="Body Text 2*"/>
    <w:basedOn w:val="1"/>
    <w:qFormat/>
    <w:uiPriority w:val="6"/>
    <w:pPr>
      <w:widowControl/>
      <w:adjustRightInd/>
      <w:ind w:left="720" w:hanging="720"/>
    </w:pPr>
    <w:rPr>
      <w:color w:val="000000"/>
      <w:kern w:val="0"/>
      <w:sz w:val="24"/>
      <w:szCs w:val="20"/>
      <w:lang w:val="en-GB"/>
    </w:rPr>
  </w:style>
  <w:style w:type="paragraph" w:customStyle="1" w:styleId="670">
    <w:name w:val="表1"/>
    <w:basedOn w:val="1"/>
    <w:qFormat/>
    <w:uiPriority w:val="0"/>
    <w:pPr>
      <w:tabs>
        <w:tab w:val="left" w:pos="703"/>
      </w:tabs>
      <w:adjustRightInd/>
      <w:spacing w:line="360" w:lineRule="auto"/>
      <w:ind w:left="703"/>
      <w:jc w:val="center"/>
    </w:pPr>
  </w:style>
  <w:style w:type="paragraph" w:customStyle="1" w:styleId="671">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2">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3">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4">
    <w:name w:val="2级标题"/>
    <w:basedOn w:val="675"/>
    <w:qFormat/>
    <w:uiPriority w:val="0"/>
    <w:pPr>
      <w:jc w:val="left"/>
      <w:outlineLvl w:val="1"/>
    </w:pPr>
    <w:rPr>
      <w:rFonts w:ascii="Times New Roman" w:hAnsi="Times New Roman" w:eastAsia="仿宋"/>
      <w:sz w:val="30"/>
    </w:rPr>
  </w:style>
  <w:style w:type="paragraph" w:customStyle="1" w:styleId="675">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6">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7">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8">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9">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0">
    <w:name w:val="bullet"/>
    <w:basedOn w:val="1"/>
    <w:qFormat/>
    <w:uiPriority w:val="0"/>
    <w:pPr>
      <w:tabs>
        <w:tab w:val="left" w:pos="840"/>
      </w:tabs>
      <w:adjustRightInd/>
      <w:ind w:left="840" w:hanging="420"/>
    </w:pPr>
  </w:style>
  <w:style w:type="paragraph" w:customStyle="1" w:styleId="681">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2">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3">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4">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5">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6">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7">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8">
    <w:name w:val="MM Topic 4"/>
    <w:basedOn w:val="7"/>
    <w:qFormat/>
    <w:uiPriority w:val="0"/>
    <w:pPr>
      <w:tabs>
        <w:tab w:val="left" w:pos="2100"/>
      </w:tabs>
      <w:adjustRightInd/>
      <w:ind w:left="2100" w:hanging="420"/>
    </w:pPr>
    <w:rPr>
      <w:lang w:val="en-US"/>
    </w:rPr>
  </w:style>
  <w:style w:type="paragraph" w:customStyle="1" w:styleId="689">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90">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1">
    <w:name w:val="Char Char11 Char Char Char Char Char Char Char Char Char1"/>
    <w:basedOn w:val="1"/>
    <w:qFormat/>
    <w:uiPriority w:val="6"/>
    <w:pPr>
      <w:spacing w:line="360" w:lineRule="auto"/>
    </w:pPr>
    <w:rPr>
      <w:szCs w:val="20"/>
    </w:rPr>
  </w:style>
  <w:style w:type="paragraph" w:customStyle="1" w:styleId="692">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3">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4">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5">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6">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7">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8">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9">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0">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1">
    <w:name w:val="单元格居中"/>
    <w:basedOn w:val="1"/>
    <w:qFormat/>
    <w:uiPriority w:val="0"/>
    <w:pPr>
      <w:adjustRightInd/>
      <w:spacing w:line="360" w:lineRule="auto"/>
      <w:jc w:val="center"/>
    </w:pPr>
    <w:rPr>
      <w:sz w:val="24"/>
    </w:rPr>
  </w:style>
  <w:style w:type="paragraph" w:customStyle="1" w:styleId="702">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3">
    <w:name w:val="Char Char Char Char Char Char Char1"/>
    <w:basedOn w:val="1"/>
    <w:qFormat/>
    <w:uiPriority w:val="6"/>
    <w:rPr>
      <w:rFonts w:ascii="仿宋_GB2312" w:eastAsia="仿宋_GB2312"/>
      <w:b/>
      <w:sz w:val="32"/>
      <w:szCs w:val="32"/>
    </w:rPr>
  </w:style>
  <w:style w:type="paragraph" w:customStyle="1" w:styleId="704">
    <w:name w:val="正文缩进1"/>
    <w:basedOn w:val="1"/>
    <w:next w:val="2"/>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5">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6">
    <w:name w:val="Char3 Char Char Char11"/>
    <w:basedOn w:val="1"/>
    <w:qFormat/>
    <w:uiPriority w:val="0"/>
    <w:pPr>
      <w:widowControl/>
      <w:adjustRightInd/>
      <w:spacing w:after="160" w:line="240" w:lineRule="exact"/>
      <w:jc w:val="left"/>
    </w:pPr>
    <w:rPr>
      <w:szCs w:val="20"/>
    </w:rPr>
  </w:style>
  <w:style w:type="paragraph" w:customStyle="1" w:styleId="707">
    <w:name w:val="Char Char1121"/>
    <w:basedOn w:val="1"/>
    <w:qFormat/>
    <w:uiPriority w:val="0"/>
    <w:pPr>
      <w:spacing w:line="360" w:lineRule="auto"/>
    </w:pPr>
    <w:rPr>
      <w:szCs w:val="20"/>
    </w:rPr>
  </w:style>
  <w:style w:type="paragraph" w:customStyle="1" w:styleId="708">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9">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0">
    <w:name w:val="Normal0"/>
    <w:qFormat/>
    <w:uiPriority w:val="0"/>
    <w:rPr>
      <w:rFonts w:ascii="Times New Roman" w:hAnsi="Times New Roman" w:eastAsia="宋体" w:cs="Times New Roman"/>
      <w:lang w:val="en-US" w:eastAsia="en-US" w:bidi="ar-SA"/>
    </w:rPr>
  </w:style>
  <w:style w:type="paragraph" w:customStyle="1" w:styleId="711">
    <w:name w:val="带编号样式"/>
    <w:basedOn w:val="629"/>
    <w:qFormat/>
    <w:uiPriority w:val="0"/>
    <w:pPr>
      <w:tabs>
        <w:tab w:val="left" w:pos="840"/>
      </w:tabs>
      <w:snapToGrid w:val="0"/>
      <w:ind w:left="840" w:hanging="420" w:firstLineChars="0"/>
    </w:pPr>
    <w:rPr>
      <w:rFonts w:ascii="仿宋_GB2312" w:eastAsia="仿宋_GB2312"/>
      <w:color w:val="000000"/>
    </w:rPr>
  </w:style>
  <w:style w:type="paragraph" w:customStyle="1" w:styleId="712">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3">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4">
    <w:name w:val="封面"/>
    <w:basedOn w:val="1"/>
    <w:qFormat/>
    <w:uiPriority w:val="0"/>
    <w:pPr>
      <w:spacing w:line="360" w:lineRule="atLeast"/>
      <w:jc w:val="right"/>
      <w:textAlignment w:val="baseline"/>
    </w:pPr>
    <w:rPr>
      <w:rFonts w:ascii="Symbol" w:hAnsi="Symbol"/>
      <w:kern w:val="0"/>
      <w:szCs w:val="20"/>
    </w:rPr>
  </w:style>
  <w:style w:type="paragraph" w:customStyle="1" w:styleId="715">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6">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7">
    <w:name w:val="默认段落字体 Para Char Char Char1 Char"/>
    <w:basedOn w:val="1"/>
    <w:qFormat/>
    <w:uiPriority w:val="0"/>
    <w:pPr>
      <w:spacing w:line="240" w:lineRule="atLeast"/>
      <w:ind w:left="420" w:firstLine="420"/>
    </w:pPr>
    <w:rPr>
      <w:sz w:val="24"/>
    </w:rPr>
  </w:style>
  <w:style w:type="paragraph" w:customStyle="1" w:styleId="718">
    <w:name w:val="WW-正文文字缩进 2"/>
    <w:basedOn w:val="1"/>
    <w:qFormat/>
    <w:uiPriority w:val="0"/>
    <w:pPr>
      <w:suppressAutoHyphens/>
      <w:adjustRightInd/>
      <w:ind w:firstLine="420"/>
    </w:pPr>
    <w:rPr>
      <w:kern w:val="1"/>
      <w:szCs w:val="20"/>
    </w:rPr>
  </w:style>
  <w:style w:type="paragraph" w:customStyle="1" w:styleId="719">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0">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21">
    <w:name w:val="有符号正文"/>
    <w:basedOn w:val="1"/>
    <w:qFormat/>
    <w:uiPriority w:val="0"/>
    <w:pPr>
      <w:adjustRightInd/>
      <w:spacing w:line="400" w:lineRule="exact"/>
      <w:ind w:firstLine="200" w:firstLineChars="200"/>
    </w:pPr>
    <w:rPr>
      <w:rFonts w:ascii="Arial" w:hAnsi="Arial"/>
    </w:rPr>
  </w:style>
  <w:style w:type="paragraph" w:customStyle="1" w:styleId="722">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3">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4">
    <w:name w:val="4"/>
    <w:basedOn w:val="1"/>
    <w:next w:val="38"/>
    <w:qFormat/>
    <w:uiPriority w:val="0"/>
    <w:pPr>
      <w:spacing w:after="120" w:line="480" w:lineRule="auto"/>
      <w:ind w:left="420" w:leftChars="200"/>
    </w:pPr>
    <w:rPr>
      <w:sz w:val="24"/>
      <w:szCs w:val="20"/>
    </w:rPr>
  </w:style>
  <w:style w:type="paragraph" w:customStyle="1" w:styleId="725">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6">
    <w:name w:val="样式 标题 3H3 + 两端对齐"/>
    <w:basedOn w:val="5"/>
    <w:qFormat/>
    <w:uiPriority w:val="0"/>
    <w:pPr>
      <w:keepLines w:val="0"/>
      <w:spacing w:before="0" w:after="0" w:line="240" w:lineRule="auto"/>
      <w:jc w:val="left"/>
    </w:pPr>
    <w:rPr>
      <w:rFonts w:cs="宋体"/>
      <w:sz w:val="21"/>
      <w:szCs w:val="20"/>
    </w:rPr>
  </w:style>
  <w:style w:type="paragraph" w:customStyle="1" w:styleId="727">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8">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9">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0">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1">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2">
    <w:name w:val="Char Char1 Char Char Char"/>
    <w:basedOn w:val="1"/>
    <w:qFormat/>
    <w:uiPriority w:val="0"/>
    <w:rPr>
      <w:rFonts w:ascii="仿宋_GB2312" w:eastAsia="仿宋_GB2312"/>
      <w:b/>
      <w:sz w:val="32"/>
      <w:szCs w:val="20"/>
    </w:rPr>
  </w:style>
  <w:style w:type="paragraph" w:customStyle="1" w:styleId="733">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4">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5">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6">
    <w:name w:val="Char Char1 Char Char Char2"/>
    <w:basedOn w:val="1"/>
    <w:qFormat/>
    <w:uiPriority w:val="0"/>
    <w:rPr>
      <w:rFonts w:ascii="仿宋_GB2312" w:eastAsia="仿宋_GB2312"/>
      <w:b/>
      <w:sz w:val="32"/>
      <w:szCs w:val="32"/>
    </w:rPr>
  </w:style>
  <w:style w:type="paragraph" w:customStyle="1" w:styleId="737">
    <w:name w:val="Char3 Char Char Char1"/>
    <w:basedOn w:val="1"/>
    <w:qFormat/>
    <w:uiPriority w:val="6"/>
    <w:pPr>
      <w:widowControl/>
      <w:adjustRightInd/>
      <w:spacing w:after="160" w:line="240" w:lineRule="exact"/>
      <w:jc w:val="left"/>
    </w:pPr>
    <w:rPr>
      <w:szCs w:val="20"/>
    </w:rPr>
  </w:style>
  <w:style w:type="paragraph" w:customStyle="1" w:styleId="738">
    <w:name w:val="Char1 Char Char Char21"/>
    <w:basedOn w:val="1"/>
    <w:qFormat/>
    <w:uiPriority w:val="0"/>
    <w:rPr>
      <w:rFonts w:ascii="Tahoma" w:hAnsi="Tahoma"/>
      <w:sz w:val="24"/>
      <w:szCs w:val="20"/>
    </w:rPr>
  </w:style>
  <w:style w:type="paragraph" w:customStyle="1" w:styleId="739">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0">
    <w:name w:val="正文（标题三）"/>
    <w:basedOn w:val="1"/>
    <w:qFormat/>
    <w:uiPriority w:val="0"/>
    <w:pPr>
      <w:spacing w:line="360" w:lineRule="auto"/>
      <w:ind w:firstLine="200" w:firstLineChars="200"/>
    </w:pPr>
    <w:rPr>
      <w:sz w:val="24"/>
    </w:rPr>
  </w:style>
  <w:style w:type="paragraph" w:customStyle="1" w:styleId="741">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2">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3">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4">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5">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6">
    <w:name w:val="Char1 Char Char Char4"/>
    <w:basedOn w:val="1"/>
    <w:qFormat/>
    <w:uiPriority w:val="0"/>
    <w:pPr>
      <w:adjustRightInd/>
      <w:ind w:firstLine="200" w:firstLineChars="200"/>
    </w:pPr>
    <w:rPr>
      <w:rFonts w:ascii="Tahoma" w:hAnsi="Tahoma"/>
      <w:sz w:val="24"/>
      <w:szCs w:val="20"/>
    </w:rPr>
  </w:style>
  <w:style w:type="paragraph" w:customStyle="1" w:styleId="747">
    <w:name w:val="_标题2"/>
    <w:basedOn w:val="715"/>
    <w:next w:val="715"/>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8">
    <w:name w:val="样式1 + (中宋体"/>
    <w:basedOn w:val="85"/>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9">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0">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1">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2">
    <w:name w:val="四号　首行缩进"/>
    <w:basedOn w:val="1"/>
    <w:qFormat/>
    <w:uiPriority w:val="0"/>
    <w:pPr>
      <w:adjustRightInd/>
      <w:spacing w:line="360" w:lineRule="auto"/>
    </w:pPr>
    <w:rPr>
      <w:rFonts w:ascii="宋体" w:hAnsi="宋体"/>
      <w:szCs w:val="20"/>
    </w:rPr>
  </w:style>
  <w:style w:type="paragraph" w:customStyle="1" w:styleId="753">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4">
    <w:name w:val="Char Char Char Char Char Char Char Char Char Char Char1 Char"/>
    <w:basedOn w:val="1"/>
    <w:qFormat/>
    <w:uiPriority w:val="0"/>
    <w:pPr>
      <w:adjustRightInd/>
    </w:pPr>
    <w:rPr>
      <w:rFonts w:ascii="Tahoma" w:hAnsi="Tahoma"/>
      <w:sz w:val="24"/>
    </w:rPr>
  </w:style>
  <w:style w:type="paragraph" w:customStyle="1" w:styleId="755">
    <w:name w:val="Char Char Char Char11"/>
    <w:basedOn w:val="1"/>
    <w:qFormat/>
    <w:uiPriority w:val="0"/>
    <w:rPr>
      <w:rFonts w:ascii="Tahoma" w:hAnsi="Tahoma"/>
      <w:sz w:val="24"/>
      <w:szCs w:val="20"/>
    </w:rPr>
  </w:style>
  <w:style w:type="paragraph" w:customStyle="1" w:styleId="756">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7">
    <w:name w:val="Char Char Char Char"/>
    <w:basedOn w:val="1"/>
    <w:qFormat/>
    <w:uiPriority w:val="0"/>
    <w:rPr>
      <w:rFonts w:ascii="Tahoma" w:hAnsi="Tahoma"/>
      <w:sz w:val="24"/>
      <w:szCs w:val="20"/>
    </w:rPr>
  </w:style>
  <w:style w:type="paragraph" w:customStyle="1" w:styleId="758">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9">
    <w:name w:val="Char19"/>
    <w:basedOn w:val="1"/>
    <w:qFormat/>
    <w:uiPriority w:val="0"/>
    <w:pPr>
      <w:adjustRightInd/>
    </w:pPr>
    <w:rPr>
      <w:szCs w:val="20"/>
    </w:rPr>
  </w:style>
  <w:style w:type="paragraph" w:customStyle="1" w:styleId="760">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1">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2">
    <w:name w:val="_Style 5"/>
    <w:basedOn w:val="1"/>
    <w:qFormat/>
    <w:uiPriority w:val="34"/>
    <w:pPr>
      <w:adjustRightInd/>
      <w:ind w:firstLine="420" w:firstLineChars="200"/>
    </w:pPr>
    <w:rPr>
      <w:rFonts w:eastAsia="仿宋_GB2312"/>
      <w:sz w:val="28"/>
    </w:rPr>
  </w:style>
  <w:style w:type="paragraph" w:customStyle="1" w:styleId="763">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4">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5">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6">
    <w:name w:val="标书表格字体格式"/>
    <w:next w:val="760"/>
    <w:qFormat/>
    <w:uiPriority w:val="0"/>
    <w:rPr>
      <w:rFonts w:ascii="Times New Roman" w:hAnsi="Times New Roman" w:eastAsia="宋体" w:cs="Times New Roman"/>
      <w:kern w:val="2"/>
      <w:sz w:val="21"/>
      <w:szCs w:val="24"/>
      <w:lang w:val="en-US" w:eastAsia="zh-CN" w:bidi="ar-SA"/>
    </w:rPr>
  </w:style>
  <w:style w:type="paragraph" w:customStyle="1" w:styleId="767">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8">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9">
    <w:name w:val="修订3"/>
    <w:qFormat/>
    <w:uiPriority w:val="0"/>
    <w:rPr>
      <w:rFonts w:ascii="Times New Roman" w:hAnsi="Times New Roman" w:eastAsia="宋体" w:cs="Times New Roman"/>
      <w:kern w:val="2"/>
      <w:sz w:val="21"/>
      <w:lang w:val="en-US" w:eastAsia="zh-CN" w:bidi="ar-SA"/>
    </w:rPr>
  </w:style>
  <w:style w:type="paragraph" w:customStyle="1" w:styleId="770">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71">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2">
    <w:name w:val="表文字"/>
    <w:qFormat/>
    <w:uiPriority w:val="0"/>
    <w:rPr>
      <w:rFonts w:ascii="宋体" w:hAnsi="Times New Roman" w:eastAsia="宋体" w:cs="Times New Roman"/>
      <w:kern w:val="2"/>
      <w:lang w:val="en-US" w:eastAsia="zh-CN" w:bidi="ar-SA"/>
    </w:rPr>
  </w:style>
  <w:style w:type="paragraph" w:customStyle="1" w:styleId="773">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4">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5">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6">
    <w:name w:val="Char Char Char Char Char Char Char Char2"/>
    <w:basedOn w:val="1"/>
    <w:qFormat/>
    <w:uiPriority w:val="0"/>
    <w:pPr>
      <w:tabs>
        <w:tab w:val="left" w:pos="360"/>
      </w:tabs>
    </w:pPr>
    <w:rPr>
      <w:sz w:val="24"/>
      <w:szCs w:val="20"/>
    </w:rPr>
  </w:style>
  <w:style w:type="paragraph" w:customStyle="1" w:styleId="777">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8">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9">
    <w:name w:val="中文标题 3"/>
    <w:basedOn w:val="2"/>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0">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1">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2">
    <w:name w:val="正文－恩普"/>
    <w:basedOn w:val="6"/>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3">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4">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5">
    <w:name w:val="p0"/>
    <w:basedOn w:val="1"/>
    <w:qFormat/>
    <w:uiPriority w:val="0"/>
    <w:pPr>
      <w:widowControl/>
      <w:adjustRightInd/>
    </w:pPr>
    <w:rPr>
      <w:kern w:val="0"/>
      <w:szCs w:val="21"/>
    </w:rPr>
  </w:style>
  <w:style w:type="paragraph" w:customStyle="1" w:styleId="786">
    <w:name w:val="Char6"/>
    <w:basedOn w:val="1"/>
    <w:qFormat/>
    <w:uiPriority w:val="0"/>
    <w:rPr>
      <w:rFonts w:ascii="仿宋_GB2312" w:eastAsia="仿宋_GB2312"/>
      <w:b/>
      <w:sz w:val="32"/>
      <w:szCs w:val="32"/>
    </w:rPr>
  </w:style>
  <w:style w:type="paragraph" w:customStyle="1" w:styleId="787">
    <w:name w:val="Char111"/>
    <w:basedOn w:val="1"/>
    <w:qFormat/>
    <w:uiPriority w:val="0"/>
    <w:rPr>
      <w:rFonts w:ascii="仿宋_GB2312" w:eastAsia="仿宋_GB2312"/>
      <w:b/>
      <w:sz w:val="32"/>
      <w:szCs w:val="32"/>
    </w:rPr>
  </w:style>
  <w:style w:type="paragraph" w:customStyle="1" w:styleId="788">
    <w:name w:val="标题3"/>
    <w:basedOn w:val="5"/>
    <w:next w:val="54"/>
    <w:qFormat/>
    <w:uiPriority w:val="0"/>
    <w:pPr>
      <w:tabs>
        <w:tab w:val="clear" w:pos="900"/>
      </w:tabs>
      <w:spacing w:after="0" w:line="360" w:lineRule="auto"/>
    </w:pPr>
    <w:rPr>
      <w:rFonts w:ascii="仿宋" w:hAnsi="仿宋" w:eastAsia="仿宋" w:cs="仿宋"/>
    </w:rPr>
  </w:style>
  <w:style w:type="paragraph" w:customStyle="1" w:styleId="789">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0">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1">
    <w:name w:val="Char1 Char Char Char2"/>
    <w:basedOn w:val="1"/>
    <w:qFormat/>
    <w:uiPriority w:val="0"/>
    <w:pPr>
      <w:adjustRightInd/>
      <w:ind w:firstLine="200" w:firstLineChars="200"/>
    </w:pPr>
    <w:rPr>
      <w:rFonts w:ascii="Tahoma" w:hAnsi="Tahoma"/>
      <w:sz w:val="24"/>
      <w:szCs w:val="20"/>
    </w:rPr>
  </w:style>
  <w:style w:type="paragraph" w:customStyle="1" w:styleId="792">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3">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4">
    <w:name w:val="Char Char Char Char Char Char Char2"/>
    <w:basedOn w:val="1"/>
    <w:qFormat/>
    <w:uiPriority w:val="0"/>
    <w:rPr>
      <w:rFonts w:ascii="仿宋_GB2312" w:eastAsia="仿宋_GB2312"/>
      <w:b/>
      <w:sz w:val="32"/>
      <w:szCs w:val="32"/>
    </w:rPr>
  </w:style>
  <w:style w:type="paragraph" w:customStyle="1" w:styleId="795">
    <w:name w:val="五级条标题"/>
    <w:basedOn w:val="796"/>
    <w:next w:val="642"/>
    <w:qFormat/>
    <w:uiPriority w:val="0"/>
    <w:pPr>
      <w:tabs>
        <w:tab w:val="left" w:pos="1260"/>
        <w:tab w:val="left" w:pos="1680"/>
        <w:tab w:val="left" w:pos="2100"/>
        <w:tab w:val="left" w:pos="2940"/>
        <w:tab w:val="left" w:pos="3360"/>
      </w:tabs>
      <w:ind w:left="3360"/>
      <w:outlineLvl w:val="6"/>
    </w:pPr>
  </w:style>
  <w:style w:type="paragraph" w:customStyle="1" w:styleId="796">
    <w:name w:val="四级条标题"/>
    <w:basedOn w:val="657"/>
    <w:next w:val="642"/>
    <w:qFormat/>
    <w:uiPriority w:val="0"/>
    <w:pPr>
      <w:tabs>
        <w:tab w:val="left" w:pos="2940"/>
        <w:tab w:val="clear" w:pos="2520"/>
      </w:tabs>
      <w:ind w:left="2940"/>
      <w:outlineLvl w:val="5"/>
    </w:pPr>
  </w:style>
  <w:style w:type="paragraph" w:customStyle="1" w:styleId="797">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8">
    <w:name w:val="Char23"/>
    <w:basedOn w:val="1"/>
    <w:qFormat/>
    <w:uiPriority w:val="0"/>
    <w:rPr>
      <w:rFonts w:ascii="仿宋_GB2312" w:eastAsia="仿宋_GB2312"/>
      <w:b/>
      <w:sz w:val="32"/>
      <w:szCs w:val="32"/>
    </w:rPr>
  </w:style>
  <w:style w:type="paragraph" w:customStyle="1" w:styleId="799">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0">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1">
    <w:name w:val="首行缩进"/>
    <w:basedOn w:val="1"/>
    <w:qFormat/>
    <w:uiPriority w:val="0"/>
    <w:pPr>
      <w:spacing w:line="360" w:lineRule="auto"/>
      <w:ind w:firstLine="480" w:firstLineChars="200"/>
    </w:pPr>
    <w:rPr>
      <w:rFonts w:ascii="宋体"/>
      <w:sz w:val="24"/>
      <w:szCs w:val="20"/>
    </w:rPr>
  </w:style>
  <w:style w:type="paragraph" w:customStyle="1" w:styleId="802">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3">
    <w:name w:val="单元格左对齐"/>
    <w:basedOn w:val="1"/>
    <w:qFormat/>
    <w:uiPriority w:val="0"/>
    <w:pPr>
      <w:adjustRightInd/>
      <w:spacing w:line="360" w:lineRule="auto"/>
    </w:pPr>
    <w:rPr>
      <w:sz w:val="24"/>
    </w:rPr>
  </w:style>
  <w:style w:type="paragraph" w:customStyle="1" w:styleId="804">
    <w:name w:val="正文主体"/>
    <w:basedOn w:val="626"/>
    <w:qFormat/>
    <w:uiPriority w:val="0"/>
  </w:style>
  <w:style w:type="paragraph" w:customStyle="1" w:styleId="805">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6">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7">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8">
    <w:name w:val="正文（首行缩进2字符）"/>
    <w:basedOn w:val="1"/>
    <w:qFormat/>
    <w:uiPriority w:val="0"/>
    <w:pPr>
      <w:adjustRightInd/>
      <w:spacing w:line="360" w:lineRule="auto"/>
      <w:ind w:firstLine="480" w:firstLineChars="200"/>
    </w:pPr>
    <w:rPr>
      <w:sz w:val="24"/>
      <w:szCs w:val="20"/>
    </w:rPr>
  </w:style>
  <w:style w:type="paragraph" w:customStyle="1" w:styleId="809">
    <w:name w:val="P1"/>
    <w:basedOn w:val="1"/>
    <w:qFormat/>
    <w:uiPriority w:val="0"/>
    <w:pPr>
      <w:adjustRightInd/>
      <w:spacing w:line="288" w:lineRule="auto"/>
      <w:ind w:firstLine="425" w:firstLineChars="200"/>
    </w:pPr>
  </w:style>
  <w:style w:type="paragraph" w:customStyle="1" w:styleId="810">
    <w:name w:val="列表内容"/>
    <w:basedOn w:val="1"/>
    <w:next w:val="1"/>
    <w:qFormat/>
    <w:uiPriority w:val="0"/>
    <w:pPr>
      <w:widowControl/>
      <w:tabs>
        <w:tab w:val="left" w:pos="840"/>
      </w:tabs>
      <w:ind w:left="840" w:hanging="420"/>
      <w:jc w:val="left"/>
    </w:pPr>
    <w:rPr>
      <w:kern w:val="0"/>
      <w:sz w:val="18"/>
    </w:rPr>
  </w:style>
  <w:style w:type="paragraph" w:customStyle="1" w:styleId="811">
    <w:name w:val="Char Char11 Char Char Char1"/>
    <w:basedOn w:val="1"/>
    <w:qFormat/>
    <w:uiPriority w:val="6"/>
    <w:pPr>
      <w:spacing w:line="360" w:lineRule="auto"/>
    </w:pPr>
    <w:rPr>
      <w:szCs w:val="20"/>
    </w:rPr>
  </w:style>
  <w:style w:type="paragraph" w:customStyle="1" w:styleId="812">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3">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4">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5">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6">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7">
    <w:name w:val="默认段落字体 Para Char Char Char Char"/>
    <w:basedOn w:val="1"/>
    <w:qFormat/>
    <w:uiPriority w:val="0"/>
    <w:pPr>
      <w:spacing w:line="360" w:lineRule="auto"/>
    </w:pPr>
    <w:rPr>
      <w:szCs w:val="20"/>
    </w:rPr>
  </w:style>
  <w:style w:type="paragraph" w:customStyle="1" w:styleId="818">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9">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0">
    <w:name w:val="Char2 Char Char Char2"/>
    <w:basedOn w:val="1"/>
    <w:qFormat/>
    <w:uiPriority w:val="0"/>
    <w:rPr>
      <w:rFonts w:ascii="仿宋_GB2312" w:eastAsia="仿宋_GB2312"/>
      <w:b/>
      <w:sz w:val="32"/>
      <w:szCs w:val="32"/>
    </w:rPr>
  </w:style>
  <w:style w:type="paragraph" w:customStyle="1" w:styleId="821">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2">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3">
    <w:name w:val="正文 首行缩进:  2 字符 Char"/>
    <w:basedOn w:val="1"/>
    <w:qFormat/>
    <w:uiPriority w:val="0"/>
    <w:pPr>
      <w:adjustRightInd/>
      <w:spacing w:line="360" w:lineRule="auto"/>
      <w:ind w:firstLine="480"/>
    </w:pPr>
    <w:rPr>
      <w:rFonts w:cs="宋体"/>
      <w:sz w:val="24"/>
      <w:szCs w:val="20"/>
    </w:rPr>
  </w:style>
  <w:style w:type="paragraph" w:customStyle="1" w:styleId="824">
    <w:name w:val="Char Char4 Char Char"/>
    <w:basedOn w:val="1"/>
    <w:qFormat/>
    <w:uiPriority w:val="0"/>
    <w:pPr>
      <w:widowControl/>
      <w:adjustRightInd/>
      <w:spacing w:after="160" w:line="240" w:lineRule="exact"/>
      <w:jc w:val="left"/>
    </w:pPr>
  </w:style>
  <w:style w:type="paragraph" w:customStyle="1" w:styleId="825">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6">
    <w:name w:val="Char Char11 Char Char Char2"/>
    <w:basedOn w:val="1"/>
    <w:qFormat/>
    <w:uiPriority w:val="0"/>
    <w:pPr>
      <w:spacing w:line="360" w:lineRule="auto"/>
    </w:pPr>
    <w:rPr>
      <w:szCs w:val="20"/>
    </w:rPr>
  </w:style>
  <w:style w:type="paragraph" w:customStyle="1" w:styleId="827">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8">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9">
    <w:name w:val="数字标题4"/>
    <w:basedOn w:val="7"/>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0">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1">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2">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3">
    <w:name w:val="Char311"/>
    <w:basedOn w:val="1"/>
    <w:qFormat/>
    <w:uiPriority w:val="0"/>
    <w:pPr>
      <w:adjustRightInd/>
      <w:ind w:firstLine="200" w:firstLineChars="200"/>
    </w:pPr>
    <w:rPr>
      <w:rFonts w:ascii="Tahoma" w:hAnsi="Tahoma"/>
      <w:sz w:val="24"/>
      <w:szCs w:val="20"/>
    </w:rPr>
  </w:style>
  <w:style w:type="paragraph" w:customStyle="1" w:styleId="834">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5">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6">
    <w:name w:val="正文 内标"/>
    <w:basedOn w:val="751"/>
    <w:qFormat/>
    <w:uiPriority w:val="0"/>
    <w:pPr>
      <w:tabs>
        <w:tab w:val="left" w:pos="0"/>
      </w:tabs>
      <w:ind w:left="900" w:firstLine="0" w:firstLineChars="0"/>
    </w:pPr>
  </w:style>
  <w:style w:type="paragraph" w:customStyle="1" w:styleId="837">
    <w:name w:val="Bulleted List"/>
    <w:basedOn w:val="1"/>
    <w:qFormat/>
    <w:uiPriority w:val="0"/>
    <w:pPr>
      <w:tabs>
        <w:tab w:val="left" w:pos="1260"/>
      </w:tabs>
      <w:adjustRightInd/>
      <w:ind w:left="1260" w:hanging="420"/>
    </w:pPr>
  </w:style>
  <w:style w:type="paragraph" w:customStyle="1" w:styleId="838">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39">
    <w:name w:val="样式 左侧:  0.85 厘米"/>
    <w:basedOn w:val="1"/>
    <w:qFormat/>
    <w:uiPriority w:val="2"/>
    <w:pPr>
      <w:adjustRightInd/>
      <w:spacing w:line="360" w:lineRule="auto"/>
    </w:pPr>
    <w:rPr>
      <w:rFonts w:cs="宋体"/>
      <w:sz w:val="24"/>
      <w:szCs w:val="20"/>
    </w:rPr>
  </w:style>
  <w:style w:type="paragraph" w:customStyle="1" w:styleId="840">
    <w:name w:val="Char Char Char Char Char Char Char Char Char Char Char Char1 Char"/>
    <w:basedOn w:val="1"/>
    <w:qFormat/>
    <w:uiPriority w:val="0"/>
    <w:rPr>
      <w:rFonts w:ascii="Tahoma" w:hAnsi="Tahoma" w:cs="仿宋_GB2312"/>
      <w:sz w:val="24"/>
      <w:szCs w:val="20"/>
    </w:rPr>
  </w:style>
  <w:style w:type="paragraph" w:customStyle="1" w:styleId="841">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42">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3">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4">
    <w:name w:val="模板普通正文"/>
    <w:basedOn w:val="2"/>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5">
    <w:name w:val="Char Char1 Char Char Char Char Char Char"/>
    <w:basedOn w:val="1"/>
    <w:qFormat/>
    <w:uiPriority w:val="0"/>
    <w:rPr>
      <w:rFonts w:ascii="仿宋_GB2312" w:eastAsia="仿宋_GB2312"/>
      <w:b/>
      <w:sz w:val="32"/>
      <w:szCs w:val="20"/>
    </w:rPr>
  </w:style>
  <w:style w:type="paragraph" w:customStyle="1" w:styleId="846">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7">
    <w:name w:val="Char Char1 Char Char Char Char Char Char2"/>
    <w:basedOn w:val="1"/>
    <w:qFormat/>
    <w:uiPriority w:val="0"/>
    <w:rPr>
      <w:rFonts w:ascii="仿宋_GB2312" w:eastAsia="仿宋_GB2312"/>
      <w:b/>
      <w:sz w:val="32"/>
      <w:szCs w:val="20"/>
    </w:rPr>
  </w:style>
  <w:style w:type="paragraph" w:customStyle="1" w:styleId="848">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9">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0">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1">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2">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3">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4">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5">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6">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7">
    <w:name w:val="Char31"/>
    <w:basedOn w:val="1"/>
    <w:qFormat/>
    <w:uiPriority w:val="0"/>
    <w:pPr>
      <w:adjustRightInd/>
    </w:pPr>
    <w:rPr>
      <w:rFonts w:ascii="仿宋_GB2312" w:eastAsia="仿宋_GB2312"/>
      <w:b/>
      <w:sz w:val="32"/>
      <w:szCs w:val="32"/>
    </w:rPr>
  </w:style>
  <w:style w:type="paragraph" w:customStyle="1" w:styleId="858">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9">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0">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1">
    <w:name w:val="Char Char1"/>
    <w:basedOn w:val="1"/>
    <w:qFormat/>
    <w:uiPriority w:val="0"/>
    <w:pPr>
      <w:widowControl/>
      <w:spacing w:after="160" w:line="240" w:lineRule="exact"/>
      <w:jc w:val="left"/>
    </w:pPr>
    <w:rPr>
      <w:rFonts w:eastAsia="仿宋_GB2312"/>
      <w:sz w:val="28"/>
    </w:rPr>
  </w:style>
  <w:style w:type="paragraph" w:customStyle="1" w:styleId="862">
    <w:name w:val="Char21"/>
    <w:basedOn w:val="1"/>
    <w:qFormat/>
    <w:uiPriority w:val="0"/>
    <w:pPr>
      <w:adjustRightInd/>
      <w:ind w:firstLine="200" w:firstLineChars="200"/>
    </w:pPr>
    <w:rPr>
      <w:rFonts w:ascii="仿宋_GB2312" w:eastAsia="仿宋_GB2312"/>
      <w:b/>
      <w:sz w:val="32"/>
      <w:szCs w:val="32"/>
    </w:rPr>
  </w:style>
  <w:style w:type="paragraph" w:customStyle="1" w:styleId="863">
    <w:name w:val="列表段落1"/>
    <w:basedOn w:val="1"/>
    <w:qFormat/>
    <w:uiPriority w:val="34"/>
    <w:pPr>
      <w:adjustRightInd/>
      <w:ind w:right="238" w:firstLine="420"/>
    </w:pPr>
    <w:rPr>
      <w:rFonts w:ascii="Calibri" w:hAnsi="Calibri"/>
      <w:sz w:val="24"/>
    </w:rPr>
  </w:style>
  <w:style w:type="paragraph" w:customStyle="1" w:styleId="864">
    <w:name w:val="Char Char110"/>
    <w:basedOn w:val="1"/>
    <w:qFormat/>
    <w:uiPriority w:val="6"/>
    <w:pPr>
      <w:spacing w:line="360" w:lineRule="auto"/>
    </w:pPr>
    <w:rPr>
      <w:rFonts w:ascii="Tahoma" w:hAnsi="Tahoma"/>
      <w:sz w:val="24"/>
      <w:szCs w:val="20"/>
    </w:rPr>
  </w:style>
  <w:style w:type="paragraph" w:customStyle="1" w:styleId="865">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6">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7">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8">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9">
    <w:name w:val="Char Char Char Char Char Char Char Char Char Char Char Char1 Char2"/>
    <w:basedOn w:val="1"/>
    <w:qFormat/>
    <w:uiPriority w:val="0"/>
    <w:rPr>
      <w:rFonts w:ascii="Tahoma" w:hAnsi="Tahoma" w:cs="仿宋_GB2312"/>
      <w:sz w:val="24"/>
      <w:szCs w:val="20"/>
    </w:rPr>
  </w:style>
  <w:style w:type="paragraph" w:customStyle="1" w:styleId="870">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1">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2">
    <w:name w:val="样式 列表编号 + 段后: 0.5 行"/>
    <w:basedOn w:val="16"/>
    <w:qFormat/>
    <w:uiPriority w:val="2"/>
    <w:pPr>
      <w:tabs>
        <w:tab w:val="clear" w:pos="390"/>
        <w:tab w:val="clear" w:pos="454"/>
      </w:tabs>
      <w:spacing w:after="0"/>
      <w:ind w:left="840" w:hanging="420"/>
      <w:contextualSpacing/>
    </w:pPr>
    <w:rPr>
      <w:rFonts w:cs="宋体"/>
    </w:rPr>
  </w:style>
  <w:style w:type="paragraph" w:customStyle="1" w:styleId="873">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4">
    <w:name w:val="_Style 12"/>
    <w:basedOn w:val="19"/>
    <w:qFormat/>
    <w:uiPriority w:val="0"/>
    <w:pPr>
      <w:snapToGrid w:val="0"/>
      <w:spacing w:line="360" w:lineRule="auto"/>
    </w:pPr>
  </w:style>
  <w:style w:type="paragraph" w:customStyle="1" w:styleId="875">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6">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7">
    <w:name w:val="_Style 94"/>
    <w:basedOn w:val="1"/>
    <w:next w:val="80"/>
    <w:qFormat/>
    <w:uiPriority w:val="34"/>
    <w:pPr>
      <w:adjustRightInd/>
      <w:spacing w:line="360" w:lineRule="auto"/>
      <w:ind w:firstLine="200" w:firstLineChars="200"/>
    </w:pPr>
    <w:rPr>
      <w:rFonts w:ascii="Calibri" w:hAnsi="Calibri"/>
      <w:sz w:val="28"/>
      <w:szCs w:val="20"/>
    </w:rPr>
  </w:style>
  <w:style w:type="paragraph" w:customStyle="1" w:styleId="878">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9">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0">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1">
    <w:name w:val="3级标题"/>
    <w:basedOn w:val="674"/>
    <w:qFormat/>
    <w:uiPriority w:val="0"/>
    <w:pPr>
      <w:outlineLvl w:val="2"/>
    </w:pPr>
  </w:style>
  <w:style w:type="paragraph" w:customStyle="1" w:styleId="882">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3">
    <w:name w:val="Char1 Char Char Char3"/>
    <w:basedOn w:val="1"/>
    <w:qFormat/>
    <w:uiPriority w:val="0"/>
    <w:pPr>
      <w:adjustRightInd/>
      <w:ind w:firstLine="200" w:firstLineChars="200"/>
    </w:pPr>
    <w:rPr>
      <w:rFonts w:ascii="Tahoma" w:hAnsi="Tahoma"/>
      <w:sz w:val="24"/>
      <w:szCs w:val="20"/>
    </w:rPr>
  </w:style>
  <w:style w:type="paragraph" w:customStyle="1" w:styleId="884">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5">
    <w:name w:val="MM Empty"/>
    <w:basedOn w:val="1"/>
    <w:qFormat/>
    <w:uiPriority w:val="0"/>
    <w:pPr>
      <w:adjustRightInd/>
    </w:pPr>
  </w:style>
  <w:style w:type="paragraph" w:customStyle="1" w:styleId="886">
    <w:name w:val="Char24"/>
    <w:basedOn w:val="1"/>
    <w:qFormat/>
    <w:uiPriority w:val="0"/>
    <w:rPr>
      <w:rFonts w:ascii="仿宋_GB2312" w:eastAsia="仿宋_GB2312"/>
      <w:b/>
      <w:sz w:val="32"/>
      <w:szCs w:val="32"/>
    </w:rPr>
  </w:style>
  <w:style w:type="paragraph" w:customStyle="1" w:styleId="887">
    <w:name w:val="正文箭头"/>
    <w:basedOn w:val="540"/>
    <w:qFormat/>
    <w:uiPriority w:val="0"/>
  </w:style>
  <w:style w:type="paragraph" w:customStyle="1" w:styleId="888">
    <w:name w:val="U_编号2"/>
    <w:basedOn w:val="1"/>
    <w:qFormat/>
    <w:uiPriority w:val="0"/>
    <w:pPr>
      <w:tabs>
        <w:tab w:val="left" w:pos="785"/>
      </w:tabs>
      <w:adjustRightInd/>
      <w:spacing w:beforeLines="10" w:afterLines="10" w:line="300" w:lineRule="auto"/>
    </w:pPr>
    <w:rPr>
      <w:sz w:val="24"/>
    </w:rPr>
  </w:style>
  <w:style w:type="paragraph" w:customStyle="1" w:styleId="889">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0">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1">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2">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3">
    <w:name w:val="_Style 1"/>
    <w:basedOn w:val="1"/>
    <w:qFormat/>
    <w:uiPriority w:val="34"/>
    <w:pPr>
      <w:adjustRightInd/>
      <w:ind w:firstLine="420" w:firstLineChars="200"/>
    </w:pPr>
    <w:rPr>
      <w:rFonts w:eastAsia="仿宋_GB2312"/>
      <w:sz w:val="28"/>
    </w:rPr>
  </w:style>
  <w:style w:type="paragraph" w:customStyle="1" w:styleId="894">
    <w:name w:val="表格 内容"/>
    <w:basedOn w:val="730"/>
    <w:qFormat/>
    <w:uiPriority w:val="0"/>
    <w:rPr>
      <w:b w:val="0"/>
      <w:sz w:val="20"/>
    </w:rPr>
  </w:style>
  <w:style w:type="paragraph" w:customStyle="1" w:styleId="895">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6">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7">
    <w:name w:val="数字标题5"/>
    <w:basedOn w:val="8"/>
    <w:next w:val="1"/>
    <w:qFormat/>
    <w:uiPriority w:val="0"/>
    <w:pPr>
      <w:tabs>
        <w:tab w:val="left" w:pos="1080"/>
      </w:tabs>
      <w:ind w:left="1080" w:hanging="1080"/>
    </w:pPr>
  </w:style>
  <w:style w:type="paragraph" w:customStyle="1" w:styleId="898">
    <w:name w:val="数字标题1"/>
    <w:basedOn w:val="3"/>
    <w:next w:val="1"/>
    <w:qFormat/>
    <w:uiPriority w:val="0"/>
    <w:pPr>
      <w:tabs>
        <w:tab w:val="left" w:pos="480"/>
      </w:tabs>
      <w:ind w:left="480" w:hanging="480"/>
    </w:pPr>
  </w:style>
  <w:style w:type="paragraph" w:customStyle="1" w:styleId="899">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0">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1">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2">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3">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4">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5">
    <w:name w:val="0"/>
    <w:basedOn w:val="1"/>
    <w:qFormat/>
    <w:uiPriority w:val="0"/>
    <w:pPr>
      <w:widowControl/>
    </w:pPr>
    <w:rPr>
      <w:kern w:val="0"/>
      <w:sz w:val="24"/>
      <w:szCs w:val="20"/>
    </w:rPr>
  </w:style>
  <w:style w:type="paragraph" w:customStyle="1" w:styleId="906">
    <w:name w:val="Char Char113"/>
    <w:basedOn w:val="1"/>
    <w:qFormat/>
    <w:uiPriority w:val="0"/>
    <w:pPr>
      <w:widowControl/>
      <w:spacing w:after="160" w:line="240" w:lineRule="exact"/>
      <w:jc w:val="left"/>
    </w:pPr>
    <w:rPr>
      <w:rFonts w:eastAsia="仿宋_GB2312"/>
      <w:sz w:val="28"/>
    </w:rPr>
  </w:style>
  <w:style w:type="paragraph" w:customStyle="1" w:styleId="907">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8">
    <w:name w:val="_Style 8"/>
    <w:basedOn w:val="1"/>
    <w:qFormat/>
    <w:uiPriority w:val="34"/>
    <w:pPr>
      <w:adjustRightInd/>
      <w:ind w:firstLine="420" w:firstLineChars="200"/>
    </w:pPr>
    <w:rPr>
      <w:rFonts w:eastAsia="仿宋_GB2312"/>
      <w:sz w:val="28"/>
    </w:rPr>
  </w:style>
  <w:style w:type="paragraph" w:customStyle="1" w:styleId="909">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0">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1">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2">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3">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4">
    <w:name w:val="Char Char112"/>
    <w:basedOn w:val="1"/>
    <w:qFormat/>
    <w:uiPriority w:val="6"/>
    <w:pPr>
      <w:widowControl/>
      <w:spacing w:after="160" w:line="240" w:lineRule="exact"/>
      <w:jc w:val="left"/>
    </w:pPr>
    <w:rPr>
      <w:rFonts w:eastAsia="仿宋_GB2312"/>
      <w:sz w:val="28"/>
    </w:rPr>
  </w:style>
  <w:style w:type="paragraph" w:customStyle="1" w:styleId="915">
    <w:name w:val="正文 图"/>
    <w:basedOn w:val="445"/>
    <w:qFormat/>
    <w:uiPriority w:val="0"/>
    <w:pPr>
      <w:adjustRightInd/>
      <w:spacing w:before="0"/>
      <w:ind w:firstLine="0"/>
      <w:jc w:val="center"/>
    </w:pPr>
    <w:rPr>
      <w:rFonts w:ascii="微软雅黑" w:hAnsi="微软雅黑"/>
    </w:rPr>
  </w:style>
  <w:style w:type="paragraph" w:customStyle="1" w:styleId="916">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7">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8">
    <w:name w:val="Thf"/>
    <w:basedOn w:val="564"/>
    <w:qFormat/>
    <w:uiPriority w:val="0"/>
    <w:pPr>
      <w:ind w:left="0"/>
    </w:pPr>
  </w:style>
  <w:style w:type="paragraph" w:customStyle="1" w:styleId="919">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0">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1">
    <w:name w:val="注释"/>
    <w:basedOn w:val="1"/>
    <w:qFormat/>
    <w:uiPriority w:val="0"/>
    <w:pPr>
      <w:adjustRightInd/>
      <w:spacing w:line="360" w:lineRule="auto"/>
      <w:ind w:firstLine="480"/>
    </w:pPr>
    <w:rPr>
      <w:sz w:val="24"/>
    </w:rPr>
  </w:style>
  <w:style w:type="table" w:customStyle="1" w:styleId="922">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6">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7">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8">
    <w:name w:val="列出段落111"/>
    <w:basedOn w:val="1"/>
    <w:qFormat/>
    <w:uiPriority w:val="34"/>
    <w:pPr>
      <w:ind w:firstLine="420" w:firstLineChars="200"/>
    </w:pPr>
  </w:style>
  <w:style w:type="character" w:customStyle="1" w:styleId="929">
    <w:name w:val="交叉引用"/>
    <w:qFormat/>
    <w:uiPriority w:val="1"/>
    <w:rPr>
      <w:rFonts w:ascii="Arial" w:hAnsi="Arial" w:eastAsia="黑体"/>
      <w:snapToGrid w:val="0"/>
      <w:color w:val="0000FF"/>
      <w:kern w:val="0"/>
      <w:sz w:val="20"/>
      <w:szCs w:val="21"/>
      <w:u w:val="single"/>
      <w:lang w:val="en-US" w:eastAsia="zh-CN"/>
    </w:rPr>
  </w:style>
  <w:style w:type="character" w:customStyle="1" w:styleId="930">
    <w:name w:val="正文缩进 字符1"/>
    <w:qFormat/>
    <w:uiPriority w:val="0"/>
    <w:rPr>
      <w:rFonts w:ascii="宋体" w:eastAsia="宋体"/>
      <w:snapToGrid w:val="0"/>
      <w:color w:val="000000"/>
      <w:kern w:val="28"/>
      <w:sz w:val="28"/>
      <w:lang w:val="en-US" w:eastAsia="zh-CN" w:bidi="ar-SA"/>
    </w:rPr>
  </w:style>
  <w:style w:type="character" w:customStyle="1" w:styleId="931">
    <w:name w:val="页脚 字符1"/>
    <w:qFormat/>
    <w:locked/>
    <w:uiPriority w:val="99"/>
    <w:rPr>
      <w:kern w:val="2"/>
      <w:sz w:val="18"/>
      <w:szCs w:val="18"/>
    </w:rPr>
  </w:style>
  <w:style w:type="character" w:customStyle="1" w:styleId="932">
    <w:name w:val="页眉 字符1"/>
    <w:qFormat/>
    <w:uiPriority w:val="99"/>
    <w:rPr>
      <w:kern w:val="2"/>
      <w:sz w:val="18"/>
      <w:szCs w:val="18"/>
    </w:rPr>
  </w:style>
  <w:style w:type="character" w:customStyle="1" w:styleId="933">
    <w:name w:val="尾注文本 字符"/>
    <w:link w:val="39"/>
    <w:qFormat/>
    <w:uiPriority w:val="0"/>
    <w:rPr>
      <w:kern w:val="2"/>
      <w:sz w:val="21"/>
      <w:szCs w:val="24"/>
      <w:lang w:val="zh-CN"/>
    </w:rPr>
  </w:style>
  <w:style w:type="character" w:customStyle="1" w:styleId="934">
    <w:name w:val="无间隔 字符"/>
    <w:link w:val="485"/>
    <w:qFormat/>
    <w:uiPriority w:val="99"/>
    <w:rPr>
      <w:kern w:val="2"/>
      <w:sz w:val="21"/>
      <w:szCs w:val="22"/>
    </w:rPr>
  </w:style>
  <w:style w:type="character" w:customStyle="1" w:styleId="935">
    <w:name w:val="标准文本 Char Char"/>
    <w:link w:val="936"/>
    <w:qFormat/>
    <w:uiPriority w:val="0"/>
    <w:rPr>
      <w:rFonts w:cs="宋体"/>
      <w:kern w:val="2"/>
      <w:sz w:val="24"/>
    </w:rPr>
  </w:style>
  <w:style w:type="paragraph" w:customStyle="1" w:styleId="936">
    <w:name w:val="标准文本"/>
    <w:basedOn w:val="1"/>
    <w:link w:val="935"/>
    <w:qFormat/>
    <w:uiPriority w:val="0"/>
    <w:pPr>
      <w:adjustRightInd/>
      <w:spacing w:line="360" w:lineRule="auto"/>
      <w:ind w:firstLine="480" w:firstLineChars="200"/>
    </w:pPr>
    <w:rPr>
      <w:rFonts w:cs="宋体"/>
      <w:sz w:val="24"/>
      <w:szCs w:val="20"/>
    </w:rPr>
  </w:style>
  <w:style w:type="character" w:customStyle="1" w:styleId="937">
    <w:name w:val="Char Char213"/>
    <w:qFormat/>
    <w:uiPriority w:val="0"/>
    <w:rPr>
      <w:rFonts w:eastAsia="Century Gothic"/>
      <w:b/>
      <w:bCs/>
      <w:kern w:val="44"/>
      <w:sz w:val="32"/>
      <w:szCs w:val="44"/>
      <w:lang w:val="en-US" w:eastAsia="zh-CN" w:bidi="ar-SA"/>
    </w:rPr>
  </w:style>
  <w:style w:type="character" w:customStyle="1" w:styleId="938">
    <w:name w:val="apple-style-span"/>
    <w:qFormat/>
    <w:uiPriority w:val="0"/>
    <w:rPr>
      <w:rFonts w:ascii="Arial" w:hAnsi="Arial" w:eastAsia="黑体" w:cs="Arial"/>
      <w:snapToGrid w:val="0"/>
      <w:kern w:val="0"/>
      <w:szCs w:val="21"/>
    </w:rPr>
  </w:style>
  <w:style w:type="character" w:customStyle="1" w:styleId="939">
    <w:name w:val="15"/>
    <w:qFormat/>
    <w:uiPriority w:val="0"/>
    <w:rPr>
      <w:rFonts w:hint="default" w:ascii="Calibri" w:hAnsi="Calibri"/>
      <w:color w:val="0000FF"/>
      <w:u w:val="single"/>
    </w:rPr>
  </w:style>
  <w:style w:type="character" w:customStyle="1" w:styleId="940">
    <w:name w:val="16"/>
    <w:qFormat/>
    <w:uiPriority w:val="0"/>
    <w:rPr>
      <w:rFonts w:hint="eastAsia" w:ascii="宋体" w:hAnsi="宋体" w:eastAsia="宋体"/>
      <w:color w:val="000000"/>
      <w:sz w:val="20"/>
      <w:szCs w:val="20"/>
    </w:rPr>
  </w:style>
  <w:style w:type="character" w:customStyle="1" w:styleId="941">
    <w:name w:val="edui-unclickable"/>
    <w:qFormat/>
    <w:uiPriority w:val="0"/>
    <w:rPr>
      <w:color w:val="808080"/>
    </w:rPr>
  </w:style>
  <w:style w:type="character" w:customStyle="1" w:styleId="942">
    <w:name w:val="tpc_content1"/>
    <w:qFormat/>
    <w:uiPriority w:val="0"/>
    <w:rPr>
      <w:sz w:val="20"/>
      <w:szCs w:val="20"/>
    </w:rPr>
  </w:style>
  <w:style w:type="character" w:customStyle="1" w:styleId="943">
    <w:name w:val="正文文本缩进 字符"/>
    <w:qFormat/>
    <w:uiPriority w:val="0"/>
    <w:rPr>
      <w:rFonts w:ascii="Century Gothic" w:hAnsi="Century Gothic" w:eastAsia="Century Gothic"/>
      <w:kern w:val="2"/>
      <w:sz w:val="24"/>
      <w:lang w:val="en-US" w:eastAsia="zh-CN" w:bidi="ar-SA"/>
    </w:rPr>
  </w:style>
  <w:style w:type="character" w:customStyle="1" w:styleId="944">
    <w:name w:val="正文文本 2 字符"/>
    <w:qFormat/>
    <w:uiPriority w:val="0"/>
    <w:rPr>
      <w:rFonts w:ascii="Arial" w:hAnsi="Arial" w:eastAsia="宋体"/>
      <w:kern w:val="2"/>
      <w:sz w:val="24"/>
      <w:szCs w:val="24"/>
      <w:lang w:val="en-US" w:eastAsia="zh-CN" w:bidi="ar-SA"/>
    </w:rPr>
  </w:style>
  <w:style w:type="character" w:customStyle="1" w:styleId="945">
    <w:name w:val="edui-clickable2"/>
    <w:qFormat/>
    <w:uiPriority w:val="0"/>
    <w:rPr>
      <w:color w:val="0000FF"/>
      <w:u w:val="single"/>
    </w:rPr>
  </w:style>
  <w:style w:type="character" w:customStyle="1" w:styleId="946">
    <w:name w:val="style1"/>
    <w:qFormat/>
    <w:uiPriority w:val="0"/>
    <w:rPr>
      <w:rFonts w:ascii="Arial" w:hAnsi="Arial" w:eastAsia="黑体" w:cs="Arial"/>
      <w:snapToGrid w:val="0"/>
      <w:kern w:val="0"/>
      <w:szCs w:val="21"/>
    </w:rPr>
  </w:style>
  <w:style w:type="character" w:customStyle="1" w:styleId="947">
    <w:name w:val="zbggtop11 style5"/>
    <w:qFormat/>
    <w:uiPriority w:val="0"/>
    <w:rPr>
      <w:rFonts w:ascii="Arial" w:hAnsi="Arial" w:eastAsia="黑体" w:cs="Arial"/>
      <w:snapToGrid w:val="0"/>
      <w:kern w:val="0"/>
      <w:szCs w:val="21"/>
    </w:rPr>
  </w:style>
  <w:style w:type="character" w:customStyle="1" w:styleId="948">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9">
    <w:name w:val="bulletintext1"/>
    <w:qFormat/>
    <w:uiPriority w:val="0"/>
    <w:rPr>
      <w:color w:val="000000"/>
      <w:sz w:val="18"/>
    </w:rPr>
  </w:style>
  <w:style w:type="paragraph" w:customStyle="1" w:styleId="950">
    <w:name w:val="_Style 947"/>
    <w:basedOn w:val="1"/>
    <w:next w:val="80"/>
    <w:qFormat/>
    <w:uiPriority w:val="34"/>
    <w:pPr>
      <w:adjustRightInd/>
      <w:ind w:firstLine="420" w:firstLineChars="200"/>
    </w:pPr>
  </w:style>
  <w:style w:type="paragraph" w:customStyle="1" w:styleId="951">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2">
    <w:name w:val="纯文本2"/>
    <w:basedOn w:val="1"/>
    <w:qFormat/>
    <w:uiPriority w:val="0"/>
    <w:pPr>
      <w:adjustRightInd/>
      <w:snapToGrid w:val="0"/>
      <w:jc w:val="left"/>
    </w:pPr>
    <w:rPr>
      <w:rFonts w:ascii="Century Gothic" w:hAnsi="楷体_GB2312" w:eastAsia="Century Gothic"/>
      <w:szCs w:val="20"/>
    </w:rPr>
  </w:style>
  <w:style w:type="paragraph" w:customStyle="1" w:styleId="953">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4">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5">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6">
    <w:name w:val="Blockquote"/>
    <w:basedOn w:val="1"/>
    <w:qFormat/>
    <w:uiPriority w:val="0"/>
    <w:pPr>
      <w:autoSpaceDE w:val="0"/>
      <w:autoSpaceDN w:val="0"/>
      <w:spacing w:before="100" w:after="100"/>
      <w:ind w:left="360" w:right="360"/>
      <w:jc w:val="left"/>
    </w:pPr>
    <w:rPr>
      <w:kern w:val="0"/>
      <w:sz w:val="24"/>
      <w:szCs w:val="20"/>
    </w:rPr>
  </w:style>
  <w:style w:type="paragraph" w:customStyle="1" w:styleId="957">
    <w:name w:val="p1"/>
    <w:basedOn w:val="1"/>
    <w:qFormat/>
    <w:uiPriority w:val="0"/>
    <w:pPr>
      <w:widowControl/>
      <w:adjustRightInd/>
      <w:jc w:val="left"/>
    </w:pPr>
    <w:rPr>
      <w:rFonts w:ascii=".PingFang SC" w:eastAsia=".PingFang SC"/>
      <w:color w:val="454545"/>
      <w:kern w:val="0"/>
      <w:sz w:val="18"/>
      <w:szCs w:val="18"/>
    </w:rPr>
  </w:style>
  <w:style w:type="paragraph" w:customStyle="1" w:styleId="958">
    <w:name w:val="Table Paragraph"/>
    <w:basedOn w:val="1"/>
    <w:qFormat/>
    <w:uiPriority w:val="0"/>
    <w:pPr>
      <w:adjustRightInd/>
      <w:jc w:val="left"/>
    </w:pPr>
    <w:rPr>
      <w:rFonts w:ascii="Calibri" w:hAnsi="Calibri"/>
      <w:kern w:val="0"/>
      <w:sz w:val="22"/>
      <w:szCs w:val="22"/>
      <w:lang w:eastAsia="en-US"/>
    </w:rPr>
  </w:style>
  <w:style w:type="paragraph" w:customStyle="1" w:styleId="959">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0">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1">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2">
    <w:name w:val="ksfind_class_select1"/>
    <w:basedOn w:val="70"/>
    <w:qFormat/>
    <w:uiPriority w:val="0"/>
    <w:rPr>
      <w:color w:val="000000"/>
      <w:shd w:val="clear" w:color="auto" w:fill="EFD200"/>
    </w:rPr>
  </w:style>
  <w:style w:type="character" w:customStyle="1" w:styleId="963">
    <w:name w:val="font71"/>
    <w:basedOn w:val="70"/>
    <w:qFormat/>
    <w:uiPriority w:val="0"/>
    <w:rPr>
      <w:rFonts w:hint="eastAsia" w:ascii="宋体" w:hAnsi="宋体" w:eastAsia="宋体" w:cs="宋体"/>
      <w:color w:val="000000"/>
      <w:sz w:val="22"/>
      <w:szCs w:val="22"/>
      <w:u w:val="none"/>
    </w:rPr>
  </w:style>
  <w:style w:type="character" w:customStyle="1" w:styleId="964">
    <w:name w:val="font91"/>
    <w:qFormat/>
    <w:uiPriority w:val="0"/>
    <w:rPr>
      <w:rFonts w:hint="eastAsia" w:ascii="仿宋" w:hAnsi="仿宋" w:eastAsia="仿宋" w:cs="仿宋"/>
      <w:color w:val="000000"/>
      <w:sz w:val="22"/>
      <w:szCs w:val="22"/>
      <w:u w:val="none"/>
    </w:rPr>
  </w:style>
  <w:style w:type="paragraph" w:customStyle="1" w:styleId="965">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6">
    <w:name w:val="L正文"/>
    <w:basedOn w:val="1"/>
    <w:qFormat/>
    <w:uiPriority w:val="0"/>
    <w:pPr>
      <w:widowControl/>
      <w:ind w:firstLine="200" w:firstLineChars="200"/>
      <w:jc w:val="left"/>
    </w:pPr>
  </w:style>
  <w:style w:type="paragraph" w:customStyle="1" w:styleId="967">
    <w:name w:val="正文缩进(ALT+Z)"/>
    <w:basedOn w:val="1"/>
    <w:qFormat/>
    <w:uiPriority w:val="0"/>
    <w:pPr>
      <w:widowControl/>
      <w:spacing w:after="200"/>
      <w:jc w:val="left"/>
    </w:pPr>
    <w:rPr>
      <w:rFonts w:ascii="Calibri" w:hAnsi="Calibri"/>
      <w:kern w:val="0"/>
    </w:rPr>
  </w:style>
  <w:style w:type="paragraph" w:customStyle="1" w:styleId="968">
    <w:name w:val="Proposals body"/>
    <w:basedOn w:val="1"/>
    <w:next w:val="1"/>
    <w:qFormat/>
    <w:uiPriority w:val="0"/>
    <w:pPr>
      <w:widowControl/>
      <w:snapToGrid w:val="0"/>
      <w:spacing w:after="120" w:line="460" w:lineRule="exact"/>
      <w:jc w:val="center"/>
    </w:pPr>
    <w:rPr>
      <w:rFonts w:ascii="宋体"/>
      <w:color w:val="000000"/>
      <w:kern w:val="0"/>
      <w:sz w:val="24"/>
      <w:szCs w:val="20"/>
    </w:rPr>
  </w:style>
  <w:style w:type="paragraph" w:customStyle="1" w:styleId="969">
    <w:name w:val="A_正文"/>
    <w:basedOn w:val="34"/>
    <w:qFormat/>
    <w:uiPriority w:val="0"/>
    <w:pPr>
      <w:topLinePunct/>
      <w:snapToGrid w:val="0"/>
      <w:spacing w:before="120" w:beforeLines="50" w:after="120" w:afterLines="50" w:line="600" w:lineRule="exact"/>
      <w:ind w:firstLine="600" w:firstLineChars="200"/>
    </w:pPr>
    <w:rPr>
      <w:rFonts w:ascii="Times New Roman" w:hAnsi="Times New Roman" w:eastAsia="仿宋" w:cs="仿宋"/>
      <w:sz w:val="30"/>
      <w:szCs w:val="30"/>
    </w:rPr>
  </w:style>
  <w:style w:type="paragraph" w:customStyle="1" w:styleId="970">
    <w:name w:val="A_正文标题"/>
    <w:basedOn w:val="34"/>
    <w:qFormat/>
    <w:uiPriority w:val="0"/>
    <w:pPr>
      <w:numPr>
        <w:ilvl w:val="0"/>
        <w:numId w:val="1"/>
      </w:numPr>
      <w:tabs>
        <w:tab w:val="left" w:pos="1276"/>
        <w:tab w:val="left" w:pos="1560"/>
      </w:tabs>
      <w:snapToGrid w:val="0"/>
      <w:spacing w:before="120" w:beforeLines="50" w:after="120" w:afterLines="50" w:line="600" w:lineRule="exact"/>
      <w:jc w:val="left"/>
    </w:pPr>
    <w:rPr>
      <w:rFonts w:ascii="Times New Roman" w:hAnsi="Times New Roman" w:eastAsia="仿宋" w:cs="仿宋"/>
      <w:b/>
      <w:sz w:val="30"/>
      <w:szCs w:val="30"/>
    </w:rPr>
  </w:style>
  <w:style w:type="paragraph" w:customStyle="1" w:styleId="971">
    <w:name w:val="正文首行缩进 21"/>
    <w:qFormat/>
    <w:uiPriority w:val="0"/>
    <w:pPr>
      <w:widowControl w:val="0"/>
      <w:spacing w:after="120" w:line="360" w:lineRule="auto"/>
      <w:ind w:left="420" w:leftChars="200" w:firstLine="200" w:firstLineChars="200"/>
      <w:jc w:val="both"/>
    </w:pPr>
    <w:rPr>
      <w:rFonts w:ascii="Times New Roman" w:hAnsi="Times New Roman" w:eastAsia="宋体" w:cs="Times New Roman"/>
      <w:color w:val="000000"/>
      <w:kern w:val="2"/>
      <w:sz w:val="30"/>
      <w:szCs w:val="22"/>
      <w:lang w:val="en-US" w:eastAsia="zh-CN" w:bidi="ar-SA"/>
    </w:rPr>
  </w:style>
  <w:style w:type="paragraph" w:customStyle="1" w:styleId="972">
    <w:name w:val="Revision"/>
    <w:hidden/>
    <w:unhideWhenUsed/>
    <w:qFormat/>
    <w:uiPriority w:val="99"/>
    <w:rPr>
      <w:rFonts w:ascii="Times New Roman" w:hAnsi="Times New Roman" w:eastAsia="宋体" w:cs="Times New Roman"/>
      <w:kern w:val="2"/>
      <w:sz w:val="21"/>
      <w:szCs w:val="24"/>
      <w:lang w:val="en-US" w:eastAsia="zh-CN" w:bidi="ar-SA"/>
    </w:rPr>
  </w:style>
  <w:style w:type="paragraph" w:customStyle="1" w:styleId="973">
    <w:name w:val="[Normal]"/>
    <w:qFormat/>
    <w:uiPriority w:val="0"/>
    <w:pPr>
      <w:widowControl w:val="0"/>
      <w:autoSpaceDE w:val="0"/>
      <w:autoSpaceDN w:val="0"/>
      <w:adjustRightInd w:val="0"/>
    </w:pPr>
    <w:rPr>
      <w:rFonts w:ascii="宋体" w:hAnsi="Times New Roman" w:eastAsia="宋体" w:cs="宋体"/>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106</Pages>
  <Words>807</Words>
  <Characters>921</Characters>
  <Lines>1</Lines>
  <Paragraphs>1</Paragraphs>
  <TotalTime>60</TotalTime>
  <ScaleCrop>false</ScaleCrop>
  <LinksUpToDate>false</LinksUpToDate>
  <CharactersWithSpaces>1013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2021-07-30T16:22:00Z</dcterms:created>
  <dc:creator>玥</dc:creator>
  <cp:lastModifiedBy>阿葛</cp:lastModifiedBy>
  <cp:lastPrinted>2024-11-27T09:37:00Z</cp:lastPrinted>
  <dcterms:modified xsi:type="dcterms:W3CDTF">2025-03-28T09:01:16Z</dcterms:modified>
  <dc:title>杭州市市民卡扩大发卡工程</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2CDAF1121544420E9CFFBE35931554F7_13</vt:lpwstr>
  </property>
  <property fmtid="{D5CDD505-2E9C-101B-9397-08002B2CF9AE}" pid="5" name="KSOTemplateDocerSaveRecord">
    <vt:lpwstr>eyJoZGlkIjoiYTcxZDNhOWE2YmI1NzhmNDhiOTY3NzA1ZmExNmMzODEiLCJ1c2VySWQiOiIyNDc0MzI0ODAifQ==</vt:lpwstr>
  </property>
</Properties>
</file>