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20749">
      <w:pPr>
        <w:spacing w:line="360" w:lineRule="auto"/>
        <w:jc w:val="center"/>
        <w:rPr>
          <w:rFonts w:ascii="宋体" w:hAnsi="宋体" w:cs="宋体"/>
          <w:b/>
          <w:color w:val="auto"/>
          <w:sz w:val="24"/>
          <w:highlight w:val="none"/>
        </w:rPr>
      </w:pPr>
    </w:p>
    <w:p w14:paraId="6232074A">
      <w:pPr>
        <w:spacing w:line="360" w:lineRule="auto"/>
        <w:jc w:val="center"/>
        <w:rPr>
          <w:rFonts w:ascii="宋体" w:hAnsi="宋体" w:cs="宋体"/>
          <w:b/>
          <w:color w:val="auto"/>
          <w:sz w:val="24"/>
          <w:highlight w:val="none"/>
        </w:rPr>
      </w:pPr>
    </w:p>
    <w:p w14:paraId="6232074B">
      <w:pPr>
        <w:adjustRightInd/>
        <w:spacing w:line="360" w:lineRule="auto"/>
        <w:jc w:val="center"/>
        <w:rPr>
          <w:rFonts w:ascii="宋体" w:hAnsi="宋体" w:cs="宋体"/>
          <w:b/>
          <w:color w:val="auto"/>
          <w:sz w:val="44"/>
          <w:szCs w:val="44"/>
          <w:highlight w:val="none"/>
        </w:rPr>
      </w:pPr>
    </w:p>
    <w:p w14:paraId="6232074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浙江省法律服务领域应用迭代升级改造项目—律师管理功能</w:t>
      </w:r>
    </w:p>
    <w:p w14:paraId="6232074D">
      <w:pPr>
        <w:pStyle w:val="86"/>
        <w:rPr>
          <w:rFonts w:ascii="宋体" w:hAnsi="宋体" w:eastAsia="宋体" w:cs="宋体"/>
          <w:color w:val="auto"/>
          <w:highlight w:val="none"/>
        </w:rPr>
      </w:pPr>
    </w:p>
    <w:p w14:paraId="6232074E">
      <w:pPr>
        <w:adjustRightInd/>
        <w:spacing w:line="360" w:lineRule="auto"/>
        <w:jc w:val="center"/>
        <w:rPr>
          <w:rFonts w:ascii="宋体" w:hAnsi="宋体" w:cs="宋体"/>
          <w:color w:val="auto"/>
          <w:sz w:val="84"/>
          <w:szCs w:val="84"/>
          <w:highlight w:val="none"/>
        </w:rPr>
      </w:pPr>
    </w:p>
    <w:p w14:paraId="6232074F">
      <w:pPr>
        <w:adjustRightInd/>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 xml:space="preserve">招标文件 </w:t>
      </w:r>
    </w:p>
    <w:p w14:paraId="6232075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232075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编号：ZJ-2471321-11</w:t>
      </w:r>
    </w:p>
    <w:p w14:paraId="62320752">
      <w:pPr>
        <w:adjustRightInd/>
        <w:spacing w:line="360" w:lineRule="auto"/>
        <w:rPr>
          <w:rFonts w:ascii="宋体" w:hAnsi="宋体" w:cs="宋体"/>
          <w:color w:val="auto"/>
          <w:sz w:val="28"/>
          <w:szCs w:val="20"/>
          <w:highlight w:val="none"/>
        </w:rPr>
      </w:pPr>
    </w:p>
    <w:p w14:paraId="62320753">
      <w:pPr>
        <w:spacing w:line="360" w:lineRule="auto"/>
        <w:jc w:val="center"/>
        <w:rPr>
          <w:rFonts w:ascii="宋体" w:hAnsi="宋体" w:cs="宋体"/>
          <w:b/>
          <w:color w:val="auto"/>
          <w:sz w:val="44"/>
          <w:szCs w:val="44"/>
          <w:highlight w:val="none"/>
        </w:rPr>
      </w:pPr>
    </w:p>
    <w:p w14:paraId="62320754">
      <w:pPr>
        <w:spacing w:line="360" w:lineRule="auto"/>
        <w:rPr>
          <w:rFonts w:ascii="宋体" w:hAnsi="宋体" w:cs="宋体"/>
          <w:color w:val="auto"/>
          <w:sz w:val="32"/>
          <w:szCs w:val="32"/>
          <w:highlight w:val="none"/>
        </w:rPr>
      </w:pPr>
    </w:p>
    <w:p w14:paraId="6232075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浙江省司法厅</w:t>
      </w:r>
    </w:p>
    <w:p w14:paraId="6232075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浙江国际招投标有限公司</w:t>
      </w:r>
    </w:p>
    <w:p w14:paraId="623207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二〇二四年十二月</w:t>
      </w:r>
    </w:p>
    <w:p w14:paraId="7DE4A95B">
      <w:pPr>
        <w:pStyle w:val="638"/>
        <w:rPr>
          <w:rFonts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cols w:space="720" w:num="1"/>
          <w:titlePg/>
          <w:docGrid w:linePitch="312" w:charSpace="0"/>
        </w:sectPr>
      </w:pPr>
    </w:p>
    <w:p w14:paraId="62320759">
      <w:pPr>
        <w:pStyle w:val="638"/>
        <w:rPr>
          <w:rFonts w:ascii="宋体" w:hAnsi="宋体" w:eastAsia="宋体" w:cs="宋体"/>
          <w:color w:val="auto"/>
          <w:highlight w:val="none"/>
        </w:rPr>
      </w:pPr>
    </w:p>
    <w:p w14:paraId="6232075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232075B">
      <w:pPr>
        <w:spacing w:line="360" w:lineRule="auto"/>
        <w:rPr>
          <w:rFonts w:ascii="宋体" w:hAnsi="宋体" w:cs="宋体"/>
          <w:color w:val="auto"/>
          <w:sz w:val="32"/>
          <w:szCs w:val="32"/>
          <w:highlight w:val="none"/>
        </w:rPr>
      </w:pPr>
    </w:p>
    <w:p w14:paraId="6232075C">
      <w:pPr>
        <w:spacing w:line="360" w:lineRule="auto"/>
        <w:rPr>
          <w:rFonts w:ascii="宋体" w:hAnsi="宋体" w:cs="宋体"/>
          <w:color w:val="auto"/>
          <w:sz w:val="32"/>
          <w:szCs w:val="32"/>
          <w:highlight w:val="none"/>
        </w:rPr>
      </w:pPr>
    </w:p>
    <w:p w14:paraId="623207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23207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23207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23207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23207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3207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2320763">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2320764">
      <w:pPr>
        <w:spacing w:line="360" w:lineRule="auto"/>
        <w:ind w:firstLine="549" w:firstLineChars="229"/>
        <w:rPr>
          <w:rFonts w:ascii="宋体" w:hAnsi="宋体" w:cs="宋体"/>
          <w:color w:val="auto"/>
          <w:sz w:val="24"/>
          <w:highlight w:val="none"/>
        </w:rPr>
      </w:pPr>
    </w:p>
    <w:p w14:paraId="62320765">
      <w:pPr>
        <w:spacing w:line="360" w:lineRule="auto"/>
        <w:ind w:firstLine="549" w:firstLineChars="229"/>
        <w:rPr>
          <w:rFonts w:ascii="宋体" w:hAnsi="宋体" w:cs="宋体"/>
          <w:color w:val="auto"/>
          <w:sz w:val="24"/>
          <w:highlight w:val="none"/>
        </w:rPr>
      </w:pPr>
    </w:p>
    <w:p w14:paraId="62320766">
      <w:pPr>
        <w:spacing w:line="360" w:lineRule="auto"/>
        <w:ind w:firstLine="549" w:firstLineChars="229"/>
        <w:rPr>
          <w:rFonts w:ascii="宋体" w:hAnsi="宋体" w:cs="宋体"/>
          <w:color w:val="auto"/>
          <w:sz w:val="24"/>
          <w:highlight w:val="none"/>
        </w:rPr>
      </w:pPr>
    </w:p>
    <w:p w14:paraId="62320767">
      <w:pPr>
        <w:spacing w:line="360" w:lineRule="auto"/>
        <w:ind w:firstLine="549" w:firstLineChars="229"/>
        <w:rPr>
          <w:rFonts w:ascii="宋体" w:hAnsi="宋体" w:cs="宋体"/>
          <w:color w:val="auto"/>
          <w:sz w:val="24"/>
          <w:highlight w:val="none"/>
        </w:rPr>
      </w:pPr>
    </w:p>
    <w:p w14:paraId="62320768">
      <w:pPr>
        <w:spacing w:line="360" w:lineRule="auto"/>
        <w:ind w:firstLine="549" w:firstLineChars="229"/>
        <w:rPr>
          <w:rFonts w:ascii="宋体" w:hAnsi="宋体" w:cs="宋体"/>
          <w:color w:val="auto"/>
          <w:sz w:val="24"/>
          <w:highlight w:val="none"/>
        </w:rPr>
      </w:pPr>
    </w:p>
    <w:p w14:paraId="62320769">
      <w:pPr>
        <w:spacing w:line="360" w:lineRule="auto"/>
        <w:ind w:firstLine="549" w:firstLineChars="229"/>
        <w:rPr>
          <w:rFonts w:ascii="宋体" w:hAnsi="宋体" w:cs="宋体"/>
          <w:color w:val="auto"/>
          <w:sz w:val="24"/>
          <w:highlight w:val="none"/>
        </w:rPr>
      </w:pPr>
    </w:p>
    <w:p w14:paraId="6232076A">
      <w:pPr>
        <w:spacing w:line="360" w:lineRule="auto"/>
        <w:ind w:firstLine="549" w:firstLineChars="229"/>
        <w:rPr>
          <w:rFonts w:ascii="宋体" w:hAnsi="宋体" w:cs="宋体"/>
          <w:color w:val="auto"/>
          <w:sz w:val="24"/>
          <w:highlight w:val="none"/>
        </w:rPr>
      </w:pPr>
    </w:p>
    <w:p w14:paraId="6232076B">
      <w:pPr>
        <w:spacing w:line="360" w:lineRule="auto"/>
        <w:ind w:firstLine="549" w:firstLineChars="229"/>
        <w:rPr>
          <w:rFonts w:ascii="宋体" w:hAnsi="宋体" w:cs="宋体"/>
          <w:color w:val="auto"/>
          <w:sz w:val="24"/>
          <w:highlight w:val="none"/>
        </w:rPr>
      </w:pPr>
    </w:p>
    <w:p w14:paraId="6232076C">
      <w:pPr>
        <w:spacing w:line="360" w:lineRule="auto"/>
        <w:ind w:firstLine="549" w:firstLineChars="229"/>
        <w:rPr>
          <w:rFonts w:ascii="宋体" w:hAnsi="宋体" w:cs="宋体"/>
          <w:color w:val="auto"/>
          <w:sz w:val="24"/>
          <w:highlight w:val="none"/>
        </w:rPr>
      </w:pPr>
    </w:p>
    <w:p w14:paraId="6232076D">
      <w:pPr>
        <w:spacing w:line="360" w:lineRule="auto"/>
        <w:ind w:firstLine="549" w:firstLineChars="229"/>
        <w:rPr>
          <w:rFonts w:ascii="宋体" w:hAnsi="宋体" w:cs="宋体"/>
          <w:color w:val="auto"/>
          <w:sz w:val="24"/>
          <w:highlight w:val="none"/>
        </w:rPr>
      </w:pPr>
    </w:p>
    <w:p w14:paraId="6232076E">
      <w:pPr>
        <w:spacing w:line="360" w:lineRule="auto"/>
        <w:ind w:firstLine="549" w:firstLineChars="229"/>
        <w:rPr>
          <w:rFonts w:ascii="宋体" w:hAnsi="宋体" w:cs="宋体"/>
          <w:color w:val="auto"/>
          <w:sz w:val="24"/>
          <w:highlight w:val="none"/>
        </w:rPr>
      </w:pPr>
    </w:p>
    <w:p w14:paraId="6232076F">
      <w:pPr>
        <w:spacing w:line="360" w:lineRule="auto"/>
        <w:ind w:firstLine="549" w:firstLineChars="229"/>
        <w:rPr>
          <w:rFonts w:ascii="宋体" w:hAnsi="宋体" w:cs="宋体"/>
          <w:color w:val="auto"/>
          <w:sz w:val="24"/>
          <w:highlight w:val="none"/>
        </w:rPr>
      </w:pPr>
    </w:p>
    <w:p w14:paraId="62320770">
      <w:pPr>
        <w:spacing w:line="360" w:lineRule="auto"/>
        <w:rPr>
          <w:rFonts w:ascii="宋体" w:hAnsi="宋体" w:cs="宋体"/>
          <w:color w:val="auto"/>
          <w:sz w:val="24"/>
          <w:highlight w:val="none"/>
        </w:rPr>
      </w:pPr>
    </w:p>
    <w:p w14:paraId="62320771">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62320772">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6232077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浙江省司法厅浙江省法律服务领域应用迭代升级改造项目—律师管理功能</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eastAsia="zh-CN"/>
        </w:rPr>
        <w:t>2025年1月14日09点30分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2320774">
      <w:pPr>
        <w:spacing w:line="360" w:lineRule="auto"/>
        <w:rPr>
          <w:rFonts w:ascii="宋体" w:hAnsi="宋体" w:cs="宋体"/>
          <w:b/>
          <w:color w:val="auto"/>
          <w:sz w:val="24"/>
          <w:highlight w:val="none"/>
        </w:rPr>
      </w:pPr>
    </w:p>
    <w:p w14:paraId="6232077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3207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ZJ-2471321-11</w:t>
      </w:r>
    </w:p>
    <w:p w14:paraId="623207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浙江省法律服务领域应用迭代升级改造项目—律师管理功能</w:t>
      </w:r>
    </w:p>
    <w:p w14:paraId="623207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1270000</w:t>
      </w:r>
    </w:p>
    <w:p w14:paraId="6232077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1270000</w:t>
      </w:r>
    </w:p>
    <w:p w14:paraId="6232077A">
      <w:pPr>
        <w:pStyle w:val="4"/>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232077B">
      <w:pPr>
        <w:pStyle w:val="4"/>
        <w:spacing w:line="360" w:lineRule="auto"/>
        <w:ind w:left="420" w:leftChars="200" w:firstLine="422" w:firstLineChars="175"/>
        <w:rPr>
          <w:rFonts w:hAnsi="宋体" w:cs="宋体"/>
          <w:b/>
          <w:color w:val="auto"/>
          <w:sz w:val="24"/>
          <w:highlight w:val="none"/>
        </w:rPr>
      </w:pPr>
      <w:r>
        <w:rPr>
          <w:rFonts w:hint="eastAsia" w:hAnsi="宋体" w:cs="宋体"/>
          <w:b/>
          <w:color w:val="auto"/>
          <w:sz w:val="24"/>
          <w:highlight w:val="none"/>
        </w:rPr>
        <w:t>标项名称：</w:t>
      </w:r>
      <w:r>
        <w:rPr>
          <w:rFonts w:hint="eastAsia" w:hAnsi="宋体" w:cs="宋体"/>
          <w:color w:val="auto"/>
          <w:sz w:val="24"/>
          <w:highlight w:val="none"/>
        </w:rPr>
        <w:t>浙江省司法厅浙江省法律服务领域应用迭代升级改造项目—律师管理功能</w:t>
      </w:r>
    </w:p>
    <w:p w14:paraId="6232077C">
      <w:pPr>
        <w:pStyle w:val="4"/>
        <w:spacing w:line="360" w:lineRule="auto"/>
        <w:ind w:left="420" w:leftChars="200" w:firstLine="422" w:firstLineChars="175"/>
        <w:rPr>
          <w:rFonts w:hAnsi="宋体" w:cs="宋体"/>
          <w:b/>
          <w:color w:val="auto"/>
          <w:sz w:val="24"/>
          <w:highlight w:val="none"/>
        </w:rPr>
      </w:pPr>
      <w:r>
        <w:rPr>
          <w:rFonts w:hint="eastAsia" w:hAnsi="宋体" w:cs="宋体"/>
          <w:b/>
          <w:color w:val="auto"/>
          <w:sz w:val="24"/>
          <w:highlight w:val="none"/>
        </w:rPr>
        <w:t>数量：</w:t>
      </w:r>
      <w:r>
        <w:rPr>
          <w:rFonts w:hint="eastAsia" w:hAnsi="宋体" w:cs="宋体"/>
          <w:bCs/>
          <w:color w:val="auto"/>
          <w:sz w:val="24"/>
          <w:highlight w:val="none"/>
        </w:rPr>
        <w:t xml:space="preserve">1 </w:t>
      </w:r>
      <w:r>
        <w:rPr>
          <w:rFonts w:hint="eastAsia" w:hAnsi="宋体" w:cs="宋体"/>
          <w:b/>
          <w:color w:val="auto"/>
          <w:sz w:val="24"/>
          <w:highlight w:val="none"/>
        </w:rPr>
        <w:t xml:space="preserve">             </w:t>
      </w:r>
    </w:p>
    <w:p w14:paraId="6232077D">
      <w:pPr>
        <w:pStyle w:val="4"/>
        <w:spacing w:line="360" w:lineRule="auto"/>
        <w:ind w:left="420" w:leftChars="200" w:firstLine="422" w:firstLineChars="175"/>
        <w:rPr>
          <w:rFonts w:hAnsi="宋体" w:cs="宋体"/>
          <w:b/>
          <w:color w:val="auto"/>
          <w:sz w:val="24"/>
          <w:highlight w:val="none"/>
        </w:rPr>
      </w:pPr>
      <w:r>
        <w:rPr>
          <w:rFonts w:hint="eastAsia" w:hAnsi="宋体" w:cs="宋体"/>
          <w:b/>
          <w:color w:val="auto"/>
          <w:sz w:val="24"/>
          <w:highlight w:val="none"/>
        </w:rPr>
        <w:t>预算金额（元）：</w:t>
      </w:r>
      <w:r>
        <w:rPr>
          <w:rFonts w:hint="eastAsia" w:hAnsi="宋体" w:cs="宋体"/>
          <w:bCs/>
          <w:color w:val="auto"/>
          <w:sz w:val="24"/>
          <w:highlight w:val="none"/>
        </w:rPr>
        <w:t>1270000</w:t>
      </w:r>
      <w:r>
        <w:rPr>
          <w:rFonts w:hint="eastAsia" w:hAnsi="宋体" w:cs="宋体"/>
          <w:b/>
          <w:color w:val="auto"/>
          <w:sz w:val="24"/>
          <w:highlight w:val="none"/>
        </w:rPr>
        <w:t xml:space="preserve">             </w:t>
      </w:r>
    </w:p>
    <w:p w14:paraId="6232077E">
      <w:pPr>
        <w:pStyle w:val="4"/>
        <w:spacing w:line="360" w:lineRule="auto"/>
        <w:ind w:left="420" w:leftChars="200" w:firstLine="422" w:firstLineChars="175"/>
        <w:rPr>
          <w:rFonts w:hAnsi="宋体" w:cs="宋体"/>
          <w:bCs/>
          <w:snapToGrid/>
          <w:color w:val="auto"/>
          <w:kern w:val="2"/>
          <w:sz w:val="24"/>
          <w:szCs w:val="24"/>
          <w:highlight w:val="none"/>
        </w:rPr>
      </w:pPr>
      <w:r>
        <w:rPr>
          <w:rFonts w:hint="eastAsia" w:hAnsi="宋体" w:cs="宋体"/>
          <w:b/>
          <w:color w:val="auto"/>
          <w:sz w:val="24"/>
          <w:highlight w:val="none"/>
        </w:rPr>
        <w:t>简要规格描述或项目基本概况介绍、用途：</w:t>
      </w:r>
      <w:r>
        <w:rPr>
          <w:rFonts w:hint="eastAsia" w:hAnsi="宋体" w:cs="宋体"/>
          <w:snapToGrid/>
          <w:color w:val="auto"/>
          <w:kern w:val="2"/>
          <w:sz w:val="24"/>
          <w:szCs w:val="24"/>
          <w:highlight w:val="none"/>
        </w:rPr>
        <w:t>本项目为</w:t>
      </w:r>
      <w:r>
        <w:rPr>
          <w:rFonts w:hint="eastAsia" w:hAnsi="宋体" w:cs="宋体"/>
          <w:color w:val="auto"/>
          <w:sz w:val="24"/>
          <w:highlight w:val="none"/>
        </w:rPr>
        <w:t>浙江省司法厅浙江省法律服务领域应用迭代升级改造项目—律师管理功能，</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6232077F">
      <w:pPr>
        <w:pStyle w:val="138"/>
        <w:spacing w:before="0"/>
        <w:ind w:left="420" w:leftChars="200" w:firstLine="422" w:firstLineChars="175"/>
        <w:outlineLvl w:val="2"/>
        <w:rPr>
          <w:rFonts w:ascii="宋体" w:hAnsi="宋体" w:cs="宋体"/>
          <w:b/>
          <w:color w:val="auto"/>
          <w:highlight w:val="none"/>
        </w:rPr>
      </w:pPr>
      <w:r>
        <w:rPr>
          <w:rFonts w:hint="eastAsia" w:ascii="宋体" w:hAnsi="宋体" w:cs="宋体"/>
          <w:b/>
          <w:color w:val="auto"/>
          <w:highlight w:val="none"/>
        </w:rPr>
        <w:t>备注：/</w:t>
      </w:r>
    </w:p>
    <w:p w14:paraId="62320780">
      <w:pPr>
        <w:pStyle w:val="138"/>
        <w:spacing w:before="0"/>
        <w:ind w:firstLine="482"/>
        <w:outlineLvl w:val="2"/>
        <w:rPr>
          <w:rFonts w:ascii="宋体" w:hAnsi="宋体" w:cs="宋体"/>
          <w:b/>
          <w:color w:val="auto"/>
          <w:highlight w:val="none"/>
        </w:rPr>
      </w:pPr>
    </w:p>
    <w:p w14:paraId="62320781">
      <w:pPr>
        <w:pStyle w:val="138"/>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标项1，详见采购文件。</w:t>
      </w:r>
    </w:p>
    <w:p w14:paraId="6232078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本项目（是）接受联合体投标。</w:t>
      </w:r>
    </w:p>
    <w:p w14:paraId="6232078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2320784">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2320785">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2.落实政府采购政策需满足的资格要求：标项1：本项目专门面向中小企业，服务全部由符合政策要求的中小企业承接。</w:t>
      </w:r>
    </w:p>
    <w:p w14:paraId="623207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6232078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23207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2025年1月14日</w:t>
      </w:r>
      <w:r>
        <w:rPr>
          <w:rFonts w:hint="eastAsia" w:ascii="宋体" w:hAnsi="宋体" w:cs="宋体"/>
          <w:color w:val="auto"/>
          <w:sz w:val="24"/>
          <w:highlight w:val="none"/>
        </w:rPr>
        <w:t>，每天上午00:00至12:00 ，下午12:00至23:59（北京时间，线上获取法定节假日均可，线下获取文件法定节假日除外）</w:t>
      </w:r>
    </w:p>
    <w:p w14:paraId="623207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23207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6232078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3207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2025年1月14日09点30分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23207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232078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2025年1月14日09点30分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623207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232079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23207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232079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23207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23207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320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320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232079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232079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1.采购人信息</w:t>
      </w:r>
    </w:p>
    <w:p w14:paraId="6232079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    称：浙江省司法厅</w:t>
      </w:r>
    </w:p>
    <w:p w14:paraId="6232079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地址：杭州市西湖区省府路8号省政府十号楼</w:t>
      </w:r>
    </w:p>
    <w:p w14:paraId="6232079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w:t>
      </w:r>
    </w:p>
    <w:p w14:paraId="623207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项目联系人（询问）：张先生</w:t>
      </w:r>
    </w:p>
    <w:p w14:paraId="6232079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项目联系方式（询问）：0571-87054435</w:t>
      </w:r>
    </w:p>
    <w:p w14:paraId="623207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质疑联系人：毛先生</w:t>
      </w:r>
    </w:p>
    <w:p w14:paraId="6232079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质疑联系方式：0571-87054360</w:t>
      </w:r>
    </w:p>
    <w:p w14:paraId="623207A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2.采购代理机构信息</w:t>
      </w:r>
    </w:p>
    <w:p w14:paraId="623207A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    称：浙江国际招投标有限公司</w:t>
      </w:r>
    </w:p>
    <w:p w14:paraId="623207A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地址：杭州市西湖区文三路90号东部软件园1号楼3楼</w:t>
      </w:r>
    </w:p>
    <w:p w14:paraId="623207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传真：0571-88473430</w:t>
      </w:r>
    </w:p>
    <w:p w14:paraId="623207A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项目联系人（询问）：周群峰、葛珍妮</w:t>
      </w:r>
    </w:p>
    <w:p w14:paraId="623207A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项目联系方式（询问）：0571-81061804、0571-88081687</w:t>
      </w:r>
    </w:p>
    <w:p w14:paraId="623207A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质疑联系人：曹涛涛</w:t>
      </w:r>
    </w:p>
    <w:p w14:paraId="623207A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质疑联系方式：0571-81061821</w:t>
      </w:r>
    </w:p>
    <w:p w14:paraId="623207A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623207A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623207A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623207A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w:t>
      </w:r>
    </w:p>
    <w:p w14:paraId="623207A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联系人：朱老师、王老师、匡老师</w:t>
      </w:r>
    </w:p>
    <w:p w14:paraId="623207A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监督投诉电话：0571-87800218，0571-87227671</w:t>
      </w:r>
    </w:p>
    <w:p w14:paraId="623207AE">
      <w:pPr>
        <w:spacing w:line="360" w:lineRule="auto"/>
        <w:ind w:firstLine="420" w:firstLineChars="175"/>
        <w:rPr>
          <w:rFonts w:ascii="宋体" w:hAnsi="宋体" w:cs="宋体"/>
          <w:color w:val="auto"/>
          <w:sz w:val="24"/>
          <w:highlight w:val="none"/>
        </w:rPr>
      </w:pPr>
    </w:p>
    <w:p w14:paraId="623207A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623207B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623207B1">
      <w:pPr>
        <w:spacing w:line="360" w:lineRule="auto"/>
        <w:ind w:firstLine="420" w:firstLineChars="175"/>
        <w:rPr>
          <w:rFonts w:ascii="宋体" w:hAnsi="宋体" w:cs="宋体"/>
          <w:color w:val="auto"/>
          <w:sz w:val="24"/>
          <w:highlight w:val="none"/>
        </w:rPr>
      </w:pPr>
    </w:p>
    <w:p w14:paraId="623207B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23207B3">
      <w:pPr>
        <w:spacing w:line="360" w:lineRule="auto"/>
        <w:ind w:firstLine="420" w:firstLineChars="175"/>
        <w:rPr>
          <w:rFonts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ascii="宋体" w:hAnsi="宋体" w:cs="宋体"/>
          <w:b/>
          <w:color w:val="auto"/>
          <w:sz w:val="36"/>
          <w:szCs w:val="20"/>
          <w:highlight w:val="none"/>
        </w:rPr>
        <w:br w:type="page"/>
      </w:r>
    </w:p>
    <w:p w14:paraId="623207B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623207B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62320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623207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2320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B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B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2320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浙江省法律服务领域应用迭代升级改造项目—律师管理功能</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软件和信息技术服务业 </w:t>
            </w:r>
            <w:r>
              <w:rPr>
                <w:rFonts w:hint="eastAsia" w:ascii="宋体" w:hAnsi="宋体" w:cs="宋体"/>
                <w:color w:val="auto"/>
                <w:kern w:val="0"/>
                <w:sz w:val="24"/>
                <w:highlight w:val="none"/>
              </w:rPr>
              <w:t>行业；</w:t>
            </w:r>
          </w:p>
          <w:p w14:paraId="623207C1">
            <w:pPr>
              <w:pStyle w:val="6"/>
              <w:ind w:left="0" w:firstLine="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2）根据《关于印发中小企业划型标准规定的通知》（工信部联企业〔2011〕300）第四条第（二）项规定：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2320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C5">
            <w:pPr>
              <w:spacing w:line="360" w:lineRule="auto"/>
              <w:rPr>
                <w:rFonts w:ascii="宋体" w:hAnsi="宋体" w:cs="宋体"/>
                <w:color w:val="auto"/>
                <w:kern w:val="0"/>
                <w:sz w:val="24"/>
                <w:highlight w:val="none"/>
              </w:rPr>
            </w:pPr>
            <w:r>
              <w:rPr>
                <w:rFonts w:hint="eastAsia" w:ascii="宋体" w:hAnsi="宋体" w:cs="宋体"/>
                <w:b/>
                <w:bCs/>
                <w:snapToGrid w:val="0"/>
                <w:color w:val="auto"/>
                <w:kern w:val="28"/>
                <w:sz w:val="24"/>
                <w:highlight w:val="none"/>
              </w:rPr>
              <w:t xml:space="preserve">√ </w:t>
            </w:r>
            <w:r>
              <w:rPr>
                <w:rFonts w:hint="eastAsia" w:ascii="宋体" w:hAnsi="宋体" w:cs="宋体"/>
                <w:b/>
                <w:bCs/>
                <w:color w:val="auto"/>
                <w:kern w:val="0"/>
                <w:sz w:val="24"/>
                <w:highlight w:val="none"/>
              </w:rPr>
              <w:t>本项目不允许采购进口产品。</w:t>
            </w:r>
          </w:p>
          <w:p w14:paraId="623207C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14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2320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C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CA">
            <w:pPr>
              <w:spacing w:line="360" w:lineRule="auto"/>
              <w:rPr>
                <w:rFonts w:ascii="宋体" w:hAnsi="宋体" w:cs="宋体"/>
                <w:color w:val="auto"/>
                <w:sz w:val="24"/>
                <w:highlight w:val="none"/>
              </w:rPr>
            </w:pPr>
            <w:r>
              <w:rPr>
                <w:rFonts w:hint="eastAsia" w:ascii="宋体" w:hAnsi="宋体" w:cs="宋体"/>
                <w:b/>
                <w:bCs/>
                <w:snapToGrid w:val="0"/>
                <w:color w:val="auto"/>
                <w:kern w:val="28"/>
                <w:sz w:val="24"/>
                <w:highlight w:val="none"/>
              </w:rPr>
              <w:t>√</w:t>
            </w: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 xml:space="preserve">A同意除 </w:t>
            </w:r>
            <w:r>
              <w:rPr>
                <w:rFonts w:hint="eastAsia" w:ascii="宋体" w:hAnsi="宋体" w:cs="宋体"/>
                <w:b/>
                <w:bCs/>
                <w:color w:val="auto"/>
                <w:kern w:val="0"/>
                <w:sz w:val="24"/>
                <w:highlight w:val="none"/>
                <w:u w:val="single"/>
              </w:rPr>
              <w:t xml:space="preserve">软件开发 </w:t>
            </w:r>
            <w:r>
              <w:rPr>
                <w:rFonts w:hint="eastAsia" w:ascii="宋体" w:hAnsi="宋体" w:cs="宋体"/>
                <w:b/>
                <w:bCs/>
                <w:color w:val="auto"/>
                <w:kern w:val="0"/>
                <w:sz w:val="24"/>
                <w:highlight w:val="none"/>
              </w:rPr>
              <w:t>外的</w:t>
            </w:r>
            <w:r>
              <w:rPr>
                <w:rFonts w:hint="eastAsia" w:ascii="宋体" w:hAnsi="宋体" w:cs="宋体"/>
                <w:b/>
                <w:bCs/>
                <w:color w:val="auto"/>
                <w:sz w:val="24"/>
                <w:highlight w:val="none"/>
              </w:rPr>
              <w:t>非主体、非关键性的工作分包。</w:t>
            </w:r>
          </w:p>
          <w:p w14:paraId="623207C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43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23207C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2320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76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23207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806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3207D2">
            <w:pPr>
              <w:pStyle w:val="86"/>
              <w:spacing w:line="360" w:lineRule="auto"/>
              <w:rPr>
                <w:rFonts w:ascii="宋体" w:hAnsi="宋体" w:eastAsia="宋体" w:cs="宋体"/>
                <w:color w:val="auto"/>
                <w:highlight w:val="none"/>
              </w:rPr>
            </w:pPr>
            <w:r>
              <w:rPr>
                <w:rFonts w:hint="eastAsia" w:ascii="宋体" w:hAnsi="宋体" w:eastAsia="宋体" w:cs="宋体"/>
                <w:b/>
                <w:bCs/>
                <w:snapToGrid w:val="0"/>
                <w:color w:val="auto"/>
                <w:kern w:val="28"/>
                <w:highlight w:val="none"/>
              </w:rPr>
              <w:t>√</w:t>
            </w:r>
            <w:r>
              <w:rPr>
                <w:rFonts w:hint="eastAsia" w:ascii="宋体" w:hAnsi="宋体" w:eastAsia="宋体" w:cs="宋体"/>
                <w:b/>
                <w:bCs/>
                <w:color w:val="auto"/>
                <w:highlight w:val="none"/>
              </w:rPr>
              <w:t>C不统一组织，供应商在获取采购文件后，自行至项目现场考察。地点：</w:t>
            </w:r>
            <w:r>
              <w:rPr>
                <w:rFonts w:hint="eastAsia" w:ascii="宋体" w:hAnsi="宋体" w:eastAsia="宋体" w:cs="宋体"/>
                <w:b/>
                <w:bCs/>
                <w:color w:val="auto"/>
                <w:highlight w:val="none"/>
                <w:u w:val="single"/>
              </w:rPr>
              <w:t>杭州市西湖区省府路8号省政府十号楼</w:t>
            </w:r>
            <w:r>
              <w:rPr>
                <w:rFonts w:hint="eastAsia" w:ascii="宋体" w:hAnsi="宋体" w:eastAsia="宋体" w:cs="宋体"/>
                <w:b/>
                <w:bCs/>
                <w:color w:val="auto"/>
                <w:highlight w:val="none"/>
              </w:rPr>
              <w:t>，联系人：</w:t>
            </w:r>
            <w:r>
              <w:rPr>
                <w:rFonts w:hint="eastAsia" w:ascii="宋体" w:hAnsi="宋体" w:eastAsia="宋体" w:cs="宋体"/>
                <w:b/>
                <w:bCs/>
                <w:color w:val="auto"/>
                <w:highlight w:val="none"/>
                <w:u w:val="single"/>
              </w:rPr>
              <w:t xml:space="preserve">见招标公告 </w:t>
            </w:r>
            <w:r>
              <w:rPr>
                <w:rFonts w:hint="eastAsia" w:ascii="宋体" w:hAnsi="宋体" w:eastAsia="宋体" w:cs="宋体"/>
                <w:b/>
                <w:bCs/>
                <w:color w:val="auto"/>
                <w:highlight w:val="none"/>
              </w:rPr>
              <w:t>，联系方式：</w:t>
            </w:r>
            <w:r>
              <w:rPr>
                <w:rFonts w:hint="eastAsia" w:ascii="宋体" w:hAnsi="宋体" w:eastAsia="宋体" w:cs="宋体"/>
                <w:b/>
                <w:bCs/>
                <w:color w:val="auto"/>
                <w:highlight w:val="none"/>
                <w:u w:val="single"/>
              </w:rPr>
              <w:t xml:space="preserve"> 见招标公告 </w:t>
            </w:r>
            <w:r>
              <w:rPr>
                <w:rFonts w:hint="eastAsia" w:ascii="宋体" w:hAnsi="宋体" w:eastAsia="宋体" w:cs="宋体"/>
                <w:b/>
                <w:bCs/>
                <w:color w:val="auto"/>
                <w:highlight w:val="none"/>
              </w:rPr>
              <w:t>。</w:t>
            </w:r>
          </w:p>
        </w:tc>
      </w:tr>
      <w:tr w14:paraId="62320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D6">
            <w:pPr>
              <w:spacing w:line="420" w:lineRule="exact"/>
              <w:rPr>
                <w:rFonts w:ascii="宋体" w:hAnsi="宋体" w:cs="宋体"/>
                <w:color w:val="auto"/>
                <w:sz w:val="24"/>
                <w:highlight w:val="none"/>
              </w:rPr>
            </w:pPr>
            <w:r>
              <w:rPr>
                <w:rFonts w:hint="eastAsia" w:ascii="宋体" w:hAnsi="宋体" w:cs="宋体"/>
                <w:b/>
                <w:bCs/>
                <w:snapToGrid w:val="0"/>
                <w:color w:val="auto"/>
                <w:kern w:val="28"/>
                <w:sz w:val="24"/>
                <w:highlight w:val="none"/>
              </w:rPr>
              <w:t>√</w:t>
            </w:r>
            <w:r>
              <w:rPr>
                <w:rFonts w:hint="eastAsia" w:ascii="宋体" w:hAnsi="宋体" w:cs="宋体"/>
                <w:color w:val="auto"/>
                <w:kern w:val="0"/>
                <w:sz w:val="24"/>
                <w:highlight w:val="none"/>
              </w:rPr>
              <w:t xml:space="preserve"> </w:t>
            </w:r>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p>
          <w:p w14:paraId="623207D7">
            <w:pPr>
              <w:spacing w:line="42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B要求提供，</w:t>
            </w:r>
          </w:p>
          <w:p w14:paraId="623207D8">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23207D9">
            <w:pPr>
              <w:spacing w:line="420" w:lineRule="exact"/>
              <w:rPr>
                <w:rFonts w:ascii="宋体" w:hAnsi="宋体" w:cs="宋体"/>
                <w:color w:val="auto"/>
                <w:sz w:val="24"/>
                <w:highlight w:val="none"/>
              </w:rPr>
            </w:pPr>
            <w:r>
              <w:rPr>
                <w:rFonts w:hint="eastAsia" w:ascii="宋体" w:hAnsi="宋体" w:cs="宋体"/>
                <w:color w:val="auto"/>
                <w:sz w:val="24"/>
                <w:highlight w:val="none"/>
              </w:rPr>
              <w:t>（2）提供样品的时间：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23207DA">
            <w:pPr>
              <w:spacing w:line="420" w:lineRule="exact"/>
              <w:rPr>
                <w:rFonts w:ascii="宋体" w:hAnsi="宋体" w:cs="宋体"/>
                <w:b/>
                <w:color w:val="auto"/>
                <w:sz w:val="24"/>
                <w:highlight w:val="none"/>
              </w:rPr>
            </w:pPr>
            <w:r>
              <w:rPr>
                <w:rFonts w:hint="eastAsia" w:ascii="宋体" w:hAnsi="宋体" w:cs="宋体"/>
                <w:color w:val="auto"/>
                <w:sz w:val="24"/>
                <w:highlight w:val="none"/>
              </w:rPr>
              <w:t xml:space="preserve"> (3）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7）制作、运输、安装和保管样品所发生的一切费用由投标人自理。</w:t>
            </w:r>
          </w:p>
        </w:tc>
      </w:tr>
      <w:tr w14:paraId="62320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3207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623207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系统演示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DE">
            <w:pPr>
              <w:snapToGrid w:val="0"/>
              <w:spacing w:line="360" w:lineRule="auto"/>
              <w:contextualSpacing/>
              <w:rPr>
                <w:rFonts w:ascii="宋体" w:hAnsi="宋体" w:cs="宋体"/>
                <w:color w:val="auto"/>
                <w:sz w:val="24"/>
                <w:highlight w:val="none"/>
              </w:rPr>
            </w:pPr>
            <w:r>
              <w:rPr>
                <w:rFonts w:hint="eastAsia" w:ascii="宋体" w:hAnsi="宋体" w:cs="宋体"/>
                <w:color w:val="auto"/>
                <w:kern w:val="0"/>
                <w:sz w:val="24"/>
                <w:highlight w:val="none"/>
              </w:rPr>
              <w:t>☐ A</w:t>
            </w:r>
            <w:r>
              <w:rPr>
                <w:rFonts w:hint="eastAsia" w:ascii="宋体" w:hAnsi="宋体" w:cs="宋体"/>
                <w:color w:val="auto"/>
                <w:sz w:val="24"/>
                <w:highlight w:val="none"/>
              </w:rPr>
              <w:t>不组织。</w:t>
            </w:r>
          </w:p>
          <w:p w14:paraId="623207DF">
            <w:pPr>
              <w:snapToGrid w:val="0"/>
              <w:spacing w:line="360" w:lineRule="auto"/>
              <w:contextualSpacing/>
              <w:rPr>
                <w:rFonts w:ascii="宋体" w:hAnsi="宋体" w:cs="宋体"/>
                <w:b/>
                <w:bCs/>
                <w:color w:val="auto"/>
                <w:kern w:val="0"/>
                <w:sz w:val="24"/>
                <w:highlight w:val="none"/>
              </w:rPr>
            </w:pPr>
            <w:r>
              <w:rPr>
                <w:rFonts w:hint="eastAsia" w:ascii="宋体" w:hAnsi="宋体" w:cs="宋体"/>
                <w:b/>
                <w:bCs/>
                <w:snapToGrid w:val="0"/>
                <w:color w:val="auto"/>
                <w:kern w:val="28"/>
                <w:sz w:val="24"/>
                <w:highlight w:val="none"/>
              </w:rPr>
              <w:t xml:space="preserve">√ </w:t>
            </w:r>
            <w:r>
              <w:rPr>
                <w:rFonts w:hint="eastAsia" w:ascii="宋体" w:hAnsi="宋体" w:cs="宋体"/>
                <w:b/>
                <w:bCs/>
                <w:color w:val="auto"/>
                <w:kern w:val="0"/>
                <w:sz w:val="24"/>
                <w:highlight w:val="none"/>
              </w:rPr>
              <w:t>B组织。</w:t>
            </w:r>
          </w:p>
          <w:p w14:paraId="623207E0">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（1）在评标时安排每个投标人进行系统演示。每个投标人时间不超过</w:t>
            </w:r>
            <w:r>
              <w:rPr>
                <w:rFonts w:hint="eastAsia" w:ascii="宋体" w:hAnsi="宋体" w:cs="宋体"/>
                <w:color w:val="auto"/>
                <w:kern w:val="0"/>
                <w:sz w:val="24"/>
                <w:highlight w:val="none"/>
                <w:u w:val="single"/>
              </w:rPr>
              <w:t xml:space="preserve"> 15 </w:t>
            </w:r>
            <w:r>
              <w:rPr>
                <w:rFonts w:hint="eastAsia" w:ascii="宋体" w:hAnsi="宋体" w:cs="宋体"/>
                <w:color w:val="auto"/>
                <w:kern w:val="0"/>
                <w:sz w:val="24"/>
                <w:highlight w:val="none"/>
              </w:rPr>
              <w:t>分钟（不含现场评标委员会提问时间），演示次序以投标文件解密时间先后次序为准，演示人员需为拟派项目组成员之一。演示结束后按要求解答评标委员会提问。</w:t>
            </w:r>
          </w:p>
          <w:p w14:paraId="623207E1">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（2）系统演示选择采用</w:t>
            </w:r>
            <w:r>
              <w:rPr>
                <w:rFonts w:hint="eastAsia" w:ascii="宋体" w:hAnsi="宋体" w:cs="宋体"/>
                <w:color w:val="auto"/>
                <w:kern w:val="0"/>
                <w:sz w:val="24"/>
                <w:highlight w:val="none"/>
                <w:u w:val="single"/>
              </w:rPr>
              <w:t>现场</w:t>
            </w:r>
            <w:r>
              <w:rPr>
                <w:rFonts w:hint="eastAsia" w:ascii="宋体" w:hAnsi="宋体" w:cs="宋体"/>
                <w:color w:val="auto"/>
                <w:kern w:val="0"/>
                <w:sz w:val="24"/>
                <w:highlight w:val="none"/>
              </w:rPr>
              <w:t>系统</w:t>
            </w:r>
            <w:r>
              <w:rPr>
                <w:rFonts w:hint="eastAsia" w:ascii="宋体" w:hAnsi="宋体" w:cs="宋体"/>
                <w:color w:val="auto"/>
                <w:kern w:val="0"/>
                <w:sz w:val="24"/>
                <w:highlight w:val="none"/>
                <w:u w:val="single"/>
              </w:rPr>
              <w:t>演示</w:t>
            </w:r>
            <w:r>
              <w:rPr>
                <w:rFonts w:hint="eastAsia" w:ascii="宋体" w:hAnsi="宋体" w:cs="宋体"/>
                <w:color w:val="auto"/>
                <w:kern w:val="0"/>
                <w:sz w:val="24"/>
                <w:highlight w:val="none"/>
              </w:rPr>
              <w:t>：</w:t>
            </w:r>
          </w:p>
          <w:p w14:paraId="623207E2">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u w:val="single"/>
              </w:rPr>
              <w:t>现场演示签到地点为</w:t>
            </w:r>
            <w:r>
              <w:rPr>
                <w:rFonts w:hint="eastAsia" w:ascii="宋体" w:hAnsi="宋体" w:cs="宋体"/>
                <w:color w:val="auto"/>
                <w:sz w:val="24"/>
                <w:highlight w:val="none"/>
                <w:u w:val="single"/>
              </w:rPr>
              <w:t>杭州市西湖区文三路90号东部软件园1号楼3楼301开标室</w:t>
            </w:r>
            <w:r>
              <w:rPr>
                <w:rFonts w:hint="eastAsia" w:ascii="宋体" w:hAnsi="宋体" w:cs="宋体"/>
                <w:color w:val="auto"/>
                <w:kern w:val="0"/>
                <w:sz w:val="24"/>
                <w:highlight w:val="none"/>
                <w:u w:val="single"/>
              </w:rPr>
              <w:t>，现场演示签到截止时间同提交投标文件截止时间</w:t>
            </w:r>
            <w:r>
              <w:rPr>
                <w:rFonts w:hint="eastAsia" w:ascii="宋体" w:hAnsi="宋体" w:cs="宋体"/>
                <w:color w:val="auto"/>
                <w:kern w:val="0"/>
                <w:sz w:val="24"/>
                <w:highlight w:val="none"/>
              </w:rPr>
              <w:t>，未按时签到视为自动放弃系统演示。</w:t>
            </w:r>
          </w:p>
          <w:p w14:paraId="623207E3">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演示人员开始演示前须提供身份证明并与投标文件项目组相应成员一致，否则不得演示。</w:t>
            </w:r>
          </w:p>
          <w:p w14:paraId="623207E4">
            <w:pPr>
              <w:snapToGrid w:val="0"/>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演示现场提供投影仪及无线网络环境，演示所用电脑等其他演示相关设备由投标人自备。</w:t>
            </w:r>
          </w:p>
          <w:p w14:paraId="623207E5">
            <w:pPr>
              <w:snapToGrid w:val="0"/>
              <w:spacing w:line="360" w:lineRule="auto"/>
              <w:contextualSpacing/>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62320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3207E7">
            <w:pPr>
              <w:snapToGrid w:val="0"/>
              <w:spacing w:line="360" w:lineRule="auto"/>
              <w:jc w:val="center"/>
              <w:rPr>
                <w:rFonts w:ascii="宋体" w:hAnsi="宋体" w:cs="宋体"/>
                <w:color w:val="auto"/>
                <w:sz w:val="24"/>
                <w:highlight w:val="none"/>
              </w:rPr>
            </w:pPr>
          </w:p>
          <w:p w14:paraId="623207E8">
            <w:pPr>
              <w:snapToGrid w:val="0"/>
              <w:spacing w:line="360" w:lineRule="auto"/>
              <w:jc w:val="center"/>
              <w:rPr>
                <w:rFonts w:ascii="宋体" w:hAnsi="宋体" w:cs="宋体"/>
                <w:color w:val="auto"/>
                <w:sz w:val="24"/>
                <w:highlight w:val="none"/>
              </w:rPr>
            </w:pPr>
          </w:p>
          <w:p w14:paraId="623207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623207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623207E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3207EC">
            <w:pPr>
              <w:spacing w:line="360" w:lineRule="auto"/>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2320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tcPr>
          <w:p w14:paraId="623207EE">
            <w:pPr>
              <w:snapToGrid w:val="0"/>
              <w:spacing w:line="360" w:lineRule="auto"/>
              <w:jc w:val="center"/>
              <w:rPr>
                <w:rFonts w:ascii="宋体" w:hAnsi="宋体" w:cs="宋体"/>
                <w:color w:val="auto"/>
                <w:sz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623207EF">
            <w:pPr>
              <w:snapToGrid w:val="0"/>
              <w:spacing w:line="360" w:lineRule="auto"/>
              <w:jc w:val="center"/>
              <w:rPr>
                <w:rFonts w:ascii="宋体" w:hAnsi="宋体" w:cs="宋体"/>
                <w:b/>
                <w:color w:val="auto"/>
                <w:sz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623207F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320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23207F2">
            <w:pPr>
              <w:snapToGrid w:val="0"/>
              <w:spacing w:line="360" w:lineRule="auto"/>
              <w:jc w:val="center"/>
              <w:rPr>
                <w:rFonts w:ascii="宋体" w:hAnsi="宋体" w:cs="宋体"/>
                <w:color w:val="auto"/>
                <w:sz w:val="24"/>
                <w:highlight w:val="none"/>
              </w:rPr>
            </w:pPr>
          </w:p>
          <w:p w14:paraId="623207F3">
            <w:pPr>
              <w:snapToGrid w:val="0"/>
              <w:spacing w:line="360" w:lineRule="auto"/>
              <w:jc w:val="center"/>
              <w:rPr>
                <w:rFonts w:ascii="宋体" w:hAnsi="宋体" w:cs="宋体"/>
                <w:color w:val="auto"/>
                <w:sz w:val="24"/>
                <w:highlight w:val="none"/>
              </w:rPr>
            </w:pPr>
          </w:p>
          <w:p w14:paraId="623207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62320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7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23207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☐强制采购。产品：    </w:t>
            </w:r>
          </w:p>
          <w:p w14:paraId="623207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□优先采购节能产品。产品：   </w:t>
            </w:r>
          </w:p>
          <w:p w14:paraId="623207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□优先采购环保产品。产品：    </w:t>
            </w:r>
          </w:p>
          <w:p w14:paraId="623207FA">
            <w:pPr>
              <w:snapToGrid w:val="0"/>
              <w:spacing w:line="360" w:lineRule="auto"/>
              <w:rPr>
                <w:rFonts w:ascii="宋体" w:hAnsi="宋体" w:cs="宋体"/>
                <w:color w:val="auto"/>
                <w:sz w:val="24"/>
                <w:highlight w:val="none"/>
              </w:rPr>
            </w:pPr>
            <w:r>
              <w:rPr>
                <w:rFonts w:hint="eastAsia" w:ascii="宋体" w:hAnsi="宋体" w:cs="宋体"/>
                <w:b/>
                <w:bCs/>
                <w:snapToGrid w:val="0"/>
                <w:color w:val="auto"/>
                <w:kern w:val="28"/>
                <w:sz w:val="24"/>
                <w:highlight w:val="none"/>
              </w:rPr>
              <w:t xml:space="preserve">√ </w:t>
            </w:r>
            <w:r>
              <w:rPr>
                <w:rFonts w:hint="eastAsia" w:ascii="宋体" w:hAnsi="宋体" w:cs="宋体"/>
                <w:color w:val="auto"/>
                <w:sz w:val="24"/>
                <w:highlight w:val="none"/>
              </w:rPr>
              <w:t>无</w:t>
            </w:r>
          </w:p>
        </w:tc>
      </w:tr>
      <w:tr w14:paraId="62320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23207FC">
            <w:pPr>
              <w:snapToGrid w:val="0"/>
              <w:spacing w:line="360" w:lineRule="auto"/>
              <w:jc w:val="center"/>
              <w:rPr>
                <w:rFonts w:ascii="宋体" w:hAnsi="宋体" w:cs="宋体"/>
                <w:color w:val="auto"/>
                <w:sz w:val="24"/>
                <w:highlight w:val="none"/>
              </w:rPr>
            </w:pPr>
          </w:p>
          <w:p w14:paraId="623207FD">
            <w:pPr>
              <w:snapToGrid w:val="0"/>
              <w:spacing w:line="360" w:lineRule="auto"/>
              <w:jc w:val="center"/>
              <w:rPr>
                <w:rFonts w:ascii="宋体" w:hAnsi="宋体" w:cs="宋体"/>
                <w:color w:val="auto"/>
                <w:sz w:val="24"/>
                <w:highlight w:val="none"/>
              </w:rPr>
            </w:pPr>
          </w:p>
          <w:p w14:paraId="623207FE">
            <w:pPr>
              <w:snapToGrid w:val="0"/>
              <w:spacing w:line="360" w:lineRule="auto"/>
              <w:jc w:val="center"/>
              <w:rPr>
                <w:rFonts w:ascii="宋体" w:hAnsi="宋体" w:cs="宋体"/>
                <w:color w:val="auto"/>
                <w:sz w:val="24"/>
                <w:highlight w:val="none"/>
              </w:rPr>
            </w:pPr>
          </w:p>
          <w:p w14:paraId="623207FF">
            <w:pPr>
              <w:snapToGrid w:val="0"/>
              <w:spacing w:line="360" w:lineRule="auto"/>
              <w:jc w:val="center"/>
              <w:rPr>
                <w:rFonts w:ascii="宋体" w:hAnsi="宋体" w:cs="宋体"/>
                <w:color w:val="auto"/>
                <w:sz w:val="24"/>
                <w:highlight w:val="none"/>
              </w:rPr>
            </w:pPr>
          </w:p>
          <w:p w14:paraId="62320800">
            <w:pPr>
              <w:snapToGrid w:val="0"/>
              <w:spacing w:line="360" w:lineRule="auto"/>
              <w:jc w:val="center"/>
              <w:rPr>
                <w:rFonts w:ascii="宋体" w:hAnsi="宋体" w:cs="宋体"/>
                <w:color w:val="auto"/>
                <w:sz w:val="24"/>
                <w:highlight w:val="none"/>
              </w:rPr>
            </w:pPr>
          </w:p>
          <w:p w14:paraId="623208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6232080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80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6232080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232080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232080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32080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2320808">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2320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6232080A">
            <w:pPr>
              <w:snapToGrid w:val="0"/>
              <w:spacing w:line="360" w:lineRule="auto"/>
              <w:jc w:val="center"/>
              <w:rPr>
                <w:rFonts w:ascii="宋体" w:hAnsi="宋体" w:cs="宋体"/>
                <w:color w:val="auto"/>
                <w:sz w:val="24"/>
                <w:highlight w:val="none"/>
              </w:rPr>
            </w:pPr>
          </w:p>
          <w:p w14:paraId="623208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473" w:type="dxa"/>
            <w:tcBorders>
              <w:top w:val="single" w:color="000000" w:sz="8" w:space="0"/>
              <w:left w:val="single" w:color="000000" w:sz="2" w:space="0"/>
              <w:right w:val="single" w:color="000000" w:sz="8" w:space="0"/>
            </w:tcBorders>
            <w:vAlign w:val="center"/>
          </w:tcPr>
          <w:p w14:paraId="623208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6232080D">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320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3208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623208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811">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杭州市西湖区文三路90号东部软件园1号楼3楼</w:t>
            </w:r>
            <w:bookmarkStart w:id="411" w:name="_GoBack"/>
            <w:bookmarkEnd w:id="411"/>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葛珍妮</w:t>
            </w:r>
            <w:r>
              <w:rPr>
                <w:rFonts w:hint="eastAsia" w:hAnsi="宋体" w:cs="宋体"/>
                <w:color w:val="auto"/>
                <w:sz w:val="24"/>
                <w:szCs w:val="24"/>
                <w:highlight w:val="none"/>
              </w:rPr>
              <w:t>，0571-81061804。</w:t>
            </w:r>
            <w:r>
              <w:rPr>
                <w:rFonts w:hint="eastAsia" w:hAnsi="宋体" w:cs="宋体"/>
                <w:b/>
                <w:color w:val="auto"/>
                <w:sz w:val="24"/>
                <w:szCs w:val="24"/>
                <w:highlight w:val="none"/>
              </w:rPr>
              <w:t>采购人、采购代理机构不强制或变相强制投标人提交备份投标文件。</w:t>
            </w:r>
          </w:p>
        </w:tc>
      </w:tr>
      <w:tr w14:paraId="62320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3208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62320814">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815">
            <w:pPr>
              <w:spacing w:line="360" w:lineRule="auto"/>
              <w:rPr>
                <w:rFonts w:ascii="宋体" w:hAnsi="宋体" w:cs="宋体"/>
                <w:bCs/>
                <w:color w:val="auto"/>
                <w:sz w:val="24"/>
                <w:highlight w:val="none"/>
              </w:rPr>
            </w:pPr>
            <w:r>
              <w:rPr>
                <w:rFonts w:hint="eastAsia" w:ascii="宋体" w:hAnsi="宋体" w:cs="宋体"/>
                <w:bCs/>
                <w:color w:val="auto"/>
                <w:sz w:val="24"/>
                <w:highlight w:val="none"/>
              </w:rPr>
              <w:t>（1）收取方式：本项目代理服务费由中标供应商在本项目合同签订前支付。</w:t>
            </w:r>
          </w:p>
          <w:p w14:paraId="62320816">
            <w:pPr>
              <w:spacing w:line="360" w:lineRule="auto"/>
              <w:rPr>
                <w:rFonts w:ascii="宋体" w:hAnsi="宋体" w:cs="宋体"/>
                <w:color w:val="auto"/>
                <w:sz w:val="24"/>
                <w:highlight w:val="none"/>
              </w:rPr>
            </w:pPr>
            <w:r>
              <w:rPr>
                <w:rFonts w:hint="eastAsia" w:ascii="宋体" w:hAnsi="宋体" w:cs="宋体"/>
                <w:bCs/>
                <w:color w:val="auto"/>
                <w:sz w:val="24"/>
                <w:highlight w:val="none"/>
              </w:rPr>
              <w:t>（2）收取标准</w:t>
            </w:r>
            <w:r>
              <w:rPr>
                <w:rFonts w:hint="eastAsia" w:ascii="宋体" w:hAnsi="宋体" w:cs="宋体"/>
                <w:color w:val="auto"/>
                <w:sz w:val="24"/>
                <w:highlight w:val="none"/>
              </w:rPr>
              <w:t>：本项目</w:t>
            </w:r>
            <w:r>
              <w:rPr>
                <w:rFonts w:hint="eastAsia" w:ascii="宋体" w:hAnsi="宋体" w:cs="宋体"/>
                <w:bCs/>
                <w:color w:val="auto"/>
                <w:sz w:val="24"/>
                <w:highlight w:val="none"/>
              </w:rPr>
              <w:t>代理服务</w:t>
            </w:r>
            <w:r>
              <w:rPr>
                <w:rFonts w:hint="eastAsia" w:ascii="宋体" w:hAnsi="宋体" w:cs="宋体"/>
                <w:color w:val="auto"/>
                <w:sz w:val="24"/>
                <w:highlight w:val="none"/>
              </w:rPr>
              <w:t>费用参照</w:t>
            </w:r>
            <w:r>
              <w:rPr>
                <w:rFonts w:hint="eastAsia" w:ascii="宋体" w:hAnsi="宋体" w:cs="宋体"/>
                <w:bCs/>
                <w:color w:val="auto"/>
                <w:sz w:val="24"/>
                <w:highlight w:val="none"/>
              </w:rPr>
              <w:t>《招标代理服务收费管理暂行办法》(</w:t>
            </w:r>
            <w:r>
              <w:rPr>
                <w:rFonts w:hint="eastAsia" w:ascii="宋体" w:hAnsi="宋体" w:cs="宋体"/>
                <w:color w:val="auto"/>
                <w:sz w:val="24"/>
                <w:highlight w:val="none"/>
              </w:rPr>
              <w:t>计价格〔2002〕1980号）的规定，以</w:t>
            </w:r>
            <w:r>
              <w:rPr>
                <w:rFonts w:hint="eastAsia" w:ascii="宋体" w:hAnsi="宋体" w:cs="宋体"/>
                <w:bCs/>
                <w:color w:val="auto"/>
                <w:sz w:val="24"/>
                <w:highlight w:val="none"/>
              </w:rPr>
              <w:t>中标</w:t>
            </w:r>
            <w:r>
              <w:rPr>
                <w:rFonts w:hint="eastAsia" w:ascii="宋体" w:hAnsi="宋体" w:cs="宋体"/>
                <w:color w:val="auto"/>
                <w:sz w:val="24"/>
                <w:highlight w:val="none"/>
              </w:rPr>
              <w:t>金额为计费基数，按分段按优惠后的费率差额定率计算（分段按优惠后的费率如下）：</w:t>
            </w:r>
          </w:p>
          <w:tbl>
            <w:tblPr>
              <w:tblStyle w:val="63"/>
              <w:tblW w:w="0" w:type="auto"/>
              <w:tblInd w:w="35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482"/>
              <w:gridCol w:w="3271"/>
            </w:tblGrid>
            <w:tr w14:paraId="62320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68" w:hRule="atLeast"/>
              </w:trPr>
              <w:tc>
                <w:tcPr>
                  <w:tcW w:w="2482" w:type="dxa"/>
                  <w:vMerge w:val="restart"/>
                  <w:tcMar>
                    <w:top w:w="0" w:type="dxa"/>
                    <w:left w:w="108" w:type="dxa"/>
                    <w:bottom w:w="0" w:type="dxa"/>
                    <w:right w:w="108" w:type="dxa"/>
                  </w:tcMar>
                  <w:vAlign w:val="center"/>
                </w:tcPr>
                <w:p w14:paraId="62320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3271" w:type="dxa"/>
                  <w:vMerge w:val="restart"/>
                  <w:vAlign w:val="center"/>
                </w:tcPr>
                <w:p w14:paraId="6232081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本协议约定的优惠后的费率</w:t>
                  </w:r>
                </w:p>
              </w:tc>
            </w:tr>
            <w:tr w14:paraId="623208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7" w:hRule="atLeast"/>
              </w:trPr>
              <w:tc>
                <w:tcPr>
                  <w:tcW w:w="2482" w:type="dxa"/>
                  <w:vMerge w:val="continue"/>
                  <w:vAlign w:val="center"/>
                </w:tcPr>
                <w:p w14:paraId="6232081A">
                  <w:pPr>
                    <w:spacing w:line="360" w:lineRule="auto"/>
                    <w:jc w:val="center"/>
                    <w:rPr>
                      <w:rFonts w:ascii="宋体" w:hAnsi="宋体" w:cs="宋体"/>
                      <w:color w:val="auto"/>
                      <w:sz w:val="24"/>
                      <w:highlight w:val="none"/>
                    </w:rPr>
                  </w:pPr>
                </w:p>
              </w:tc>
              <w:tc>
                <w:tcPr>
                  <w:tcW w:w="3271" w:type="dxa"/>
                  <w:vMerge w:val="continue"/>
                  <w:vAlign w:val="center"/>
                </w:tcPr>
                <w:p w14:paraId="6232081B">
                  <w:pPr>
                    <w:spacing w:line="360" w:lineRule="auto"/>
                    <w:jc w:val="center"/>
                    <w:rPr>
                      <w:rFonts w:ascii="宋体" w:hAnsi="宋体" w:cs="宋体"/>
                      <w:color w:val="auto"/>
                      <w:sz w:val="24"/>
                      <w:highlight w:val="none"/>
                    </w:rPr>
                  </w:pPr>
                </w:p>
              </w:tc>
            </w:tr>
            <w:tr w14:paraId="62320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23208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3271" w:type="dxa"/>
                  <w:vAlign w:val="center"/>
                </w:tcPr>
                <w:p w14:paraId="623208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按标准费率计取</w:t>
                  </w:r>
                </w:p>
              </w:tc>
            </w:tr>
            <w:tr w14:paraId="623208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23208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100（含）-500</w:t>
                  </w:r>
                </w:p>
              </w:tc>
              <w:tc>
                <w:tcPr>
                  <w:tcW w:w="3271" w:type="dxa"/>
                  <w:vAlign w:val="center"/>
                </w:tcPr>
                <w:p w14:paraId="623208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按标准费率的90%计取</w:t>
                  </w:r>
                </w:p>
              </w:tc>
            </w:tr>
            <w:tr w14:paraId="62320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23208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500（含）-1000</w:t>
                  </w:r>
                </w:p>
              </w:tc>
              <w:tc>
                <w:tcPr>
                  <w:tcW w:w="3271" w:type="dxa"/>
                  <w:vAlign w:val="center"/>
                </w:tcPr>
                <w:p w14:paraId="623208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按标准费率的85%折计取</w:t>
                  </w:r>
                </w:p>
              </w:tc>
            </w:tr>
            <w:tr w14:paraId="623208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2482" w:type="dxa"/>
                  <w:tcMar>
                    <w:top w:w="0" w:type="dxa"/>
                    <w:left w:w="108" w:type="dxa"/>
                    <w:bottom w:w="0" w:type="dxa"/>
                    <w:right w:w="108" w:type="dxa"/>
                  </w:tcMar>
                  <w:vAlign w:val="center"/>
                </w:tcPr>
                <w:p w14:paraId="623208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1000（含）以上</w:t>
                  </w:r>
                </w:p>
              </w:tc>
              <w:tc>
                <w:tcPr>
                  <w:tcW w:w="3271" w:type="dxa"/>
                  <w:vAlign w:val="center"/>
                </w:tcPr>
                <w:p w14:paraId="623208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按标准费率的80%计取</w:t>
                  </w:r>
                </w:p>
              </w:tc>
            </w:tr>
          </w:tbl>
          <w:p w14:paraId="62320829">
            <w:pPr>
              <w:spacing w:line="360" w:lineRule="auto"/>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代理服务费其他约定：单个项目按以上约定的优惠收费标准计算代理服务费不足人民币5000元时，按人民币5000元计取。</w:t>
            </w:r>
          </w:p>
          <w:p w14:paraId="6232082A">
            <w:pPr>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代理服务费支付：</w:t>
            </w:r>
          </w:p>
          <w:p w14:paraId="623208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 代理服务费缴纳形式：汇票/支票/电汇/现金</w:t>
            </w:r>
          </w:p>
          <w:p w14:paraId="623208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 代理服务费汇入以下账户 ：</w:t>
            </w:r>
          </w:p>
          <w:p w14:paraId="6232082D">
            <w:pPr>
              <w:pStyle w:val="3"/>
              <w:spacing w:line="360" w:lineRule="auto"/>
              <w:rPr>
                <w:rFonts w:cs="宋体"/>
                <w:color w:val="auto"/>
                <w:highlight w:val="none"/>
              </w:rPr>
            </w:pPr>
            <w:r>
              <w:rPr>
                <w:rFonts w:hint="eastAsia" w:cs="宋体"/>
                <w:color w:val="auto"/>
                <w:highlight w:val="none"/>
              </w:rPr>
              <w:t>收款单位（户名）：浙江国际招投标有限公司</w:t>
            </w:r>
          </w:p>
          <w:p w14:paraId="6232082E">
            <w:pPr>
              <w:pStyle w:val="3"/>
              <w:spacing w:line="360" w:lineRule="auto"/>
              <w:rPr>
                <w:rFonts w:cs="宋体"/>
                <w:color w:val="auto"/>
                <w:highlight w:val="none"/>
              </w:rPr>
            </w:pPr>
            <w:r>
              <w:rPr>
                <w:rFonts w:hint="eastAsia" w:cs="宋体"/>
                <w:color w:val="auto"/>
                <w:highlight w:val="none"/>
              </w:rPr>
              <w:t>开  户：中国工商银行杭州市武林支行</w:t>
            </w:r>
          </w:p>
          <w:p w14:paraId="6232082F">
            <w:pPr>
              <w:pStyle w:val="3"/>
              <w:spacing w:line="360" w:lineRule="auto"/>
              <w:rPr>
                <w:rFonts w:cs="宋体"/>
                <w:color w:val="auto"/>
                <w:highlight w:val="none"/>
              </w:rPr>
            </w:pPr>
            <w:r>
              <w:rPr>
                <w:rFonts w:hint="eastAsia" w:cs="宋体"/>
                <w:color w:val="auto"/>
                <w:highlight w:val="none"/>
              </w:rPr>
              <w:t>账  号：1202021209906782015</w:t>
            </w:r>
          </w:p>
          <w:p w14:paraId="62320830">
            <w:pPr>
              <w:pStyle w:val="3"/>
              <w:spacing w:line="360" w:lineRule="auto"/>
              <w:ind w:firstLine="0" w:firstLineChars="0"/>
              <w:rPr>
                <w:rFonts w:cs="宋体"/>
                <w:color w:val="auto"/>
                <w:kern w:val="28"/>
                <w:highlight w:val="none"/>
              </w:rPr>
            </w:pPr>
            <w:r>
              <w:rPr>
                <w:rFonts w:hint="eastAsia" w:cs="宋体"/>
                <w:bCs/>
                <w:color w:val="auto"/>
                <w:highlight w:val="none"/>
              </w:rPr>
              <w:t>（5）</w:t>
            </w:r>
            <w:r>
              <w:rPr>
                <w:rFonts w:hint="eastAsia" w:cs="宋体"/>
                <w:color w:val="auto"/>
                <w:highlight w:val="none"/>
              </w:rPr>
              <w:t>收取流程：中标供应商按照中标结果公告确定金额支付后将汇款底单、开票信息和发票邮寄地址发送至zq017@163.com，采购代理机构在收到邮件后开具发票并及时给中标供应商。</w:t>
            </w:r>
          </w:p>
        </w:tc>
      </w:tr>
      <w:tr w14:paraId="62320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23208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473" w:type="dxa"/>
            <w:vMerge w:val="restart"/>
            <w:tcBorders>
              <w:top w:val="single" w:color="000000" w:sz="8" w:space="0"/>
              <w:left w:val="single" w:color="000000" w:sz="2" w:space="0"/>
              <w:right w:val="single" w:color="000000" w:sz="8" w:space="0"/>
            </w:tcBorders>
            <w:vAlign w:val="center"/>
          </w:tcPr>
          <w:p w14:paraId="623208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62320834">
            <w:pPr>
              <w:pStyle w:val="35"/>
              <w:snapToGrid w:val="0"/>
              <w:spacing w:line="360" w:lineRule="auto"/>
              <w:rPr>
                <w:rFonts w:hAnsi="宋体" w:cs="宋体"/>
                <w:b/>
                <w:bCs/>
                <w:color w:val="auto"/>
                <w:kern w:val="28"/>
                <w:sz w:val="24"/>
                <w:szCs w:val="24"/>
                <w:highlight w:val="none"/>
              </w:rPr>
            </w:pPr>
            <w:r>
              <w:rPr>
                <w:rFonts w:hint="eastAsia" w:hAnsi="宋体" w:cs="宋体"/>
                <w:b/>
                <w:bCs/>
                <w:color w:val="auto"/>
                <w:kern w:val="28"/>
                <w:sz w:val="24"/>
                <w:szCs w:val="24"/>
                <w:highlight w:val="none"/>
              </w:rPr>
              <w:t>业绩证明材料</w:t>
            </w:r>
          </w:p>
          <w:p w14:paraId="62320835">
            <w:pPr>
              <w:pStyle w:val="35"/>
              <w:snapToGrid w:val="0"/>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w:t>
            </w:r>
            <w:r>
              <w:rPr>
                <w:rFonts w:hint="eastAsia" w:hAnsi="宋体" w:cs="宋体"/>
                <w:b/>
                <w:bCs/>
                <w:color w:val="auto"/>
                <w:sz w:val="24"/>
                <w:szCs w:val="24"/>
                <w:highlight w:val="none"/>
              </w:rPr>
              <w:t xml:space="preserve"> </w:t>
            </w:r>
            <w:r>
              <w:rPr>
                <w:rFonts w:hint="eastAsia" w:hAnsi="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62320836">
            <w:pPr>
              <w:pStyle w:val="35"/>
              <w:snapToGrid w:val="0"/>
              <w:spacing w:line="360" w:lineRule="auto"/>
              <w:rPr>
                <w:rFonts w:hAnsi="宋体" w:cs="宋体"/>
                <w:b/>
                <w:bCs/>
                <w:color w:val="auto"/>
                <w:kern w:val="28"/>
                <w:sz w:val="24"/>
                <w:szCs w:val="24"/>
                <w:highlight w:val="none"/>
              </w:rPr>
            </w:pPr>
            <w:r>
              <w:rPr>
                <w:rFonts w:hint="eastAsia" w:hAnsi="宋体" w:cs="宋体"/>
                <w:b/>
                <w:bCs/>
                <w:color w:val="auto"/>
                <w:sz w:val="24"/>
                <w:szCs w:val="24"/>
                <w:highlight w:val="none"/>
              </w:rPr>
              <w:t xml:space="preserve">√ </w:t>
            </w:r>
            <w:r>
              <w:rPr>
                <w:rFonts w:hint="eastAsia" w:hAnsi="宋体" w:cs="宋体"/>
                <w:b/>
                <w:bCs/>
                <w:color w:val="auto"/>
                <w:kern w:val="28"/>
                <w:sz w:val="24"/>
                <w:szCs w:val="24"/>
                <w:highlight w:val="none"/>
              </w:rPr>
              <w:t>联合体投标的，由联合体牵头方出具相应的业绩证明材料。</w:t>
            </w:r>
          </w:p>
          <w:p w14:paraId="62320837">
            <w:pPr>
              <w:spacing w:line="360" w:lineRule="auto"/>
              <w:rPr>
                <w:rFonts w:ascii="宋体" w:hAnsi="宋体" w:cs="宋体"/>
                <w:snapToGrid w:val="0"/>
                <w:color w:val="auto"/>
                <w:kern w:val="28"/>
                <w:sz w:val="24"/>
                <w:highlight w:val="none"/>
              </w:rPr>
            </w:pPr>
            <w:r>
              <w:rPr>
                <w:rFonts w:hint="eastAsia" w:ascii="宋体" w:hAnsi="宋体" w:cs="宋体"/>
                <w:color w:val="auto"/>
                <w:kern w:val="28"/>
                <w:sz w:val="24"/>
                <w:highlight w:val="none"/>
              </w:rPr>
              <w:t>☐ 其他规定：/</w:t>
            </w:r>
          </w:p>
        </w:tc>
      </w:tr>
      <w:tr w14:paraId="62320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2320839">
            <w:pPr>
              <w:snapToGrid w:val="0"/>
              <w:spacing w:line="360" w:lineRule="auto"/>
              <w:jc w:val="center"/>
              <w:rPr>
                <w:rFonts w:ascii="宋体" w:hAnsi="宋体" w:cs="宋体"/>
                <w:color w:val="auto"/>
                <w:sz w:val="24"/>
                <w:highlight w:val="none"/>
              </w:rPr>
            </w:pPr>
          </w:p>
        </w:tc>
        <w:tc>
          <w:tcPr>
            <w:tcW w:w="1473" w:type="dxa"/>
            <w:vMerge w:val="continue"/>
            <w:tcBorders>
              <w:left w:val="single" w:color="000000" w:sz="2" w:space="0"/>
              <w:right w:val="single" w:color="000000" w:sz="8" w:space="0"/>
            </w:tcBorders>
            <w:vAlign w:val="center"/>
          </w:tcPr>
          <w:p w14:paraId="6232083A">
            <w:pPr>
              <w:snapToGrid w:val="0"/>
              <w:spacing w:line="360" w:lineRule="auto"/>
              <w:jc w:val="center"/>
              <w:rPr>
                <w:rFonts w:ascii="宋体" w:hAnsi="宋体" w:cs="宋体"/>
                <w:b/>
                <w:color w:val="auto"/>
                <w:sz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6232083B">
            <w:pPr>
              <w:spacing w:line="360" w:lineRule="auto"/>
              <w:rPr>
                <w:rFonts w:ascii="宋体" w:hAnsi="宋体" w:cs="宋体"/>
                <w:b/>
                <w:bCs/>
                <w:color w:val="auto"/>
                <w:kern w:val="28"/>
                <w:sz w:val="24"/>
                <w:highlight w:val="none"/>
              </w:rPr>
            </w:pPr>
            <w:r>
              <w:rPr>
                <w:rFonts w:hint="eastAsia" w:ascii="宋体" w:hAnsi="宋体" w:cs="宋体"/>
                <w:b/>
                <w:bCs/>
                <w:color w:val="auto"/>
                <w:kern w:val="28"/>
                <w:sz w:val="24"/>
                <w:highlight w:val="none"/>
              </w:rPr>
              <w:t xml:space="preserve">其他资信证明材料 </w:t>
            </w:r>
          </w:p>
          <w:p w14:paraId="6232083C">
            <w:pPr>
              <w:spacing w:line="360" w:lineRule="auto"/>
              <w:rPr>
                <w:rFonts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 联合体投标的，联合体各方均需按招标文件第四部分评标标准要求提供资信证明文件，否则视为不符合相关要求。</w:t>
            </w:r>
          </w:p>
          <w:p w14:paraId="6232083D">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554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2320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6232083F">
            <w:pPr>
              <w:snapToGrid w:val="0"/>
              <w:spacing w:line="360" w:lineRule="auto"/>
              <w:jc w:val="center"/>
              <w:rPr>
                <w:rFonts w:ascii="宋体" w:hAnsi="宋体" w:cs="宋体"/>
                <w:color w:val="auto"/>
                <w:sz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62320840">
            <w:pPr>
              <w:snapToGrid w:val="0"/>
              <w:spacing w:line="360" w:lineRule="auto"/>
              <w:jc w:val="center"/>
              <w:rPr>
                <w:rFonts w:ascii="宋体" w:hAnsi="宋体" w:cs="宋体"/>
                <w:b/>
                <w:color w:val="auto"/>
                <w:sz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62320841">
            <w:pPr>
              <w:spacing w:line="360" w:lineRule="auto"/>
              <w:rPr>
                <w:rFonts w:ascii="宋体" w:hAnsi="宋体" w:cs="宋体"/>
                <w:snapToGrid w:val="0"/>
                <w:color w:val="auto"/>
                <w:kern w:val="28"/>
                <w:sz w:val="24"/>
                <w:highlight w:val="none"/>
              </w:rPr>
            </w:pPr>
            <w:r>
              <w:rPr>
                <w:rFonts w:hint="eastAsia" w:ascii="宋体" w:hAnsi="宋体" w:cs="宋体"/>
                <w:b/>
                <w:bCs/>
                <w:color w:val="auto"/>
                <w:kern w:val="0"/>
                <w:sz w:val="24"/>
                <w:highlight w:val="none"/>
                <w:lang w:val="en"/>
              </w:rPr>
              <w:t>本项目推荐的中标候选人数量：</w:t>
            </w:r>
            <w:r>
              <w:rPr>
                <w:rFonts w:hint="eastAsia" w:ascii="宋体" w:hAnsi="宋体" w:cs="宋体"/>
                <w:b/>
                <w:bCs/>
                <w:color w:val="auto"/>
                <w:kern w:val="0"/>
                <w:sz w:val="24"/>
                <w:highlight w:val="none"/>
                <w:u w:val="single"/>
              </w:rPr>
              <w:t xml:space="preserve"> 1家  </w:t>
            </w:r>
            <w:r>
              <w:rPr>
                <w:rFonts w:hint="eastAsia" w:ascii="宋体" w:hAnsi="宋体" w:cs="宋体"/>
                <w:b/>
                <w:bCs/>
                <w:color w:val="auto"/>
                <w:kern w:val="0"/>
                <w:sz w:val="24"/>
                <w:highlight w:val="none"/>
                <w:lang w:val="en"/>
              </w:rPr>
              <w:t>。</w:t>
            </w:r>
          </w:p>
        </w:tc>
      </w:tr>
    </w:tbl>
    <w:p w14:paraId="62320843">
      <w:pPr>
        <w:snapToGrid w:val="0"/>
        <w:spacing w:line="360" w:lineRule="auto"/>
        <w:jc w:val="center"/>
        <w:rPr>
          <w:rFonts w:ascii="宋体" w:hAnsi="宋体" w:cs="宋体"/>
          <w:b/>
          <w:color w:val="auto"/>
          <w:sz w:val="32"/>
          <w:szCs w:val="20"/>
          <w:highlight w:val="none"/>
        </w:rPr>
      </w:pPr>
    </w:p>
    <w:bookmarkEnd w:id="9"/>
    <w:p w14:paraId="62320844">
      <w:pPr>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br w:type="page"/>
      </w:r>
    </w:p>
    <w:p w14:paraId="6232084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232084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232084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232084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3208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23208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2320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62320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3208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2320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23208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23208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232085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23208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232085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320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23208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320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23208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23208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3208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32085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32085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3208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3208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3208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3208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3208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23208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320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2320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2320864">
      <w:pPr>
        <w:pStyle w:val="6"/>
        <w:adjustRightInd w:val="0"/>
        <w:ind w:left="0" w:firstLine="480" w:firstLineChars="20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3.4.3 采购人应当贯彻落实知识产权保护相关法律法规，应当采购使用正版软件。</w:t>
      </w:r>
    </w:p>
    <w:p w14:paraId="623208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232086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623208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3208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232086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32086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232086B">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232086C">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32086D">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32086E">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232086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2320870">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2320871">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62320872">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2320873">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2320874">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2320875">
      <w:pPr>
        <w:pStyle w:val="35"/>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2320876">
      <w:pPr>
        <w:pStyle w:val="89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232087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32087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232087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232087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23208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232087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3208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232087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232087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2320880">
      <w:pPr>
        <w:pStyle w:val="890"/>
        <w:shd w:val="clear" w:color="auto" w:fill="FFFFFF"/>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4.5 补偿救济</w:t>
      </w:r>
    </w:p>
    <w:p w14:paraId="62320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采购人（行政机关）因政策变化、规划调整而不履行政府采购合同的，供应商可向采购人（行政机关）提起补偿申请。</w:t>
      </w:r>
    </w:p>
    <w:p w14:paraId="62320882">
      <w:pPr>
        <w:pStyle w:val="89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投诉书范本及制作说明详见附件3。</w:t>
      </w:r>
    </w:p>
    <w:p w14:paraId="62320883">
      <w:pPr>
        <w:pStyle w:val="138"/>
        <w:snapToGrid w:val="0"/>
        <w:spacing w:before="0"/>
        <w:ind w:firstLine="360"/>
        <w:rPr>
          <w:rFonts w:ascii="宋体" w:hAnsi="宋体" w:cs="宋体"/>
          <w:color w:val="auto"/>
          <w:sz w:val="18"/>
          <w:szCs w:val="18"/>
          <w:highlight w:val="none"/>
        </w:rPr>
      </w:pPr>
    </w:p>
    <w:p w14:paraId="6232088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232088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32088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232088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232088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232088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232088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32088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232088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23208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32088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232088F">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2320890">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320891">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32089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32089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232089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232089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232089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2320897">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2320898">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232089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232089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232089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32089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623208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23208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623208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：中小企业声明函（服务）</w:t>
      </w:r>
      <w:r>
        <w:rPr>
          <w:rFonts w:hint="eastAsia" w:ascii="宋体" w:hAnsi="宋体" w:cs="宋体"/>
          <w:color w:val="auto"/>
          <w:sz w:val="24"/>
          <w:highlight w:val="none"/>
        </w:rPr>
        <w:t>；</w:t>
      </w:r>
    </w:p>
    <w:p w14:paraId="623208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：无</w:t>
      </w:r>
      <w:r>
        <w:rPr>
          <w:rFonts w:hint="eastAsia" w:ascii="宋体" w:hAnsi="宋体" w:cs="宋体"/>
          <w:color w:val="auto"/>
          <w:sz w:val="24"/>
          <w:highlight w:val="none"/>
        </w:rPr>
        <w:t>；</w:t>
      </w:r>
    </w:p>
    <w:p w14:paraId="623208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11.1.5分包意向协议</w:t>
      </w:r>
      <w:r>
        <w:rPr>
          <w:rFonts w:hint="eastAsia" w:ascii="宋体" w:hAnsi="宋体" w:cs="宋体"/>
          <w:snapToGrid w:val="0"/>
          <w:color w:val="auto"/>
          <w:kern w:val="28"/>
          <w:sz w:val="24"/>
          <w:szCs w:val="20"/>
          <w:highlight w:val="none"/>
        </w:rPr>
        <w:t>（如果有）。</w:t>
      </w:r>
    </w:p>
    <w:p w14:paraId="623208A2">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23208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23208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23208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623208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11.2.4评标标准相应的商务技术资料；</w:t>
      </w:r>
    </w:p>
    <w:p w14:paraId="623208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11.2.5投标标的清单；</w:t>
      </w:r>
    </w:p>
    <w:p w14:paraId="623208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623208A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623208AA">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62320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23208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3208A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23208A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23208AF">
      <w:pPr>
        <w:spacing w:line="360" w:lineRule="auto"/>
        <w:ind w:firstLine="720" w:firstLineChars="300"/>
        <w:rPr>
          <w:rFonts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w:t>
      </w:r>
    </w:p>
    <w:p w14:paraId="623208B0">
      <w:pPr>
        <w:pStyle w:val="13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23208B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3208B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3208B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3208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23208B5">
      <w:pPr>
        <w:pStyle w:val="13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23208B6">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3208B7">
      <w:pPr>
        <w:pStyle w:val="13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3208B8">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23208B9">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3208BA">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3208BB">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23208B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23208BD">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23208BE">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3208B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23208C0">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23208C1">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23208C2">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3208C3">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623208C4">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23208C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23208C6">
      <w:pPr>
        <w:pStyle w:val="13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23208C7">
      <w:pPr>
        <w:pStyle w:val="13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23208C8">
      <w:pPr>
        <w:pStyle w:val="13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23208C9">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23208CA">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23208CB">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3208CC">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23208CD">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623208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23208CF">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23208D0">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23208D1">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23208D2">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20.信用信息查询</w:t>
      </w:r>
    </w:p>
    <w:p w14:paraId="623208D3">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23208D4">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3208D5">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23208D6">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23208D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3208D8">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详见招标文件第四部分评标办法0。</w:t>
      </w:r>
    </w:p>
    <w:p w14:paraId="623208D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23208DA">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23208DB">
      <w:pPr>
        <w:pStyle w:val="13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22.1采购代理机构应当在评审结束后2个工作日内将评审报告送采购人确认。</w:t>
      </w:r>
    </w:p>
    <w:p w14:paraId="623208DC">
      <w:pPr>
        <w:pStyle w:val="13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22.2采购人应当在收到评审报告后5个工作日内，从评审报告提出的中标或者成交候选供应商中，按照排序由高到低的原则确定1名中标或者成交供应商，也可以书面授权评标委员会直接确定中标或者成交供应商。采购人逾期未确定中标或者成交供应商且不提出异议的，视为确定评审报告提出的排序第一的中标或者成交候选供应商为中标或者成交供应商。</w:t>
      </w:r>
    </w:p>
    <w:p w14:paraId="623208DD">
      <w:pPr>
        <w:pStyle w:val="13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23208D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23208D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中标公告期限以及评审专家名单、评分汇总及明细等。</w:t>
      </w:r>
    </w:p>
    <w:p w14:paraId="623208E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3208E1">
      <w:pPr>
        <w:pStyle w:val="138"/>
        <w:snapToGrid w:val="0"/>
        <w:spacing w:before="0"/>
        <w:ind w:firstLine="482"/>
        <w:rPr>
          <w:rStyle w:val="79"/>
          <w:rFonts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623208E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23208E3">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23208E4">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23208E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w:t>
      </w:r>
      <w:r>
        <w:rPr>
          <w:rFonts w:hint="eastAsia" w:ascii="宋体" w:hAnsi="宋体" w:cs="宋体"/>
          <w:color w:val="auto"/>
          <w:highlight w:val="none"/>
        </w:rPr>
        <w:t>供应商</w:t>
      </w:r>
      <w:r>
        <w:rPr>
          <w:rFonts w:hint="eastAsia" w:ascii="宋体" w:hAnsi="宋体" w:cs="宋体"/>
          <w:color w:val="auto"/>
          <w:kern w:val="0"/>
          <w:sz w:val="24"/>
          <w:highlight w:val="none"/>
        </w:rPr>
        <w:t>应当通过电子交易平台在中标通知书发出之日起30日内，按照招标文件确定的事项签订政府采购合同，并在签订之日起2个工作日内将政府采购合同在浙江政府采购网上公告。</w:t>
      </w:r>
    </w:p>
    <w:p w14:paraId="623208E6">
      <w:pPr>
        <w:pStyle w:val="13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w:t>
      </w:r>
      <w:r>
        <w:rPr>
          <w:rFonts w:hint="eastAsia" w:ascii="宋体" w:hAnsi="宋体" w:cs="宋体"/>
          <w:color w:val="auto"/>
          <w:highlight w:val="none"/>
        </w:rPr>
        <w:t>供应商</w:t>
      </w:r>
      <w:r>
        <w:rPr>
          <w:rFonts w:hint="eastAsia" w:ascii="宋体" w:hAnsi="宋体" w:cs="宋体"/>
          <w:color w:val="auto"/>
          <w:kern w:val="0"/>
          <w:highlight w:val="none"/>
          <w:lang w:val="zh-CN"/>
        </w:rPr>
        <w:t>按规定的日期、时间、地点，由法定代表人或其授权代表与采购人代表签订合同。如中标</w:t>
      </w:r>
      <w:r>
        <w:rPr>
          <w:rFonts w:hint="eastAsia" w:ascii="宋体" w:hAnsi="宋体" w:cs="宋体"/>
          <w:color w:val="auto"/>
          <w:highlight w:val="none"/>
        </w:rPr>
        <w:t>供应商</w:t>
      </w:r>
      <w:r>
        <w:rPr>
          <w:rFonts w:hint="eastAsia" w:ascii="宋体" w:hAnsi="宋体" w:cs="宋体"/>
          <w:color w:val="auto"/>
          <w:kern w:val="0"/>
          <w:highlight w:val="none"/>
          <w:lang w:val="zh-CN"/>
        </w:rPr>
        <w:t>为联合体的，由联合体成员各方法定代表人或其授权代表与采购人代表签订合同。</w:t>
      </w:r>
    </w:p>
    <w:p w14:paraId="623208E7">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25.3如签订合同并生效后，供应商无故拒绝或延期，除按照合同条款处理外，上报监督管理部门列入不良行为记录一次，并给予通报。</w:t>
      </w:r>
    </w:p>
    <w:p w14:paraId="623208E8">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25.4中标供应商拒绝与采购人签订合同的，采购人可以依法依规按照评审报告推荐的中标或者成交候选人名单排序，确定下一候选人为中标供应商，否则应当重新开展政府采购活动。</w:t>
      </w:r>
    </w:p>
    <w:p w14:paraId="623208E9">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623208E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23208EB">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23208EC">
      <w:pPr>
        <w:pStyle w:val="6"/>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623208ED">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23208E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3208EF">
      <w:pPr>
        <w:pStyle w:val="138"/>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23208F0">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23208F1">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23208F2">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23208F3">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23208F4">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23208F5">
      <w:pPr>
        <w:pStyle w:val="13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3208F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23208F7">
      <w:pPr>
        <w:pStyle w:val="3"/>
        <w:spacing w:line="360" w:lineRule="auto"/>
        <w:ind w:firstLine="0" w:firstLineChars="0"/>
        <w:rPr>
          <w:rFonts w:cs="宋体"/>
          <w:b/>
          <w:color w:val="auto"/>
          <w:highlight w:val="none"/>
        </w:rPr>
      </w:pPr>
      <w:r>
        <w:rPr>
          <w:rFonts w:hint="eastAsia" w:cs="宋体"/>
          <w:b/>
          <w:color w:val="auto"/>
          <w:highlight w:val="none"/>
        </w:rPr>
        <w:t>30.验收</w:t>
      </w:r>
    </w:p>
    <w:p w14:paraId="623208F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3208F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23208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3208F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3208FC">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23208FD">
      <w:pPr>
        <w:pStyle w:val="87"/>
        <w:rPr>
          <w:rFonts w:ascii="宋体" w:hAnsi="宋体" w:eastAsia="宋体" w:cs="宋体"/>
          <w:color w:val="auto"/>
          <w:highlight w:val="none"/>
        </w:rPr>
      </w:pPr>
    </w:p>
    <w:bookmarkEnd w:id="12"/>
    <w:p w14:paraId="7AA06CC9">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1100" w:right="1418" w:bottom="1458" w:left="1418" w:header="851" w:footer="352" w:gutter="0"/>
          <w:pgNumType w:start="1"/>
          <w:cols w:space="720" w:num="1"/>
          <w:docGrid w:linePitch="312" w:charSpace="0"/>
        </w:sectPr>
      </w:pPr>
      <w:bookmarkStart w:id="14" w:name="_Hlt74730295"/>
      <w:bookmarkEnd w:id="14"/>
      <w:bookmarkStart w:id="15" w:name="_Hlt68072998"/>
      <w:bookmarkEnd w:id="15"/>
      <w:bookmarkStart w:id="16" w:name="_Hlt74707468"/>
      <w:bookmarkEnd w:id="16"/>
      <w:bookmarkStart w:id="17" w:name="_Hlt75236101"/>
      <w:bookmarkEnd w:id="17"/>
      <w:bookmarkStart w:id="18" w:name="_Hlt74714665"/>
      <w:bookmarkEnd w:id="18"/>
      <w:bookmarkStart w:id="19" w:name="_Hlt74729768"/>
      <w:bookmarkEnd w:id="19"/>
      <w:bookmarkStart w:id="20" w:name="_Hlt68072990"/>
      <w:bookmarkEnd w:id="20"/>
      <w:bookmarkStart w:id="21" w:name="_Hlt68403820"/>
      <w:bookmarkEnd w:id="21"/>
      <w:bookmarkStart w:id="22" w:name="_Hlt68073093"/>
      <w:bookmarkEnd w:id="22"/>
      <w:bookmarkStart w:id="23" w:name="_Hlt75236011"/>
      <w:bookmarkEnd w:id="23"/>
      <w:bookmarkStart w:id="24" w:name="_Hlt68057669"/>
      <w:bookmarkEnd w:id="24"/>
      <w:bookmarkStart w:id="25" w:name="_Hlt75236290"/>
      <w:bookmarkEnd w:id="25"/>
    </w:p>
    <w:bookmarkEnd w:id="10"/>
    <w:bookmarkEnd w:id="11"/>
    <w:p w14:paraId="623208FF">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62320900">
      <w:pPr>
        <w:pStyle w:val="5"/>
        <w:numPr>
          <w:ilvl w:val="0"/>
          <w:numId w:val="2"/>
        </w:numPr>
        <w:tabs>
          <w:tab w:val="left" w:pos="0"/>
          <w:tab w:val="clear" w:pos="432"/>
        </w:tabs>
        <w:spacing w:line="360" w:lineRule="auto"/>
        <w:ind w:firstLine="420"/>
        <w:jc w:val="left"/>
        <w:rPr>
          <w:rFonts w:ascii="宋体" w:hAnsi="宋体" w:cs="宋体"/>
          <w:color w:val="auto"/>
          <w:sz w:val="24"/>
          <w:szCs w:val="24"/>
          <w:highlight w:val="none"/>
        </w:rPr>
      </w:pPr>
      <w:bookmarkStart w:id="27" w:name="_Toc23968"/>
      <w:bookmarkStart w:id="28" w:name="_Toc3754"/>
      <w:bookmarkStart w:id="29" w:name="_Toc7043"/>
      <w:r>
        <w:rPr>
          <w:rFonts w:ascii="宋体" w:hAnsi="宋体" w:cs="宋体"/>
          <w:color w:val="auto"/>
          <w:sz w:val="24"/>
          <w:szCs w:val="24"/>
          <w:highlight w:val="none"/>
        </w:rPr>
        <w:t>项目技术需求</w:t>
      </w:r>
      <w:bookmarkEnd w:id="27"/>
      <w:bookmarkEnd w:id="28"/>
      <w:bookmarkEnd w:id="29"/>
    </w:p>
    <w:p w14:paraId="62320901">
      <w:pPr>
        <w:pStyle w:val="5"/>
        <w:numPr>
          <w:ilvl w:val="0"/>
          <w:numId w:val="3"/>
        </w:numPr>
        <w:tabs>
          <w:tab w:val="left" w:pos="0"/>
          <w:tab w:val="clear" w:pos="432"/>
        </w:tabs>
        <w:spacing w:before="0" w:after="0" w:line="360" w:lineRule="auto"/>
        <w:ind w:left="0" w:firstLine="420" w:firstLineChars="175"/>
        <w:rPr>
          <w:rFonts w:ascii="宋体" w:hAnsi="宋体" w:cs="宋体"/>
          <w:b w:val="0"/>
          <w:color w:val="auto"/>
          <w:kern w:val="2"/>
          <w:sz w:val="24"/>
          <w:szCs w:val="24"/>
          <w:highlight w:val="none"/>
        </w:rPr>
      </w:pPr>
      <w:r>
        <w:rPr>
          <w:rFonts w:hint="eastAsia" w:ascii="宋体" w:hAnsi="宋体" w:cs="宋体"/>
          <w:b w:val="0"/>
          <w:color w:val="auto"/>
          <w:kern w:val="2"/>
          <w:sz w:val="24"/>
          <w:szCs w:val="24"/>
          <w:highlight w:val="none"/>
          <w:lang w:val="zh-CN"/>
        </w:rPr>
        <w:t>项目名称：浙江省</w:t>
      </w:r>
      <w:r>
        <w:rPr>
          <w:rFonts w:ascii="宋体" w:hAnsi="宋体" w:cs="宋体"/>
          <w:b w:val="0"/>
          <w:color w:val="auto"/>
          <w:kern w:val="2"/>
          <w:sz w:val="24"/>
          <w:szCs w:val="24"/>
          <w:highlight w:val="none"/>
          <w:lang w:val="zh-CN"/>
        </w:rPr>
        <w:t>法律服务领域应用迭代升级改造项目</w:t>
      </w:r>
      <w:r>
        <w:rPr>
          <w:rFonts w:hint="eastAsia" w:ascii="宋体" w:hAnsi="宋体" w:cs="宋体"/>
          <w:b w:val="0"/>
          <w:color w:val="auto"/>
          <w:kern w:val="2"/>
          <w:sz w:val="24"/>
          <w:szCs w:val="24"/>
          <w:highlight w:val="none"/>
          <w:lang w:val="zh-CN"/>
        </w:rPr>
        <w:t>—律师管理功能</w:t>
      </w:r>
    </w:p>
    <w:p w14:paraId="62320902">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项目预算：</w:t>
      </w:r>
      <w:r>
        <w:rPr>
          <w:rFonts w:hint="eastAsia" w:hAnsi="宋体" w:cs="宋体"/>
          <w:color w:val="auto"/>
          <w:szCs w:val="24"/>
          <w:highlight w:val="none"/>
          <w:lang w:val="en-US"/>
        </w:rPr>
        <w:t>127</w:t>
      </w:r>
      <w:r>
        <w:rPr>
          <w:rFonts w:hint="eastAsia" w:hAnsi="宋体" w:cs="宋体"/>
          <w:color w:val="auto"/>
          <w:szCs w:val="24"/>
          <w:highlight w:val="none"/>
        </w:rPr>
        <w:t>万元</w:t>
      </w:r>
    </w:p>
    <w:p w14:paraId="62320903">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实施地点：</w:t>
      </w:r>
      <w:r>
        <w:rPr>
          <w:rFonts w:hint="eastAsia" w:hAnsi="宋体" w:cs="宋体"/>
          <w:color w:val="auto"/>
          <w:szCs w:val="24"/>
          <w:highlight w:val="none"/>
          <w:lang w:val="en-US"/>
        </w:rPr>
        <w:t>采购人</w:t>
      </w:r>
      <w:r>
        <w:rPr>
          <w:rFonts w:hint="eastAsia" w:hAnsi="宋体" w:cs="宋体"/>
          <w:color w:val="auto"/>
          <w:szCs w:val="24"/>
          <w:highlight w:val="none"/>
        </w:rPr>
        <w:t>（</w:t>
      </w:r>
      <w:r>
        <w:rPr>
          <w:rFonts w:hint="eastAsia" w:hAnsi="宋体" w:cs="宋体"/>
          <w:color w:val="auto"/>
          <w:szCs w:val="24"/>
          <w:highlight w:val="none"/>
          <w:lang w:val="en-US"/>
        </w:rPr>
        <w:t>浙江省司法厅</w:t>
      </w:r>
      <w:r>
        <w:rPr>
          <w:rFonts w:hint="eastAsia" w:hAnsi="宋体" w:cs="宋体"/>
          <w:color w:val="auto"/>
          <w:szCs w:val="24"/>
          <w:highlight w:val="none"/>
        </w:rPr>
        <w:t>）及</w:t>
      </w:r>
      <w:r>
        <w:rPr>
          <w:rFonts w:hint="eastAsia" w:hAnsi="宋体" w:cs="宋体"/>
          <w:color w:val="auto"/>
          <w:szCs w:val="24"/>
          <w:highlight w:val="none"/>
          <w:lang w:val="en-US"/>
        </w:rPr>
        <w:t>采购人</w:t>
      </w:r>
      <w:r>
        <w:rPr>
          <w:rFonts w:hint="eastAsia" w:hAnsi="宋体" w:cs="宋体"/>
          <w:color w:val="auto"/>
          <w:szCs w:val="24"/>
          <w:highlight w:val="none"/>
        </w:rPr>
        <w:t>指定</w:t>
      </w:r>
    </w:p>
    <w:p w14:paraId="62320904">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项目实施：项目开发</w:t>
      </w:r>
      <w:r>
        <w:rPr>
          <w:rFonts w:hint="eastAsia" w:hAnsi="宋体" w:cs="宋体"/>
          <w:color w:val="auto"/>
          <w:szCs w:val="24"/>
          <w:highlight w:val="none"/>
          <w:lang w:val="en-US"/>
        </w:rPr>
        <w:t>工期</w:t>
      </w:r>
      <w:r>
        <w:rPr>
          <w:rFonts w:hint="eastAsia" w:hAnsi="宋体" w:cs="宋体"/>
          <w:color w:val="auto"/>
          <w:szCs w:val="24"/>
          <w:highlight w:val="none"/>
          <w:shd w:val="clear"/>
          <w:lang w:val="en-US"/>
        </w:rPr>
        <w:t>10个月</w:t>
      </w:r>
      <w:r>
        <w:rPr>
          <w:rFonts w:hint="eastAsia" w:hAnsi="宋体" w:cs="宋体"/>
          <w:color w:val="auto"/>
          <w:szCs w:val="24"/>
          <w:highlight w:val="none"/>
          <w:lang w:val="en-US"/>
        </w:rPr>
        <w:t>（不含试运行一年），</w:t>
      </w:r>
      <w:r>
        <w:rPr>
          <w:rFonts w:hint="eastAsia" w:hAnsi="宋体" w:cs="宋体"/>
          <w:color w:val="auto"/>
          <w:szCs w:val="24"/>
          <w:highlight w:val="none"/>
        </w:rPr>
        <w:t>自合同签订生效后，立刻开展需求调研工作，同时进行应用场景概要设计；合同签订之日起一个月内，完成应用场景概要设计方案；合同签订之日起</w:t>
      </w:r>
      <w:r>
        <w:rPr>
          <w:rFonts w:hint="eastAsia" w:hAnsi="宋体" w:cs="宋体"/>
          <w:color w:val="auto"/>
          <w:szCs w:val="24"/>
          <w:highlight w:val="none"/>
          <w:lang w:val="en-US"/>
        </w:rPr>
        <w:t>九</w:t>
      </w:r>
      <w:r>
        <w:rPr>
          <w:rFonts w:hint="eastAsia" w:hAnsi="宋体" w:cs="宋体"/>
          <w:color w:val="auto"/>
          <w:szCs w:val="24"/>
          <w:highlight w:val="none"/>
        </w:rPr>
        <w:t>个月内完成</w:t>
      </w:r>
      <w:r>
        <w:rPr>
          <w:rFonts w:hint="eastAsia" w:hAnsi="宋体" w:cs="宋体"/>
          <w:color w:val="auto"/>
          <w:szCs w:val="24"/>
          <w:highlight w:val="none"/>
          <w:lang w:val="en-US"/>
        </w:rPr>
        <w:t>软件</w:t>
      </w:r>
      <w:r>
        <w:rPr>
          <w:rFonts w:hint="eastAsia" w:hAnsi="宋体" w:cs="宋体"/>
          <w:color w:val="auto"/>
          <w:szCs w:val="24"/>
          <w:highlight w:val="none"/>
        </w:rPr>
        <w:t>开发；合同签订之日起</w:t>
      </w:r>
      <w:r>
        <w:rPr>
          <w:rFonts w:hint="eastAsia" w:hAnsi="宋体" w:cs="宋体"/>
          <w:color w:val="auto"/>
          <w:szCs w:val="24"/>
          <w:highlight w:val="none"/>
          <w:lang w:val="en-US"/>
        </w:rPr>
        <w:t>十</w:t>
      </w:r>
      <w:r>
        <w:rPr>
          <w:rFonts w:hint="eastAsia" w:hAnsi="宋体" w:cs="宋体"/>
          <w:color w:val="auto"/>
          <w:szCs w:val="24"/>
          <w:highlight w:val="none"/>
        </w:rPr>
        <w:t>个月内，满足项目</w:t>
      </w:r>
      <w:r>
        <w:rPr>
          <w:rFonts w:hint="eastAsia" w:hAnsi="宋体" w:cs="宋体"/>
          <w:color w:val="auto"/>
          <w:szCs w:val="24"/>
          <w:highlight w:val="none"/>
          <w:lang w:val="en-US"/>
        </w:rPr>
        <w:t>初验要求；初步验收通过后试运行一年，符合最终验收条件后组织终验</w:t>
      </w:r>
      <w:r>
        <w:rPr>
          <w:rFonts w:hint="eastAsia" w:hAnsi="宋体" w:cs="宋体"/>
          <w:color w:val="auto"/>
          <w:szCs w:val="24"/>
          <w:highlight w:val="none"/>
        </w:rPr>
        <w:t>。</w:t>
      </w:r>
    </w:p>
    <w:p w14:paraId="62320905">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维保要求：提供一年免费维保服务，自项目最终验收通过之日起开始计算。</w:t>
      </w:r>
    </w:p>
    <w:p w14:paraId="62320906">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验收方式</w:t>
      </w:r>
    </w:p>
    <w:p w14:paraId="62320907">
      <w:pPr>
        <w:pStyle w:val="25"/>
        <w:snapToGrid w:val="0"/>
        <w:ind w:firstLine="480" w:firstLineChars="200"/>
        <w:rPr>
          <w:rFonts w:hAnsi="宋体" w:cs="宋体"/>
          <w:color w:val="auto"/>
          <w:szCs w:val="24"/>
          <w:highlight w:val="none"/>
        </w:rPr>
      </w:pPr>
      <w:r>
        <w:rPr>
          <w:rFonts w:hint="eastAsia" w:hAnsi="宋体" w:cs="宋体"/>
          <w:color w:val="auto"/>
          <w:szCs w:val="24"/>
          <w:highlight w:val="none"/>
        </w:rPr>
        <w:t>初验：中标方完成全部系统建设任务，应对系统作出全面检查和对验收文件进行整理，列出清单并材料一并提交招标方。投入试运行前，由招标方组织对项目进行初步验收，通过初验后进行试运行一年。</w:t>
      </w:r>
    </w:p>
    <w:p w14:paraId="62320908">
      <w:pPr>
        <w:pStyle w:val="25"/>
        <w:snapToGrid w:val="0"/>
        <w:ind w:firstLine="480" w:firstLineChars="200"/>
        <w:rPr>
          <w:rFonts w:hAnsi="宋体" w:cs="宋体"/>
          <w:color w:val="auto"/>
          <w:szCs w:val="24"/>
          <w:highlight w:val="none"/>
        </w:rPr>
      </w:pPr>
      <w:r>
        <w:rPr>
          <w:rFonts w:hint="eastAsia" w:hAnsi="宋体" w:cs="宋体"/>
          <w:color w:val="auto"/>
          <w:szCs w:val="24"/>
          <w:highlight w:val="none"/>
        </w:rPr>
        <w:t>终验：试运行一年后，符合最终验收条件，由招标方组织对项目进行最终验收。招标方可依据招标文件上的技术要求、投标文件承诺的技术标准和国家有关质量标准，邀请专家进行验收。</w:t>
      </w:r>
    </w:p>
    <w:p w14:paraId="62320909">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验收和试运行中产生的费用由中标方承担，中标方配合验收，根据要求提交项目文档材料包括但不限于：前期招标文档、中标通知书、合同、实施方案、需求规格说明书、概要设计说明书、详细设计说明书、数据库设计说明书、编码规范、测试文档、验收文档、培训文档、安装部署手册、运行维护手册、应急响应手册、源代码、用户操作手册、试运行报告、项目总结报告等验收材料。</w:t>
      </w:r>
    </w:p>
    <w:p w14:paraId="6232090A">
      <w:pPr>
        <w:pStyle w:val="25"/>
        <w:numPr>
          <w:ilvl w:val="0"/>
          <w:numId w:val="3"/>
        </w:numPr>
        <w:snapToGrid w:val="0"/>
        <w:ind w:left="0" w:firstLine="420" w:firstLineChars="175"/>
        <w:rPr>
          <w:rFonts w:hAnsi="宋体" w:cs="宋体"/>
          <w:color w:val="auto"/>
          <w:szCs w:val="24"/>
          <w:highlight w:val="none"/>
        </w:rPr>
      </w:pPr>
      <w:r>
        <w:rPr>
          <w:rFonts w:hint="eastAsia" w:hAnsi="宋体" w:cs="宋体"/>
          <w:color w:val="auto"/>
          <w:szCs w:val="24"/>
          <w:highlight w:val="none"/>
        </w:rPr>
        <w:t>付款方式</w:t>
      </w:r>
    </w:p>
    <w:p w14:paraId="6232090B">
      <w:pPr>
        <w:adjustRightInd/>
        <w:spacing w:line="360" w:lineRule="auto"/>
        <w:ind w:firstLine="480" w:firstLineChars="200"/>
        <w:rPr>
          <w:rFonts w:hint="eastAsia" w:ascii="宋体" w:hAnsi="宋体" w:cs="宋体"/>
          <w:color w:val="auto"/>
          <w:sz w:val="24"/>
          <w:szCs w:val="24"/>
          <w:highlight w:val="none"/>
        </w:rPr>
      </w:pPr>
      <w:r>
        <w:rPr>
          <w:rFonts w:hint="default" w:ascii="宋体" w:hAnsi="宋体" w:cs="宋体"/>
          <w:color w:val="auto"/>
          <w:sz w:val="24"/>
          <w:szCs w:val="24"/>
          <w:highlight w:val="none"/>
          <w:lang w:val="en-US"/>
        </w:rPr>
        <w:t>第一期付款：合同签订后且具备项目实施条件（应用场景概要设计方案经招标方审查通过）后7个工作日内，支付合同金额40%的预付款项</w:t>
      </w:r>
      <w:r>
        <w:rPr>
          <w:rFonts w:hint="default" w:ascii="宋体" w:hAnsi="宋体" w:cs="宋体"/>
          <w:color w:val="auto"/>
          <w:sz w:val="24"/>
          <w:szCs w:val="24"/>
          <w:highlight w:val="none"/>
        </w:rPr>
        <w:t>。</w:t>
      </w:r>
    </w:p>
    <w:p w14:paraId="6232090C">
      <w:pPr>
        <w:adjustRightInd/>
        <w:spacing w:line="360" w:lineRule="auto"/>
        <w:ind w:firstLine="480" w:firstLineChars="200"/>
        <w:rPr>
          <w:rFonts w:hint="eastAsia" w:ascii="宋体" w:hAnsi="宋体" w:cs="宋体"/>
          <w:color w:val="auto"/>
          <w:sz w:val="24"/>
          <w:szCs w:val="24"/>
          <w:highlight w:val="none"/>
        </w:rPr>
      </w:pPr>
      <w:r>
        <w:rPr>
          <w:rFonts w:hint="default" w:ascii="宋体" w:hAnsi="宋体" w:cs="宋体"/>
          <w:color w:val="auto"/>
          <w:sz w:val="24"/>
          <w:szCs w:val="24"/>
          <w:highlight w:val="none"/>
        </w:rPr>
        <w:t>第二期付款：系统初验通过后</w:t>
      </w:r>
      <w:r>
        <w:rPr>
          <w:rFonts w:hint="default" w:ascii="宋体" w:hAnsi="宋体" w:cs="宋体"/>
          <w:color w:val="auto"/>
          <w:sz w:val="24"/>
          <w:szCs w:val="24"/>
          <w:highlight w:val="none"/>
          <w:lang w:val="en-US"/>
        </w:rPr>
        <w:t>7个工作日内</w:t>
      </w:r>
      <w:r>
        <w:rPr>
          <w:rFonts w:hint="default" w:ascii="宋体" w:hAnsi="宋体" w:cs="宋体"/>
          <w:color w:val="auto"/>
          <w:sz w:val="24"/>
          <w:szCs w:val="24"/>
          <w:highlight w:val="none"/>
        </w:rPr>
        <w:t>，支付合同金额</w:t>
      </w:r>
      <w:r>
        <w:rPr>
          <w:rFonts w:hint="default" w:ascii="宋体" w:hAnsi="宋体" w:cs="宋体"/>
          <w:color w:val="auto"/>
          <w:sz w:val="24"/>
          <w:szCs w:val="24"/>
          <w:highlight w:val="none"/>
          <w:lang w:val="en-US"/>
        </w:rPr>
        <w:t>40</w:t>
      </w:r>
      <w:r>
        <w:rPr>
          <w:rFonts w:hint="default" w:ascii="宋体" w:hAnsi="宋体" w:cs="宋体"/>
          <w:color w:val="auto"/>
          <w:sz w:val="24"/>
          <w:szCs w:val="24"/>
          <w:highlight w:val="none"/>
        </w:rPr>
        <w:t>%的款项。</w:t>
      </w:r>
    </w:p>
    <w:p w14:paraId="6232090D">
      <w:pPr>
        <w:adjustRightInd/>
        <w:spacing w:line="360" w:lineRule="auto"/>
        <w:ind w:firstLine="480" w:firstLineChars="200"/>
        <w:rPr>
          <w:rFonts w:hint="eastAsia" w:ascii="宋体" w:hAnsi="宋体" w:cs="宋体"/>
          <w:color w:val="auto"/>
          <w:sz w:val="24"/>
          <w:szCs w:val="24"/>
          <w:highlight w:val="none"/>
          <w:lang w:val="en-US"/>
        </w:rPr>
      </w:pPr>
      <w:r>
        <w:rPr>
          <w:rFonts w:hint="default" w:ascii="宋体" w:hAnsi="宋体" w:cs="宋体"/>
          <w:color w:val="auto"/>
          <w:sz w:val="24"/>
          <w:szCs w:val="24"/>
          <w:highlight w:val="none"/>
        </w:rPr>
        <w:t>第三期付款：系统终验通过后</w:t>
      </w:r>
      <w:r>
        <w:rPr>
          <w:rFonts w:hint="default" w:ascii="宋体" w:hAnsi="宋体" w:cs="宋体"/>
          <w:color w:val="auto"/>
          <w:sz w:val="24"/>
          <w:szCs w:val="24"/>
          <w:highlight w:val="none"/>
          <w:lang w:val="en-US"/>
        </w:rPr>
        <w:t>7个工作日内</w:t>
      </w:r>
      <w:r>
        <w:rPr>
          <w:rFonts w:hint="default" w:ascii="宋体" w:hAnsi="宋体" w:cs="宋体"/>
          <w:color w:val="auto"/>
          <w:sz w:val="24"/>
          <w:szCs w:val="24"/>
          <w:highlight w:val="none"/>
        </w:rPr>
        <w:t>，支付合同金额的</w:t>
      </w:r>
      <w:r>
        <w:rPr>
          <w:rFonts w:hint="default" w:ascii="宋体" w:hAnsi="宋体" w:cs="宋体"/>
          <w:color w:val="auto"/>
          <w:sz w:val="24"/>
          <w:szCs w:val="24"/>
          <w:highlight w:val="none"/>
          <w:lang w:val="en-US"/>
        </w:rPr>
        <w:t>20%款项。</w:t>
      </w:r>
    </w:p>
    <w:p w14:paraId="6232090E">
      <w:pPr>
        <w:pStyle w:val="6"/>
        <w:numPr>
          <w:ilvl w:val="1"/>
          <w:numId w:val="4"/>
        </w:numPr>
        <w:rPr>
          <w:rFonts w:ascii="宋体" w:hAnsi="宋体" w:eastAsia="宋体" w:cs="宋体"/>
          <w:color w:val="auto"/>
          <w:sz w:val="24"/>
          <w:szCs w:val="24"/>
          <w:highlight w:val="none"/>
          <w:u w:color="000000"/>
        </w:rPr>
      </w:pPr>
      <w:r>
        <w:rPr>
          <w:rFonts w:ascii="宋体" w:hAnsi="宋体" w:eastAsia="宋体" w:cs="宋体"/>
          <w:color w:val="auto"/>
          <w:sz w:val="24"/>
          <w:szCs w:val="24"/>
          <w:highlight w:val="none"/>
          <w:u w:color="000000"/>
        </w:rPr>
        <w:t>建设背景</w:t>
      </w:r>
    </w:p>
    <w:p w14:paraId="623209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律师法》、《法治中国建设规划（2020-2025年）》相关要求，为实现加强规范化建设，提升服务质效，提高社会满意度目标，需要在当前的浙江省律师在线系统基础上建设信用评价、公益服务、智慧党建、党政法顾、浙里办应用、浙政钉应用。</w:t>
      </w:r>
    </w:p>
    <w:p w14:paraId="62320910">
      <w:pPr>
        <w:pStyle w:val="6"/>
        <w:numPr>
          <w:ilvl w:val="1"/>
          <w:numId w:val="4"/>
        </w:numPr>
        <w:rPr>
          <w:rFonts w:ascii="宋体" w:hAnsi="宋体" w:eastAsia="宋体" w:cs="宋体"/>
          <w:color w:val="auto"/>
          <w:sz w:val="24"/>
          <w:szCs w:val="24"/>
          <w:highlight w:val="none"/>
          <w:u w:color="000000"/>
        </w:rPr>
      </w:pPr>
      <w:r>
        <w:rPr>
          <w:rFonts w:ascii="宋体" w:hAnsi="宋体" w:eastAsia="宋体" w:cs="宋体"/>
          <w:color w:val="auto"/>
          <w:sz w:val="24"/>
          <w:szCs w:val="24"/>
          <w:highlight w:val="none"/>
          <w:u w:color="000000"/>
        </w:rPr>
        <w:t>建设目标</w:t>
      </w:r>
    </w:p>
    <w:p w14:paraId="62320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司法行政系统信用、公益服务体系建设速度尚需加快，同时需要健全社会信用制度，深化诚信教育，强化行业监管，形成体系完整、责任明确、规范高效、监管有力的信用体系建设基本框架和运行机制，切实提高诚信意识和信用水平，进一步推动司法行政系统社会信用体系建设，为营造良好的法治环境。</w:t>
      </w:r>
    </w:p>
    <w:p w14:paraId="623209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具体的业务目标如下：</w:t>
      </w:r>
    </w:p>
    <w:p w14:paraId="62320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健全社会信用制度，深化诚信教育，强化行业监管，形成体系完整、责任明确、规范高效、监管有力的信用体系建设基本框架和运行机制，切实提高诚信意识和信用水平，进一步推动司法行政系统社会信用体系建设，为营造良好的法治环境。</w:t>
      </w:r>
    </w:p>
    <w:p w14:paraId="62320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具体技术目标为：</w:t>
      </w:r>
    </w:p>
    <w:p w14:paraId="62320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简化和规范多层分布式应用系统的开发和部署，显著地提高平台的可移植性、安全性、可伸缩性、负载平衡和可重用性。保留现存IT资产、高效开发、支持异构环境、可伸缩性以及稳定可用性等各方面因素。</w:t>
      </w:r>
    </w:p>
    <w:p w14:paraId="62320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软件稳定可用，平台响应速度简单页面5秒以内，复杂页面10秒以内。安全漏洞每月修复。兼容主流浏览器，简单问题响应在24小时以内，复杂问题当日形成方案后按方案快速执行解决。对接自动且稳定有效，随着对接标准而不定期升级更新。</w:t>
      </w:r>
    </w:p>
    <w:p w14:paraId="62320917">
      <w:pPr>
        <w:pStyle w:val="6"/>
        <w:numPr>
          <w:ilvl w:val="1"/>
          <w:numId w:val="4"/>
        </w:numPr>
        <w:rPr>
          <w:rFonts w:ascii="宋体" w:hAnsi="宋体" w:eastAsia="宋体" w:cs="宋体"/>
          <w:color w:val="auto"/>
          <w:sz w:val="24"/>
          <w:szCs w:val="24"/>
          <w:highlight w:val="none"/>
          <w:u w:color="000000"/>
        </w:rPr>
      </w:pPr>
      <w:r>
        <w:rPr>
          <w:rFonts w:ascii="宋体" w:hAnsi="宋体" w:eastAsia="宋体" w:cs="宋体"/>
          <w:color w:val="auto"/>
          <w:sz w:val="24"/>
          <w:szCs w:val="24"/>
          <w:highlight w:val="none"/>
          <w:u w:color="000000"/>
        </w:rPr>
        <w:t>建设内容</w:t>
      </w:r>
    </w:p>
    <w:p w14:paraId="62320918">
      <w:pPr>
        <w:pStyle w:val="7"/>
        <w:numPr>
          <w:ilvl w:val="2"/>
          <w:numId w:val="4"/>
        </w:numPr>
        <w:spacing w:before="0" w:after="0" w:line="360" w:lineRule="auto"/>
        <w:rPr>
          <w:rFonts w:ascii="宋体" w:hAnsi="宋体" w:cs="宋体"/>
          <w:color w:val="auto"/>
          <w:sz w:val="24"/>
          <w:szCs w:val="24"/>
          <w:highlight w:val="none"/>
        </w:rPr>
      </w:pPr>
      <w:r>
        <w:rPr>
          <w:rFonts w:ascii="宋体" w:hAnsi="宋体" w:cs="宋体"/>
          <w:color w:val="auto"/>
          <w:sz w:val="24"/>
          <w:szCs w:val="24"/>
          <w:highlight w:val="none"/>
        </w:rPr>
        <w:t>信用评价</w:t>
      </w:r>
    </w:p>
    <w:p w14:paraId="62320919">
      <w:pPr>
        <w:pStyle w:val="8"/>
        <w:numPr>
          <w:ilvl w:val="3"/>
          <w:numId w:val="4"/>
        </w:numPr>
        <w:spacing w:before="0" w:after="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数据采集</w:t>
      </w:r>
    </w:p>
    <w:p w14:paraId="6232091A">
      <w:pPr>
        <w:spacing w:line="360" w:lineRule="auto"/>
        <w:rPr>
          <w:rFonts w:ascii="宋体" w:hAnsi="宋体" w:cs="宋体"/>
          <w:color w:val="auto"/>
          <w:sz w:val="24"/>
          <w:highlight w:val="none"/>
        </w:rPr>
      </w:pPr>
      <w:r>
        <w:rPr>
          <w:rFonts w:ascii="宋体" w:hAnsi="宋体" w:cs="宋体"/>
          <w:color w:val="auto"/>
          <w:sz w:val="24"/>
          <w:highlight w:val="none"/>
        </w:rPr>
        <w:t>（1）数据采集范围</w:t>
      </w:r>
    </w:p>
    <w:p w14:paraId="623209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律师事务所数据：</w:t>
      </w:r>
    </w:p>
    <w:p w14:paraId="623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在线系统关于律师事务所基本情况（合伙人数量、专兼职律师数量、律师事务所分所设立情况、党员律师比例、党组织设立情况、执业状态），机构管理（年度考核结果），诚信信息（行政处罚信息、行业处分信息、其他查实信息、执业人员违法违规执业、执业信息、表彰奖励信息），公益服务相关指标数据采集。</w:t>
      </w:r>
    </w:p>
    <w:p w14:paraId="623209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IRS系统关于社保部门（社保缴纳信息）、税务部门（税收缴纳信息）、法院系统（未履行生效裁判信息）。</w:t>
      </w:r>
    </w:p>
    <w:p w14:paraId="623209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公用信用评价数据采集。</w:t>
      </w:r>
    </w:p>
    <w:p w14:paraId="62320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律师数据：</w:t>
      </w:r>
    </w:p>
    <w:p w14:paraId="623209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在线系统关于律师基本情况及执业状况（政治面貌、执业状态、律师职称、专业水平、社会职务、年度考核结果），诚信信息（行政处罚信息、行业处分信息、党纪处分信息、其他查实信息、表彰奖励信息），公益服务相关指标数据采集。</w:t>
      </w:r>
    </w:p>
    <w:p w14:paraId="623209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IRS系统关于法院系统（未履行生效裁判信息、刑事处罚信息）。</w:t>
      </w:r>
    </w:p>
    <w:p w14:paraId="623209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公用信用评价数据采集。</w:t>
      </w:r>
    </w:p>
    <w:p w14:paraId="62320923">
      <w:pPr>
        <w:spacing w:line="360" w:lineRule="auto"/>
        <w:rPr>
          <w:rFonts w:ascii="宋体" w:hAnsi="宋体" w:cs="宋体"/>
          <w:color w:val="auto"/>
          <w:sz w:val="24"/>
          <w:highlight w:val="none"/>
        </w:rPr>
      </w:pPr>
      <w:r>
        <w:rPr>
          <w:rFonts w:ascii="宋体" w:hAnsi="宋体" w:cs="宋体"/>
          <w:color w:val="auto"/>
          <w:sz w:val="24"/>
          <w:highlight w:val="none"/>
        </w:rPr>
        <w:t>（2）数据清洗规则</w:t>
      </w:r>
    </w:p>
    <w:p w14:paraId="62320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清洗规则如下：</w:t>
      </w:r>
    </w:p>
    <w:p w14:paraId="623209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非空检核：检查数据是否存在空值，如果是，则根据情况进行填充、删除或忽略；</w:t>
      </w:r>
    </w:p>
    <w:p w14:paraId="623209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主键重复检核：检查数据是否存在重复的主键，如果是，则根据情况进行合并、删除或忽略；</w:t>
      </w:r>
    </w:p>
    <w:p w14:paraId="623209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非法值清洗：检查数据是否存在超出正常范围或逻辑的值，如果是，则根据情况进行替换、删除或忽略；</w:t>
      </w:r>
    </w:p>
    <w:p w14:paraId="62320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数据格式检核：通过检查表中属性值的格式是否正确来衡量其准确性，如时间格式、币种格式、多余字符、乱码。</w:t>
      </w:r>
    </w:p>
    <w:p w14:paraId="62320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检查数据是否符合预定义的格式或类型，如果不是，则根据情况进行转换、删除或忽略；</w:t>
      </w:r>
    </w:p>
    <w:p w14:paraId="623209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记录数检核：检查数据是否与预期的记录数相符，如果不是，则根据情况进行补充、删除或忽略；</w:t>
      </w:r>
    </w:p>
    <w:p w14:paraId="623209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异常值处理：检查数据是否存在异常的值，如果是，则根据情况进行标记、删除或忽略。</w:t>
      </w:r>
    </w:p>
    <w:p w14:paraId="6232092C">
      <w:pPr>
        <w:pStyle w:val="8"/>
        <w:numPr>
          <w:ilvl w:val="3"/>
          <w:numId w:val="4"/>
        </w:numPr>
        <w:spacing w:before="0" w:after="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数据获取</w:t>
      </w:r>
    </w:p>
    <w:p w14:paraId="6232092D">
      <w:pPr>
        <w:spacing w:line="360" w:lineRule="auto"/>
        <w:rPr>
          <w:rFonts w:ascii="宋体" w:hAnsi="宋体" w:cs="宋体"/>
          <w:color w:val="auto"/>
          <w:sz w:val="24"/>
          <w:highlight w:val="none"/>
        </w:rPr>
      </w:pPr>
      <w:r>
        <w:rPr>
          <w:rFonts w:ascii="宋体" w:hAnsi="宋体" w:cs="宋体"/>
          <w:color w:val="auto"/>
          <w:sz w:val="24"/>
          <w:highlight w:val="none"/>
        </w:rPr>
        <w:t>（1）律师在线系统</w:t>
      </w:r>
    </w:p>
    <w:p w14:paraId="623209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在线系统关于律师事务所基本情况（合伙人数量、专兼职律师数量、律师事务所分所设立情况、党员律师比例、党组织设立情况、执业状态），机构管理（年度考核结果），诚信信息（行政处罚信息、行业处分信息、其他查实信息、执业人员违法违规执业、执业信息、表彰奖励信息），公益服务（参与公共法律服务积分）。</w:t>
      </w:r>
    </w:p>
    <w:p w14:paraId="62320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在线系统关于律师基本情况及执业状况（政治面貌、执业状态、律师职称、专业水平、社会职务、年度考核结果），诚信信息（行政处罚信息、行业处分信息、党纪处分信息、其他查实信息、表彰奖励信息），公益服务（参与公共法律服务积分）。</w:t>
      </w:r>
    </w:p>
    <w:p w14:paraId="62320930">
      <w:pPr>
        <w:spacing w:line="360" w:lineRule="auto"/>
        <w:rPr>
          <w:rFonts w:ascii="宋体" w:hAnsi="宋体" w:cs="宋体"/>
          <w:color w:val="auto"/>
          <w:sz w:val="24"/>
          <w:highlight w:val="none"/>
        </w:rPr>
      </w:pPr>
      <w:r>
        <w:rPr>
          <w:rFonts w:ascii="宋体" w:hAnsi="宋体" w:cs="宋体"/>
          <w:color w:val="auto"/>
          <w:sz w:val="24"/>
          <w:highlight w:val="none"/>
        </w:rPr>
        <w:t>（2）浙江省一体化智能化公共数据平台</w:t>
      </w:r>
    </w:p>
    <w:p w14:paraId="623209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社保部门：社保缴纳信息，律师事务所是否存在社保费用欠缴信息；</w:t>
      </w:r>
    </w:p>
    <w:p w14:paraId="62320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税务部门：税收缴纳信息，律师事务所是否存在税收欠缴信息。</w:t>
      </w:r>
    </w:p>
    <w:p w14:paraId="623209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法院系统：未履行生效裁判信息，被列入严重失信名单（失信被执行人）；律所负责人及合伙人未履行生效裁判，或者列入严重失信名单（失信被执行人）。</w:t>
      </w:r>
    </w:p>
    <w:p w14:paraId="62320934">
      <w:pPr>
        <w:spacing w:line="360" w:lineRule="auto"/>
        <w:rPr>
          <w:rFonts w:ascii="宋体" w:hAnsi="宋体" w:cs="宋体"/>
          <w:color w:val="auto"/>
          <w:sz w:val="24"/>
          <w:highlight w:val="none"/>
        </w:rPr>
      </w:pPr>
      <w:r>
        <w:rPr>
          <w:rFonts w:ascii="宋体" w:hAnsi="宋体" w:cs="宋体"/>
          <w:color w:val="auto"/>
          <w:sz w:val="24"/>
          <w:highlight w:val="none"/>
        </w:rPr>
        <w:t>（3）公共信用评分</w:t>
      </w:r>
    </w:p>
    <w:p w14:paraId="623209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由浙江省社会组织公共信用评价得分计算，由浙江省自然人公共信用评价得分计算。</w:t>
      </w:r>
    </w:p>
    <w:p w14:paraId="62320936">
      <w:pPr>
        <w:pStyle w:val="8"/>
        <w:numPr>
          <w:ilvl w:val="3"/>
          <w:numId w:val="4"/>
        </w:numPr>
        <w:spacing w:before="0" w:after="0"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规则管理及计算</w:t>
      </w:r>
    </w:p>
    <w:p w14:paraId="62320937">
      <w:pPr>
        <w:spacing w:line="360" w:lineRule="auto"/>
        <w:rPr>
          <w:rFonts w:ascii="宋体" w:hAnsi="宋体" w:cs="宋体"/>
          <w:color w:val="auto"/>
          <w:sz w:val="24"/>
          <w:highlight w:val="none"/>
        </w:rPr>
      </w:pPr>
      <w:r>
        <w:rPr>
          <w:rFonts w:ascii="宋体" w:hAnsi="宋体" w:cs="宋体"/>
          <w:color w:val="auto"/>
          <w:sz w:val="24"/>
          <w:highlight w:val="none"/>
        </w:rPr>
        <w:t>（1）基础分管理</w:t>
      </w:r>
    </w:p>
    <w:p w14:paraId="623209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行业信用管理实行基准分1000分制，其中公共信用信息项占30%，行业信用信息项占70%。目前系统针对基准分进行设置，同时支持修改、删除操作。基础分设置可区分律师、律师事务所，也可以增加其他类型数据。</w:t>
      </w:r>
    </w:p>
    <w:p w14:paraId="62320939">
      <w:pPr>
        <w:spacing w:line="360" w:lineRule="auto"/>
        <w:rPr>
          <w:rFonts w:ascii="宋体" w:hAnsi="宋体" w:cs="宋体"/>
          <w:color w:val="auto"/>
          <w:sz w:val="24"/>
          <w:highlight w:val="none"/>
        </w:rPr>
      </w:pPr>
      <w:r>
        <w:rPr>
          <w:rFonts w:ascii="宋体" w:hAnsi="宋体" w:cs="宋体"/>
          <w:color w:val="auto"/>
          <w:sz w:val="24"/>
          <w:highlight w:val="none"/>
        </w:rPr>
        <w:t>（2）信用分级配置</w:t>
      </w:r>
    </w:p>
    <w:p w14:paraId="623209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司法行政机关实施律师行业信用分级管理的原则是：加大对信用等级为AAAAA、AAAA级的律师和律师事务所激励、扶持力度，适度管理AAA级律师和律师事务所，强化对AA级律师和律师事务所的监管力度，依法重点监管A级律师和律师事务所，发现问题依法从严惩处。信用分级管理，主要是将信用分值数与等级灵活关联的管理，方便司法行政机关对于律师行业情况全面掌握。</w:t>
      </w:r>
    </w:p>
    <w:p w14:paraId="623209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按照从高到低分为 AAAAA、AAAA、AAA、AA、A五个等级进行信用分级评价管理。</w:t>
      </w:r>
    </w:p>
    <w:p w14:paraId="623209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具体标准为(以下标准含本数):</w:t>
      </w:r>
    </w:p>
    <w:p w14:paraId="623209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AAAAA级，得分850分及以上；</w:t>
      </w:r>
    </w:p>
    <w:p w14:paraId="62320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AAAA级，得分800分(含)-850分；</w:t>
      </w:r>
    </w:p>
    <w:p w14:paraId="62320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AAA级，得分750分(含)-800分；</w:t>
      </w:r>
    </w:p>
    <w:p w14:paraId="623209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AA级，得分700分(含)-750分；</w:t>
      </w:r>
    </w:p>
    <w:p w14:paraId="623209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A级，得分700分以下。</w:t>
      </w:r>
    </w:p>
    <w:p w14:paraId="623209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系统中信用分级配置管理，设置为灵活可配置，实现对等级配置名称、配置描述、具体配置等级、名称、以及信用分值区间进行灵活设置及调整，方便随时对等级及分数进行调整。</w:t>
      </w:r>
    </w:p>
    <w:p w14:paraId="62320943">
      <w:pPr>
        <w:spacing w:line="360" w:lineRule="auto"/>
        <w:rPr>
          <w:rFonts w:ascii="宋体" w:hAnsi="宋体" w:cs="宋体"/>
          <w:color w:val="auto"/>
          <w:sz w:val="24"/>
          <w:highlight w:val="none"/>
        </w:rPr>
      </w:pPr>
      <w:r>
        <w:rPr>
          <w:rFonts w:ascii="宋体" w:hAnsi="宋体" w:cs="宋体"/>
          <w:color w:val="auto"/>
          <w:sz w:val="24"/>
          <w:highlight w:val="none"/>
        </w:rPr>
        <w:t>（3）版本管理</w:t>
      </w:r>
    </w:p>
    <w:p w14:paraId="623209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版本管理针对律师、律师事务所信用分计算版本迭代进行管理及查看，可以查看所有版本对应的指标内容。</w:t>
      </w:r>
    </w:p>
    <w:p w14:paraId="623209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针对律师、律师事务所对不同版本的信息进行管理，针对信用分计算指标进行录入、编辑及删除，以及版本的管理及维护。</w:t>
      </w:r>
    </w:p>
    <w:p w14:paraId="623209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新增版本：版本新增时，需确认版本对应的对象，即律师或律师事务所；同时每个版本在录入时记录版本启用起止时间、是否开启、版本名称、版本说明等信息。若版本新增时，新版本与已有版本在启用起止时间内冲突，并进行提示，同时也无法启用该版本。保证某个时间段内，不存在多个启用版本。</w:t>
      </w:r>
    </w:p>
    <w:p w14:paraId="623209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调整版本：针对现有版本指标内容及描述等信息进行调整，可同时记录用户的操作记录，并展示在对应的版本调整记录中。</w:t>
      </w:r>
    </w:p>
    <w:p w14:paraId="623209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启用/关闭：版本添加后，该版本默认为未启用状态，待版本指标内容完善后，手动启用该版本。</w:t>
      </w:r>
    </w:p>
    <w:p w14:paraId="62320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删除版本：版本针对用户只做展示使用，只有系统管理员才能对其进行删除操作。若删除时，该版本处于启用状态，并且当前时间处于该版本使用时间范围内，则提示用户不可以做删除操作。</w:t>
      </w:r>
    </w:p>
    <w:p w14:paraId="6232094A">
      <w:pPr>
        <w:spacing w:line="360" w:lineRule="auto"/>
        <w:rPr>
          <w:rFonts w:ascii="宋体" w:hAnsi="宋体" w:cs="宋体"/>
          <w:color w:val="auto"/>
          <w:sz w:val="24"/>
          <w:highlight w:val="none"/>
        </w:rPr>
      </w:pPr>
      <w:r>
        <w:rPr>
          <w:rFonts w:ascii="宋体" w:hAnsi="宋体" w:cs="宋体"/>
          <w:color w:val="auto"/>
          <w:sz w:val="24"/>
          <w:highlight w:val="none"/>
        </w:rPr>
        <w:t>（4）规则管理</w:t>
      </w:r>
    </w:p>
    <w:p w14:paraId="62320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针对律师事务所、律师分别设置不同的规则。</w:t>
      </w:r>
    </w:p>
    <w:p w14:paraId="62320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律师事务所主要是通过基本情况、机构管理、诚信信息、公益服务、公用信用评分五大方面对规则进行维护。具体的规则内容为：</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372"/>
        <w:gridCol w:w="719"/>
        <w:gridCol w:w="5377"/>
        <w:gridCol w:w="915"/>
      </w:tblGrid>
      <w:tr w14:paraId="6232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6232094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一级指标项</w:t>
            </w:r>
          </w:p>
        </w:tc>
        <w:tc>
          <w:tcPr>
            <w:tcW w:w="739" w:type="pct"/>
            <w:vAlign w:val="center"/>
          </w:tcPr>
          <w:p w14:paraId="6232094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二级指标项</w:t>
            </w:r>
          </w:p>
        </w:tc>
        <w:tc>
          <w:tcPr>
            <w:tcW w:w="387" w:type="pct"/>
            <w:vAlign w:val="center"/>
          </w:tcPr>
          <w:p w14:paraId="6232094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分值</w:t>
            </w:r>
          </w:p>
        </w:tc>
        <w:tc>
          <w:tcPr>
            <w:tcW w:w="2896" w:type="pct"/>
            <w:vAlign w:val="center"/>
          </w:tcPr>
          <w:p w14:paraId="6232095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说明</w:t>
            </w:r>
          </w:p>
        </w:tc>
        <w:tc>
          <w:tcPr>
            <w:tcW w:w="493" w:type="pct"/>
            <w:vAlign w:val="center"/>
          </w:tcPr>
          <w:p w14:paraId="6232095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计分周期</w:t>
            </w:r>
          </w:p>
        </w:tc>
      </w:tr>
      <w:tr w14:paraId="6232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vAlign w:val="center"/>
          </w:tcPr>
          <w:p w14:paraId="6232095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基本情况及执业状况</w:t>
            </w:r>
          </w:p>
        </w:tc>
        <w:tc>
          <w:tcPr>
            <w:tcW w:w="739" w:type="pct"/>
            <w:vAlign w:val="center"/>
          </w:tcPr>
          <w:p w14:paraId="6232095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政治面貌</w:t>
            </w:r>
          </w:p>
        </w:tc>
        <w:tc>
          <w:tcPr>
            <w:tcW w:w="387" w:type="pct"/>
            <w:vAlign w:val="center"/>
          </w:tcPr>
          <w:p w14:paraId="6232095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56">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加分项，是普通群众的，加10分；是民主党派、无党派人士的，加20分；是中共党员的，加30分。</w:t>
            </w:r>
          </w:p>
        </w:tc>
        <w:tc>
          <w:tcPr>
            <w:tcW w:w="493" w:type="pct"/>
            <w:vAlign w:val="center"/>
          </w:tcPr>
          <w:p w14:paraId="6232095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59">
            <w:pPr>
              <w:spacing w:line="360" w:lineRule="auto"/>
              <w:jc w:val="center"/>
              <w:rPr>
                <w:rFonts w:ascii="宋体" w:hAnsi="宋体" w:cs="宋体"/>
                <w:color w:val="auto"/>
                <w:kern w:val="0"/>
                <w:sz w:val="24"/>
                <w:highlight w:val="none"/>
              </w:rPr>
            </w:pPr>
          </w:p>
        </w:tc>
        <w:tc>
          <w:tcPr>
            <w:tcW w:w="739" w:type="pct"/>
            <w:vAlign w:val="center"/>
          </w:tcPr>
          <w:p w14:paraId="6232095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执业状态</w:t>
            </w:r>
          </w:p>
        </w:tc>
        <w:tc>
          <w:tcPr>
            <w:tcW w:w="387" w:type="pct"/>
            <w:vAlign w:val="center"/>
          </w:tcPr>
          <w:p w14:paraId="6232095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5C">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扣分项，处于未经年度考核的，扣15分；处于停业状态的，扣30分。</w:t>
            </w:r>
          </w:p>
        </w:tc>
        <w:tc>
          <w:tcPr>
            <w:tcW w:w="493" w:type="pct"/>
            <w:vAlign w:val="center"/>
          </w:tcPr>
          <w:p w14:paraId="6232095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5F">
            <w:pPr>
              <w:spacing w:line="360" w:lineRule="auto"/>
              <w:jc w:val="center"/>
              <w:rPr>
                <w:rFonts w:ascii="宋体" w:hAnsi="宋体" w:cs="宋体"/>
                <w:color w:val="auto"/>
                <w:kern w:val="0"/>
                <w:sz w:val="24"/>
                <w:highlight w:val="none"/>
              </w:rPr>
            </w:pPr>
          </w:p>
        </w:tc>
        <w:tc>
          <w:tcPr>
            <w:tcW w:w="739" w:type="pct"/>
            <w:vAlign w:val="center"/>
          </w:tcPr>
          <w:p w14:paraId="6232096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律师职称</w:t>
            </w:r>
          </w:p>
        </w:tc>
        <w:tc>
          <w:tcPr>
            <w:tcW w:w="387" w:type="pct"/>
            <w:vAlign w:val="center"/>
          </w:tcPr>
          <w:p w14:paraId="6232096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40</w:t>
            </w:r>
          </w:p>
        </w:tc>
        <w:tc>
          <w:tcPr>
            <w:tcW w:w="2896" w:type="pct"/>
            <w:vAlign w:val="center"/>
          </w:tcPr>
          <w:p w14:paraId="62320962">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加分项，四级律师加10分，三级律师加20分，二级律师加30分，一级律师加40分。</w:t>
            </w:r>
          </w:p>
        </w:tc>
        <w:tc>
          <w:tcPr>
            <w:tcW w:w="493" w:type="pct"/>
            <w:vAlign w:val="center"/>
          </w:tcPr>
          <w:p w14:paraId="6232096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65">
            <w:pPr>
              <w:spacing w:line="360" w:lineRule="auto"/>
              <w:jc w:val="center"/>
              <w:rPr>
                <w:rFonts w:ascii="宋体" w:hAnsi="宋体" w:cs="宋体"/>
                <w:color w:val="auto"/>
                <w:kern w:val="0"/>
                <w:sz w:val="24"/>
                <w:highlight w:val="none"/>
              </w:rPr>
            </w:pPr>
          </w:p>
        </w:tc>
        <w:tc>
          <w:tcPr>
            <w:tcW w:w="739" w:type="pct"/>
            <w:vAlign w:val="center"/>
          </w:tcPr>
          <w:p w14:paraId="6232096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专业水平</w:t>
            </w:r>
          </w:p>
        </w:tc>
        <w:tc>
          <w:tcPr>
            <w:tcW w:w="387" w:type="pct"/>
            <w:vAlign w:val="center"/>
          </w:tcPr>
          <w:p w14:paraId="6232096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68">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加分项，被评定为一个领域专业律师的，加15分；被评定为两个领域专业律师的，加30分。</w:t>
            </w:r>
          </w:p>
        </w:tc>
        <w:tc>
          <w:tcPr>
            <w:tcW w:w="493" w:type="pct"/>
            <w:vAlign w:val="center"/>
          </w:tcPr>
          <w:p w14:paraId="6232096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6B">
            <w:pPr>
              <w:spacing w:line="360" w:lineRule="auto"/>
              <w:jc w:val="center"/>
              <w:rPr>
                <w:rFonts w:ascii="宋体" w:hAnsi="宋体" w:cs="宋体"/>
                <w:color w:val="auto"/>
                <w:kern w:val="0"/>
                <w:sz w:val="24"/>
                <w:highlight w:val="none"/>
              </w:rPr>
            </w:pPr>
          </w:p>
        </w:tc>
        <w:tc>
          <w:tcPr>
            <w:tcW w:w="739" w:type="pct"/>
            <w:vAlign w:val="center"/>
          </w:tcPr>
          <w:p w14:paraId="6232096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社会职务</w:t>
            </w:r>
          </w:p>
        </w:tc>
        <w:tc>
          <w:tcPr>
            <w:tcW w:w="387" w:type="pct"/>
            <w:vAlign w:val="center"/>
          </w:tcPr>
          <w:p w14:paraId="6232096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6E">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加分项，担任县级“两代表一委员”加5分，市级“两代表一委员”加10分，省级“两代表一委员”加30分，全国“两代表一委员”的加30分。</w:t>
            </w:r>
          </w:p>
        </w:tc>
        <w:tc>
          <w:tcPr>
            <w:tcW w:w="493" w:type="pct"/>
            <w:vAlign w:val="center"/>
          </w:tcPr>
          <w:p w14:paraId="6232096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71">
            <w:pPr>
              <w:spacing w:line="360" w:lineRule="auto"/>
              <w:jc w:val="center"/>
              <w:rPr>
                <w:rFonts w:ascii="宋体" w:hAnsi="宋体" w:cs="宋体"/>
                <w:color w:val="auto"/>
                <w:kern w:val="0"/>
                <w:sz w:val="24"/>
                <w:highlight w:val="none"/>
              </w:rPr>
            </w:pPr>
          </w:p>
        </w:tc>
        <w:tc>
          <w:tcPr>
            <w:tcW w:w="739" w:type="pct"/>
            <w:vAlign w:val="center"/>
          </w:tcPr>
          <w:p w14:paraId="6232097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年度考核结果</w:t>
            </w:r>
          </w:p>
        </w:tc>
        <w:tc>
          <w:tcPr>
            <w:tcW w:w="387" w:type="pct"/>
            <w:vAlign w:val="center"/>
          </w:tcPr>
          <w:p w14:paraId="6232097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40</w:t>
            </w:r>
          </w:p>
        </w:tc>
        <w:tc>
          <w:tcPr>
            <w:tcW w:w="2896" w:type="pct"/>
            <w:vAlign w:val="center"/>
          </w:tcPr>
          <w:p w14:paraId="62320974">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扣分项，上一年度考核基本称职的，扣20分；不称职的，扣40分。</w:t>
            </w:r>
          </w:p>
        </w:tc>
        <w:tc>
          <w:tcPr>
            <w:tcW w:w="493" w:type="pct"/>
            <w:vAlign w:val="center"/>
          </w:tcPr>
          <w:p w14:paraId="6232097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vAlign w:val="center"/>
          </w:tcPr>
          <w:p w14:paraId="6232097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诚信信息</w:t>
            </w:r>
          </w:p>
        </w:tc>
        <w:tc>
          <w:tcPr>
            <w:tcW w:w="739" w:type="pct"/>
            <w:vAlign w:val="center"/>
          </w:tcPr>
          <w:p w14:paraId="6232097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行政处罚信息</w:t>
            </w:r>
          </w:p>
        </w:tc>
        <w:tc>
          <w:tcPr>
            <w:tcW w:w="387" w:type="pct"/>
            <w:vAlign w:val="center"/>
          </w:tcPr>
          <w:p w14:paraId="6232097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60</w:t>
            </w:r>
          </w:p>
        </w:tc>
        <w:tc>
          <w:tcPr>
            <w:tcW w:w="2896" w:type="pct"/>
            <w:vAlign w:val="center"/>
          </w:tcPr>
          <w:p w14:paraId="6232097A">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扣分项，被司法行政机关行政处罚的，警告30分/条，停止执业60分/条。</w:t>
            </w:r>
          </w:p>
        </w:tc>
        <w:tc>
          <w:tcPr>
            <w:tcW w:w="493" w:type="pct"/>
            <w:vAlign w:val="center"/>
          </w:tcPr>
          <w:p w14:paraId="6232097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Merge w:val="continue"/>
            <w:vAlign w:val="center"/>
          </w:tcPr>
          <w:p w14:paraId="6232097D">
            <w:pPr>
              <w:spacing w:line="360" w:lineRule="auto"/>
              <w:jc w:val="center"/>
              <w:rPr>
                <w:rFonts w:ascii="宋体" w:hAnsi="宋体" w:cs="宋体"/>
                <w:color w:val="auto"/>
                <w:kern w:val="0"/>
                <w:sz w:val="24"/>
                <w:highlight w:val="none"/>
              </w:rPr>
            </w:pPr>
          </w:p>
        </w:tc>
        <w:tc>
          <w:tcPr>
            <w:tcW w:w="739" w:type="pct"/>
            <w:vAlign w:val="center"/>
          </w:tcPr>
          <w:p w14:paraId="6232097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行业处分信息</w:t>
            </w:r>
          </w:p>
        </w:tc>
        <w:tc>
          <w:tcPr>
            <w:tcW w:w="387" w:type="pct"/>
            <w:vAlign w:val="center"/>
          </w:tcPr>
          <w:p w14:paraId="6232097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50</w:t>
            </w:r>
          </w:p>
        </w:tc>
        <w:tc>
          <w:tcPr>
            <w:tcW w:w="2896" w:type="pct"/>
            <w:vAlign w:val="center"/>
          </w:tcPr>
          <w:p w14:paraId="62320980">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扣分项，被律师协会行业处分的，训诫10分/条，警告20分/条，通报批评30分/条，公开谴责40分/条，中止会员权利50分/条。</w:t>
            </w:r>
          </w:p>
        </w:tc>
        <w:tc>
          <w:tcPr>
            <w:tcW w:w="493" w:type="pct"/>
            <w:vAlign w:val="center"/>
          </w:tcPr>
          <w:p w14:paraId="6232098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83">
            <w:pPr>
              <w:spacing w:line="360" w:lineRule="auto"/>
              <w:jc w:val="center"/>
              <w:rPr>
                <w:rFonts w:ascii="宋体" w:hAnsi="宋体" w:cs="宋体"/>
                <w:color w:val="auto"/>
                <w:kern w:val="0"/>
                <w:sz w:val="24"/>
                <w:highlight w:val="none"/>
              </w:rPr>
            </w:pPr>
          </w:p>
        </w:tc>
        <w:tc>
          <w:tcPr>
            <w:tcW w:w="739" w:type="pct"/>
            <w:vAlign w:val="center"/>
          </w:tcPr>
          <w:p w14:paraId="6232098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党纪处分信息</w:t>
            </w:r>
          </w:p>
        </w:tc>
        <w:tc>
          <w:tcPr>
            <w:tcW w:w="387" w:type="pct"/>
            <w:vAlign w:val="center"/>
          </w:tcPr>
          <w:p w14:paraId="6232098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50</w:t>
            </w:r>
          </w:p>
        </w:tc>
        <w:tc>
          <w:tcPr>
            <w:tcW w:w="2896" w:type="pct"/>
            <w:vAlign w:val="center"/>
          </w:tcPr>
          <w:p w14:paraId="62320986">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扣分项，被党组织党纪处分的，一条扣25分，两条及以上扣50分；组织处理，每条扣10分。</w:t>
            </w:r>
          </w:p>
        </w:tc>
        <w:tc>
          <w:tcPr>
            <w:tcW w:w="493" w:type="pct"/>
            <w:vAlign w:val="center"/>
          </w:tcPr>
          <w:p w14:paraId="6232098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89">
            <w:pPr>
              <w:spacing w:line="360" w:lineRule="auto"/>
              <w:jc w:val="center"/>
              <w:rPr>
                <w:rFonts w:ascii="宋体" w:hAnsi="宋体" w:cs="宋体"/>
                <w:color w:val="auto"/>
                <w:kern w:val="0"/>
                <w:sz w:val="24"/>
                <w:highlight w:val="none"/>
              </w:rPr>
            </w:pPr>
          </w:p>
        </w:tc>
        <w:tc>
          <w:tcPr>
            <w:tcW w:w="739" w:type="pct"/>
            <w:vAlign w:val="center"/>
          </w:tcPr>
          <w:p w14:paraId="6232098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其他查实信息</w:t>
            </w:r>
          </w:p>
        </w:tc>
        <w:tc>
          <w:tcPr>
            <w:tcW w:w="387" w:type="pct"/>
            <w:vAlign w:val="center"/>
          </w:tcPr>
          <w:p w14:paraId="6232098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8C">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扣分项，被投诉后查实的、或者在日常监督检查等过程中发现有其他违法违规行为，但尚未构成行政处罚或行业处分的，每条扣15分。</w:t>
            </w:r>
          </w:p>
        </w:tc>
        <w:tc>
          <w:tcPr>
            <w:tcW w:w="493" w:type="pct"/>
            <w:vAlign w:val="center"/>
          </w:tcPr>
          <w:p w14:paraId="6232098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83" w:type="pct"/>
            <w:vMerge w:val="continue"/>
            <w:vAlign w:val="center"/>
          </w:tcPr>
          <w:p w14:paraId="6232098F">
            <w:pPr>
              <w:spacing w:line="360" w:lineRule="auto"/>
              <w:jc w:val="center"/>
              <w:rPr>
                <w:rFonts w:ascii="宋体" w:hAnsi="宋体" w:cs="宋体"/>
                <w:color w:val="auto"/>
                <w:kern w:val="0"/>
                <w:sz w:val="24"/>
                <w:highlight w:val="none"/>
              </w:rPr>
            </w:pPr>
          </w:p>
        </w:tc>
        <w:tc>
          <w:tcPr>
            <w:tcW w:w="739" w:type="pct"/>
            <w:vAlign w:val="center"/>
          </w:tcPr>
          <w:p w14:paraId="6232099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未履行生效裁判信息</w:t>
            </w:r>
          </w:p>
        </w:tc>
        <w:tc>
          <w:tcPr>
            <w:tcW w:w="387" w:type="pct"/>
            <w:vAlign w:val="center"/>
          </w:tcPr>
          <w:p w14:paraId="6232099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92">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扣分项，被列入严重失信名单（失信被执行人）的，扣30分。</w:t>
            </w:r>
          </w:p>
        </w:tc>
        <w:tc>
          <w:tcPr>
            <w:tcW w:w="493" w:type="pct"/>
            <w:vAlign w:val="center"/>
          </w:tcPr>
          <w:p w14:paraId="6232099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至履行生效判决或被剔除失信被执行人名单第二年开始不予扣分</w:t>
            </w:r>
          </w:p>
        </w:tc>
      </w:tr>
      <w:tr w14:paraId="6232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vAlign w:val="center"/>
          </w:tcPr>
          <w:p w14:paraId="6232099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形</w:t>
            </w:r>
          </w:p>
        </w:tc>
        <w:tc>
          <w:tcPr>
            <w:tcW w:w="739" w:type="pct"/>
            <w:vAlign w:val="center"/>
          </w:tcPr>
          <w:p w14:paraId="6232099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刑事处罚信息</w:t>
            </w:r>
          </w:p>
        </w:tc>
        <w:tc>
          <w:tcPr>
            <w:tcW w:w="387" w:type="pct"/>
            <w:vAlign w:val="center"/>
          </w:tcPr>
          <w:p w14:paraId="6232099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896" w:type="pct"/>
            <w:vAlign w:val="center"/>
          </w:tcPr>
          <w:p w14:paraId="62320998">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非故意犯罪，一条扣30分。</w:t>
            </w:r>
          </w:p>
        </w:tc>
        <w:tc>
          <w:tcPr>
            <w:tcW w:w="493" w:type="pct"/>
            <w:vAlign w:val="center"/>
          </w:tcPr>
          <w:p w14:paraId="6232099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83" w:type="pct"/>
            <w:vMerge w:val="continue"/>
            <w:vAlign w:val="center"/>
          </w:tcPr>
          <w:p w14:paraId="6232099B">
            <w:pPr>
              <w:spacing w:line="360" w:lineRule="auto"/>
              <w:jc w:val="center"/>
              <w:rPr>
                <w:rFonts w:ascii="宋体" w:hAnsi="宋体" w:cs="宋体"/>
                <w:color w:val="auto"/>
                <w:kern w:val="0"/>
                <w:sz w:val="24"/>
                <w:highlight w:val="none"/>
              </w:rPr>
            </w:pPr>
          </w:p>
        </w:tc>
        <w:tc>
          <w:tcPr>
            <w:tcW w:w="739" w:type="pct"/>
            <w:vAlign w:val="center"/>
          </w:tcPr>
          <w:p w14:paraId="6232099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表彰奖励信息</w:t>
            </w:r>
          </w:p>
        </w:tc>
        <w:tc>
          <w:tcPr>
            <w:tcW w:w="387" w:type="pct"/>
            <w:vAlign w:val="center"/>
          </w:tcPr>
          <w:p w14:paraId="6232099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110</w:t>
            </w:r>
          </w:p>
        </w:tc>
        <w:tc>
          <w:tcPr>
            <w:tcW w:w="2896" w:type="pct"/>
            <w:vAlign w:val="center"/>
          </w:tcPr>
          <w:p w14:paraId="6232099E">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区、县（市）级表彰奖励（地市级党政机关、人民团体、区、县（市）级党委、政府、绍兴市律师协会、绍兴市律师行业党委）加20/条，地市级表彰奖励（省级党政机关、人民团体、地市级党委、政府、浙江省律师协会、浙江省律师行业党委）加40分/条，省部级（中央和国家党政机关、人民团体、省级党委、政府、中华全国律师协会、全国律师行业党委）加60分/条，国家级（党中央、国务院）加80分/条。</w:t>
            </w:r>
          </w:p>
        </w:tc>
        <w:tc>
          <w:tcPr>
            <w:tcW w:w="493" w:type="pct"/>
            <w:vAlign w:val="center"/>
          </w:tcPr>
          <w:p w14:paraId="6232099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23209A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公益服务</w:t>
            </w:r>
          </w:p>
        </w:tc>
        <w:tc>
          <w:tcPr>
            <w:tcW w:w="739" w:type="pct"/>
            <w:vAlign w:val="center"/>
          </w:tcPr>
          <w:p w14:paraId="623209A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律师参与公共法律服务积分</w:t>
            </w:r>
          </w:p>
        </w:tc>
        <w:tc>
          <w:tcPr>
            <w:tcW w:w="387" w:type="pct"/>
            <w:vAlign w:val="center"/>
          </w:tcPr>
          <w:p w14:paraId="623209A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150</w:t>
            </w:r>
          </w:p>
        </w:tc>
        <w:tc>
          <w:tcPr>
            <w:tcW w:w="2896" w:type="pct"/>
            <w:vAlign w:val="center"/>
          </w:tcPr>
          <w:p w14:paraId="623209A4">
            <w:pPr>
              <w:spacing w:line="360" w:lineRule="auto"/>
              <w:rPr>
                <w:rFonts w:ascii="宋体" w:hAnsi="宋体" w:cs="宋体"/>
                <w:color w:val="auto"/>
                <w:kern w:val="0"/>
                <w:sz w:val="24"/>
                <w:highlight w:val="none"/>
              </w:rPr>
            </w:pPr>
            <w:r>
              <w:rPr>
                <w:rFonts w:ascii="宋体" w:hAnsi="宋体" w:cs="宋体"/>
                <w:color w:val="auto"/>
                <w:kern w:val="0"/>
                <w:sz w:val="24"/>
                <w:highlight w:val="none"/>
              </w:rPr>
              <w:t>由浙江省律师参与公共法律服务律师事务所积分得分计算</w:t>
            </w:r>
          </w:p>
        </w:tc>
        <w:tc>
          <w:tcPr>
            <w:tcW w:w="493" w:type="pct"/>
            <w:vAlign w:val="center"/>
          </w:tcPr>
          <w:p w14:paraId="623209A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83" w:type="pct"/>
            <w:vAlign w:val="center"/>
          </w:tcPr>
          <w:p w14:paraId="623209A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公共信用评分</w:t>
            </w:r>
          </w:p>
        </w:tc>
        <w:tc>
          <w:tcPr>
            <w:tcW w:w="739" w:type="pct"/>
            <w:vAlign w:val="center"/>
          </w:tcPr>
          <w:p w14:paraId="623209A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公共信用评分</w:t>
            </w:r>
          </w:p>
        </w:tc>
        <w:tc>
          <w:tcPr>
            <w:tcW w:w="387" w:type="pct"/>
            <w:vAlign w:val="center"/>
          </w:tcPr>
          <w:p w14:paraId="623209A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300</w:t>
            </w:r>
          </w:p>
        </w:tc>
        <w:tc>
          <w:tcPr>
            <w:tcW w:w="2896" w:type="pct"/>
            <w:vAlign w:val="center"/>
          </w:tcPr>
          <w:p w14:paraId="623209AA">
            <w:pPr>
              <w:spacing w:line="360" w:lineRule="auto"/>
              <w:rPr>
                <w:rFonts w:ascii="宋体" w:hAnsi="宋体" w:cs="宋体"/>
                <w:color w:val="auto"/>
                <w:kern w:val="0"/>
                <w:sz w:val="24"/>
                <w:highlight w:val="none"/>
              </w:rPr>
            </w:pPr>
            <w:r>
              <w:rPr>
                <w:rFonts w:ascii="宋体" w:hAnsi="宋体" w:cs="宋体"/>
                <w:color w:val="auto"/>
                <w:kern w:val="0"/>
                <w:sz w:val="24"/>
                <w:highlight w:val="none"/>
              </w:rPr>
              <w:t>由浙江省自然人公共信用评价得分计算</w:t>
            </w:r>
          </w:p>
        </w:tc>
        <w:tc>
          <w:tcPr>
            <w:tcW w:w="493" w:type="pct"/>
            <w:vAlign w:val="center"/>
          </w:tcPr>
          <w:p w14:paraId="623209A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bl>
    <w:p w14:paraId="623209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律师主要是通过基本情况及执业状况、诚信信息、公益服务、公共信用评分五大方面对规则进行维护。具体的规则内容为：</w:t>
      </w: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94"/>
        <w:gridCol w:w="665"/>
        <w:gridCol w:w="5466"/>
        <w:gridCol w:w="915"/>
      </w:tblGrid>
      <w:tr w14:paraId="6232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6" w:type="pct"/>
            <w:vAlign w:val="center"/>
          </w:tcPr>
          <w:p w14:paraId="623209A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一级指标项</w:t>
            </w:r>
          </w:p>
        </w:tc>
        <w:tc>
          <w:tcPr>
            <w:tcW w:w="697" w:type="pct"/>
            <w:vAlign w:val="center"/>
          </w:tcPr>
          <w:p w14:paraId="623209A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二级指标项</w:t>
            </w:r>
          </w:p>
        </w:tc>
        <w:tc>
          <w:tcPr>
            <w:tcW w:w="358" w:type="pct"/>
            <w:vAlign w:val="center"/>
          </w:tcPr>
          <w:p w14:paraId="623209B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分值</w:t>
            </w:r>
          </w:p>
        </w:tc>
        <w:tc>
          <w:tcPr>
            <w:tcW w:w="2944" w:type="pct"/>
            <w:vAlign w:val="center"/>
          </w:tcPr>
          <w:p w14:paraId="623209B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说明</w:t>
            </w:r>
          </w:p>
        </w:tc>
        <w:tc>
          <w:tcPr>
            <w:tcW w:w="493" w:type="pct"/>
            <w:vAlign w:val="center"/>
          </w:tcPr>
          <w:p w14:paraId="623209B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计分周期</w:t>
            </w:r>
          </w:p>
        </w:tc>
      </w:tr>
      <w:tr w14:paraId="6232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06" w:type="pct"/>
            <w:vMerge w:val="restart"/>
            <w:vAlign w:val="center"/>
          </w:tcPr>
          <w:p w14:paraId="623209B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基本情况及执业状况</w:t>
            </w:r>
          </w:p>
        </w:tc>
        <w:tc>
          <w:tcPr>
            <w:tcW w:w="697" w:type="pct"/>
            <w:vAlign w:val="center"/>
          </w:tcPr>
          <w:p w14:paraId="623209B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政治面貌</w:t>
            </w:r>
          </w:p>
        </w:tc>
        <w:tc>
          <w:tcPr>
            <w:tcW w:w="358" w:type="pct"/>
            <w:vAlign w:val="center"/>
          </w:tcPr>
          <w:p w14:paraId="623209B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B7">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加分项，是普通群众的，加10分；是民主党派、无党派人士的，加20分；是中共党员的，加30分。</w:t>
            </w:r>
          </w:p>
        </w:tc>
        <w:tc>
          <w:tcPr>
            <w:tcW w:w="493" w:type="pct"/>
            <w:vAlign w:val="center"/>
          </w:tcPr>
          <w:p w14:paraId="623209B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BA">
            <w:pPr>
              <w:spacing w:line="360" w:lineRule="auto"/>
              <w:jc w:val="center"/>
              <w:rPr>
                <w:rFonts w:ascii="宋体" w:hAnsi="宋体" w:cs="宋体"/>
                <w:color w:val="auto"/>
                <w:kern w:val="0"/>
                <w:sz w:val="24"/>
                <w:highlight w:val="none"/>
              </w:rPr>
            </w:pPr>
          </w:p>
        </w:tc>
        <w:tc>
          <w:tcPr>
            <w:tcW w:w="697" w:type="pct"/>
            <w:vAlign w:val="center"/>
          </w:tcPr>
          <w:p w14:paraId="623209B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执业状态</w:t>
            </w:r>
          </w:p>
        </w:tc>
        <w:tc>
          <w:tcPr>
            <w:tcW w:w="358" w:type="pct"/>
            <w:vAlign w:val="center"/>
          </w:tcPr>
          <w:p w14:paraId="623209B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BD">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扣分项，处于未经年度考核的，扣15分；处于停业状态的，扣30分。</w:t>
            </w:r>
          </w:p>
        </w:tc>
        <w:tc>
          <w:tcPr>
            <w:tcW w:w="493" w:type="pct"/>
            <w:vAlign w:val="center"/>
          </w:tcPr>
          <w:p w14:paraId="623209B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C0">
            <w:pPr>
              <w:spacing w:line="360" w:lineRule="auto"/>
              <w:jc w:val="center"/>
              <w:rPr>
                <w:rFonts w:ascii="宋体" w:hAnsi="宋体" w:cs="宋体"/>
                <w:color w:val="auto"/>
                <w:kern w:val="0"/>
                <w:sz w:val="24"/>
                <w:highlight w:val="none"/>
              </w:rPr>
            </w:pPr>
          </w:p>
        </w:tc>
        <w:tc>
          <w:tcPr>
            <w:tcW w:w="697" w:type="pct"/>
            <w:vAlign w:val="center"/>
          </w:tcPr>
          <w:p w14:paraId="623209C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律师职称</w:t>
            </w:r>
          </w:p>
        </w:tc>
        <w:tc>
          <w:tcPr>
            <w:tcW w:w="358" w:type="pct"/>
            <w:vAlign w:val="center"/>
          </w:tcPr>
          <w:p w14:paraId="623209C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40</w:t>
            </w:r>
          </w:p>
        </w:tc>
        <w:tc>
          <w:tcPr>
            <w:tcW w:w="2944" w:type="pct"/>
            <w:vAlign w:val="center"/>
          </w:tcPr>
          <w:p w14:paraId="623209C3">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加分项，四级律师加10分，三级律师加20分，二级律师加30分，一级律师加40分。</w:t>
            </w:r>
          </w:p>
        </w:tc>
        <w:tc>
          <w:tcPr>
            <w:tcW w:w="493" w:type="pct"/>
            <w:vAlign w:val="center"/>
          </w:tcPr>
          <w:p w14:paraId="623209C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C6">
            <w:pPr>
              <w:spacing w:line="360" w:lineRule="auto"/>
              <w:jc w:val="center"/>
              <w:rPr>
                <w:rFonts w:ascii="宋体" w:hAnsi="宋体" w:cs="宋体"/>
                <w:color w:val="auto"/>
                <w:kern w:val="0"/>
                <w:sz w:val="24"/>
                <w:highlight w:val="none"/>
              </w:rPr>
            </w:pPr>
          </w:p>
        </w:tc>
        <w:tc>
          <w:tcPr>
            <w:tcW w:w="697" w:type="pct"/>
            <w:vAlign w:val="center"/>
          </w:tcPr>
          <w:p w14:paraId="623209C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专业水平</w:t>
            </w:r>
          </w:p>
        </w:tc>
        <w:tc>
          <w:tcPr>
            <w:tcW w:w="358" w:type="pct"/>
            <w:vAlign w:val="center"/>
          </w:tcPr>
          <w:p w14:paraId="623209C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C9">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加分项，被评定为一个领域专业律师的，加15分；被评定为两个领域专业律师的，加30分。</w:t>
            </w:r>
          </w:p>
        </w:tc>
        <w:tc>
          <w:tcPr>
            <w:tcW w:w="493" w:type="pct"/>
            <w:vAlign w:val="center"/>
          </w:tcPr>
          <w:p w14:paraId="623209C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CC">
            <w:pPr>
              <w:spacing w:line="360" w:lineRule="auto"/>
              <w:jc w:val="center"/>
              <w:rPr>
                <w:rFonts w:ascii="宋体" w:hAnsi="宋体" w:cs="宋体"/>
                <w:color w:val="auto"/>
                <w:kern w:val="0"/>
                <w:sz w:val="24"/>
                <w:highlight w:val="none"/>
              </w:rPr>
            </w:pPr>
          </w:p>
        </w:tc>
        <w:tc>
          <w:tcPr>
            <w:tcW w:w="697" w:type="pct"/>
            <w:vAlign w:val="center"/>
          </w:tcPr>
          <w:p w14:paraId="623209C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社会职务</w:t>
            </w:r>
          </w:p>
        </w:tc>
        <w:tc>
          <w:tcPr>
            <w:tcW w:w="358" w:type="pct"/>
            <w:vAlign w:val="center"/>
          </w:tcPr>
          <w:p w14:paraId="623209C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CF">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加分项，担任县级“两代表一委员”加5分，市级“两代表一委员”加10分，省级“两代表一委员”加30分，全国“两代表一委员”的加30分。</w:t>
            </w:r>
          </w:p>
        </w:tc>
        <w:tc>
          <w:tcPr>
            <w:tcW w:w="493" w:type="pct"/>
            <w:vAlign w:val="center"/>
          </w:tcPr>
          <w:p w14:paraId="623209D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D2">
            <w:pPr>
              <w:spacing w:line="360" w:lineRule="auto"/>
              <w:jc w:val="center"/>
              <w:rPr>
                <w:rFonts w:ascii="宋体" w:hAnsi="宋体" w:cs="宋体"/>
                <w:color w:val="auto"/>
                <w:kern w:val="0"/>
                <w:sz w:val="24"/>
                <w:highlight w:val="none"/>
              </w:rPr>
            </w:pPr>
          </w:p>
        </w:tc>
        <w:tc>
          <w:tcPr>
            <w:tcW w:w="697" w:type="pct"/>
            <w:vAlign w:val="center"/>
          </w:tcPr>
          <w:p w14:paraId="623209D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年度考核结果</w:t>
            </w:r>
          </w:p>
        </w:tc>
        <w:tc>
          <w:tcPr>
            <w:tcW w:w="358" w:type="pct"/>
            <w:vAlign w:val="center"/>
          </w:tcPr>
          <w:p w14:paraId="623209D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40</w:t>
            </w:r>
          </w:p>
        </w:tc>
        <w:tc>
          <w:tcPr>
            <w:tcW w:w="2944" w:type="pct"/>
            <w:vAlign w:val="center"/>
          </w:tcPr>
          <w:p w14:paraId="623209D5">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扣分项，上一年度考核基本称职的，扣20分；不称职的，扣40分。</w:t>
            </w:r>
          </w:p>
        </w:tc>
        <w:tc>
          <w:tcPr>
            <w:tcW w:w="493" w:type="pct"/>
            <w:vAlign w:val="center"/>
          </w:tcPr>
          <w:p w14:paraId="623209D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restart"/>
            <w:vAlign w:val="center"/>
          </w:tcPr>
          <w:p w14:paraId="623209D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诚信信息</w:t>
            </w:r>
          </w:p>
        </w:tc>
        <w:tc>
          <w:tcPr>
            <w:tcW w:w="697" w:type="pct"/>
            <w:vAlign w:val="center"/>
          </w:tcPr>
          <w:p w14:paraId="623209D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行政处罚信息</w:t>
            </w:r>
          </w:p>
        </w:tc>
        <w:tc>
          <w:tcPr>
            <w:tcW w:w="358" w:type="pct"/>
            <w:vAlign w:val="center"/>
          </w:tcPr>
          <w:p w14:paraId="623209D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60</w:t>
            </w:r>
          </w:p>
        </w:tc>
        <w:tc>
          <w:tcPr>
            <w:tcW w:w="2944" w:type="pct"/>
            <w:vAlign w:val="center"/>
          </w:tcPr>
          <w:p w14:paraId="623209DB">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扣分项，被司法行政机关行政处罚的，警告30分/条，停止执业60分/条。</w:t>
            </w:r>
          </w:p>
        </w:tc>
        <w:tc>
          <w:tcPr>
            <w:tcW w:w="493" w:type="pct"/>
            <w:vAlign w:val="center"/>
          </w:tcPr>
          <w:p w14:paraId="623209D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vMerge w:val="continue"/>
            <w:vAlign w:val="center"/>
          </w:tcPr>
          <w:p w14:paraId="623209DE">
            <w:pPr>
              <w:spacing w:line="360" w:lineRule="auto"/>
              <w:jc w:val="center"/>
              <w:rPr>
                <w:rFonts w:ascii="宋体" w:hAnsi="宋体" w:cs="宋体"/>
                <w:color w:val="auto"/>
                <w:kern w:val="0"/>
                <w:sz w:val="24"/>
                <w:highlight w:val="none"/>
              </w:rPr>
            </w:pPr>
          </w:p>
        </w:tc>
        <w:tc>
          <w:tcPr>
            <w:tcW w:w="697" w:type="pct"/>
            <w:vAlign w:val="center"/>
          </w:tcPr>
          <w:p w14:paraId="623209DF">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行业处分信息</w:t>
            </w:r>
          </w:p>
        </w:tc>
        <w:tc>
          <w:tcPr>
            <w:tcW w:w="358" w:type="pct"/>
            <w:vAlign w:val="center"/>
          </w:tcPr>
          <w:p w14:paraId="623209E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50</w:t>
            </w:r>
          </w:p>
        </w:tc>
        <w:tc>
          <w:tcPr>
            <w:tcW w:w="2944" w:type="pct"/>
            <w:vAlign w:val="center"/>
          </w:tcPr>
          <w:p w14:paraId="623209E1">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扣分项，被律师协会行业处分的，训诫10分/条，警告20分/条，通报批评30分/条，公开谴责40分/条，中止会员权利50分/条。</w:t>
            </w:r>
          </w:p>
        </w:tc>
        <w:tc>
          <w:tcPr>
            <w:tcW w:w="493" w:type="pct"/>
            <w:vAlign w:val="center"/>
          </w:tcPr>
          <w:p w14:paraId="623209E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E4">
            <w:pPr>
              <w:spacing w:line="360" w:lineRule="auto"/>
              <w:jc w:val="center"/>
              <w:rPr>
                <w:rFonts w:ascii="宋体" w:hAnsi="宋体" w:cs="宋体"/>
                <w:color w:val="auto"/>
                <w:kern w:val="0"/>
                <w:sz w:val="24"/>
                <w:highlight w:val="none"/>
              </w:rPr>
            </w:pPr>
          </w:p>
        </w:tc>
        <w:tc>
          <w:tcPr>
            <w:tcW w:w="697" w:type="pct"/>
            <w:vAlign w:val="center"/>
          </w:tcPr>
          <w:p w14:paraId="623209E5">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党纪处分信息</w:t>
            </w:r>
          </w:p>
        </w:tc>
        <w:tc>
          <w:tcPr>
            <w:tcW w:w="358" w:type="pct"/>
            <w:vAlign w:val="center"/>
          </w:tcPr>
          <w:p w14:paraId="623209E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50</w:t>
            </w:r>
          </w:p>
        </w:tc>
        <w:tc>
          <w:tcPr>
            <w:tcW w:w="2944" w:type="pct"/>
            <w:vAlign w:val="center"/>
          </w:tcPr>
          <w:p w14:paraId="623209E7">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扣分项，被党组织党纪处分的，一条扣25分，两条及以上扣50分；组织处理，每条扣10分。</w:t>
            </w:r>
          </w:p>
        </w:tc>
        <w:tc>
          <w:tcPr>
            <w:tcW w:w="493" w:type="pct"/>
            <w:vAlign w:val="center"/>
          </w:tcPr>
          <w:p w14:paraId="623209E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EA">
            <w:pPr>
              <w:spacing w:line="360" w:lineRule="auto"/>
              <w:jc w:val="center"/>
              <w:rPr>
                <w:rFonts w:ascii="宋体" w:hAnsi="宋体" w:cs="宋体"/>
                <w:color w:val="auto"/>
                <w:kern w:val="0"/>
                <w:sz w:val="24"/>
                <w:highlight w:val="none"/>
              </w:rPr>
            </w:pPr>
          </w:p>
        </w:tc>
        <w:tc>
          <w:tcPr>
            <w:tcW w:w="697" w:type="pct"/>
            <w:vAlign w:val="center"/>
          </w:tcPr>
          <w:p w14:paraId="623209EB">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其他查实信息</w:t>
            </w:r>
          </w:p>
        </w:tc>
        <w:tc>
          <w:tcPr>
            <w:tcW w:w="358" w:type="pct"/>
            <w:vAlign w:val="center"/>
          </w:tcPr>
          <w:p w14:paraId="623209E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ED">
            <w:pPr>
              <w:spacing w:line="360" w:lineRule="auto"/>
              <w:rPr>
                <w:rFonts w:ascii="宋体" w:hAnsi="宋体" w:cs="宋体"/>
                <w:color w:val="auto"/>
                <w:kern w:val="0"/>
                <w:sz w:val="24"/>
                <w:highlight w:val="none"/>
              </w:rPr>
            </w:pPr>
            <w:r>
              <w:rPr>
                <w:rFonts w:ascii="宋体" w:hAnsi="宋体" w:cs="宋体"/>
                <w:color w:val="auto"/>
                <w:kern w:val="0"/>
                <w:sz w:val="24"/>
                <w:highlight w:val="none"/>
              </w:rPr>
              <w:t>扣分项，被投诉后查实的、或者在日常监督检查等过程中发现有其他违法违规行为，但尚未构成行政处罚或行业处分的，每条扣15分。</w:t>
            </w:r>
          </w:p>
        </w:tc>
        <w:tc>
          <w:tcPr>
            <w:tcW w:w="493" w:type="pct"/>
            <w:vAlign w:val="center"/>
          </w:tcPr>
          <w:p w14:paraId="623209E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F0">
            <w:pPr>
              <w:spacing w:line="360" w:lineRule="auto"/>
              <w:jc w:val="center"/>
              <w:rPr>
                <w:rFonts w:ascii="宋体" w:hAnsi="宋体" w:cs="宋体"/>
                <w:color w:val="auto"/>
                <w:kern w:val="0"/>
                <w:sz w:val="24"/>
                <w:highlight w:val="none"/>
              </w:rPr>
            </w:pPr>
          </w:p>
        </w:tc>
        <w:tc>
          <w:tcPr>
            <w:tcW w:w="697" w:type="pct"/>
            <w:vAlign w:val="center"/>
          </w:tcPr>
          <w:p w14:paraId="623209F1">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未履行生效裁判信息</w:t>
            </w:r>
          </w:p>
        </w:tc>
        <w:tc>
          <w:tcPr>
            <w:tcW w:w="358" w:type="pct"/>
            <w:vAlign w:val="center"/>
          </w:tcPr>
          <w:p w14:paraId="623209F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F3">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扣分项，被列入严重失信名单（失信被执行人）的，扣30分，两条及以上扣40分。</w:t>
            </w:r>
          </w:p>
        </w:tc>
        <w:tc>
          <w:tcPr>
            <w:tcW w:w="493" w:type="pct"/>
            <w:vAlign w:val="center"/>
          </w:tcPr>
          <w:p w14:paraId="623209F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至履行生效判决或被剔除失信被执行人名单第二年开始不予扣分</w:t>
            </w:r>
          </w:p>
        </w:tc>
      </w:tr>
      <w:tr w14:paraId="6232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Merge w:val="continue"/>
            <w:vAlign w:val="center"/>
          </w:tcPr>
          <w:p w14:paraId="623209F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形</w:t>
            </w:r>
          </w:p>
        </w:tc>
        <w:tc>
          <w:tcPr>
            <w:tcW w:w="697" w:type="pct"/>
            <w:vAlign w:val="center"/>
          </w:tcPr>
          <w:p w14:paraId="623209F7">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刑事处罚信息</w:t>
            </w:r>
          </w:p>
        </w:tc>
        <w:tc>
          <w:tcPr>
            <w:tcW w:w="358" w:type="pct"/>
            <w:vAlign w:val="center"/>
          </w:tcPr>
          <w:p w14:paraId="623209F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w:t>
            </w:r>
          </w:p>
        </w:tc>
        <w:tc>
          <w:tcPr>
            <w:tcW w:w="2944" w:type="pct"/>
            <w:vAlign w:val="center"/>
          </w:tcPr>
          <w:p w14:paraId="623209F9">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非故意犯罪，一条扣30分。</w:t>
            </w:r>
          </w:p>
        </w:tc>
        <w:tc>
          <w:tcPr>
            <w:tcW w:w="493" w:type="pct"/>
            <w:vAlign w:val="center"/>
          </w:tcPr>
          <w:p w14:paraId="623209F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6" w:type="pct"/>
            <w:vMerge w:val="continue"/>
            <w:vAlign w:val="center"/>
          </w:tcPr>
          <w:p w14:paraId="623209FC">
            <w:pPr>
              <w:spacing w:line="360" w:lineRule="auto"/>
              <w:jc w:val="center"/>
              <w:rPr>
                <w:rFonts w:ascii="宋体" w:hAnsi="宋体" w:cs="宋体"/>
                <w:color w:val="auto"/>
                <w:kern w:val="0"/>
                <w:sz w:val="24"/>
                <w:highlight w:val="none"/>
              </w:rPr>
            </w:pPr>
          </w:p>
        </w:tc>
        <w:tc>
          <w:tcPr>
            <w:tcW w:w="697" w:type="pct"/>
            <w:vAlign w:val="center"/>
          </w:tcPr>
          <w:p w14:paraId="623209FD">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表彰奖励信息</w:t>
            </w:r>
          </w:p>
        </w:tc>
        <w:tc>
          <w:tcPr>
            <w:tcW w:w="358" w:type="pct"/>
            <w:vAlign w:val="center"/>
          </w:tcPr>
          <w:p w14:paraId="623209FE">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110</w:t>
            </w:r>
          </w:p>
        </w:tc>
        <w:tc>
          <w:tcPr>
            <w:tcW w:w="2944" w:type="pct"/>
            <w:vAlign w:val="center"/>
          </w:tcPr>
          <w:p w14:paraId="623209FF">
            <w:pPr>
              <w:spacing w:line="360" w:lineRule="auto"/>
              <w:rPr>
                <w:rFonts w:ascii="宋体" w:hAnsi="宋体" w:cs="宋体"/>
                <w:color w:val="auto"/>
                <w:kern w:val="0"/>
                <w:sz w:val="24"/>
                <w:highlight w:val="none"/>
              </w:rPr>
            </w:pPr>
            <w:r>
              <w:rPr>
                <w:rFonts w:ascii="宋体" w:hAnsi="宋体" w:cs="宋体"/>
                <w:color w:val="auto"/>
                <w:kern w:val="0"/>
                <w:sz w:val="24"/>
                <w:highlight w:val="none"/>
              </w:rPr>
              <w:t>加分项，区、县（市）级表彰奖励（地市级党政机关、人民团体、区、县（市）级党委、政府、绍兴市律师协会、绍兴市律师行业党委）加20/条，地市级表彰奖励（省级党政机关、人民团体、地市级党委、政府、浙江省律师协会、浙江省律师行业党委）加40分/条，省部级（中央和国家党政机关、人民团体、省级党委、政府、中华全国律师协会、全国律师行业党委）加60分/条，国家级（党中央、国务院）加80分/条。</w:t>
            </w:r>
          </w:p>
        </w:tc>
        <w:tc>
          <w:tcPr>
            <w:tcW w:w="493" w:type="pct"/>
            <w:vAlign w:val="center"/>
          </w:tcPr>
          <w:p w14:paraId="62320A00">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3年</w:t>
            </w:r>
          </w:p>
        </w:tc>
      </w:tr>
      <w:tr w14:paraId="6232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14:paraId="62320A02">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公益服务</w:t>
            </w:r>
          </w:p>
        </w:tc>
        <w:tc>
          <w:tcPr>
            <w:tcW w:w="697" w:type="pct"/>
            <w:vAlign w:val="center"/>
          </w:tcPr>
          <w:p w14:paraId="62320A03">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律师参与公共法律服务积分</w:t>
            </w:r>
          </w:p>
        </w:tc>
        <w:tc>
          <w:tcPr>
            <w:tcW w:w="358" w:type="pct"/>
            <w:vAlign w:val="center"/>
          </w:tcPr>
          <w:p w14:paraId="62320A04">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150</w:t>
            </w:r>
          </w:p>
        </w:tc>
        <w:tc>
          <w:tcPr>
            <w:tcW w:w="2944" w:type="pct"/>
            <w:vAlign w:val="center"/>
          </w:tcPr>
          <w:p w14:paraId="62320A05">
            <w:pPr>
              <w:spacing w:line="360" w:lineRule="auto"/>
              <w:rPr>
                <w:rFonts w:ascii="宋体" w:hAnsi="宋体" w:cs="宋体"/>
                <w:color w:val="auto"/>
                <w:kern w:val="0"/>
                <w:sz w:val="24"/>
                <w:highlight w:val="none"/>
              </w:rPr>
            </w:pPr>
            <w:r>
              <w:rPr>
                <w:rFonts w:ascii="宋体" w:hAnsi="宋体" w:cs="宋体"/>
                <w:color w:val="auto"/>
                <w:kern w:val="0"/>
                <w:sz w:val="24"/>
                <w:highlight w:val="none"/>
              </w:rPr>
              <w:t>由浙江省律师参与公共法律服务律师事务所积分得分计算</w:t>
            </w:r>
          </w:p>
        </w:tc>
        <w:tc>
          <w:tcPr>
            <w:tcW w:w="493" w:type="pct"/>
            <w:vAlign w:val="center"/>
          </w:tcPr>
          <w:p w14:paraId="62320A06">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r w14:paraId="6232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06" w:type="pct"/>
            <w:vAlign w:val="center"/>
          </w:tcPr>
          <w:p w14:paraId="62320A08">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公共信用评分</w:t>
            </w:r>
          </w:p>
        </w:tc>
        <w:tc>
          <w:tcPr>
            <w:tcW w:w="697" w:type="pct"/>
            <w:vAlign w:val="center"/>
          </w:tcPr>
          <w:p w14:paraId="62320A09">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公共信用评分</w:t>
            </w:r>
          </w:p>
        </w:tc>
        <w:tc>
          <w:tcPr>
            <w:tcW w:w="358" w:type="pct"/>
            <w:vAlign w:val="center"/>
          </w:tcPr>
          <w:p w14:paraId="62320A0A">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300</w:t>
            </w:r>
          </w:p>
        </w:tc>
        <w:tc>
          <w:tcPr>
            <w:tcW w:w="2944" w:type="pct"/>
            <w:vAlign w:val="center"/>
          </w:tcPr>
          <w:p w14:paraId="62320A0B">
            <w:pPr>
              <w:spacing w:line="360" w:lineRule="auto"/>
              <w:rPr>
                <w:rFonts w:ascii="宋体" w:hAnsi="宋体" w:cs="宋体"/>
                <w:color w:val="auto"/>
                <w:kern w:val="0"/>
                <w:sz w:val="24"/>
                <w:highlight w:val="none"/>
              </w:rPr>
            </w:pPr>
            <w:r>
              <w:rPr>
                <w:rFonts w:ascii="宋体" w:hAnsi="宋体" w:cs="宋体"/>
                <w:color w:val="auto"/>
                <w:kern w:val="0"/>
                <w:sz w:val="24"/>
                <w:highlight w:val="none"/>
              </w:rPr>
              <w:t>由浙江省自然人公共信用评价得分计算</w:t>
            </w:r>
          </w:p>
        </w:tc>
        <w:tc>
          <w:tcPr>
            <w:tcW w:w="493" w:type="pct"/>
            <w:vAlign w:val="center"/>
          </w:tcPr>
          <w:p w14:paraId="62320A0C">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1年</w:t>
            </w:r>
          </w:p>
        </w:tc>
      </w:tr>
    </w:tbl>
    <w:p w14:paraId="62320A0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针对于律师事务所、律师所涉及指标的分值、计分周期、及加分/扣分项、指标说明、数据来源进行配置及管理。</w:t>
      </w:r>
    </w:p>
    <w:p w14:paraId="62320A0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规则添加：在对应版本下对该版本中律师事务所或律师的信用分数计算规则进行添加，系统可以自主添加一级指标项、二级指标项；并对指标项的分值、加/扣分项、指标说明、数据来源、记分周期信息进行管理。其中：</w:t>
      </w:r>
    </w:p>
    <w:p w14:paraId="62320A1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计分周期以年为单位，默认0年，则表示数据为计算周期为实时；1年则表示计分周期为1年，依次类推；</w:t>
      </w:r>
    </w:p>
    <w:p w14:paraId="62320A1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指标类型，分为加分项/扣分项，通过该指标的类型对信用分进行增加或减少；</w:t>
      </w:r>
    </w:p>
    <w:p w14:paraId="62320A1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指标分值：指标加分/扣分的最高上限；</w:t>
      </w:r>
    </w:p>
    <w:p w14:paraId="62320A1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指标说明：针对指标的具体计算规则进行描述；</w:t>
      </w:r>
    </w:p>
    <w:p w14:paraId="62320A1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记分周期：是指加分或扣分分值有效期限，表彰奖励或行政处罚、行业处分等自决定作出之日起开始计算，公益法律服务于每年年度考核期间统一核定上一年度时长情况后开始计算，到期后系统将自动恢复原始分值。</w:t>
      </w:r>
    </w:p>
    <w:p w14:paraId="62320A1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启动/关闭：指标增加时，指标状态默认为关闭状态，可手动调整为启动，对于启动的指标项，才会根据统计的数据对分值进行加分/扣分。</w:t>
      </w:r>
    </w:p>
    <w:p w14:paraId="62320A1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编辑规则：根据实际情况随意可以对系统中的规则进行调整，当天调整的规则默认次日凌晨进行信用分调整计算。针对启用状态版本下的规则进行调整时，调整完成，规则操作可点击“即时计算”按钮，对线上数据进行同步更新；若当天不对其进行操作，次日凌晨数据统一计算信用分时，该按钮置灰，悬停则展示“数据计算中”，数据计算完成按钮隐藏处理。</w:t>
      </w:r>
    </w:p>
    <w:p w14:paraId="62320A1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删除规则：规则中的指标可以进行删除操作，操作时，需要需要用户再次确认，确认完成后对该指标进行删除。调整完成，操作中可点击“即时计算”按钮，对线上数据进行同步更新；若当天不对其进行操作，次日凌晨数据统一计算信用分时，该按钮置灰，悬停则展示“数据计算中”，数据计算完成按钮隐藏处理。</w:t>
      </w:r>
    </w:p>
    <w:p w14:paraId="62320A1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查看规则：可在对应版本中查看具体的指标内容。</w:t>
      </w:r>
    </w:p>
    <w:p w14:paraId="62320A19">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（5）规则建模</w:t>
      </w:r>
    </w:p>
    <w:p w14:paraId="62320A1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从律师在线系统获取关于律师事务所基本情况（合伙人数量、专兼职律师数量、律师事务所分所设立情况、党员律师比例、党组织设立情况、执业状态），机构管理（年度考核结果），诚信信息（行政处罚信息、行业处分信息、其他查实信息、执业人员违法违规执业、执业信息、表彰奖励信息），公益服务信息；从浙江省一体数字化资源平台（IRS）系统获取关于社保部门（社保缴纳信息）、税务部门（税收缴纳信息）、法院系统（未履行生效裁判信息）信息；同时获取公共信用评价数据结合具体的规则内容以及业务数据进行建模。从区域、对象等不同维度合理呈现律师事务所信用评分信息。</w:t>
      </w:r>
    </w:p>
    <w:p w14:paraId="62320A1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从律师在线系统获取关于律师基本情况及执业状况（政治面貌、执业状态、律师职称、专业水平、社会职务、年度考核结果），诚信信息（行政处罚信息、行业处分信息、党纪处分信息、其他查实信息、表彰奖励信息），公益服务；IRS系统关于法院系统（未履行生效裁判信息）；同时获取公共信用评价数据结合具体的规则内容以及业务数据进行建模。从区域、对象等不同维度合理呈现律师事务所信用评分信息。</w:t>
      </w:r>
    </w:p>
    <w:p w14:paraId="62320A1C">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（6）信用分计算</w:t>
      </w:r>
    </w:p>
    <w:p w14:paraId="62320A1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信用分计算实现自动计分、动态管理，当启用某个版本对于信用分进行计算时，根据版本中的规则对所需指标数据进行统计；同时获取基础分数据，在基础分的基础上，结合规则对于每个指标所统计出来的数据进行信用分计算，最终计算出律师/律师事务所的信用分。</w:t>
      </w:r>
    </w:p>
    <w:p w14:paraId="62320A1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当信用分计算出来后，获取信用分级管理数据，根据数据内容对信用分进行等级对应。</w:t>
      </w:r>
    </w:p>
    <w:p w14:paraId="62320A1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信用分的计算支持定时计算以及实时计算两种方式，满足日常需求。</w:t>
      </w:r>
    </w:p>
    <w:p w14:paraId="62320A20">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信用分级管理</w:t>
      </w:r>
    </w:p>
    <w:p w14:paraId="62320A21">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（1）律师事务所分级管理</w:t>
      </w:r>
    </w:p>
    <w:p w14:paraId="62320A22">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将计算得出的关于律师事务所信用分级数据进行展示，展示律师事务所名称、主管司法局、信用分、以及信用等级进行展示。</w:t>
      </w:r>
    </w:p>
    <w:p w14:paraId="62320A23">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数据查询：可以根据律师事务所名称、区域、主管司法局、指标类型等信息对数据进行查询。</w:t>
      </w:r>
    </w:p>
    <w:p w14:paraId="62320A24">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数据详情：可以查看律师事务所信用分值，以及各项指标</w:t>
      </w:r>
      <w:r>
        <w:rPr>
          <w:rFonts w:hint="eastAsia" w:ascii="宋体" w:hAnsi="宋体" w:cs="宋体"/>
          <w:color w:val="auto"/>
          <w:sz w:val="24"/>
          <w:highlight w:val="none"/>
        </w:rPr>
        <w:t>的</w:t>
      </w:r>
      <w:r>
        <w:rPr>
          <w:rFonts w:ascii="宋体" w:hAnsi="宋体" w:cs="宋体"/>
          <w:color w:val="auto"/>
          <w:sz w:val="24"/>
          <w:highlight w:val="none"/>
        </w:rPr>
        <w:t>具体得分数据；同时可以查看该律师事务所的信用分值变更记录信息。</w:t>
      </w:r>
    </w:p>
    <w:p w14:paraId="62320A25">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已经注销的律师事务所默认不进行展示，可通过是否展示已注销选项对历史数据信息进行查看。</w:t>
      </w:r>
    </w:p>
    <w:p w14:paraId="62320A26">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（2）律师分级管理</w:t>
      </w:r>
    </w:p>
    <w:p w14:paraId="62320A27">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将计算得出的关于律师信用分级数据进行展示，展示律师名称、执业机构、主管司法局、信用分、以及信用等级进行展示。</w:t>
      </w:r>
    </w:p>
    <w:p w14:paraId="62320A28">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数据查询：可以根据律师名称、执业机构、区域、主管司法局、指标类型等信息对数据进行查询。</w:t>
      </w:r>
    </w:p>
    <w:p w14:paraId="62320A29">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数据详情：可以查看律师信用分值，以及各项指标得具体得分数据；同时可以查看该律师的信用分值变更记录信息。</w:t>
      </w:r>
    </w:p>
    <w:p w14:paraId="62320A2A">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已经注销的律师默认不进行展示，可通过是否展示已注销选项对历史数据信息进行查看。</w:t>
      </w:r>
    </w:p>
    <w:p w14:paraId="62320A2B">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（3）复查管理</w:t>
      </w:r>
    </w:p>
    <w:p w14:paraId="62320A2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与律师和律师事务所对信用等级评定结果有异议的，可以在记分周期内向主管司法行政机关提出书面复查申请，并提供相关证明材料。主管司法行政机关应当自收到复查申请之日起十五个工作日内完成处理并将结果告知申请人；复查需要向相关单位核实情况的，所需时间不计入复查时间。复查期间信用等级保持原评定结果，复查后变更信用等级的，应当及时更新数据。</w:t>
      </w:r>
    </w:p>
    <w:p w14:paraId="62320A2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复查申请：由律师或律师事务所对其有异议的指标类型进行多项选择，并录入对应的证明材料信息。</w:t>
      </w:r>
    </w:p>
    <w:p w14:paraId="62320A2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复查审批：由主管司法局对其进行审核并进行最终的核定以及赋分，赋分方式可根据类型采用默认值赋分，也可通过主管司法局人员手动进行赋分。</w:t>
      </w:r>
    </w:p>
    <w:p w14:paraId="62320A2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核定完成后，次日更新其对应的指标项分值以及律师或律师事务所对应的信用总分。</w:t>
      </w:r>
    </w:p>
    <w:p w14:paraId="62320A30">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（4）处罚管理（针对异地执业经历律师）</w:t>
      </w:r>
    </w:p>
    <w:p w14:paraId="62320A3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对有过异地执业经历的律师曾受到过司法行政机关行政处罚或律师协会行业处分的，由主管司法行政机关进行评价，认为该情形处于记分周期内的，应比照本办法规定的标准相应增减分。</w:t>
      </w:r>
    </w:p>
    <w:p w14:paraId="62320A3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将有异地执业经历的律师，并受到行政处罚或行业处分的事项进行展示，有主管司法行政机关确定是否仍记录该惩罚，以及该惩罚截止的时间点。</w:t>
      </w:r>
    </w:p>
    <w:p w14:paraId="62320A3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将律师原有的信用分值，再结合该处理对应的增减分值，计算出最终的信用分值信息。</w:t>
      </w:r>
    </w:p>
    <w:p w14:paraId="62320A34">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（5）数据统计</w:t>
      </w:r>
    </w:p>
    <w:p w14:paraId="62320A3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律师分级数量展示：针对范围内的律师从AAAAA、AAAA、AAA、AA、A等级的律师数量分别进行展示；同时以年为区间进行数量及趋势展示；不同地市各等级律师数量统计展示；</w:t>
      </w:r>
    </w:p>
    <w:p w14:paraId="62320A3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律师事务所分级数量展示：针对范围内的律师事务所从AAAAA、AAAA、AAA、AA、A等级的律师事务所数量分别进行展示；同时以年为区间进行数量及趋势展示，不同地市各等级律师事务所数量统计展示。</w:t>
      </w:r>
    </w:p>
    <w:p w14:paraId="62320A37">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ascii="宋体" w:hAnsi="宋体" w:cs="宋体"/>
          <w:color w:val="auto"/>
          <w:sz w:val="24"/>
          <w:szCs w:val="24"/>
          <w:highlight w:val="none"/>
        </w:rPr>
        <w:t>公益服务</w:t>
      </w:r>
    </w:p>
    <w:p w14:paraId="62320A38">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数据获取</w:t>
      </w:r>
    </w:p>
    <w:p w14:paraId="62320A39">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（1）获取数仓以下数据信息</w:t>
      </w:r>
    </w:p>
    <w:p w14:paraId="62320A3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人民调解大数据平台关于担任人民调解员、入选人民调解专家库、参与调解矛盾纠纷案件、成功调解矛盾纠纷案件、促成的人民调解协议有效履行、人民调解成功被当事人评价满意及以上的指标内容相关数据获取。</w:t>
      </w:r>
    </w:p>
    <w:p w14:paraId="62320A3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乡镇(街道)合法性审查系统关于参与行政决策合法性审查，参与行政规范性文件制定合法性审、参与行政规范性文件备案审查并出具审查意见，参与行政许可决定、政府信息公开合法性审查，参与行政协议和合同合法性审查指标内容相关数据获取。</w:t>
      </w:r>
    </w:p>
    <w:p w14:paraId="62320A3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浙江省综合行政执法系统关于参与行政处罚决定合法性审查指标内容相关数据获取。</w:t>
      </w:r>
    </w:p>
    <w:p w14:paraId="62320A3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浙江省“大综合一体化”执法监管数字应用参与行政强制、行政处罚决定的合法性审查指标内容数据获取。</w:t>
      </w:r>
    </w:p>
    <w:p w14:paraId="62320A3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里复议数智应用关于担任各级行政复议咨询委员会委员（同时入选不同层级委员会不重复计分），担任各级行政争议调解中心特邀调解员（同时担任不同层级调解员不重复计分），为行政复议、行政应诉案件提供咨询意见，作为第三方主持复议案件成功调解，作为案件代理律师积极推动复议案件成功调解，到行政复议机构挂职指标内容相关数据获取。</w:t>
      </w:r>
    </w:p>
    <w:p w14:paraId="62320A3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法律援助统一服务平台关于办理法律援助机构指派案件，办理法律援助案件被当事人或办案机关评价满意的（群体性案件得分最高不超过4分/件），辩护或代理意见被采纳情况，法律援助案卷抽查评查情况，受法律援助机构指派提供值班律师法律帮助指标内容相关数据获取。</w:t>
      </w:r>
    </w:p>
    <w:p w14:paraId="62320A4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浙江省公共法律服务平台关于在公共法律服务中心、站点（社会治理中心）、信访部门，以及公检法机关等公益值班地点驻点值班指标内容相关数据获取。</w:t>
      </w:r>
    </w:p>
    <w:p w14:paraId="62320A4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浙江省律师在线系统受律师事务所指派自行免费办理案件（非法律援助机构指派），村（社区）法律顾问中担任村（社区）法律顾问、年度履职考核情况，法治扶贫相关参加浙江律师法律援助志愿服务行动、参加“1+1”中国法律援助志愿者活动、参加援藏（青）律师服务、参加律所结对帮扶山区26县司法局活动指标内容相关数据获取。（2）积分数据提供</w:t>
      </w:r>
    </w:p>
    <w:p w14:paraId="62320A4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将浙江省人民调解大数据平台、乡镇（街道）合法性审查系统、浙江省综合行政执法系统、浙江省“大综合一体化”执法监管数字应用、浙里复议数智应用、浙江省法律援助统一服务平台、浙江省公共法律服务平台、及律师在线获取的数据，以及自主填报的数据根据积分规则的配置进行计算，将计算后的数据同步给省司法厅数据仓。</w:t>
      </w:r>
    </w:p>
    <w:p w14:paraId="62320A43">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数据处理</w:t>
      </w:r>
    </w:p>
    <w:p w14:paraId="62320A44">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（1）数据采集源</w:t>
      </w:r>
    </w:p>
    <w:p w14:paraId="62320A4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数据采集源包括：浙江省人民调解大数据平台、乡镇（街道）合法性审查系统、浙江省综合行政执法系统、浙江省“大综合一体化”执法监管数字应用、浙里复议数智应用、浙江省法律援助统一服务平台、浙江省公共法律服务平台、律师在线系统。</w:t>
      </w:r>
    </w:p>
    <w:p w14:paraId="62320A46">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（2）数据加工</w:t>
      </w:r>
    </w:p>
    <w:p w14:paraId="62320A4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数据加工规则如下：</w:t>
      </w:r>
    </w:p>
    <w:p w14:paraId="62320A4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非空检核：检查数据是否存在空值，如果是，则根据情况进行填充、删除或忽略；</w:t>
      </w:r>
    </w:p>
    <w:p w14:paraId="62320A4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主键重复检核：检查数据是否存在重复的主键，如果是，则根据情况进行合并、删除或忽略；</w:t>
      </w:r>
    </w:p>
    <w:p w14:paraId="62320A4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非法值清洗：检查数据是否存在超出正常范围或逻辑的值，如果是，则根据情况进行替换、删除或忽略；</w:t>
      </w:r>
    </w:p>
    <w:p w14:paraId="62320A4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数据格式检核：通过检查表中属性值的格式是否正确来衡量其准确性，如时间格式、币种格式、多余字符、乱码。</w:t>
      </w:r>
    </w:p>
    <w:p w14:paraId="62320A4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检查数据是否符合预定义的格式或类型，如果不是，则根据情况进行转换、删除或忽略；</w:t>
      </w:r>
    </w:p>
    <w:p w14:paraId="62320A4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记录数检核：检查数据是否与预期的记录数相符，如果不是，则根据情况进行补充、删除或忽略；</w:t>
      </w:r>
    </w:p>
    <w:p w14:paraId="62320A4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异常值处理：检查数据是否存在异常的值，如果是，则根据情况进行标记、删除或忽略。</w:t>
      </w:r>
    </w:p>
    <w:p w14:paraId="62320A4F">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自主申报</w:t>
      </w:r>
    </w:p>
    <w:p w14:paraId="62320A50">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（1）申报管理</w:t>
      </w:r>
    </w:p>
    <w:p w14:paraId="62320A5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申报管理主要是针对法治宣传、其他公益服务等暂时无系统对应的公益服务项目在“律师在线”平台提供数据填报服务，填写清楚活动的名称、时间、地点、内容及服务方式、服务对象等信息，并上传能投体现法律服务内容的相关图片资料。经律师事务所确认、相应司法行政审查完成后根据评价细节第二天自动赋予相应积分。</w:t>
      </w:r>
    </w:p>
    <w:p w14:paraId="62320A5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列表管理：所有上报事项依据上报时间进行倒序排列；</w:t>
      </w:r>
    </w:p>
    <w:p w14:paraId="62320A5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查询：可通过律师姓名、服务类型、服务时间等信息对数据进行查询；</w:t>
      </w:r>
    </w:p>
    <w:p w14:paraId="62320A5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查看：可查看单条数据的基本信息以及审批状态。</w:t>
      </w:r>
    </w:p>
    <w:p w14:paraId="62320A55">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（2）新增申报</w:t>
      </w:r>
    </w:p>
    <w:p w14:paraId="62320A5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目前系统支持乡镇（街道）行政合法性审查、参与立法、法治宣传、律师参与市场化解纷机制、其他公益服务等服务事项项目进行事项申报。系统支持律师对律师个人事项进行申报，律师事务所对律所事项以及代律师事项进行申报，司法行政机关、律师协会用户可为代律师及律师事务所事项进行申报。针对不同类型用户申报表单也会有差异。</w:t>
      </w:r>
    </w:p>
    <w:p w14:paraId="62320A5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律师：申报信息包括申请人/单位，执业家机构、服务项目、工作类型、服务开始时间、服务结束时间、工作地点、工作内容、辅助材料。</w:t>
      </w:r>
    </w:p>
    <w:p w14:paraId="62320A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事务所：律所事项申报，申报信息包括执业机构、服务项目、工作类型、服务开始时间、服务结束时间、工作地点、工作内容、辅助材料信息；代律师事项申报，申报信息包括申请人/单位、执业机构、服务项目、工作类型、服务开始时间、服务结束时间、工作地点、工作内容、辅助材料信息。</w:t>
      </w:r>
    </w:p>
    <w:p w14:paraId="62320A5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司法行政机关、律师协会：代律师事项申报，申报信息包括申请单位、服务项目、工作类型、服务开始时间、服务结束时间、工作地点、工作内容、辅助材料；代律师事项申报，申报信息包括申请单位、申请人、服务项目、工作类型、服务开始时间、服务结束时间、工作地点、工作内容、辅助材料。（3）申报审批</w:t>
      </w:r>
    </w:p>
    <w:p w14:paraId="62320A5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对于律师申报的事项，由律所进行内审，司法行政机关、律师协会进行终审。针对驳回事项可快捷重新填报。</w:t>
      </w:r>
    </w:p>
    <w:p w14:paraId="62320A5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对于律所申报的事项，由律所进行内审，司法行政机关、律师协会进行终审。针对驳回事项可快捷重新填报。</w:t>
      </w:r>
    </w:p>
    <w:p w14:paraId="62320A5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针对司法行政机关、律师协会用户申报的事项，无需进行审批。</w:t>
      </w:r>
    </w:p>
    <w:p w14:paraId="62320A5D">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积分管理</w:t>
      </w:r>
    </w:p>
    <w:p w14:paraId="62320A5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积分管理包含积分预览、人员积分、机构积分、积分建模、积分计算、事项追溯。</w:t>
      </w:r>
    </w:p>
    <w:p w14:paraId="62320A5F">
      <w:pPr>
        <w:pStyle w:val="971"/>
        <w:ind w:left="0" w:leftChars="0" w:firstLine="0" w:firstLineChars="0"/>
        <w:rPr>
          <w:rFonts w:ascii="宋体" w:hAnsi="宋体" w:cs="宋体"/>
          <w:color w:val="auto"/>
          <w:sz w:val="24"/>
          <w:szCs w:val="24"/>
          <w:highlight w:val="none"/>
        </w:rPr>
      </w:pPr>
    </w:p>
    <w:p w14:paraId="62320A60">
      <w:pPr>
        <w:pStyle w:val="971"/>
        <w:ind w:left="0" w:leftChars="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114300" distR="114300">
            <wp:extent cx="5419725" cy="4572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5419725" cy="4572000"/>
                    </a:xfrm>
                    <a:prstGeom prst="rect">
                      <a:avLst/>
                    </a:prstGeom>
                    <a:noFill/>
                    <a:ln>
                      <a:noFill/>
                    </a:ln>
                  </pic:spPr>
                </pic:pic>
              </a:graphicData>
            </a:graphic>
          </wp:inline>
        </w:drawing>
      </w:r>
    </w:p>
    <w:p w14:paraId="62320A61">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（1）积分总览</w:t>
      </w:r>
    </w:p>
    <w:p w14:paraId="62320A6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通过各种维度对积分数据进行统计，包括全省人员积分分布图、全省机构积分分布图、全省人员数量与分数分布图、律所规模分数占比图、全省近几年人员总分、机构总分、综合总分趋势图。</w:t>
      </w:r>
    </w:p>
    <w:p w14:paraId="62320A63">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（2）人员积分</w:t>
      </w:r>
    </w:p>
    <w:p w14:paraId="62320A6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可以查看律师的年度分数信息，并且可以查看数据（即律师年度积分数据）积分的详细组成信息。可以通过律师姓名、执业证号、执业机构、主管司法局、执业类别、性别、评分年度、分数区间对数据进行查询。</w:t>
      </w:r>
    </w:p>
    <w:p w14:paraId="62320A65">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（3）机构积分</w:t>
      </w:r>
    </w:p>
    <w:p w14:paraId="62320A6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可以查看律所的年度分数信息，并且可以查看数据（即律师事务所年度积分数据）积分的详细组成信息。可以通过机构名称、组织形式（普通合伙所、特殊的普通合伙所、个人所、分所）、主管司法局、负责人、评分年度、分数区间、规模等对数据进行查询。</w:t>
      </w:r>
    </w:p>
    <w:p w14:paraId="62320A67">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（4）积分建模</w:t>
      </w:r>
    </w:p>
    <w:p w14:paraId="62320A6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从参与人民调解数据信息、乡镇（街道）行政合法性审查数据信息、参与立法数据信息、参与行政复议数据信息、法律援助数据信息、村（社区）法律顾问数据信息、法治扶贫数据信息、法治宣传公益值班数据、其他公益服务信息结合业务进行建模，从区域、对象、等等不同维度合理呈现积分数值。</w:t>
      </w:r>
    </w:p>
    <w:p w14:paraId="62320A69">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（5）积分计算</w:t>
      </w:r>
    </w:p>
    <w:p w14:paraId="62320A6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依据参与人民调解数据信息、乡镇（街道）行政合法性审查数据信息、参与立法数据信息、参与行政复议数据信息、法律援助数据信息、村（社区）法律顾问数据信息、法治扶贫数据信息、法治宣传公益值班数据、其他公益服务信息模型，对业务数据进行分类计算，并以自然年为区间对数据进行计算。若存在积分模型更改时，则需重新对数据进行计算。</w:t>
      </w:r>
    </w:p>
    <w:p w14:paraId="62320A6B">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（6）事项追溯（源数据）</w:t>
      </w:r>
    </w:p>
    <w:p w14:paraId="62320A6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展示各业务系统源数据信息，并进行实时展示，即与积分制评价指标有关的事项数据的明细。若出现事项积分配置有误时，方便第一时间定位问题，确认源数据是否准确或者是事项积分配置计算问题。</w:t>
      </w:r>
    </w:p>
    <w:p w14:paraId="62320A6D">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建模研探</w:t>
      </w:r>
    </w:p>
    <w:p w14:paraId="62320A6E">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（1）人员</w:t>
      </w:r>
    </w:p>
    <w:p w14:paraId="62320A6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确定积分计算模型后，根据区域、评分类型、执业类别、性别等信息自动列出有代表性的律师，可勾选多个律师进行版本数据的计算及预览，以便验证与完善计算模型的合理性。也可以查询积分数据信息的细项分数。</w:t>
      </w:r>
    </w:p>
    <w:p w14:paraId="62320A70">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（2）机构</w:t>
      </w:r>
    </w:p>
    <w:p w14:paraId="62320A7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确定积分计算模型后，根据区域、评分类型、组织形式、规模等信息自动列出有代表性的律师事务所，可勾选多个律师事务所进行版本数据的计算及预览，以便验证与完善计算模型的合理性。也可以查询积分数据信息的细项分数。</w:t>
      </w:r>
    </w:p>
    <w:p w14:paraId="62320A72">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规则配置</w:t>
      </w:r>
    </w:p>
    <w:p w14:paraId="62320A7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对规则配置信息进行管理，可以对规则进行新增、详情查看，以及规则的拟用以及禁用。</w:t>
      </w:r>
    </w:p>
    <w:p w14:paraId="62320A7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规则新增，输入规则版本号、版本描述、新增版本时间（系统默认）、创建人（系统默认），可选择已有版本内容进行指标信息快速填充；填充后对指标进行新增、编辑、删除等操作。新增的规则默认为禁用状态，可手动调整为拟用状态。</w:t>
      </w:r>
    </w:p>
    <w:p w14:paraId="62320A75">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ascii="宋体" w:hAnsi="宋体" w:cs="宋体"/>
          <w:color w:val="auto"/>
          <w:sz w:val="24"/>
          <w:szCs w:val="24"/>
          <w:highlight w:val="none"/>
        </w:rPr>
        <w:t>智慧党建</w:t>
      </w:r>
    </w:p>
    <w:p w14:paraId="62320A76">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党组织管理</w:t>
      </w:r>
    </w:p>
    <w:p w14:paraId="62320A77">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（1）基础数据导入</w:t>
      </w:r>
    </w:p>
    <w:p w14:paraId="62320A7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将浙江省行政区划信息中的省、市、区/县数据作为智慧党建的基础架构。其中浙江省对应行业党组织类型为省律师行业党委；各地市对应行业党组织类型为市行业党委。</w:t>
      </w:r>
    </w:p>
    <w:p w14:paraId="62320A79">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（2）党组织信息</w:t>
      </w:r>
    </w:p>
    <w:p w14:paraId="62320A7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党组织信息管理及展示，包含党支部新增、编辑、详情、换届信息。</w:t>
      </w:r>
    </w:p>
    <w:p w14:paraId="62320A7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组织管理通过树状结构展示党组织架构，组织层级关系一目了然。可方便随时了解党组织名称、律所党组织类型、律所党组织概况、党员数量、支部信息、支委信息、党员信息、入党积极分子、入党申请人员、换届信息、党纪处分信息，快速了解党组织内部情况，实现对党组织实现全历程跟踪，对党员实现全生命周期管理。其中党组织概况中包含：联合党支部数量、覆盖律师事务所数量、党员数量、党总支数量、独立党支部数</w:t>
      </w:r>
      <w:r>
        <w:rPr>
          <w:rFonts w:ascii="宋体" w:hAnsi="宋体" w:cs="宋体"/>
          <w:color w:val="auto"/>
          <w:sz w:val="24"/>
          <w:highlight w:val="none"/>
        </w:rPr>
        <w:t>量。</w:t>
      </w:r>
    </w:p>
    <w:p w14:paraId="62320A7C">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（3）党支部新增</w:t>
      </w:r>
    </w:p>
    <w:p w14:paraId="62320A7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党支部新增包含支部信息、支委信息、党员信息、入党积极分子、入党申请人员。</w:t>
      </w:r>
    </w:p>
    <w:p w14:paraId="62320A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支部信息：党组织名称、组织类型、主管司法局、成立时间、上级党组织性质、关联律师事务所；</w:t>
      </w:r>
    </w:p>
    <w:p w14:paraId="62320A7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支委信息：姓名、身份证号、所内身份、律师事务所、党内职务；</w:t>
      </w:r>
    </w:p>
    <w:p w14:paraId="62320A8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党员信息：姓名、身份证号、所内身份、律师事务所、入党时间；</w:t>
      </w:r>
    </w:p>
    <w:p w14:paraId="62320A8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入党积极分子：姓名、身份证号、所内身份、律师事务所、入党时间；</w:t>
      </w:r>
    </w:p>
    <w:p w14:paraId="62320A8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入党申请人员：姓名、身份证号、所内身份、律师事务所、申请时间。</w:t>
      </w:r>
    </w:p>
    <w:p w14:paraId="62320A83">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（4）党组织搜索</w:t>
      </w:r>
    </w:p>
    <w:p w14:paraId="62320A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党组织搜索可通过律师事务所党组织名称、事务所名称、党员姓名、上级党组织性质、事务所党组织性质进行查询，方便查找所需的党组织信息。</w:t>
      </w:r>
    </w:p>
    <w:p w14:paraId="62320A85">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（5）党组织换届</w:t>
      </w:r>
    </w:p>
    <w:p w14:paraId="62320A8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可对党组织进行一键换届，并记录届别及换届时间信息。同时可在党组织信息中对换届信息进行查看。</w:t>
      </w:r>
    </w:p>
    <w:p w14:paraId="62320A87">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组织架构</w:t>
      </w:r>
    </w:p>
    <w:p w14:paraId="62320A8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中共浙江省律师行业党委组织架构信息展示，展示市、区/县律师行业党委、以及律师事务所党组织信息。鼠标悬停后展示对应的律师行业党委信息数据。</w:t>
      </w:r>
    </w:p>
    <w:p w14:paraId="62320A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市律师行业党委鼠标悬停后展示：成立县（市、区）律师行业党委、律师事务所党委、律师事务所党总支、律师事务所独立党支部、律师事务所联合党支部、覆盖律师事务所数量；</w:t>
      </w:r>
    </w:p>
    <w:p w14:paraId="62320A8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区/县律师行业党委鼠标悬停后展示：律师事务所党委、律师事务所党总支、律师事务所独立党支部、律师事务所联合党支部、覆盖律师事务所数量；</w:t>
      </w:r>
    </w:p>
    <w:p w14:paraId="62320A8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律所律师行业党委鼠标悬停后展示：具体的事务所名称；</w:t>
      </w:r>
    </w:p>
    <w:p w14:paraId="62320A8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律所律师行业党组织点击后，调转到对应的党组织详情。</w:t>
      </w:r>
    </w:p>
    <w:p w14:paraId="62320A8D">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数据统计</w:t>
      </w:r>
    </w:p>
    <w:p w14:paraId="62320A8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统计浙江省内省律师行业党委数、市律师行业党委数、县（市、区）律师行业党委（党总支）数、律师事务所党组织数、覆盖律所数/律所总数。</w:t>
      </w:r>
    </w:p>
    <w:p w14:paraId="62320A8F">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关系结转</w:t>
      </w:r>
    </w:p>
    <w:p w14:paraId="62320A9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党员党组织与许可事项关联，当申请人为政务个人时，在申请律师执业、变更执业机构、注销律师执业等事项办结时，其党员身份、所属党组织等信息无需手动处理，自动在智慧党建中变更；当申请人为政务法人时，在申请设立律所、变更住所、律所注销等事项办结时，其党组织信息无需手动处理，自动在智慧党建中变更。</w:t>
      </w:r>
    </w:p>
    <w:p w14:paraId="62320A91">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党建考评</w:t>
      </w:r>
    </w:p>
    <w:p w14:paraId="62320A9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设立星级党支部字段，由区县司法局考评律师事务所党支部星级，分为一星至五星。</w:t>
      </w:r>
    </w:p>
    <w:p w14:paraId="62320A9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另设立党建信息异常预警，将智慧党建中存在未加入党组织的党员、律所存在党员但未成立党组织、律所无党员等异常情况进行显示。</w:t>
      </w:r>
    </w:p>
    <w:p w14:paraId="62320A94">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ascii="宋体" w:hAnsi="宋体" w:cs="宋体"/>
          <w:color w:val="auto"/>
          <w:sz w:val="24"/>
          <w:szCs w:val="24"/>
          <w:highlight w:val="none"/>
        </w:rPr>
        <w:t>党政法顾</w:t>
      </w:r>
    </w:p>
    <w:p w14:paraId="62320A95">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首页</w:t>
      </w:r>
    </w:p>
    <w:p w14:paraId="62320A96">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（1）法律顾问统计</w:t>
      </w:r>
    </w:p>
    <w:p w14:paraId="62320A9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统计聘用法律顾问单位总数量，以及省级、市级、县级各级的数量；聘用法律顾问数量统计，以及内聘、外聘各类的人员的数量；人员年龄分布统计；人员性别分布统计；人员学历分布统计；人员地域分布统计；人员专长分布统计。</w:t>
      </w:r>
    </w:p>
    <w:p w14:paraId="62320A98">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（2）工作记录统计</w:t>
      </w:r>
    </w:p>
    <w:p w14:paraId="62320A9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工作记录关键指标统计：工作记录总数、月度累计工作记录、昨日新增工作记录、法律顾问单位总数。</w:t>
      </w:r>
    </w:p>
    <w:p w14:paraId="62320A9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工作类型关键指标数据统计：参与重大行政决策，参与立法事务研究，参与行政规范性文件合法性审查，参与重要行政处罚、行政许可，参与其他重大行政执法决定审核，参与重大合同合法性审查把关，参与重大项目谈判及法律文书的起草，参与处理行政复议、行政调解、诉讼、仲裁、信访等涉法事务，协助处理重大突发事件和社会公共事件，参与专题法律学习会等法制宣传教育活动，参与其他法律事务。</w:t>
      </w:r>
    </w:p>
    <w:p w14:paraId="62320A9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法律顾问单位分布统计；顾问单位统计数据。</w:t>
      </w:r>
    </w:p>
    <w:p w14:paraId="62320A9C">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法律顾问管理</w:t>
      </w:r>
    </w:p>
    <w:p w14:paraId="62320A9D">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（1）法律顾问管理</w:t>
      </w:r>
    </w:p>
    <w:p w14:paraId="62320A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法律顾问的聘用管理，包括新增聘用、添加聘用记录、添加工作记录、删除等操作。</w:t>
      </w:r>
    </w:p>
    <w:p w14:paraId="62320A9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法律顾问新增：包括人员的基本信息、以及聘用信息；聘用信息包括聘用方式、是否政府采购、顾问费、签订合同、聘用开始时间、聘用结束时间、聘用期限、合同或聘用证明信息。</w:t>
      </w:r>
    </w:p>
    <w:p w14:paraId="62320AA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法律顾问数据查询，可通过姓名、性别、聘用类型、人员类型、区域、级别、服务对象、是否到期、聘用开始时间、聘用结束时间等进行数据查询。</w:t>
      </w:r>
    </w:p>
    <w:p w14:paraId="62320AA1">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（2）工作记录管理</w:t>
      </w:r>
    </w:p>
    <w:p w14:paraId="62320AA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工作记录管理包括工作记录查询、新增、详情查看、修改、删除。</w:t>
      </w:r>
    </w:p>
    <w:p w14:paraId="62320A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通过姓名、时间、工作类型、聘用类型、区域、服务对象、级别进行查询。</w:t>
      </w:r>
    </w:p>
    <w:p w14:paraId="62320AA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添加工作记录：工作事项名称、工作类型、服务对象、参与人员、开始时间、结束时间、工作地点、工作内容。其中带“*”的为必填项。</w:t>
      </w:r>
    </w:p>
    <w:p w14:paraId="62320AA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针对已有的工作记录信息，删除时进行二次弹框提醒。</w:t>
      </w:r>
    </w:p>
    <w:p w14:paraId="62320AA6">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法律顾问数据统计</w:t>
      </w:r>
    </w:p>
    <w:p w14:paraId="62320AA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法律顾问数据统计包括法律顾问统计、工作顾问统计、过期法顾统计。</w:t>
      </w:r>
    </w:p>
    <w:p w14:paraId="62320AA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法律顾问统计，统计各个单位中外聘法律顾问数量、内聘法律顾问数据，以及具体法律顾问人员姓名。法律顾问统计查询，可通过单位名称、区域、级别、条件、聘用开始时间、聘用结束时间进行查询。</w:t>
      </w:r>
    </w:p>
    <w:p w14:paraId="62320AA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工作记录统计，统计各个单位的工作数量，以及具体工作记录信息的查看。工作顾问统计查询，通过单位名称、区域、级别、条件、聘用时间、无工作记录等进行查询。</w:t>
      </w:r>
    </w:p>
    <w:p w14:paraId="62320AA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过期法律顾问统计，统计具体的单位名称以及法律顾问过期时间及系统统计更新时间信息。过期法顾查询，通过单位名称、区域进行查询。</w:t>
      </w:r>
    </w:p>
    <w:p w14:paraId="62320AAB">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权限管理</w:t>
      </w:r>
    </w:p>
    <w:p w14:paraId="62320AA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权限管理包括授权、权限申请、授权审批、取消授权，以及授权人员的查看。</w:t>
      </w:r>
    </w:p>
    <w:p w14:paraId="62320AA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授权：可以对法顾人员进行主动的角色授权，授权后人员具有对应的角色权限信息。</w:t>
      </w:r>
    </w:p>
    <w:p w14:paraId="62320AA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权限申请：当用户登录党政法顾时，如果对应人员无权限时，则可提示用户进行权限申请。</w:t>
      </w:r>
    </w:p>
    <w:p w14:paraId="62320AA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授权审批：对授权申请进行审批，也可通过人员姓名、单位名称、级别、区域、审批状态等对数据进行查询。取消授权：对已授权人员取消授权。</w:t>
      </w:r>
    </w:p>
    <w:p w14:paraId="62320AB0">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ascii="宋体" w:hAnsi="宋体" w:cs="宋体"/>
          <w:color w:val="auto"/>
          <w:sz w:val="24"/>
          <w:szCs w:val="24"/>
          <w:highlight w:val="none"/>
        </w:rPr>
        <w:t>浙里办应用</w:t>
      </w:r>
    </w:p>
    <w:p w14:paraId="62320AB1">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在线申请</w:t>
      </w:r>
    </w:p>
    <w:p w14:paraId="62320AB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行政审批备案申请：事项的申请，直接跳转浙江政务服务网，在线办理。</w:t>
      </w:r>
    </w:p>
    <w:p w14:paraId="62320AB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行政审批事项查询：可以对不同状态的申办事项进行筛选，点击操作选择进入事项详情页面或撤销事项。</w:t>
      </w:r>
    </w:p>
    <w:p w14:paraId="62320AB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行政备案事项查询：可以对不同状态的申办事项进行筛选，点击操作选择进入事项详情页面或撤销事项。</w:t>
      </w:r>
    </w:p>
    <w:p w14:paraId="62320AB5">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律师评价</w:t>
      </w:r>
    </w:p>
    <w:p w14:paraId="62320AB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（1）快速申报</w:t>
      </w:r>
    </w:p>
    <w:p w14:paraId="62320AB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面向律师，对申报型指标项的内容进行快速填写与申报，方便律师展示自身的特长、奖励等信息；支持零申报，方便律师和律师事务所随时掌控申报状态；支持多次申报，方便律师随时申报最新数据；支持一键申报所有申报型指标项信息，避免多次反复提交。</w:t>
      </w:r>
    </w:p>
    <w:p w14:paraId="62320AB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提供十二个指标项（现任协会服务、现任社会服务、律师协会专业委员会职务、专业法学研究会职务、专业论文获奖情况、五年内获得专业律师荣誉、现入选人才库情况、五年内承办案件情况、五年内受到表彰奖励情况、参加其他官方组织认定的公益服务活动、参与矛盾纠纷化解以及典型案例）提供一键上报的功能，对于误报和信息错误的数据，提供撤销申请的功能，对于漏报和补报的指标项，提供重新申报的功能。</w:t>
      </w:r>
    </w:p>
    <w:p w14:paraId="62320AB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针对无上述十二个指标项的律师，将提供“无数据申报”功能，方便律师和律师事务所随时掌控申报状态。</w:t>
      </w:r>
    </w:p>
    <w:p w14:paraId="62320AB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（2）申报审核</w:t>
      </w:r>
    </w:p>
    <w:p w14:paraId="62320AB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面向律师事务所，对于所内律师申报的信息，进行审核，审核通过则该申报信息实时展示到公众端平台上。支持部分驳回，以免律师多次重复填写与申报。</w:t>
      </w:r>
    </w:p>
    <w:p w14:paraId="62320AB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本所内律师申请的无数据上报，有申报项上报，撤销申请上报以及补报等数据，进行审核，提供一键全部审核通过或驳回的功能，简易便捷，同时也可以部分审核通过或驳回，避免律师重复填写申报。对于数据上报申请通过的数据，将实时展示在公众端页面，对于数据撤销申请的数据，同时也在公众端实时撤销。</w:t>
      </w:r>
    </w:p>
    <w:p w14:paraId="62320AB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对于申报审核记录，提供处理状态（待审核、全部）以及律师姓名等条件查询，便于律所快速审核。</w:t>
      </w:r>
    </w:p>
    <w:p w14:paraId="62320AB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（3）申报记录</w:t>
      </w:r>
    </w:p>
    <w:p w14:paraId="62320AB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对于律师，可查询自己的申报记录；对于律所，可查询所内律师的申报记录；对于司法行政管理人员，可以查询辖区内律所下的所有律师的申报记录。</w:t>
      </w:r>
    </w:p>
    <w:p w14:paraId="62320AC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于律师，可以查询自己的无数据申报记录，有申报项申报记录，提供申报项目（十二个指标项）、申报日期、审核日期等便携查询条件查询；对于律所，可以查询自己所内人员的无数据申报记录，有申报项申报记录，提供申报项目（十二个指标项）、申报日期、审核日期、律师姓名等便携查询条件查询；对于司法行政管理人员，可以查询辖区内律所下所有律师的无数据申报记录，有申报项申报记录，提供申报项目（十二个指标项）、申报日期、审核日期、律师姓名、律所名称、主管司法局等便携查询条件查询。</w:t>
      </w:r>
    </w:p>
    <w:p w14:paraId="62320AC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所有的申报记录，提供详情查看功能，可以查看改项申报的申请人、律所名称、申报项目、申请类型、申请内容、申报日期、审核人、审核日期、审核类型、备注等信息。</w:t>
      </w:r>
    </w:p>
    <w:p w14:paraId="62320A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（4）我的评价</w:t>
      </w:r>
    </w:p>
    <w:p w14:paraId="62320AC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面向律师，可随时查看律师本人的评价详情信息。律师可以通过“我的评价”入口，实时查看到律师通过申报的数据以及“浙江省律师在线系统”的律师数据生成的个人评价信息，其中包括律师基本信息、专业能力信息、奖励信息、惩戒信息、社会责任、社会评价、办案信息、典型案例选等信息，也展示律师所在律所的位置，通过律师选择是否公示联系方式，来动态展示律师手机号码。</w:t>
      </w:r>
    </w:p>
    <w:p w14:paraId="62320A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（5）申报统计</w:t>
      </w:r>
    </w:p>
    <w:p w14:paraId="62320AC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律师事务所用户，随时可以查看所内律师的申报明细情况。对于律师事务所，根据所内律师的申报情况，生成申报统计信息，提供律师姓名和处理状态（未申报、已申报）便携查询条件查询。</w:t>
      </w:r>
    </w:p>
    <w:p w14:paraId="62320AC6">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公益服务</w:t>
      </w:r>
    </w:p>
    <w:p w14:paraId="62320AC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（1）申报管理</w:t>
      </w:r>
    </w:p>
    <w:p w14:paraId="62320AC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律所也可以自主申报律所事项，以及代律师提交申报事项。以及事项申报后进行审批进度的查看。</w:t>
      </w:r>
    </w:p>
    <w:p w14:paraId="62320AC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（2）自主申报</w:t>
      </w:r>
    </w:p>
    <w:p w14:paraId="62320AC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可以自主申报对应的公益服务事项类型，填写清楚活动的名称、时间、地点、内容及服务方式、服务对象等信息，并上传能投体现法律服务内容的相关图片、文件等资料。经律师事务所确认审批后，到律所对应的区县司法局进行审批。</w:t>
      </w:r>
    </w:p>
    <w:p w14:paraId="62320AC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（3）申报审批</w:t>
      </w:r>
    </w:p>
    <w:p w14:paraId="62320AC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律师对事项申报完成后，律师事务所对事项数据进行审核，审核完成后由相应司法行政机关审批。律所对事项申报完成后，由相应司法行政机关审批。</w:t>
      </w:r>
    </w:p>
    <w:p w14:paraId="62320ACD">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投诉答辩</w:t>
      </w:r>
    </w:p>
    <w:p w14:paraId="62320AC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律师受到投诉时，律师及律师事务所可对投诉进行答辩；律师事务所可看到所内所有收到投诉的律师详情。</w:t>
      </w:r>
    </w:p>
    <w:p w14:paraId="62320AC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进行答辩时，编辑答辩内容，提交答辩材料。</w:t>
      </w:r>
    </w:p>
    <w:p w14:paraId="62320AD0">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年度考核</w:t>
      </w:r>
    </w:p>
    <w:p w14:paraId="62320AD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针对两公律师的年度考核，可直接申请，并查看对应的申请记录的审批状态信息。以及查看详情、撤销申请。并可以查看历史申请记录的详细信息。</w:t>
      </w:r>
    </w:p>
    <w:p w14:paraId="62320AD2">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ascii="宋体" w:hAnsi="宋体" w:eastAsia="宋体" w:cs="宋体"/>
          <w:color w:val="auto"/>
          <w:sz w:val="24"/>
          <w:szCs w:val="24"/>
          <w:highlight w:val="none"/>
        </w:rPr>
        <w:t>调档申请</w:t>
      </w:r>
    </w:p>
    <w:p w14:paraId="62320AD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如需进行调档的用户，则可以直接在浙里办应用中进行调档信息的申请。</w:t>
      </w:r>
    </w:p>
    <w:p w14:paraId="62320AD4">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我的档案</w:t>
      </w:r>
    </w:p>
    <w:p w14:paraId="62320AD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包含个人档案信息、和聘用合同。</w:t>
      </w:r>
    </w:p>
    <w:p w14:paraId="62320AD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个人档案信息：基本信息、业务特长、执业记录、考核信息、信用信息、社会职务、党组织信息、许可文书、参政议政。</w:t>
      </w:r>
    </w:p>
    <w:p w14:paraId="62320AD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聘用合同：聘用合同信息的管理及查看。</w:t>
      </w:r>
    </w:p>
    <w:p w14:paraId="62320AD8">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color w:val="auto"/>
          <w:sz w:val="24"/>
          <w:szCs w:val="24"/>
          <w:highlight w:val="none"/>
        </w:rPr>
        <w:t>浙政钉</w:t>
      </w:r>
      <w:r>
        <w:rPr>
          <w:rFonts w:hint="eastAsia"/>
          <w:color w:val="auto"/>
          <w:sz w:val="24"/>
          <w:szCs w:val="24"/>
          <w:highlight w:val="none"/>
        </w:rPr>
        <w:t>应用</w:t>
      </w:r>
    </w:p>
    <w:p w14:paraId="62320AD9">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行政审批</w:t>
      </w:r>
    </w:p>
    <w:p w14:paraId="62320AD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行政审批事项办件流转至对应角色的节点时，浙政钉自动推送通知给对应角色的浙政钉，及时对办件进行受理、审查、审核、出具文书等操作，相关人员可以点击浙征订推送的信息，直接跳转到对应的操作页面（免登陆）。</w:t>
      </w:r>
    </w:p>
    <w:p w14:paraId="62320AD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若有行政审批事项即将超期办理，浙政钉再次推送提醒信息。</w:t>
      </w:r>
    </w:p>
    <w:p w14:paraId="62320ADC">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行政备案</w:t>
      </w:r>
    </w:p>
    <w:p w14:paraId="62320AD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行政备案事项办件流转至对应角色的节点时，浙政钉自动推送通知给对应角色的浙政钉，及时对办件进行收件、审查、备案通过等操作，相关人员可以点击浙征订推送的信息，直接跳转到对应的操作页面（免登陆）。</w:t>
      </w:r>
    </w:p>
    <w:p w14:paraId="62320AD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若有行政备案事项即将超期办理，浙政钉再次推送提醒信息。</w:t>
      </w:r>
    </w:p>
    <w:p w14:paraId="62320ADF">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律师评价</w:t>
      </w:r>
    </w:p>
    <w:p w14:paraId="62320AE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当有律师申报评价信息时，对应主管司法局将收到浙政钉通知，司法行政人员点击通知后，跳转至律师在线，进行审核。</w:t>
      </w:r>
    </w:p>
    <w:p w14:paraId="62320AE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若未审核的律师评价申报事项积累到设定数量，浙政钉再次推送提醒信息。</w:t>
      </w:r>
    </w:p>
    <w:p w14:paraId="62320AE2">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公益服务</w:t>
      </w:r>
    </w:p>
    <w:p w14:paraId="62320AE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当有律师、律师事务所在公益积分模块进行申报时，对应主管司法局将接收到浙政钉通知，司法行政人员点击通知后，跳转至律师在线，进行审核。</w:t>
      </w:r>
    </w:p>
    <w:p w14:paraId="62320AE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若未审核的律师参加公益服务申报事项积累到设定数量，浙政钉再次推送提醒信息。</w:t>
      </w:r>
    </w:p>
    <w:p w14:paraId="62320AE5">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行业监督</w:t>
      </w:r>
    </w:p>
    <w:p w14:paraId="62320AE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当有律师、律师事务所被投诉登记，且转办到某司法局时，该司法局的办理人员角色将收到浙政钉通知，点击通知后，跳转至律师在线，进行投诉办理。</w:t>
      </w:r>
    </w:p>
    <w:p w14:paraId="62320AE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若有投诉事项事项即将超期办理，浙政钉再次推送提醒信息。</w:t>
      </w:r>
    </w:p>
    <w:p w14:paraId="62320AE8">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年度考核</w:t>
      </w:r>
    </w:p>
    <w:p w14:paraId="62320AE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当年度考核事项流转至对应角色的节点时，浙政钉自动推送通知给对应角色的浙政钉，及时对考核进行初审、终审等操作。</w:t>
      </w:r>
    </w:p>
    <w:p w14:paraId="62320AE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若有年度考核事项即将超期办理，浙政钉再次推送提醒信息。</w:t>
      </w:r>
    </w:p>
    <w:p w14:paraId="62320AEB">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hint="eastAsia" w:ascii="宋体" w:hAnsi="宋体" w:cs="宋体"/>
          <w:color w:val="auto"/>
          <w:sz w:val="24"/>
          <w:szCs w:val="24"/>
          <w:highlight w:val="none"/>
        </w:rPr>
        <w:t>新增审批流程节点</w:t>
      </w:r>
    </w:p>
    <w:p w14:paraId="62320AEC">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变更执业机构事项增加节点</w:t>
      </w:r>
    </w:p>
    <w:p w14:paraId="62320AE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基于律师变更执业机构事项，在受理后，收件前增加征求意见节点，由转出地司法局出具转出意见。</w:t>
      </w:r>
    </w:p>
    <w:p w14:paraId="62320AEE">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hint="eastAsia" w:ascii="宋体" w:hAnsi="宋体" w:cs="宋体"/>
          <w:color w:val="auto"/>
          <w:sz w:val="24"/>
          <w:szCs w:val="24"/>
          <w:highlight w:val="none"/>
        </w:rPr>
        <w:t>迭代瑕疵件管理政钉及浙里办的用户体系，对单点登陆漫游至本系统用户的菜单权限以及数据权限进行管理。</w:t>
      </w:r>
    </w:p>
    <w:p w14:paraId="62320AE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添加：对用户进行角色、菜单权限添加；</w:t>
      </w:r>
    </w:p>
    <w:p w14:paraId="62320A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修改：对现有用户角色、菜单权限进行调整。</w:t>
      </w:r>
    </w:p>
    <w:p w14:paraId="62320AF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用户管理</w:t>
      </w:r>
    </w:p>
    <w:p w14:paraId="62320AF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基于浙政钉及浙里办的用户体系，对本系统的用户进行管理和维护。</w:t>
      </w:r>
    </w:p>
    <w:p w14:paraId="62320AF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同步：定时同步浙政钉司法条线的组织架构与用户，及其它业务条线的组织架构，手动同步指定组织架构下的用户信息。</w:t>
      </w:r>
    </w:p>
    <w:p w14:paraId="62320AF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查询：可以根据姓名、所属单位等信息对系统用户进行查询；</w:t>
      </w:r>
    </w:p>
    <w:p w14:paraId="62320AF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查看：对用户的基本信息进行查看。</w:t>
      </w:r>
    </w:p>
    <w:p w14:paraId="62320AF6">
      <w:pPr>
        <w:pStyle w:val="4"/>
        <w:spacing w:line="360" w:lineRule="auto"/>
        <w:ind w:firstLine="420" w:firstLineChars="175"/>
        <w:rPr>
          <w:rFonts w:hAnsi="宋体" w:cs="宋体"/>
          <w:color w:val="auto"/>
          <w:sz w:val="24"/>
          <w:szCs w:val="24"/>
          <w:highlight w:val="none"/>
        </w:rPr>
      </w:pPr>
    </w:p>
    <w:p w14:paraId="62320AF7">
      <w:pPr>
        <w:pStyle w:val="8"/>
        <w:numPr>
          <w:ilvl w:val="3"/>
          <w:numId w:val="4"/>
        </w:numPr>
        <w:spacing w:before="0" w:after="0" w:line="360" w:lineRule="auto"/>
        <w:ind w:left="0" w:firstLine="422"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瑕疵件查询</w:t>
      </w:r>
    </w:p>
    <w:p w14:paraId="62320AF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对瑕疵件以列表形式进行展示明细，可通过主管司法局、申报号、事项名称、统计时间等维度进行筛选，可查看办件申报号、瑕疵原因、事项基本信息等。</w:t>
      </w:r>
    </w:p>
    <w:p w14:paraId="62320AF9">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瑕疵件统计</w:t>
      </w:r>
    </w:p>
    <w:p w14:paraId="62320AF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基于瑕疵件明细，对瑕疵件进行统计，纵向分为四个层级分别为：全省、各地市、各区县、各事项，横向分为四个维度：地区、事项名称、办件数、瑕疵率。</w:t>
      </w:r>
    </w:p>
    <w:p w14:paraId="62320AFB">
      <w:pPr>
        <w:pStyle w:val="7"/>
        <w:numPr>
          <w:ilvl w:val="2"/>
          <w:numId w:val="4"/>
        </w:numPr>
        <w:spacing w:before="0" w:after="0" w:line="360" w:lineRule="auto"/>
        <w:ind w:left="0" w:firstLine="422" w:firstLineChars="175"/>
        <w:rPr>
          <w:rFonts w:ascii="宋体" w:hAnsi="宋体" w:cs="宋体"/>
          <w:color w:val="auto"/>
          <w:sz w:val="24"/>
          <w:szCs w:val="24"/>
          <w:highlight w:val="none"/>
        </w:rPr>
      </w:pPr>
      <w:r>
        <w:rPr>
          <w:rFonts w:hint="eastAsia"/>
          <w:color w:val="auto"/>
          <w:sz w:val="24"/>
          <w:szCs w:val="24"/>
          <w:highlight w:val="none"/>
        </w:rPr>
        <w:t>系统</w:t>
      </w:r>
      <w:r>
        <w:rPr>
          <w:rFonts w:hint="eastAsia" w:ascii="宋体" w:hAnsi="宋体" w:cs="宋体"/>
          <w:color w:val="auto"/>
          <w:sz w:val="24"/>
          <w:szCs w:val="24"/>
          <w:highlight w:val="none"/>
        </w:rPr>
        <w:t>管理</w:t>
      </w:r>
    </w:p>
    <w:p w14:paraId="62320AFC">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权限管理</w:t>
      </w:r>
    </w:p>
    <w:p w14:paraId="62320AF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基于浙政钉及浙里办的用户体系，对单点登陆漫游至本系统用户的菜单权限以及数据权限进行管理。</w:t>
      </w:r>
    </w:p>
    <w:p w14:paraId="62320AF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添加：对用户进行角色、菜单权限添加；</w:t>
      </w:r>
    </w:p>
    <w:p w14:paraId="62320AF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修改：对现有用户角色、菜单权限进行调整。</w:t>
      </w:r>
    </w:p>
    <w:p w14:paraId="62320B00">
      <w:pPr>
        <w:pStyle w:val="8"/>
        <w:numPr>
          <w:ilvl w:val="3"/>
          <w:numId w:val="4"/>
        </w:numPr>
        <w:spacing w:before="0" w:after="0" w:line="360" w:lineRule="auto"/>
        <w:ind w:left="0" w:firstLine="422" w:firstLineChars="175"/>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用户管理</w:t>
      </w:r>
    </w:p>
    <w:p w14:paraId="62320B0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基于浙政钉及浙里办的用户体系，对本系统的用户进行管理和维护。</w:t>
      </w:r>
    </w:p>
    <w:p w14:paraId="62320B0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同步：定时同步浙政钉司法条线的组织架构与用户，及其它业务条线的组织架构，手动同步指定组织架构下的用户信息。</w:t>
      </w:r>
    </w:p>
    <w:p w14:paraId="62320B0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查询：可以根据姓名、所属单位等信息对系统用户进行查询；</w:t>
      </w:r>
    </w:p>
    <w:p w14:paraId="62320B0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查看：对用户的基本信息进行查看。</w:t>
      </w:r>
    </w:p>
    <w:p w14:paraId="62320B05">
      <w:pPr>
        <w:pStyle w:val="5"/>
        <w:numPr>
          <w:ilvl w:val="0"/>
          <w:numId w:val="2"/>
        </w:numPr>
        <w:tabs>
          <w:tab w:val="left" w:pos="0"/>
          <w:tab w:val="clear" w:pos="432"/>
        </w:tabs>
        <w:spacing w:before="0" w:after="0" w:line="360" w:lineRule="auto"/>
        <w:ind w:firstLine="422"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技术要求</w:t>
      </w:r>
    </w:p>
    <w:p w14:paraId="62320B06">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建设要求：本项目应按照集约化要求开展建设，有效整合各项业务，统一集成到浙江省司法行政综合业务系统，实现统一用户登录、统一消息待办和流程跟踪。</w:t>
      </w:r>
    </w:p>
    <w:p w14:paraId="62320B07">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开发规范：本项目相关功能需在统一套技术框架下建设，严格按照浙江省司法厅应用系统建设标准开发，软件代码需在试运行前部署到省司法厅统一代码库，并形成第三方无障碍阅读文档（并作为最终验收条件），代码库中的版本需与实际运行版本保持一致；应用系统生产库与前端系统独立部署，应用服务需支持以容器化形式统一发布至省司法厅容器集群管理系统中，生产数据库部署于省司法厅统一OceanBase分布式数据库中，以租户形式进行统一动态管理和运维；各功能需在主要功能下进行日常监测埋点（具体标准由省司法厅确定）。</w:t>
      </w:r>
    </w:p>
    <w:p w14:paraId="62320B08">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运维要求：运维期间系统代码调整和应及时在代码库中更新，涉及数据库调整的应用通过”司法大脑“ISV平台发起，第三方排查处的安全风险和隐患因在规定时限内完成整改。</w:t>
      </w:r>
    </w:p>
    <w:p w14:paraId="62320B09">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中标人合同订立后，核心岗位人员要严格按照投标要求设置，并实行AB岗制度。中标人要加强项目组人员管理，按照要求进行安全背景审查，签订保密等协议。并配合在一体化数字资源系统（IRS）中完成单位及核心人员的注册管理。</w:t>
      </w:r>
    </w:p>
    <w:p w14:paraId="62320B0A">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软件及软件集成类项目建设阶段，中标人要编制《需求规格说明书》，其要明确项目业务目标、建设规模、网络云资源需求、功能需求、性能需求、数据需求、安全需求等内容，经批准后进入开发实施。</w:t>
      </w:r>
    </w:p>
    <w:p w14:paraId="62320B0B">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项目实施过程中，中标人要实行严格的计划管理，明确各阶段详细计划表及人员岗位实施清单，提供项目半月报，并配合建设单位与监理方的定期检查。项目因故需延期的，中标人应及时提出延期申请。</w:t>
      </w:r>
    </w:p>
    <w:p w14:paraId="62320B0C">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中标人要配合建设单位和监理方实施质量预控、过程监控和事后验控的全流程管理，确保实现项目质量目标。</w:t>
      </w:r>
    </w:p>
    <w:p w14:paraId="62320B0D">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项目基本建设完成后，中标人提交内测报告，配合建设单位和监理单位对建设内容开展系统功能检查测试，功能检查测试应覆盖所有功能模块（点），并编制功能检查测试报告。未经检查测试或检查测试不合格的项目，不得投入试运行。</w:t>
      </w:r>
    </w:p>
    <w:p w14:paraId="62320B0E">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软件及软件集成类项目验收前，中标人要配合建设单位完成项目所涉数字资源的目录编制、数据归集、资源优化、应用发布等工作，并出具《IRS应用试运行验收报告》。</w:t>
      </w:r>
    </w:p>
    <w:p w14:paraId="62320B0F">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根据项目不同类型，结合实际情况，中标人要配合建设单位对相关资料的编制和管理。项目纸质档案原则上应为原件，验收文档应为正本；电子文档应为原件和正本的扫描件。在项目验收时，中标人需向采购人提供完整的应用系统源代码，相关注释文档等材料，维保期内所涉及的系统更新应提供相应源代码和注释文档。</w:t>
      </w:r>
    </w:p>
    <w:p w14:paraId="62320B10">
      <w:pPr>
        <w:numPr>
          <w:ilvl w:val="1"/>
          <w:numId w:val="5"/>
        </w:numPr>
        <w:spacing w:line="360" w:lineRule="auto"/>
        <w:ind w:left="0" w:firstLine="420" w:firstLineChars="175"/>
        <w:rPr>
          <w:rFonts w:ascii="宋体" w:hAnsi="宋体" w:cs="宋体"/>
          <w:color w:val="auto"/>
          <w:sz w:val="24"/>
          <w:highlight w:val="none"/>
        </w:rPr>
      </w:pPr>
      <w:bookmarkStart w:id="30" w:name="_Toc181731151"/>
      <w:r>
        <w:rPr>
          <w:rFonts w:hint="eastAsia" w:ascii="宋体" w:hAnsi="宋体" w:cs="宋体"/>
          <w:color w:val="auto"/>
          <w:sz w:val="24"/>
          <w:highlight w:val="none"/>
        </w:rPr>
        <w:t>系统国产化改造</w:t>
      </w:r>
      <w:bookmarkEnd w:id="30"/>
      <w:r>
        <w:rPr>
          <w:rFonts w:hint="eastAsia" w:ascii="宋体" w:hAnsi="宋体" w:cs="宋体"/>
          <w:color w:val="auto"/>
          <w:sz w:val="24"/>
          <w:highlight w:val="none"/>
        </w:rPr>
        <w:t>。</w:t>
      </w:r>
      <w:r>
        <w:rPr>
          <w:rFonts w:hint="eastAsia" w:ascii="宋体" w:hAnsi="宋体" w:cs="宋体"/>
          <w:color w:val="auto"/>
          <w:sz w:val="24"/>
          <w:highlight w:val="none"/>
          <w:lang w:eastAsia="zh-Hans"/>
        </w:rPr>
        <w:t>目前</w:t>
      </w:r>
      <w:r>
        <w:rPr>
          <w:rFonts w:hint="eastAsia" w:ascii="宋体" w:hAnsi="宋体" w:cs="宋体"/>
          <w:color w:val="auto"/>
          <w:sz w:val="24"/>
          <w:highlight w:val="none"/>
        </w:rPr>
        <w:t>存在部分</w:t>
      </w:r>
      <w:r>
        <w:rPr>
          <w:rFonts w:hint="eastAsia" w:ascii="宋体" w:hAnsi="宋体" w:cs="宋体"/>
          <w:color w:val="auto"/>
          <w:sz w:val="24"/>
          <w:highlight w:val="none"/>
          <w:lang w:eastAsia="zh-Hans"/>
        </w:rPr>
        <w:t>未满足信创要求</w:t>
      </w:r>
      <w:r>
        <w:rPr>
          <w:rFonts w:hint="eastAsia" w:ascii="宋体" w:hAnsi="宋体" w:cs="宋体"/>
          <w:color w:val="auto"/>
          <w:sz w:val="24"/>
          <w:highlight w:val="none"/>
        </w:rPr>
        <w:t>的，</w:t>
      </w:r>
      <w:r>
        <w:rPr>
          <w:rFonts w:hint="eastAsia" w:ascii="宋体" w:hAnsi="宋体" w:cs="宋体"/>
          <w:color w:val="auto"/>
          <w:sz w:val="24"/>
          <w:highlight w:val="none"/>
          <w:lang w:eastAsia="zh-Hans"/>
        </w:rPr>
        <w:t>针对</w:t>
      </w:r>
      <w:r>
        <w:rPr>
          <w:rFonts w:hint="eastAsia" w:ascii="宋体" w:hAnsi="宋体" w:cs="宋体"/>
          <w:color w:val="auto"/>
          <w:sz w:val="24"/>
          <w:highlight w:val="none"/>
        </w:rPr>
        <w:t>功能需要</w:t>
      </w:r>
      <w:r>
        <w:rPr>
          <w:rFonts w:hint="eastAsia" w:ascii="宋体" w:hAnsi="宋体" w:cs="宋体"/>
          <w:color w:val="auto"/>
          <w:sz w:val="24"/>
          <w:highlight w:val="none"/>
          <w:lang w:eastAsia="zh-Hans"/>
        </w:rPr>
        <w:t>进行系统国产化合规改造。</w:t>
      </w:r>
      <w:r>
        <w:rPr>
          <w:rFonts w:hint="eastAsia" w:ascii="宋体" w:hAnsi="宋体" w:cs="宋体"/>
          <w:color w:val="auto"/>
          <w:sz w:val="24"/>
          <w:highlight w:val="none"/>
        </w:rPr>
        <w:t>包括</w:t>
      </w:r>
      <w:r>
        <w:rPr>
          <w:rFonts w:hint="eastAsia" w:ascii="宋体" w:hAnsi="宋体" w:cs="宋体"/>
          <w:color w:val="auto"/>
          <w:sz w:val="24"/>
          <w:highlight w:val="none"/>
          <w:lang w:eastAsia="zh-Hans"/>
        </w:rPr>
        <w:t>使用符合信创要求的</w:t>
      </w:r>
      <w:r>
        <w:rPr>
          <w:rFonts w:hint="eastAsia" w:ascii="宋体" w:hAnsi="宋体" w:cs="宋体"/>
          <w:color w:val="auto"/>
          <w:sz w:val="24"/>
          <w:highlight w:val="none"/>
        </w:rPr>
        <w:t>国产化</w:t>
      </w:r>
      <w:r>
        <w:rPr>
          <w:rFonts w:hint="eastAsia" w:ascii="宋体" w:hAnsi="宋体" w:cs="宋体"/>
          <w:color w:val="auto"/>
          <w:sz w:val="24"/>
          <w:highlight w:val="none"/>
          <w:lang w:eastAsia="zh-Hans"/>
        </w:rPr>
        <w:t>数据库</w:t>
      </w:r>
      <w:r>
        <w:rPr>
          <w:rFonts w:hint="eastAsia" w:ascii="宋体" w:hAnsi="宋体" w:cs="宋体"/>
          <w:color w:val="auto"/>
          <w:sz w:val="24"/>
          <w:highlight w:val="none"/>
        </w:rPr>
        <w:t>、</w:t>
      </w:r>
      <w:r>
        <w:rPr>
          <w:rFonts w:hint="eastAsia" w:ascii="宋体" w:hAnsi="宋体" w:cs="宋体"/>
          <w:color w:val="auto"/>
          <w:sz w:val="24"/>
          <w:highlight w:val="none"/>
          <w:lang w:eastAsia="zh-Hans"/>
        </w:rPr>
        <w:t>使用符合信创要求的</w:t>
      </w:r>
      <w:r>
        <w:rPr>
          <w:rFonts w:hint="eastAsia" w:ascii="宋体" w:hAnsi="宋体" w:cs="宋体"/>
          <w:color w:val="auto"/>
          <w:sz w:val="24"/>
          <w:highlight w:val="none"/>
        </w:rPr>
        <w:t>国产化</w:t>
      </w:r>
      <w:r>
        <w:rPr>
          <w:rFonts w:hint="eastAsia" w:ascii="宋体" w:hAnsi="宋体" w:cs="宋体"/>
          <w:color w:val="auto"/>
          <w:sz w:val="24"/>
          <w:highlight w:val="none"/>
          <w:lang w:eastAsia="zh-Hans"/>
        </w:rPr>
        <w:t>中间件</w:t>
      </w:r>
      <w:r>
        <w:rPr>
          <w:rFonts w:hint="eastAsia" w:ascii="宋体" w:hAnsi="宋体" w:cs="宋体"/>
          <w:color w:val="auto"/>
          <w:sz w:val="24"/>
          <w:highlight w:val="none"/>
        </w:rPr>
        <w:t>等。新增和迭代升级功能需按照信创要求开发建设。</w:t>
      </w:r>
    </w:p>
    <w:p w14:paraId="62320B11">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源代码安全监测：供应商须委托具有相关资质的安全机构开展安全测试，应包括安全基线检查、主机和应用漏洞扫描、渗透测试、后门检查以及部分核心代码段的安全审计，并无条件配合整改。最终安全测试结果不得存在高危及以上漏洞，其余漏洞应改尽改。</w:t>
      </w:r>
    </w:p>
    <w:p w14:paraId="62320B12">
      <w:pPr>
        <w:numPr>
          <w:ilvl w:val="1"/>
          <w:numId w:val="5"/>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等保和密评</w:t>
      </w:r>
    </w:p>
    <w:p w14:paraId="62320B13">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合同履行期间，供应商需无条件配合开展信息系统安全等级保护第三级测评工作，并承担系统整改费用。该工作由第三方机构组织开展，供应商应严格按照《信息安全技术  网络安全等级保护基本要求》（GB/T 22239-2019）、《信息安全技术  网络安全等级保护定级指南》（GB/T 22240-2020）、《信息安全技术  网络安全等级保护实施指南》（GB/T 25058-2019）等文件要求建设实施，系统总体测评分数达到80分及以上。如本项目验收前该项工作不具备完成条件且不影响合同履约的，供应商需出具书面承诺，保证达到预期测评效果。</w:t>
      </w:r>
    </w:p>
    <w:p w14:paraId="62320B14">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合同履行期间，供应商需无条件配合开展商用密码应用安全性评估工作，并承担系统整改费用。该工作由第三方机构组织开展，供应商需配合完成《商用密码应用安全性方案》评审，应严格按照《信息安全技术信息系统密码应用基本要求》（GB/T 39786-2021）、《政务信息系统密码应用与安全性评估工作指南》、《信息系统密码应用测试要求》等文件要求建设实施，系统总体密评分数达到60分及以上，系统本身不存在高风险项。如本项目验收前该项工作不具备完成条件且不影响合同履约的，供应商需出具书面承诺，保证达到预期密评效果。</w:t>
      </w:r>
    </w:p>
    <w:p w14:paraId="62320B15">
      <w:pPr>
        <w:pStyle w:val="5"/>
        <w:numPr>
          <w:ilvl w:val="0"/>
          <w:numId w:val="2"/>
        </w:numPr>
        <w:tabs>
          <w:tab w:val="left" w:pos="0"/>
          <w:tab w:val="clear" w:pos="432"/>
        </w:tabs>
        <w:spacing w:before="0" w:after="0" w:line="360" w:lineRule="auto"/>
        <w:ind w:firstLine="422"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验收要求</w:t>
      </w:r>
    </w:p>
    <w:p w14:paraId="62320B1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w:t>
      </w:r>
      <w:r>
        <w:rPr>
          <w:rFonts w:ascii="宋体" w:hAnsi="宋体" w:cs="宋体"/>
          <w:color w:val="auto"/>
          <w:sz w:val="24"/>
          <w:highlight w:val="none"/>
        </w:rPr>
        <w:t>初验及试运行</w:t>
      </w:r>
    </w:p>
    <w:p w14:paraId="62320B17">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项目基本建设完成后，供应商需提交内测报告，采购人、监理单位和供应商对建设内容开展系统功能检查测试，功能检查测试应覆盖所有功能模块（点），并编制功能检查测试报告。未经检查测试或检查测试不合格的项目，不得投入试运行。项目检查测试通过后，采购人自行组织初验，通过后进入试运行，试运行</w:t>
      </w:r>
      <w:r>
        <w:rPr>
          <w:rFonts w:hint="eastAsia" w:ascii="宋体" w:hAnsi="宋体" w:cs="宋体"/>
          <w:color w:val="auto"/>
          <w:sz w:val="24"/>
          <w:highlight w:val="none"/>
        </w:rPr>
        <w:t>一年</w:t>
      </w:r>
      <w:r>
        <w:rPr>
          <w:rFonts w:ascii="宋体" w:hAnsi="宋体" w:cs="宋体"/>
          <w:color w:val="auto"/>
          <w:sz w:val="24"/>
          <w:highlight w:val="none"/>
        </w:rPr>
        <w:t>。试运行期间，供应商除需要对初验和试运行中发现的问题进行整改和升级外，还需开展以下工作：</w:t>
      </w:r>
    </w:p>
    <w:p w14:paraId="62320B1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完成软件验收测试工作</w:t>
      </w:r>
      <w:r>
        <w:rPr>
          <w:rFonts w:hint="eastAsia" w:ascii="宋体" w:hAnsi="宋体" w:cs="宋体"/>
          <w:color w:val="auto"/>
          <w:sz w:val="24"/>
          <w:highlight w:val="none"/>
        </w:rPr>
        <w:t>；</w:t>
      </w:r>
    </w:p>
    <w:p w14:paraId="62320B1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配合开展信息系统安全等级保护第三级测评工作</w:t>
      </w:r>
      <w:r>
        <w:rPr>
          <w:rFonts w:hint="eastAsia" w:ascii="宋体" w:hAnsi="宋体" w:cs="宋体"/>
          <w:color w:val="auto"/>
          <w:sz w:val="24"/>
          <w:highlight w:val="none"/>
        </w:rPr>
        <w:t>；</w:t>
      </w:r>
    </w:p>
    <w:p w14:paraId="62320B1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配合开展商用密码应用安全性评估工作</w:t>
      </w:r>
      <w:r>
        <w:rPr>
          <w:rFonts w:hint="eastAsia" w:ascii="宋体" w:hAnsi="宋体" w:cs="宋体"/>
          <w:color w:val="auto"/>
          <w:sz w:val="24"/>
          <w:highlight w:val="none"/>
        </w:rPr>
        <w:t>；</w:t>
      </w:r>
    </w:p>
    <w:p w14:paraId="62320B1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需完成财务报告、审计报告。</w:t>
      </w:r>
    </w:p>
    <w:p w14:paraId="62320B1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w:t>
      </w:r>
      <w:r>
        <w:rPr>
          <w:rFonts w:ascii="宋体" w:hAnsi="宋体" w:cs="宋体"/>
          <w:color w:val="auto"/>
          <w:sz w:val="24"/>
          <w:highlight w:val="none"/>
        </w:rPr>
        <w:t>项目终验</w:t>
      </w:r>
    </w:p>
    <w:p w14:paraId="62320B1D">
      <w:pPr>
        <w:spacing w:line="360" w:lineRule="auto"/>
        <w:ind w:firstLine="420" w:firstLineChars="175"/>
        <w:rPr>
          <w:rFonts w:ascii="宋体" w:hAnsi="宋体" w:cs="宋体"/>
          <w:color w:val="auto"/>
          <w:sz w:val="24"/>
          <w:highlight w:val="none"/>
        </w:rPr>
      </w:pPr>
      <w:r>
        <w:rPr>
          <w:rFonts w:ascii="宋体" w:hAnsi="宋体" w:cs="宋体"/>
          <w:color w:val="auto"/>
          <w:sz w:val="24"/>
          <w:highlight w:val="none"/>
        </w:rPr>
        <w:t>软件及软件集成类项目验收前，供应商要配合采购人完成项目所涉数字资源的目录编制、数据归集、资源优化、应用发布等工作。供应商按合同全部履约完成，试运行稳定无异常，供应商需发起验收申请，提交完整的验收文档和资料，经采购人、监理单位审核通过后视情况组织项目验收。供应商要负责合同履行期间（含建设期和运维期）应用系统源代码版本管理、更新发布以及资产移交等工作。</w:t>
      </w:r>
    </w:p>
    <w:p w14:paraId="62320B1E">
      <w:pPr>
        <w:pStyle w:val="5"/>
        <w:numPr>
          <w:ilvl w:val="0"/>
          <w:numId w:val="2"/>
        </w:numPr>
        <w:tabs>
          <w:tab w:val="left" w:pos="0"/>
          <w:tab w:val="clear" w:pos="432"/>
        </w:tabs>
        <w:spacing w:before="0" w:after="0" w:line="360" w:lineRule="auto"/>
        <w:ind w:firstLine="422"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知识产权归属、处理方式</w:t>
      </w:r>
    </w:p>
    <w:p w14:paraId="62320B1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4.1软件开发归属</w:t>
      </w:r>
    </w:p>
    <w:p w14:paraId="62320B2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中标人须向采购人提供本项目定制开发的程序源代码，并按采购人要求提供所有相关文档，软件版权归采购人所有。</w:t>
      </w:r>
    </w:p>
    <w:p w14:paraId="62320B2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开发期间中标人提供的公司自有产权的平台和控件，须向采购人提供永久使用权。</w:t>
      </w:r>
    </w:p>
    <w:p w14:paraId="62320B2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4.2知识产权归属</w:t>
      </w:r>
    </w:p>
    <w:p w14:paraId="62320B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本合同项目技术成果的专利申请权、计算机软件的著作、技术秘密以及技术资料等知识产权归采购人所有，同时中标人放弃计算机软件著作权的署名权。</w:t>
      </w:r>
    </w:p>
    <w:p w14:paraId="62320B2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中标人原有的嵌入本项目的功能模块的知识产权归中标人所有。</w:t>
      </w:r>
    </w:p>
    <w:p w14:paraId="62320B2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中标人不得再将研究开发成果及非专利技术等成果泄露或转让给第三方。</w:t>
      </w:r>
    </w:p>
    <w:p w14:paraId="62320B2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在履行本合同期间及以后，中标人不得就本合同的研究开发项目与任何第三方签订或接受委托开发合同。中标人如重复签订研究开发项目合同，应对以后签订合同的无效及其对侵犯采购人的知识产权承担所有经济和法律的责任。</w:t>
      </w:r>
    </w:p>
    <w:p w14:paraId="62320B27">
      <w:pPr>
        <w:pStyle w:val="5"/>
        <w:numPr>
          <w:ilvl w:val="0"/>
          <w:numId w:val="2"/>
        </w:numPr>
        <w:tabs>
          <w:tab w:val="left" w:pos="0"/>
          <w:tab w:val="clear" w:pos="432"/>
        </w:tabs>
        <w:spacing w:before="0" w:after="0" w:line="360" w:lineRule="auto"/>
        <w:ind w:firstLine="422"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商务要求</w:t>
      </w:r>
    </w:p>
    <w:p w14:paraId="62320B28">
      <w:pPr>
        <w:pStyle w:val="2"/>
        <w:numPr>
          <w:ilvl w:val="1"/>
          <w:numId w:val="6"/>
        </w:numPr>
        <w:spacing w:after="0" w:line="360" w:lineRule="auto"/>
        <w:ind w:left="0" w:leftChars="0" w:firstLine="420" w:firstLineChars="175"/>
        <w:rPr>
          <w:rFonts w:cs="宋体"/>
          <w:bCs/>
          <w:color w:val="auto"/>
          <w:sz w:val="24"/>
          <w:highlight w:val="none"/>
        </w:rPr>
      </w:pPr>
      <w:r>
        <w:rPr>
          <w:rFonts w:hint="eastAsia" w:cs="宋体"/>
          <w:bCs/>
          <w:color w:val="auto"/>
          <w:sz w:val="24"/>
          <w:highlight w:val="none"/>
        </w:rPr>
        <w:t>培训服务</w:t>
      </w:r>
    </w:p>
    <w:p w14:paraId="62320B29">
      <w:pPr>
        <w:pStyle w:val="2"/>
        <w:numPr>
          <w:ilvl w:val="2"/>
          <w:numId w:val="6"/>
        </w:numPr>
        <w:spacing w:after="0" w:line="360" w:lineRule="auto"/>
        <w:ind w:left="0" w:leftChars="0" w:firstLine="420" w:firstLineChars="175"/>
        <w:rPr>
          <w:rFonts w:cs="宋体"/>
          <w:bCs/>
          <w:color w:val="auto"/>
          <w:sz w:val="24"/>
          <w:highlight w:val="none"/>
        </w:rPr>
      </w:pPr>
      <w:r>
        <w:rPr>
          <w:rFonts w:hint="eastAsia" w:cs="宋体"/>
          <w:bCs/>
          <w:color w:val="auto"/>
          <w:sz w:val="24"/>
          <w:highlight w:val="none"/>
        </w:rPr>
        <w:t>培训内容：介绍项目的背景、目标及预期成果，使参与者对整个项目有一个宏观的认识。并通过实际案例分享和模拟练习，提高工作人员解决实际问题的能力。</w:t>
      </w:r>
    </w:p>
    <w:p w14:paraId="62320B2A">
      <w:pPr>
        <w:pStyle w:val="2"/>
        <w:numPr>
          <w:ilvl w:val="2"/>
          <w:numId w:val="6"/>
        </w:numPr>
        <w:spacing w:after="0" w:line="360" w:lineRule="auto"/>
        <w:ind w:left="0" w:leftChars="0" w:firstLine="420" w:firstLineChars="175"/>
        <w:rPr>
          <w:rFonts w:cs="宋体"/>
          <w:bCs/>
          <w:color w:val="auto"/>
          <w:sz w:val="24"/>
          <w:highlight w:val="none"/>
        </w:rPr>
      </w:pPr>
      <w:r>
        <w:rPr>
          <w:rFonts w:hint="eastAsia" w:cs="宋体"/>
          <w:bCs/>
          <w:color w:val="auto"/>
          <w:sz w:val="24"/>
          <w:highlight w:val="none"/>
        </w:rPr>
        <w:t>培训方式：按采购方要求提供不限次数的线上或线下培训服务，要求提供电子版材料供工作人员学习。</w:t>
      </w:r>
    </w:p>
    <w:p w14:paraId="62320B2B">
      <w:pPr>
        <w:pStyle w:val="2"/>
        <w:numPr>
          <w:ilvl w:val="2"/>
          <w:numId w:val="6"/>
        </w:numPr>
        <w:spacing w:after="0" w:line="360" w:lineRule="auto"/>
        <w:ind w:left="0" w:leftChars="0" w:firstLine="420" w:firstLineChars="175"/>
        <w:rPr>
          <w:rFonts w:cs="宋体"/>
          <w:bCs/>
          <w:color w:val="auto"/>
          <w:sz w:val="24"/>
          <w:highlight w:val="none"/>
        </w:rPr>
      </w:pPr>
      <w:r>
        <w:rPr>
          <w:rFonts w:hint="eastAsia" w:cs="宋体"/>
          <w:bCs/>
          <w:color w:val="auto"/>
          <w:sz w:val="24"/>
          <w:highlight w:val="none"/>
        </w:rPr>
        <w:t>质量保证：培训讲师需参与履约相关平台开发或维护类工作三年以上，具备信息技术相关专业本科以上学历。</w:t>
      </w:r>
    </w:p>
    <w:p w14:paraId="62320B2C">
      <w:pPr>
        <w:pStyle w:val="2"/>
        <w:numPr>
          <w:ilvl w:val="1"/>
          <w:numId w:val="6"/>
        </w:numPr>
        <w:spacing w:after="0" w:line="360" w:lineRule="auto"/>
        <w:ind w:left="0" w:leftChars="0" w:firstLine="420" w:firstLineChars="175"/>
        <w:rPr>
          <w:rFonts w:cs="宋体"/>
          <w:color w:val="auto"/>
          <w:sz w:val="24"/>
          <w:highlight w:val="none"/>
        </w:rPr>
      </w:pPr>
      <w:r>
        <w:rPr>
          <w:rFonts w:hint="eastAsia" w:cs="宋体"/>
          <w:color w:val="auto"/>
          <w:sz w:val="24"/>
          <w:highlight w:val="none"/>
        </w:rPr>
        <w:t>开发团队要求</w:t>
      </w:r>
    </w:p>
    <w:p w14:paraId="62320B2D">
      <w:pPr>
        <w:pStyle w:val="7"/>
        <w:numPr>
          <w:ilvl w:val="2"/>
          <w:numId w:val="0"/>
        </w:numPr>
        <w:spacing w:before="0" w:after="0" w:line="360" w:lineRule="auto"/>
        <w:ind w:firstLine="420" w:firstLineChars="175"/>
        <w:rPr>
          <w:rFonts w:ascii="宋体" w:hAnsi="宋体" w:cs="宋体"/>
          <w:b w:val="0"/>
          <w:color w:val="auto"/>
          <w:sz w:val="24"/>
          <w:szCs w:val="24"/>
          <w:highlight w:val="none"/>
        </w:rPr>
      </w:pPr>
      <w:bookmarkStart w:id="31" w:name="_Toc181731158"/>
      <w:r>
        <w:rPr>
          <w:rFonts w:hint="eastAsia" w:ascii="宋体" w:hAnsi="宋体" w:cs="宋体"/>
          <w:b w:val="0"/>
          <w:color w:val="auto"/>
          <w:sz w:val="24"/>
          <w:szCs w:val="24"/>
          <w:highlight w:val="none"/>
        </w:rPr>
        <w:t>投标人必须成立合理的组织机构，建立健全保障项目顺利实施的各项管理制度和质量保证体系，按照招标要求安排好项目管理团队参加本项目的建设。</w:t>
      </w:r>
      <w:bookmarkEnd w:id="31"/>
    </w:p>
    <w:p w14:paraId="62320B2E">
      <w:pPr>
        <w:spacing w:line="360" w:lineRule="auto"/>
        <w:ind w:firstLine="420" w:firstLineChars="175"/>
        <w:rPr>
          <w:rFonts w:ascii="宋体" w:hAnsi="宋体" w:cs="宋体"/>
          <w:bCs/>
          <w:color w:val="auto"/>
          <w:sz w:val="24"/>
          <w:highlight w:val="none"/>
        </w:rPr>
      </w:pPr>
      <w:r>
        <w:rPr>
          <w:rFonts w:hint="eastAsia" w:ascii="宋体" w:hAnsi="宋体" w:cs="宋体"/>
          <w:bCs/>
          <w:color w:val="auto"/>
          <w:sz w:val="24"/>
          <w:highlight w:val="none"/>
        </w:rPr>
        <w:t>项目团队至少应包含项目经理1人、技术负责人1人及项目实施需要的其他专业技术人员，其他专业技术人员包括但不仅限于软件测试、系统集成、项目管理、用户培训等成员。</w:t>
      </w:r>
    </w:p>
    <w:p w14:paraId="62320B2F">
      <w:pPr>
        <w:pStyle w:val="7"/>
        <w:numPr>
          <w:ilvl w:val="2"/>
          <w:numId w:val="0"/>
        </w:numPr>
        <w:spacing w:before="0" w:after="0" w:line="360" w:lineRule="auto"/>
        <w:ind w:firstLine="420" w:firstLineChars="175"/>
        <w:rPr>
          <w:rFonts w:ascii="宋体" w:hAnsi="宋体" w:cs="宋体"/>
          <w:b w:val="0"/>
          <w:color w:val="auto"/>
          <w:sz w:val="24"/>
          <w:szCs w:val="24"/>
          <w:highlight w:val="none"/>
        </w:rPr>
      </w:pPr>
      <w:r>
        <w:rPr>
          <w:rFonts w:hint="eastAsia" w:ascii="宋体" w:hAnsi="宋体" w:cs="宋体"/>
          <w:b w:val="0"/>
          <w:color w:val="auto"/>
          <w:sz w:val="24"/>
          <w:szCs w:val="24"/>
          <w:highlight w:val="none"/>
        </w:rPr>
        <w:t>项目经理应具有履约相关专业本科以上学历，具有全国软考的信息系统项目管理师，具备近三年（自</w:t>
      </w:r>
      <w:r>
        <w:rPr>
          <w:rFonts w:hint="eastAsia" w:ascii="宋体" w:hAnsi="宋体" w:cs="宋体"/>
          <w:b w:val="0"/>
          <w:color w:val="auto"/>
          <w:sz w:val="24"/>
          <w:szCs w:val="24"/>
          <w:highlight w:val="none"/>
          <w:lang w:eastAsia="zh-CN"/>
        </w:rPr>
        <w:t>2022年1月1日</w:t>
      </w:r>
      <w:r>
        <w:rPr>
          <w:rFonts w:hint="eastAsia" w:ascii="宋体" w:hAnsi="宋体" w:cs="宋体"/>
          <w:b w:val="0"/>
          <w:color w:val="auto"/>
          <w:sz w:val="24"/>
          <w:szCs w:val="24"/>
          <w:highlight w:val="none"/>
        </w:rPr>
        <w:t>以来）同类电子政府实施经验。</w:t>
      </w:r>
    </w:p>
    <w:p w14:paraId="62320B30">
      <w:pPr>
        <w:pStyle w:val="7"/>
        <w:numPr>
          <w:ilvl w:val="2"/>
          <w:numId w:val="0"/>
        </w:numPr>
        <w:spacing w:before="0" w:after="0" w:line="360" w:lineRule="auto"/>
        <w:ind w:firstLine="420" w:firstLineChars="175"/>
        <w:rPr>
          <w:rFonts w:ascii="宋体" w:hAnsi="宋体" w:cs="宋体"/>
          <w:b w:val="0"/>
          <w:color w:val="auto"/>
          <w:sz w:val="24"/>
          <w:szCs w:val="24"/>
          <w:highlight w:val="none"/>
        </w:rPr>
      </w:pPr>
      <w:bookmarkStart w:id="32" w:name="_Toc181731160"/>
      <w:r>
        <w:rPr>
          <w:rFonts w:hint="eastAsia" w:ascii="宋体" w:hAnsi="宋体" w:cs="宋体"/>
          <w:b w:val="0"/>
          <w:color w:val="auto"/>
          <w:sz w:val="24"/>
          <w:szCs w:val="24"/>
          <w:highlight w:val="none"/>
        </w:rPr>
        <w:t>项目技术负责人应具有履约相关专业本科以上学历、具备同类行业5年及以上从业经验（从业年限）及近三年同类电子政府实施经验。</w:t>
      </w:r>
      <w:bookmarkEnd w:id="32"/>
    </w:p>
    <w:p w14:paraId="62320B31">
      <w:pPr>
        <w:pStyle w:val="7"/>
        <w:numPr>
          <w:ilvl w:val="2"/>
          <w:numId w:val="0"/>
        </w:numPr>
        <w:spacing w:before="0" w:after="0" w:line="360" w:lineRule="auto"/>
        <w:ind w:firstLine="420" w:firstLineChars="175"/>
        <w:rPr>
          <w:rFonts w:ascii="宋体" w:hAnsi="宋体" w:cs="宋体"/>
          <w:b w:val="0"/>
          <w:color w:val="auto"/>
          <w:sz w:val="24"/>
          <w:szCs w:val="24"/>
          <w:highlight w:val="none"/>
        </w:rPr>
      </w:pPr>
      <w:bookmarkStart w:id="33" w:name="_Toc181731161"/>
      <w:r>
        <w:rPr>
          <w:rFonts w:hint="eastAsia" w:ascii="宋体" w:hAnsi="宋体" w:cs="宋体"/>
          <w:b w:val="0"/>
          <w:color w:val="auto"/>
          <w:sz w:val="24"/>
          <w:szCs w:val="24"/>
          <w:highlight w:val="none"/>
        </w:rPr>
        <w:t>项目其他成员（除项目经理和技术负责人外）应具有履约相关专业本科以上学历，具备近三年同类电子政府实施经验。</w:t>
      </w:r>
      <w:bookmarkEnd w:id="33"/>
    </w:p>
    <w:p w14:paraId="62320B32">
      <w:pPr>
        <w:pStyle w:val="2"/>
        <w:numPr>
          <w:ilvl w:val="1"/>
          <w:numId w:val="6"/>
        </w:numPr>
        <w:spacing w:after="0" w:line="360" w:lineRule="auto"/>
        <w:ind w:left="0" w:leftChars="0" w:firstLine="420" w:firstLineChars="175"/>
        <w:rPr>
          <w:rFonts w:cs="宋体"/>
          <w:color w:val="auto"/>
          <w:sz w:val="24"/>
          <w:highlight w:val="none"/>
        </w:rPr>
      </w:pPr>
      <w:bookmarkStart w:id="34" w:name="_Toc181731163"/>
      <w:r>
        <w:rPr>
          <w:rFonts w:hint="eastAsia" w:cs="宋体"/>
          <w:color w:val="auto"/>
          <w:sz w:val="24"/>
          <w:highlight w:val="none"/>
        </w:rPr>
        <w:t>方案演示</w:t>
      </w:r>
      <w:bookmarkEnd w:id="34"/>
    </w:p>
    <w:p w14:paraId="62320B33">
      <w:pPr>
        <w:numPr>
          <w:ilvl w:val="2"/>
          <w:numId w:val="7"/>
        </w:numPr>
        <w:snapToGrid w:val="0"/>
        <w:spacing w:line="360" w:lineRule="auto"/>
        <w:ind w:left="0" w:firstLine="420" w:firstLineChars="175"/>
        <w:rPr>
          <w:rFonts w:ascii="宋体" w:hAnsi="宋体" w:cs="宋体"/>
          <w:color w:val="auto"/>
          <w:sz w:val="24"/>
          <w:highlight w:val="none"/>
          <w:lang w:eastAsia="zh-Hans" w:bidi="ar"/>
        </w:rPr>
      </w:pPr>
      <w:r>
        <w:rPr>
          <w:rFonts w:hint="eastAsia" w:ascii="宋体" w:hAnsi="宋体" w:cs="宋体"/>
          <w:color w:val="auto"/>
          <w:sz w:val="24"/>
          <w:highlight w:val="none"/>
          <w:lang w:eastAsia="zh-Hans" w:bidi="ar"/>
        </w:rPr>
        <w:t xml:space="preserve">在评标时安排每个投标人进行系统演示。每个投标人时间不超过 </w:t>
      </w:r>
      <w:r>
        <w:rPr>
          <w:rFonts w:hint="eastAsia" w:ascii="宋体" w:hAnsi="宋体" w:cs="宋体"/>
          <w:color w:val="auto"/>
          <w:sz w:val="24"/>
          <w:highlight w:val="none"/>
          <w:lang w:bidi="ar"/>
        </w:rPr>
        <w:t>15</w:t>
      </w:r>
      <w:r>
        <w:rPr>
          <w:rFonts w:hint="eastAsia" w:ascii="宋体" w:hAnsi="宋体" w:cs="宋体"/>
          <w:color w:val="auto"/>
          <w:sz w:val="24"/>
          <w:highlight w:val="none"/>
          <w:lang w:eastAsia="zh-Hans" w:bidi="ar"/>
        </w:rPr>
        <w:t>分钟（不含现场评标委员会提问时间），演示次序以投标文件解密时间先后次序为准，演示人员需为拟派</w:t>
      </w:r>
      <w:r>
        <w:rPr>
          <w:rFonts w:hint="eastAsia" w:ascii="宋体" w:hAnsi="宋体" w:cs="宋体"/>
          <w:color w:val="auto"/>
          <w:sz w:val="24"/>
          <w:highlight w:val="none"/>
          <w:lang w:bidi="ar"/>
        </w:rPr>
        <w:t>项目组成员之一</w:t>
      </w:r>
      <w:r>
        <w:rPr>
          <w:rFonts w:hint="eastAsia" w:ascii="宋体" w:hAnsi="宋体" w:cs="宋体"/>
          <w:color w:val="auto"/>
          <w:sz w:val="24"/>
          <w:highlight w:val="none"/>
          <w:lang w:eastAsia="zh-Hans" w:bidi="ar"/>
        </w:rPr>
        <w:t>。演示结束后按要求解答评标委员会提问。</w:t>
      </w:r>
    </w:p>
    <w:p w14:paraId="62320B34">
      <w:pPr>
        <w:numPr>
          <w:ilvl w:val="2"/>
          <w:numId w:val="7"/>
        </w:numPr>
        <w:snapToGrid w:val="0"/>
        <w:spacing w:line="360" w:lineRule="auto"/>
        <w:ind w:left="0" w:firstLine="420" w:firstLineChars="175"/>
        <w:rPr>
          <w:rFonts w:ascii="宋体" w:hAnsi="宋体" w:cs="宋体"/>
          <w:color w:val="auto"/>
          <w:sz w:val="24"/>
          <w:highlight w:val="none"/>
          <w:lang w:eastAsia="zh-Hans" w:bidi="ar"/>
        </w:rPr>
      </w:pPr>
      <w:r>
        <w:rPr>
          <w:rFonts w:hint="eastAsia" w:ascii="宋体" w:hAnsi="宋体" w:cs="宋体"/>
          <w:color w:val="auto"/>
          <w:sz w:val="24"/>
          <w:highlight w:val="none"/>
          <w:lang w:eastAsia="zh-Hans" w:bidi="ar"/>
        </w:rPr>
        <w:t>系统演示选择采用现场系统演示：</w:t>
      </w:r>
    </w:p>
    <w:p w14:paraId="62320B35">
      <w:pPr>
        <w:keepLines/>
        <w:numPr>
          <w:ilvl w:val="255"/>
          <w:numId w:val="0"/>
        </w:numPr>
        <w:tabs>
          <w:tab w:val="left" w:pos="0"/>
        </w:tabs>
        <w:spacing w:line="360" w:lineRule="auto"/>
        <w:ind w:firstLine="420" w:firstLineChars="175"/>
        <w:outlineLvl w:val="1"/>
        <w:rPr>
          <w:rFonts w:ascii="宋体" w:hAnsi="宋体" w:cs="宋体"/>
          <w:bCs/>
          <w:color w:val="auto"/>
          <w:sz w:val="24"/>
          <w:highlight w:val="none"/>
          <w:lang w:eastAsia="zh-Hans"/>
        </w:rPr>
      </w:pPr>
      <w:r>
        <w:rPr>
          <w:rFonts w:hint="eastAsia" w:ascii="宋体" w:hAnsi="宋体" w:cs="宋体"/>
          <w:bCs/>
          <w:color w:val="auto"/>
          <w:sz w:val="24"/>
          <w:highlight w:val="none"/>
          <w:lang w:eastAsia="zh-Hans"/>
        </w:rPr>
        <w:t>现场演示签到地点为杭州市西湖区文三路90号东部软件园1号楼3楼301开标室，现场演示签到截止时间同提交投标文件截止时间，未按时签到视为自动放弃系统演示。</w:t>
      </w:r>
    </w:p>
    <w:p w14:paraId="62320B36">
      <w:pPr>
        <w:keepLines/>
        <w:numPr>
          <w:ilvl w:val="255"/>
          <w:numId w:val="0"/>
        </w:numPr>
        <w:tabs>
          <w:tab w:val="left" w:pos="0"/>
        </w:tabs>
        <w:spacing w:line="360" w:lineRule="auto"/>
        <w:ind w:firstLine="420" w:firstLineChars="175"/>
        <w:outlineLvl w:val="1"/>
        <w:rPr>
          <w:rFonts w:ascii="宋体" w:hAnsi="宋体" w:cs="宋体"/>
          <w:bCs/>
          <w:color w:val="auto"/>
          <w:sz w:val="24"/>
          <w:highlight w:val="none"/>
          <w:lang w:eastAsia="zh-Hans"/>
        </w:rPr>
      </w:pPr>
      <w:r>
        <w:rPr>
          <w:rFonts w:hint="eastAsia" w:ascii="宋体" w:hAnsi="宋体" w:cs="宋体"/>
          <w:bCs/>
          <w:color w:val="auto"/>
          <w:sz w:val="24"/>
          <w:highlight w:val="none"/>
          <w:lang w:eastAsia="zh-Hans"/>
        </w:rPr>
        <w:t>演示人员开始演示前须提供身份证明并与投标文件</w:t>
      </w:r>
      <w:r>
        <w:rPr>
          <w:rFonts w:hint="eastAsia" w:ascii="宋体" w:hAnsi="宋体" w:cs="宋体"/>
          <w:bCs/>
          <w:color w:val="auto"/>
          <w:sz w:val="24"/>
          <w:highlight w:val="none"/>
        </w:rPr>
        <w:t>项目组对应成员</w:t>
      </w:r>
      <w:r>
        <w:rPr>
          <w:rFonts w:hint="eastAsia" w:ascii="宋体" w:hAnsi="宋体" w:cs="宋体"/>
          <w:bCs/>
          <w:color w:val="auto"/>
          <w:sz w:val="24"/>
          <w:highlight w:val="none"/>
          <w:lang w:eastAsia="zh-Hans"/>
        </w:rPr>
        <w:t>一致，否则不得演示。</w:t>
      </w:r>
    </w:p>
    <w:p w14:paraId="62320B37">
      <w:pPr>
        <w:keepLines/>
        <w:numPr>
          <w:ilvl w:val="255"/>
          <w:numId w:val="0"/>
        </w:numPr>
        <w:tabs>
          <w:tab w:val="left" w:pos="0"/>
        </w:tabs>
        <w:spacing w:line="360" w:lineRule="auto"/>
        <w:ind w:firstLine="420" w:firstLineChars="175"/>
        <w:outlineLvl w:val="1"/>
        <w:rPr>
          <w:rFonts w:ascii="宋体" w:hAnsi="宋体" w:cs="宋体"/>
          <w:bCs/>
          <w:color w:val="auto"/>
          <w:sz w:val="24"/>
          <w:highlight w:val="none"/>
          <w:lang w:eastAsia="zh-Hans"/>
        </w:rPr>
      </w:pPr>
      <w:r>
        <w:rPr>
          <w:rFonts w:hint="eastAsia" w:ascii="宋体" w:hAnsi="宋体" w:cs="宋体"/>
          <w:bCs/>
          <w:color w:val="auto"/>
          <w:sz w:val="24"/>
          <w:highlight w:val="none"/>
          <w:lang w:eastAsia="zh-Hans"/>
        </w:rPr>
        <w:t>演示现场提供投影仪及无线网络环境，演示所用电脑等其他演示相关设备由投标人自备。</w:t>
      </w:r>
    </w:p>
    <w:p w14:paraId="62320B38">
      <w:pPr>
        <w:keepLines/>
        <w:numPr>
          <w:ilvl w:val="255"/>
          <w:numId w:val="0"/>
        </w:numPr>
        <w:tabs>
          <w:tab w:val="left" w:pos="0"/>
        </w:tabs>
        <w:spacing w:line="360" w:lineRule="auto"/>
        <w:ind w:firstLine="420" w:firstLineChars="175"/>
        <w:outlineLvl w:val="1"/>
        <w:rPr>
          <w:rFonts w:ascii="宋体" w:hAnsi="宋体" w:cs="宋体"/>
          <w:bCs/>
          <w:color w:val="auto"/>
          <w:sz w:val="24"/>
          <w:highlight w:val="none"/>
          <w:lang w:eastAsia="zh-Hans"/>
        </w:rPr>
      </w:pPr>
      <w:r>
        <w:rPr>
          <w:rFonts w:hint="eastAsia" w:ascii="宋体" w:hAnsi="宋体" w:cs="宋体"/>
          <w:bCs/>
          <w:color w:val="auto"/>
          <w:sz w:val="24"/>
          <w:highlight w:val="none"/>
          <w:lang w:eastAsia="zh-Hans"/>
        </w:rPr>
        <w:t>注：因投标人自身原因导致无法演示或者演示效果不理想的，责任自负。因平台原因导致本项目演示环节无法顺利开展，按照《浙江省政府采购项目电子交易管理暂行办法》相关规定执行。</w:t>
      </w:r>
    </w:p>
    <w:p w14:paraId="62320B39">
      <w:pPr>
        <w:numPr>
          <w:ilvl w:val="2"/>
          <w:numId w:val="7"/>
        </w:numPr>
        <w:snapToGrid w:val="0"/>
        <w:spacing w:line="360" w:lineRule="auto"/>
        <w:ind w:left="0" w:firstLine="420" w:firstLineChars="175"/>
        <w:rPr>
          <w:rFonts w:ascii="宋体" w:hAnsi="宋体" w:cs="宋体"/>
          <w:color w:val="auto"/>
          <w:sz w:val="24"/>
          <w:highlight w:val="none"/>
          <w:lang w:bidi="ar"/>
        </w:rPr>
      </w:pPr>
      <w:r>
        <w:rPr>
          <w:rFonts w:hint="eastAsia" w:ascii="宋体" w:hAnsi="宋体" w:cs="宋体"/>
          <w:color w:val="auto"/>
          <w:sz w:val="24"/>
          <w:highlight w:val="none"/>
          <w:lang w:eastAsia="zh-Hans" w:bidi="ar"/>
        </w:rPr>
        <w:t>系统演示</w:t>
      </w:r>
      <w:r>
        <w:rPr>
          <w:rFonts w:hint="eastAsia" w:ascii="宋体" w:hAnsi="宋体" w:cs="宋体"/>
          <w:color w:val="auto"/>
          <w:sz w:val="24"/>
          <w:highlight w:val="none"/>
          <w:lang w:bidi="ar"/>
        </w:rPr>
        <w:t>内容</w:t>
      </w:r>
    </w:p>
    <w:p w14:paraId="62320B3A">
      <w:pPr>
        <w:pStyle w:val="2"/>
        <w:ind w:left="0" w:leftChars="0" w:firstLine="420" w:firstLineChars="175"/>
        <w:rPr>
          <w:color w:val="auto"/>
          <w:sz w:val="24"/>
          <w:highlight w:val="none"/>
        </w:rPr>
      </w:pPr>
      <w:r>
        <w:rPr>
          <w:rFonts w:hint="eastAsia"/>
          <w:color w:val="auto"/>
          <w:sz w:val="24"/>
          <w:highlight w:val="none"/>
        </w:rPr>
        <w:t>（1）信用评价</w:t>
      </w:r>
    </w:p>
    <w:p w14:paraId="28623D1F">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规则管理及计算:</w:t>
      </w:r>
    </w:p>
    <w:p w14:paraId="2D6A3C71">
      <w:pPr>
        <w:pStyle w:val="3"/>
        <w:ind w:left="0" w:leftChars="0" w:firstLine="420" w:firstLineChars="175"/>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根据信用评价的</w:t>
      </w:r>
      <w:r>
        <w:rPr>
          <w:rFonts w:hint="eastAsia" w:ascii="宋体" w:hAnsi="宋体" w:eastAsia="宋体" w:cs="宋体"/>
          <w:color w:val="auto"/>
          <w:sz w:val="24"/>
          <w:szCs w:val="24"/>
          <w:highlight w:val="none"/>
          <w:lang w:bidi="ar"/>
        </w:rPr>
        <w:t>采购</w:t>
      </w:r>
      <w:r>
        <w:rPr>
          <w:rFonts w:hint="eastAsia" w:ascii="宋体" w:hAnsi="宋体" w:cs="宋体"/>
          <w:color w:val="auto"/>
          <w:sz w:val="24"/>
          <w:szCs w:val="24"/>
          <w:highlight w:val="none"/>
          <w:lang w:bidi="ar"/>
        </w:rPr>
        <w:t>需求，</w:t>
      </w:r>
      <w:r>
        <w:rPr>
          <w:rFonts w:hint="eastAsia" w:ascii="宋体" w:hAnsi="宋体" w:eastAsia="宋体" w:cs="宋体"/>
          <w:color w:val="auto"/>
          <w:sz w:val="24"/>
          <w:szCs w:val="24"/>
          <w:highlight w:val="none"/>
          <w:lang w:bidi="ar"/>
        </w:rPr>
        <w:t>呈现所有指标项的配置，并支持版本管理的页面设计；</w:t>
      </w:r>
    </w:p>
    <w:p w14:paraId="18C4141A">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信用分级管理：</w:t>
      </w:r>
    </w:p>
    <w:p w14:paraId="4B422542">
      <w:pPr>
        <w:pStyle w:val="3"/>
        <w:snapToGrid w:val="0"/>
        <w:spacing w:line="360" w:lineRule="auto"/>
        <w:ind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根据信用评价的采购需求，展示律师信用分的页面设计</w:t>
      </w:r>
      <w:r>
        <w:rPr>
          <w:rFonts w:hint="eastAsia" w:cs="宋体"/>
          <w:color w:val="auto"/>
          <w:sz w:val="24"/>
          <w:szCs w:val="24"/>
          <w:highlight w:val="none"/>
          <w:lang w:eastAsia="zh-CN" w:bidi="ar"/>
        </w:rPr>
        <w:t>。</w:t>
      </w:r>
    </w:p>
    <w:p w14:paraId="113F829F">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color w:val="auto"/>
          <w:sz w:val="24"/>
          <w:highlight w:val="none"/>
        </w:rPr>
        <w:t>（2）公益服务</w:t>
      </w:r>
      <w:r>
        <w:rPr>
          <w:rFonts w:hint="eastAsia" w:ascii="宋体" w:hAnsi="宋体" w:eastAsia="宋体" w:cs="宋体"/>
          <w:color w:val="auto"/>
          <w:sz w:val="24"/>
          <w:szCs w:val="24"/>
          <w:highlight w:val="none"/>
          <w:lang w:bidi="ar"/>
        </w:rPr>
        <w:t>，包括：</w:t>
      </w:r>
    </w:p>
    <w:p w14:paraId="359801D5">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自主申报</w:t>
      </w:r>
    </w:p>
    <w:p w14:paraId="1615E245">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申报管理</w:t>
      </w:r>
    </w:p>
    <w:p w14:paraId="6600978D">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根据公益服务-自主申报的采购需求，呈现申报管理列表、检索条件及详情的设计；</w:t>
      </w:r>
    </w:p>
    <w:p w14:paraId="04D99C93">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新增申报</w:t>
      </w:r>
    </w:p>
    <w:p w14:paraId="299F6AAD">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根据公益服务-自主申报的采购需求，分别呈现律师/律师事务所/司法行政机关、律师协会等角色下的申报页面设计；</w:t>
      </w:r>
    </w:p>
    <w:p w14:paraId="1DD07AC0">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申报审批</w:t>
      </w:r>
    </w:p>
    <w:p w14:paraId="4F9380F3">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根据公益服务-自主申报的采购需求，分别呈现律师/律师事务所申报事项的审批信息设计；</w:t>
      </w:r>
    </w:p>
    <w:p w14:paraId="36E37CBB">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积分管理</w:t>
      </w:r>
    </w:p>
    <w:p w14:paraId="2916274A">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积分总览</w:t>
      </w:r>
    </w:p>
    <w:p w14:paraId="727FD2B3">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积分总览的采购需求，呈现积分总览页面，需包含：全省人员积分排行、全省机构积分排行、地区人员积分分布、地区机构积分分布、全省人员数量与分数分布、不同规模律所分数占比/趋势等设计。</w:t>
      </w:r>
    </w:p>
    <w:p w14:paraId="6EF758C4">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人员积分</w:t>
      </w:r>
    </w:p>
    <w:p w14:paraId="3C3C8280">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根据公益服务-人员的采购需求，呈现人员积分的列表及检索条件的设计；</w:t>
      </w:r>
    </w:p>
    <w:p w14:paraId="121939A3">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机构积分</w:t>
      </w:r>
    </w:p>
    <w:p w14:paraId="6C10C0C0">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根据公益服务-机构的采购需求，呈现机构积分的列表及检索条件的设计；</w:t>
      </w:r>
    </w:p>
    <w:p w14:paraId="1074E9A9">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建模研探</w:t>
      </w:r>
    </w:p>
    <w:p w14:paraId="2536F22C">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人员</w:t>
      </w:r>
    </w:p>
    <w:p w14:paraId="4CD0D854">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根据公益服务-建模研探的采购需求，呈现人员在不同版本规则下的积分设计；</w:t>
      </w:r>
    </w:p>
    <w:p w14:paraId="0D228099">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机构</w:t>
      </w:r>
    </w:p>
    <w:p w14:paraId="555F3F3B">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根据公益服务-建模研探的采购需求，呈现机构在不同版本规则下的积分设计；</w:t>
      </w:r>
    </w:p>
    <w:p w14:paraId="77D435DE">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规则配置</w:t>
      </w:r>
    </w:p>
    <w:p w14:paraId="1B7EF553">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根据公益服务-规则配置的采购需求，呈现积分规则的管理列表及详情设计</w:t>
      </w:r>
      <w:r>
        <w:rPr>
          <w:rFonts w:hint="eastAsia" w:cs="宋体"/>
          <w:color w:val="auto"/>
          <w:sz w:val="24"/>
          <w:szCs w:val="24"/>
          <w:highlight w:val="none"/>
          <w:lang w:eastAsia="zh-CN" w:bidi="ar"/>
        </w:rPr>
        <w:t>。</w:t>
      </w:r>
    </w:p>
    <w:p w14:paraId="62320B3C">
      <w:pPr>
        <w:pStyle w:val="2"/>
        <w:ind w:left="0" w:leftChars="0" w:firstLine="420" w:firstLineChars="175"/>
        <w:rPr>
          <w:color w:val="auto"/>
          <w:sz w:val="24"/>
          <w:highlight w:val="none"/>
        </w:rPr>
      </w:pPr>
      <w:r>
        <w:rPr>
          <w:rFonts w:hint="eastAsia"/>
          <w:color w:val="auto"/>
          <w:sz w:val="24"/>
          <w:highlight w:val="none"/>
        </w:rPr>
        <w:t>（3）智慧党建</w:t>
      </w:r>
    </w:p>
    <w:p w14:paraId="0B6A7F01">
      <w:pPr>
        <w:snapToGrid w:val="0"/>
        <w:spacing w:line="360" w:lineRule="auto"/>
        <w:ind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 党组织管理</w:t>
      </w:r>
    </w:p>
    <w:p w14:paraId="2CC07C40">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党组织信息：</w:t>
      </w:r>
    </w:p>
    <w:p w14:paraId="21F2A935">
      <w:pPr>
        <w:pStyle w:val="3"/>
        <w:ind w:firstLine="420" w:firstLineChars="175"/>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党组织管理</w:t>
      </w:r>
      <w:r>
        <w:rPr>
          <w:rFonts w:hint="eastAsia" w:ascii="宋体" w:hAnsi="宋体" w:cs="宋体"/>
          <w:color w:val="auto"/>
          <w:sz w:val="24"/>
          <w:szCs w:val="24"/>
          <w:highlight w:val="none"/>
          <w:lang w:bidi="ar"/>
        </w:rPr>
        <w:t>的采购需求，呈现</w:t>
      </w:r>
      <w:r>
        <w:rPr>
          <w:rFonts w:hint="eastAsia" w:ascii="宋体" w:hAnsi="宋体" w:eastAsia="宋体" w:cs="宋体"/>
          <w:color w:val="auto"/>
          <w:sz w:val="24"/>
          <w:szCs w:val="24"/>
          <w:highlight w:val="none"/>
          <w:lang w:bidi="ar"/>
        </w:rPr>
        <w:t>全省不同层级</w:t>
      </w:r>
      <w:r>
        <w:rPr>
          <w:rFonts w:hint="eastAsia" w:ascii="宋体" w:hAnsi="宋体" w:cs="宋体"/>
          <w:color w:val="auto"/>
          <w:sz w:val="24"/>
          <w:szCs w:val="24"/>
          <w:highlight w:val="none"/>
          <w:lang w:bidi="ar"/>
        </w:rPr>
        <w:t>的</w:t>
      </w:r>
      <w:r>
        <w:rPr>
          <w:rFonts w:hint="eastAsia" w:ascii="宋体" w:hAnsi="宋体" w:eastAsia="宋体" w:cs="宋体"/>
          <w:color w:val="auto"/>
          <w:sz w:val="24"/>
          <w:szCs w:val="24"/>
          <w:highlight w:val="none"/>
          <w:lang w:bidi="ar"/>
        </w:rPr>
        <w:t>党组织管理列表、</w:t>
      </w:r>
      <w:r>
        <w:rPr>
          <w:rFonts w:hint="eastAsia" w:ascii="宋体" w:hAnsi="宋体" w:cs="宋体"/>
          <w:color w:val="auto"/>
          <w:sz w:val="24"/>
          <w:szCs w:val="24"/>
          <w:highlight w:val="none"/>
          <w:lang w:bidi="ar"/>
        </w:rPr>
        <w:t>详情</w:t>
      </w:r>
      <w:r>
        <w:rPr>
          <w:rFonts w:hint="eastAsia" w:ascii="宋体" w:hAnsi="宋体" w:eastAsia="宋体" w:cs="宋体"/>
          <w:color w:val="auto"/>
          <w:sz w:val="24"/>
          <w:szCs w:val="24"/>
          <w:highlight w:val="none"/>
          <w:lang w:bidi="ar"/>
        </w:rPr>
        <w:t>等</w:t>
      </w:r>
      <w:r>
        <w:rPr>
          <w:rFonts w:hint="eastAsia" w:ascii="宋体" w:hAnsi="宋体" w:cs="宋体"/>
          <w:color w:val="auto"/>
          <w:sz w:val="24"/>
          <w:szCs w:val="24"/>
          <w:highlight w:val="none"/>
          <w:lang w:bidi="ar"/>
        </w:rPr>
        <w:t>设计；</w:t>
      </w:r>
    </w:p>
    <w:p w14:paraId="626B1624">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党支部新增：</w:t>
      </w:r>
    </w:p>
    <w:p w14:paraId="2499A881">
      <w:pPr>
        <w:pStyle w:val="3"/>
        <w:ind w:firstLine="420" w:firstLineChars="175"/>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党组织管理</w:t>
      </w:r>
      <w:r>
        <w:rPr>
          <w:rFonts w:hint="eastAsia" w:ascii="宋体" w:hAnsi="宋体" w:cs="宋体"/>
          <w:color w:val="auto"/>
          <w:sz w:val="24"/>
          <w:szCs w:val="24"/>
          <w:highlight w:val="none"/>
          <w:lang w:bidi="ar"/>
        </w:rPr>
        <w:t>-</w:t>
      </w:r>
      <w:r>
        <w:rPr>
          <w:rFonts w:hint="eastAsia" w:ascii="宋体" w:hAnsi="宋体" w:eastAsia="宋体" w:cs="宋体"/>
          <w:color w:val="auto"/>
          <w:sz w:val="24"/>
          <w:szCs w:val="24"/>
          <w:highlight w:val="none"/>
          <w:lang w:bidi="ar"/>
        </w:rPr>
        <w:t>党支部新增</w:t>
      </w:r>
      <w:r>
        <w:rPr>
          <w:rFonts w:hint="eastAsia" w:ascii="宋体" w:hAnsi="宋体" w:cs="宋体"/>
          <w:color w:val="auto"/>
          <w:sz w:val="24"/>
          <w:szCs w:val="24"/>
          <w:highlight w:val="none"/>
          <w:lang w:bidi="ar"/>
        </w:rPr>
        <w:t>的采购需求，呈现</w:t>
      </w:r>
      <w:r>
        <w:rPr>
          <w:rFonts w:hint="eastAsia" w:ascii="宋体" w:hAnsi="宋体" w:eastAsia="宋体" w:cs="宋体"/>
          <w:color w:val="auto"/>
          <w:sz w:val="24"/>
          <w:szCs w:val="24"/>
          <w:highlight w:val="none"/>
          <w:lang w:bidi="ar"/>
        </w:rPr>
        <w:t>党支部新增的页面</w:t>
      </w:r>
      <w:r>
        <w:rPr>
          <w:rFonts w:hint="eastAsia" w:ascii="宋体" w:hAnsi="宋体" w:cs="宋体"/>
          <w:color w:val="auto"/>
          <w:sz w:val="24"/>
          <w:szCs w:val="24"/>
          <w:highlight w:val="none"/>
          <w:lang w:bidi="ar"/>
        </w:rPr>
        <w:t>设计；</w:t>
      </w:r>
    </w:p>
    <w:p w14:paraId="1B7BDD8D">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党组织搜索：</w:t>
      </w:r>
    </w:p>
    <w:p w14:paraId="0A4D8BDD">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根据党组织管理-党组织搜索的采购需求，呈现党组织的检索条件设计；</w:t>
      </w:r>
    </w:p>
    <w:p w14:paraId="0DCD90EE">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党组织换届：</w:t>
      </w:r>
    </w:p>
    <w:p w14:paraId="2B3AB22E">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根据党组织管理-党组织换届的采购需求，呈现党组织换届的页面设计；</w:t>
      </w:r>
    </w:p>
    <w:p w14:paraId="39F666AB">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组织架构：</w:t>
      </w:r>
    </w:p>
    <w:p w14:paraId="40984040">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根据党组织管理-组织架构的采购需求，呈现全省党组织的页面设计；</w:t>
      </w:r>
    </w:p>
    <w:p w14:paraId="3DB1AAFC">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数据统计：</w:t>
      </w:r>
    </w:p>
    <w:p w14:paraId="418F8D2A">
      <w:pPr>
        <w:pStyle w:val="3"/>
        <w:snapToGrid w:val="0"/>
        <w:spacing w:line="360" w:lineRule="auto"/>
        <w:ind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根据党组织管理-数据统计的采购需求，呈现各级党组织数量的页面设计</w:t>
      </w:r>
      <w:r>
        <w:rPr>
          <w:rFonts w:hint="eastAsia" w:cs="宋体"/>
          <w:color w:val="auto"/>
          <w:sz w:val="24"/>
          <w:szCs w:val="24"/>
          <w:highlight w:val="none"/>
          <w:lang w:eastAsia="zh-CN" w:bidi="ar"/>
        </w:rPr>
        <w:t>。</w:t>
      </w:r>
    </w:p>
    <w:p w14:paraId="62320B3D">
      <w:pPr>
        <w:pStyle w:val="2"/>
        <w:ind w:left="0" w:leftChars="0" w:firstLine="420" w:firstLineChars="175"/>
        <w:rPr>
          <w:color w:val="auto"/>
          <w:sz w:val="24"/>
          <w:highlight w:val="none"/>
        </w:rPr>
      </w:pPr>
      <w:r>
        <w:rPr>
          <w:rFonts w:hint="eastAsia"/>
          <w:color w:val="auto"/>
          <w:sz w:val="24"/>
          <w:highlight w:val="none"/>
        </w:rPr>
        <w:t>（4）党政法顾</w:t>
      </w:r>
    </w:p>
    <w:p w14:paraId="386879F4">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首页</w:t>
      </w:r>
    </w:p>
    <w:p w14:paraId="43E17E22">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法律顾问统计</w:t>
      </w:r>
    </w:p>
    <w:p w14:paraId="3798D64A">
      <w:pPr>
        <w:pStyle w:val="3"/>
        <w:ind w:firstLine="420" w:firstLineChars="175"/>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党政法顾</w:t>
      </w:r>
      <w:r>
        <w:rPr>
          <w:rFonts w:hint="eastAsia" w:ascii="宋体" w:hAnsi="宋体" w:cs="宋体"/>
          <w:color w:val="auto"/>
          <w:sz w:val="24"/>
          <w:szCs w:val="24"/>
          <w:highlight w:val="none"/>
          <w:lang w:bidi="ar"/>
        </w:rPr>
        <w:t>-</w:t>
      </w:r>
      <w:r>
        <w:rPr>
          <w:rFonts w:hint="eastAsia" w:ascii="宋体" w:hAnsi="宋体" w:eastAsia="宋体" w:cs="宋体"/>
          <w:color w:val="auto"/>
          <w:sz w:val="24"/>
          <w:szCs w:val="24"/>
          <w:highlight w:val="none"/>
          <w:lang w:bidi="ar"/>
        </w:rPr>
        <w:t>首页</w:t>
      </w:r>
      <w:r>
        <w:rPr>
          <w:rFonts w:hint="eastAsia" w:ascii="宋体" w:hAnsi="宋体" w:cs="宋体"/>
          <w:color w:val="auto"/>
          <w:sz w:val="24"/>
          <w:szCs w:val="24"/>
          <w:highlight w:val="none"/>
          <w:lang w:bidi="ar"/>
        </w:rPr>
        <w:t>的采购需求，</w:t>
      </w:r>
      <w:r>
        <w:rPr>
          <w:rFonts w:hint="eastAsia" w:ascii="宋体" w:hAnsi="宋体" w:eastAsia="宋体" w:cs="宋体"/>
          <w:color w:val="auto"/>
          <w:sz w:val="24"/>
          <w:szCs w:val="24"/>
          <w:highlight w:val="none"/>
          <w:lang w:bidi="ar"/>
        </w:rPr>
        <w:t>呈现法律顾问统计信息；人员年龄、性别、学历、地域、专长的分布图；</w:t>
      </w:r>
    </w:p>
    <w:p w14:paraId="7D26825F">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工作记录统计</w:t>
      </w:r>
    </w:p>
    <w:p w14:paraId="4B7012EF">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根据党政法顾-首页的采购需求，呈现工作记录关键指标、工作类型关键指标；</w:t>
      </w:r>
    </w:p>
    <w:p w14:paraId="7D56EB34">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法律顾问管理</w:t>
      </w:r>
    </w:p>
    <w:p w14:paraId="66B699F2">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法律顾问管理</w:t>
      </w:r>
    </w:p>
    <w:p w14:paraId="4F9186C5">
      <w:pPr>
        <w:pStyle w:val="3"/>
        <w:ind w:firstLine="420" w:firstLineChars="175"/>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bidi="ar"/>
        </w:rPr>
        <w:t>根据党政法顾-</w:t>
      </w:r>
      <w:r>
        <w:rPr>
          <w:rFonts w:hint="eastAsia" w:ascii="宋体" w:hAnsi="宋体" w:eastAsia="宋体" w:cs="宋体"/>
          <w:color w:val="auto"/>
          <w:sz w:val="24"/>
          <w:szCs w:val="24"/>
          <w:highlight w:val="none"/>
          <w:lang w:bidi="ar"/>
        </w:rPr>
        <w:t>法律顾问管理</w:t>
      </w:r>
      <w:r>
        <w:rPr>
          <w:rFonts w:hint="eastAsia" w:ascii="宋体" w:hAnsi="宋体" w:cs="宋体"/>
          <w:color w:val="auto"/>
          <w:sz w:val="24"/>
          <w:szCs w:val="24"/>
          <w:highlight w:val="none"/>
          <w:lang w:bidi="ar"/>
        </w:rPr>
        <w:t>的采购需求，</w:t>
      </w:r>
      <w:r>
        <w:rPr>
          <w:rFonts w:hint="eastAsia" w:ascii="宋体" w:hAnsi="宋体" w:eastAsia="宋体" w:cs="宋体"/>
          <w:color w:val="auto"/>
          <w:sz w:val="24"/>
          <w:szCs w:val="24"/>
          <w:highlight w:val="none"/>
          <w:lang w:bidi="ar"/>
        </w:rPr>
        <w:t>呈现法律顾问管理的列表、检索条件及详情设计；</w:t>
      </w:r>
    </w:p>
    <w:p w14:paraId="7316F56A">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工作记录管理</w:t>
      </w:r>
    </w:p>
    <w:p w14:paraId="0AD201D8">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根据党政法顾-工作记录管理的采购需求，呈现工作记录管理的列表、检索条件及详情设计；</w:t>
      </w:r>
    </w:p>
    <w:p w14:paraId="5A2E3AE1">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法律顾问数据统计：</w:t>
      </w:r>
    </w:p>
    <w:p w14:paraId="0ECC01F3">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根据党政法顾-法律顾问数据统计的采购需求，呈现法律顾问统计列表、检索条件及详情设计；工作记录统计的列表、检索条件及详情设计；过期法顾统计的列表、检索条件的设计；</w:t>
      </w:r>
    </w:p>
    <w:p w14:paraId="1C8B6809">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 权限管理</w:t>
      </w:r>
    </w:p>
    <w:p w14:paraId="62320B3E">
      <w:pPr>
        <w:pStyle w:val="2"/>
        <w:ind w:left="0" w:leftChars="0" w:firstLine="420" w:firstLineChars="175"/>
        <w:rPr>
          <w:color w:val="auto"/>
          <w:sz w:val="24"/>
          <w:highlight w:val="none"/>
        </w:rPr>
      </w:pPr>
      <w:r>
        <w:rPr>
          <w:rFonts w:hint="eastAsia"/>
          <w:color w:val="auto"/>
          <w:sz w:val="24"/>
          <w:highlight w:val="none"/>
        </w:rPr>
        <w:t>（5）浙里办应用</w:t>
      </w:r>
    </w:p>
    <w:p w14:paraId="7ACF9060">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在线申请</w:t>
      </w:r>
    </w:p>
    <w:p w14:paraId="1C010012">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根据浙里办应用-在线申请的采购需求，呈现浙里办在线申请的页面设计；</w:t>
      </w:r>
    </w:p>
    <w:p w14:paraId="6A51CE53">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律师评价</w:t>
      </w:r>
    </w:p>
    <w:p w14:paraId="05533C01">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快速申报</w:t>
      </w:r>
    </w:p>
    <w:p w14:paraId="00353B31">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根据浙里办应用-快速申报的采购需求，呈现浙里办快速申报的页面设计；</w:t>
      </w:r>
    </w:p>
    <w:p w14:paraId="77E78C97">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申报记录</w:t>
      </w:r>
    </w:p>
    <w:p w14:paraId="47D403DD">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根据浙里办应用-申报记录的采购需求，呈现浙里办申报记录的页面设计；</w:t>
      </w:r>
    </w:p>
    <w:p w14:paraId="5C658738">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我的评价</w:t>
      </w:r>
    </w:p>
    <w:p w14:paraId="53412795">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根据浙里办应用-我的评价的采购需求，呈现浙里办我的评价的页面设计；</w:t>
      </w:r>
    </w:p>
    <w:p w14:paraId="2223E76B">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申报统计</w:t>
      </w:r>
    </w:p>
    <w:p w14:paraId="39917310">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根据浙里办应用-申报统计的采购需求，呈现浙里办申报统计的页面设计；</w:t>
      </w:r>
    </w:p>
    <w:p w14:paraId="7EE47631">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公益服务：</w:t>
      </w:r>
    </w:p>
    <w:p w14:paraId="4D624BD0">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申报管理</w:t>
      </w:r>
    </w:p>
    <w:p w14:paraId="7C6B9E69">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根据浙里办应用-公益服务-申报管理的采购需求，呈现浙里办申报管理的页面设计；</w:t>
      </w:r>
    </w:p>
    <w:p w14:paraId="0848D82D">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自主申报</w:t>
      </w:r>
    </w:p>
    <w:p w14:paraId="6152220A">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根据浙里办应用-公益服务-自主申报的采购需求，呈现浙里办自主申报的页面设计；</w:t>
      </w:r>
    </w:p>
    <w:p w14:paraId="22B50775">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投诉答辩</w:t>
      </w:r>
    </w:p>
    <w:p w14:paraId="5400B4BE">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根据浙里办应用-投诉答辩的采购需求，呈现浙里办投诉答辩的页面设计；</w:t>
      </w:r>
    </w:p>
    <w:p w14:paraId="41F0A841">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年度考核</w:t>
      </w:r>
    </w:p>
    <w:p w14:paraId="20918B4D">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根据浙里办应用-年度考核的采购需求，呈现浙里办年度考核的页面设计；</w:t>
      </w:r>
    </w:p>
    <w:p w14:paraId="35931B32">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调档申请</w:t>
      </w:r>
    </w:p>
    <w:p w14:paraId="263981FA">
      <w:pPr>
        <w:pStyle w:val="3"/>
        <w:ind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根据浙里办应用-调档申请的采购需求，呈现浙里办调档申请的页面设计；</w:t>
      </w:r>
    </w:p>
    <w:p w14:paraId="259D5ABE">
      <w:pPr>
        <w:pStyle w:val="2"/>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我的档案</w:t>
      </w:r>
    </w:p>
    <w:p w14:paraId="39AF7C7B">
      <w:pPr>
        <w:pStyle w:val="3"/>
        <w:snapToGrid w:val="0"/>
        <w:spacing w:line="360" w:lineRule="auto"/>
        <w:ind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根据浙里办应用-我的档案的采购需求，呈现浙里办我的档案的页面设计；</w:t>
      </w:r>
    </w:p>
    <w:p w14:paraId="7D3F7209">
      <w:pPr>
        <w:pStyle w:val="3"/>
        <w:rPr>
          <w:color w:val="auto"/>
          <w:highlight w:val="none"/>
        </w:rPr>
      </w:pPr>
      <w:r>
        <w:rPr>
          <w:rFonts w:hint="eastAsia"/>
          <w:color w:val="auto"/>
          <w:highlight w:val="none"/>
        </w:rPr>
        <w:t>（6）瑕疵件管理</w:t>
      </w:r>
    </w:p>
    <w:p w14:paraId="2AA8EE63">
      <w:pPr>
        <w:snapToGrid w:val="0"/>
        <w:spacing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瑕疵件查询</w:t>
      </w:r>
    </w:p>
    <w:p w14:paraId="64B0AFCA">
      <w:pPr>
        <w:pStyle w:val="2"/>
        <w:snapToGrid w:val="0"/>
        <w:spacing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根据瑕疵件管理-瑕疵件查询的采购需求，呈现瑕疵件管理的列表、检索条件及详情的页面设计；</w:t>
      </w:r>
    </w:p>
    <w:p w14:paraId="730CEB1B">
      <w:pPr>
        <w:snapToGrid w:val="0"/>
        <w:spacing w:after="120" w:line="360" w:lineRule="auto"/>
        <w:ind w:left="0" w:leftChars="0" w:firstLine="420" w:firstLineChars="17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瑕疵件统计</w:t>
      </w:r>
    </w:p>
    <w:p w14:paraId="4C7C9EBD">
      <w:pPr>
        <w:pStyle w:val="2"/>
        <w:snapToGrid w:val="0"/>
        <w:spacing w:after="120" w:line="360" w:lineRule="auto"/>
        <w:ind w:left="0" w:leftChars="0" w:firstLine="420" w:firstLineChars="17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根据瑕疵件管理-瑕疵件统计的采购需求，呈现全省各级行政区域下各事项的办件数及瑕疵率统计的页面设计</w:t>
      </w:r>
      <w:r>
        <w:rPr>
          <w:rFonts w:hint="eastAsia" w:cs="宋体"/>
          <w:color w:val="auto"/>
          <w:sz w:val="24"/>
          <w:szCs w:val="24"/>
          <w:highlight w:val="none"/>
          <w:lang w:eastAsia="zh-CN" w:bidi="ar"/>
        </w:rPr>
        <w:t>。</w:t>
      </w:r>
    </w:p>
    <w:p w14:paraId="62320B40">
      <w:pPr>
        <w:pStyle w:val="5"/>
        <w:numPr>
          <w:ilvl w:val="0"/>
          <w:numId w:val="2"/>
        </w:numPr>
        <w:tabs>
          <w:tab w:val="left" w:pos="0"/>
          <w:tab w:val="clear" w:pos="432"/>
        </w:tabs>
        <w:spacing w:before="0" w:after="0" w:line="360" w:lineRule="auto"/>
        <w:ind w:firstLine="422" w:firstLineChars="175"/>
        <w:jc w:val="left"/>
        <w:rPr>
          <w:rFonts w:ascii="宋体" w:hAnsi="宋体" w:cs="宋体"/>
          <w:color w:val="auto"/>
          <w:sz w:val="24"/>
          <w:szCs w:val="24"/>
          <w:highlight w:val="none"/>
        </w:rPr>
      </w:pPr>
      <w:bookmarkStart w:id="35" w:name="_Toc181731154"/>
      <w:r>
        <w:rPr>
          <w:rFonts w:hint="eastAsia" w:ascii="宋体" w:hAnsi="宋体" w:cs="宋体"/>
          <w:color w:val="auto"/>
          <w:sz w:val="24"/>
          <w:szCs w:val="24"/>
          <w:highlight w:val="none"/>
        </w:rPr>
        <w:t>运维服务</w:t>
      </w:r>
      <w:bookmarkEnd w:id="35"/>
    </w:p>
    <w:p w14:paraId="62320B41">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本项目免费维保期为一年，自验收合格之日起算，提供系统维护期不少于（含）一年，按照采购人要求配合开展统一运维工作。</w:t>
      </w:r>
    </w:p>
    <w:p w14:paraId="62320B42">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 xml:space="preserve">提供7×24小时电话响应服务。接到用户技术支持请求后，必须立即做出实质性响应。在用户要求的时限内到达现场处理并尽快恢复系统正常运行。 </w:t>
      </w:r>
    </w:p>
    <w:p w14:paraId="62320B43">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供应商应提供远程技术支持和现场技术支持两种方式，技术服务包括系统的功能完善、故障排除、性能调优、技术咨询等，并负责系统的开发、集成，处理、协调与各系统软件、硬件等供应商的关系。</w:t>
      </w:r>
    </w:p>
    <w:p w14:paraId="62320B44">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 xml:space="preserve">采购人需求在开发期和试运行期内，仍有可能不断完善，供应商须承诺在采购需求或政策法规范围内，随着采购人需求的变动随时作出响应，修改应用软件。正式验收通过后，若有需求变动，在免费维护期内，仍应免费按采购人需求对整个系统做出相应修改，以满足采购人的需求。 </w:t>
      </w:r>
    </w:p>
    <w:p w14:paraId="62320B45">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供应商应本着认真负责态度，组织技术队伍，做好参加投标的整体方案，并书面提出长期保修、维护、服务以及今后技术支持的措施计划和承诺，供应商需要具备一定的服务管理能力及技术支持能力。</w:t>
      </w:r>
    </w:p>
    <w:p w14:paraId="62320B47">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项目实施完成后，中标供应商提出试运行申请后进入试运行期，试运行期为1年，期间无故障的，安排验收。出现故障的，试运行期中断，并自故障解决之日起重新计算试运行期。试运行期三次中断的，如系服务缺陷的，采购人有权提出由第三方进行完成后续工作，如系设备缺陷的，中标供应商需更换符合要求的设备，由此产生的损失及费用由供应商承担。</w:t>
      </w:r>
    </w:p>
    <w:p w14:paraId="62320B48">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供应商应承诺将按照采购人根据系统稳定、安全、可靠、有效运行所提出的要求和指标，及时制定、修改和完善系统运行维护方案，并确保系统运行维护方案有效执行。</w:t>
      </w:r>
    </w:p>
    <w:p w14:paraId="62320B49">
      <w:pPr>
        <w:widowControl/>
        <w:numPr>
          <w:ilvl w:val="1"/>
          <w:numId w:val="8"/>
        </w:numPr>
        <w:spacing w:line="360" w:lineRule="auto"/>
        <w:ind w:left="0" w:firstLine="420" w:firstLineChars="175"/>
        <w:rPr>
          <w:rFonts w:ascii="宋体" w:hAnsi="宋体" w:cs="宋体"/>
          <w:color w:val="auto"/>
          <w:sz w:val="24"/>
          <w:highlight w:val="none"/>
        </w:rPr>
      </w:pPr>
      <w:r>
        <w:rPr>
          <w:rFonts w:hint="eastAsia" w:ascii="宋体" w:hAnsi="宋体" w:cs="宋体"/>
          <w:color w:val="auto"/>
          <w:sz w:val="24"/>
          <w:highlight w:val="none"/>
        </w:rPr>
        <w:t>其它未尽售后服务内容包括服务响应时间、免费升级时限、服务优惠条件。如采购文件中遗漏了有关服务，请供应商在投标文件中指出，并提出解决方案供采购人、采购机构参考；中标供应商有义务保证采购人系统的完整性，如项目实施过程中因缺少有关服务导致项目无法正常推进，供应商须提供详细解决方案，同时供应商须承诺在项目建设过程中，接受采购人的全程监控和审核，包括阶段性文档和过程性工作等。</w:t>
      </w:r>
    </w:p>
    <w:p w14:paraId="62320B4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6" w:name="_Toc184310315"/>
      <w:bookmarkEnd w:id="36"/>
      <w:bookmarkStart w:id="37" w:name="_Toc184314436"/>
      <w:bookmarkEnd w:id="37"/>
      <w:bookmarkStart w:id="38" w:name="_Toc184312098"/>
      <w:bookmarkEnd w:id="38"/>
      <w:bookmarkStart w:id="39" w:name="_Toc184312091"/>
      <w:bookmarkEnd w:id="39"/>
      <w:bookmarkStart w:id="40" w:name="_Toc184308099"/>
      <w:bookmarkEnd w:id="40"/>
      <w:bookmarkStart w:id="41" w:name="_Toc184308049"/>
      <w:bookmarkEnd w:id="41"/>
      <w:bookmarkStart w:id="42" w:name="_Toc184314462"/>
      <w:bookmarkEnd w:id="42"/>
      <w:bookmarkStart w:id="43" w:name="_Toc184312082"/>
      <w:bookmarkEnd w:id="43"/>
      <w:bookmarkStart w:id="44" w:name="_Toc184310340"/>
      <w:bookmarkEnd w:id="44"/>
      <w:bookmarkStart w:id="45" w:name="_Toc184314474"/>
      <w:bookmarkEnd w:id="45"/>
      <w:bookmarkStart w:id="46" w:name="_Toc184310310"/>
      <w:bookmarkEnd w:id="46"/>
      <w:bookmarkStart w:id="47" w:name="_Toc184310302"/>
      <w:bookmarkEnd w:id="47"/>
      <w:bookmarkStart w:id="48" w:name="_Toc184312068"/>
      <w:bookmarkEnd w:id="48"/>
      <w:bookmarkStart w:id="49" w:name="_Toc184308078"/>
      <w:bookmarkEnd w:id="49"/>
      <w:bookmarkStart w:id="50" w:name="_Toc184313239"/>
      <w:bookmarkEnd w:id="50"/>
      <w:bookmarkStart w:id="51" w:name="_Toc184310272"/>
      <w:bookmarkEnd w:id="51"/>
      <w:bookmarkStart w:id="52" w:name="_Toc184310308"/>
      <w:bookmarkEnd w:id="52"/>
      <w:bookmarkStart w:id="53" w:name="_Toc184310295"/>
      <w:bookmarkEnd w:id="53"/>
      <w:bookmarkStart w:id="54" w:name="_Toc184308058"/>
      <w:bookmarkEnd w:id="54"/>
      <w:bookmarkStart w:id="55" w:name="_Toc184308043"/>
      <w:bookmarkEnd w:id="55"/>
      <w:bookmarkStart w:id="56" w:name="_Toc184312104"/>
      <w:bookmarkEnd w:id="56"/>
      <w:bookmarkStart w:id="57" w:name="_Toc184313302"/>
      <w:bookmarkEnd w:id="57"/>
      <w:bookmarkStart w:id="58" w:name="_Toc184314477"/>
      <w:bookmarkEnd w:id="58"/>
      <w:bookmarkStart w:id="59" w:name="_Toc184312086"/>
      <w:bookmarkEnd w:id="59"/>
      <w:bookmarkStart w:id="60" w:name="_Toc184308089"/>
      <w:bookmarkEnd w:id="60"/>
      <w:bookmarkStart w:id="61" w:name="_Toc184314430"/>
      <w:bookmarkEnd w:id="61"/>
      <w:bookmarkStart w:id="62" w:name="_Toc184310296"/>
      <w:bookmarkEnd w:id="62"/>
      <w:bookmarkStart w:id="63" w:name="_Toc184310338"/>
      <w:bookmarkEnd w:id="63"/>
      <w:bookmarkStart w:id="64" w:name="_Toc184313244"/>
      <w:bookmarkEnd w:id="64"/>
      <w:bookmarkStart w:id="65" w:name="_Toc184314425"/>
      <w:bookmarkEnd w:id="65"/>
      <w:bookmarkStart w:id="66" w:name="_Toc184310298"/>
      <w:bookmarkEnd w:id="66"/>
      <w:bookmarkStart w:id="67" w:name="_Toc184313300"/>
      <w:bookmarkEnd w:id="67"/>
      <w:bookmarkStart w:id="68" w:name="_Toc184314468"/>
      <w:bookmarkEnd w:id="68"/>
      <w:bookmarkStart w:id="69" w:name="_Toc184312074"/>
      <w:bookmarkEnd w:id="69"/>
      <w:bookmarkStart w:id="70" w:name="_Toc184308091"/>
      <w:bookmarkEnd w:id="70"/>
      <w:bookmarkStart w:id="71" w:name="_Toc184308101"/>
      <w:bookmarkEnd w:id="71"/>
      <w:bookmarkStart w:id="72" w:name="_Toc184310279"/>
      <w:bookmarkEnd w:id="72"/>
      <w:bookmarkStart w:id="73" w:name="_Toc184310322"/>
      <w:bookmarkEnd w:id="73"/>
      <w:bookmarkStart w:id="74" w:name="_Toc184314421"/>
      <w:bookmarkEnd w:id="74"/>
      <w:bookmarkStart w:id="75" w:name="_Toc184310290"/>
      <w:bookmarkEnd w:id="75"/>
      <w:bookmarkStart w:id="76" w:name="_Toc184310284"/>
      <w:bookmarkEnd w:id="76"/>
      <w:bookmarkStart w:id="77" w:name="_Toc184312117"/>
      <w:bookmarkEnd w:id="77"/>
      <w:bookmarkStart w:id="78" w:name="_Toc184314481"/>
      <w:bookmarkEnd w:id="78"/>
      <w:bookmarkStart w:id="79" w:name="_Toc184313310"/>
      <w:bookmarkEnd w:id="79"/>
      <w:bookmarkStart w:id="80" w:name="_Toc184314441"/>
      <w:bookmarkEnd w:id="80"/>
      <w:bookmarkStart w:id="81" w:name="_Toc184312088"/>
      <w:bookmarkEnd w:id="81"/>
      <w:bookmarkStart w:id="82" w:name="_Toc184312118"/>
      <w:bookmarkEnd w:id="82"/>
      <w:bookmarkStart w:id="83" w:name="_Toc184310291"/>
      <w:bookmarkEnd w:id="83"/>
      <w:bookmarkStart w:id="84" w:name="_Toc184310334"/>
      <w:bookmarkEnd w:id="84"/>
      <w:bookmarkStart w:id="85" w:name="_Toc184308088"/>
      <w:bookmarkEnd w:id="85"/>
      <w:bookmarkStart w:id="86" w:name="_Toc184310330"/>
      <w:bookmarkEnd w:id="86"/>
      <w:bookmarkStart w:id="87" w:name="_Toc184314437"/>
      <w:bookmarkEnd w:id="87"/>
      <w:bookmarkStart w:id="88" w:name="_Toc184312125"/>
      <w:bookmarkEnd w:id="88"/>
      <w:bookmarkStart w:id="89" w:name="_Toc184314410"/>
      <w:bookmarkEnd w:id="89"/>
      <w:bookmarkStart w:id="90" w:name="_Toc184310306"/>
      <w:bookmarkEnd w:id="90"/>
      <w:bookmarkStart w:id="91" w:name="_Toc184308083"/>
      <w:bookmarkEnd w:id="91"/>
      <w:bookmarkStart w:id="92" w:name="_Toc184312124"/>
      <w:bookmarkEnd w:id="92"/>
      <w:bookmarkStart w:id="93" w:name="_Toc184310297"/>
      <w:bookmarkEnd w:id="93"/>
      <w:bookmarkStart w:id="94" w:name="_Toc184312067"/>
      <w:bookmarkEnd w:id="94"/>
      <w:bookmarkStart w:id="95" w:name="_Toc184313247"/>
      <w:bookmarkEnd w:id="95"/>
      <w:bookmarkStart w:id="96" w:name="_Toc184310313"/>
      <w:bookmarkEnd w:id="96"/>
      <w:bookmarkStart w:id="97" w:name="_Toc184308066"/>
      <w:bookmarkEnd w:id="97"/>
      <w:bookmarkStart w:id="98" w:name="_Toc184314471"/>
      <w:bookmarkEnd w:id="98"/>
      <w:bookmarkStart w:id="99" w:name="_Toc184314466"/>
      <w:bookmarkEnd w:id="99"/>
      <w:bookmarkStart w:id="100" w:name="_Toc184310327"/>
      <w:bookmarkEnd w:id="100"/>
      <w:bookmarkStart w:id="101" w:name="_Toc184308038"/>
      <w:bookmarkEnd w:id="101"/>
      <w:bookmarkStart w:id="102" w:name="_Toc184312121"/>
      <w:bookmarkEnd w:id="102"/>
      <w:bookmarkStart w:id="103" w:name="_Toc184308047"/>
      <w:bookmarkEnd w:id="103"/>
      <w:bookmarkStart w:id="104" w:name="_Toc184312100"/>
      <w:bookmarkEnd w:id="104"/>
      <w:bookmarkStart w:id="105" w:name="_Toc184313279"/>
      <w:bookmarkEnd w:id="105"/>
      <w:bookmarkStart w:id="106" w:name="_Toc184310332"/>
      <w:bookmarkEnd w:id="106"/>
      <w:bookmarkStart w:id="107" w:name="_Toc184314461"/>
      <w:bookmarkEnd w:id="107"/>
      <w:bookmarkStart w:id="108" w:name="_Toc184313284"/>
      <w:bookmarkEnd w:id="108"/>
      <w:bookmarkStart w:id="109" w:name="_Toc184310293"/>
      <w:bookmarkEnd w:id="109"/>
      <w:bookmarkStart w:id="110" w:name="_Toc184313258"/>
      <w:bookmarkEnd w:id="110"/>
      <w:bookmarkStart w:id="111" w:name="_Toc184313309"/>
      <w:bookmarkEnd w:id="111"/>
      <w:bookmarkStart w:id="112" w:name="_Toc184310275"/>
      <w:bookmarkEnd w:id="112"/>
      <w:bookmarkStart w:id="113" w:name="_Toc184310342"/>
      <w:bookmarkEnd w:id="113"/>
      <w:bookmarkStart w:id="114" w:name="_Toc184312073"/>
      <w:bookmarkEnd w:id="114"/>
      <w:bookmarkStart w:id="115" w:name="_Toc184312109"/>
      <w:bookmarkEnd w:id="115"/>
      <w:bookmarkStart w:id="116" w:name="_Toc184312108"/>
      <w:bookmarkEnd w:id="116"/>
      <w:bookmarkStart w:id="117" w:name="_Toc184313261"/>
      <w:bookmarkEnd w:id="117"/>
      <w:bookmarkStart w:id="118" w:name="_Toc184313272"/>
      <w:bookmarkEnd w:id="118"/>
      <w:bookmarkStart w:id="119" w:name="_Toc184308095"/>
      <w:bookmarkEnd w:id="119"/>
      <w:bookmarkStart w:id="120" w:name="_Toc184312081"/>
      <w:bookmarkEnd w:id="120"/>
      <w:bookmarkStart w:id="121" w:name="_Toc184312106"/>
      <w:bookmarkEnd w:id="121"/>
      <w:bookmarkStart w:id="122" w:name="_Toc184312113"/>
      <w:bookmarkEnd w:id="122"/>
      <w:bookmarkStart w:id="123" w:name="_Toc184314438"/>
      <w:bookmarkEnd w:id="123"/>
      <w:bookmarkStart w:id="124" w:name="_Toc184312130"/>
      <w:bookmarkEnd w:id="124"/>
      <w:bookmarkStart w:id="125" w:name="_Toc184312089"/>
      <w:bookmarkEnd w:id="125"/>
      <w:bookmarkStart w:id="126" w:name="_Toc184313307"/>
      <w:bookmarkEnd w:id="126"/>
      <w:bookmarkStart w:id="127" w:name="_Toc184313291"/>
      <w:bookmarkEnd w:id="127"/>
      <w:bookmarkStart w:id="128" w:name="_Toc184312076"/>
      <w:bookmarkEnd w:id="128"/>
      <w:bookmarkStart w:id="129" w:name="_Toc184314473"/>
      <w:bookmarkEnd w:id="129"/>
      <w:bookmarkStart w:id="130" w:name="_Toc184308070"/>
      <w:bookmarkEnd w:id="130"/>
      <w:bookmarkStart w:id="131" w:name="_Toc184308108"/>
      <w:bookmarkEnd w:id="131"/>
      <w:bookmarkStart w:id="132" w:name="_Toc184308090"/>
      <w:bookmarkEnd w:id="132"/>
      <w:bookmarkStart w:id="133" w:name="_Toc184314455"/>
      <w:bookmarkEnd w:id="133"/>
      <w:bookmarkStart w:id="134" w:name="_Toc184312075"/>
      <w:bookmarkEnd w:id="134"/>
      <w:bookmarkStart w:id="135" w:name="_Toc184313285"/>
      <w:bookmarkEnd w:id="135"/>
      <w:bookmarkStart w:id="136" w:name="_Toc184313308"/>
      <w:bookmarkEnd w:id="136"/>
      <w:bookmarkStart w:id="137" w:name="_Toc184314428"/>
      <w:bookmarkEnd w:id="137"/>
      <w:bookmarkStart w:id="138" w:name="_Toc184312103"/>
      <w:bookmarkEnd w:id="138"/>
      <w:bookmarkStart w:id="139" w:name="_Toc184310273"/>
      <w:bookmarkEnd w:id="139"/>
      <w:bookmarkStart w:id="140" w:name="_Toc184314451"/>
      <w:bookmarkEnd w:id="140"/>
      <w:bookmarkStart w:id="141" w:name="_Toc184308079"/>
      <w:bookmarkEnd w:id="141"/>
      <w:bookmarkStart w:id="142" w:name="_Toc184313268"/>
      <w:bookmarkEnd w:id="142"/>
      <w:bookmarkStart w:id="143" w:name="_Toc184308104"/>
      <w:bookmarkEnd w:id="143"/>
      <w:bookmarkStart w:id="144" w:name="_Toc184313263"/>
      <w:bookmarkEnd w:id="144"/>
      <w:bookmarkStart w:id="145" w:name="_Toc184314411"/>
      <w:bookmarkEnd w:id="145"/>
      <w:bookmarkStart w:id="146" w:name="_Toc184313286"/>
      <w:bookmarkEnd w:id="146"/>
      <w:bookmarkStart w:id="147" w:name="_Toc184308076"/>
      <w:bookmarkEnd w:id="147"/>
      <w:bookmarkStart w:id="148" w:name="_Toc184308052"/>
      <w:bookmarkEnd w:id="148"/>
      <w:bookmarkStart w:id="149" w:name="_Toc184314435"/>
      <w:bookmarkEnd w:id="149"/>
      <w:bookmarkStart w:id="150" w:name="_Toc184314469"/>
      <w:bookmarkEnd w:id="150"/>
      <w:bookmarkStart w:id="151" w:name="_Toc184310309"/>
      <w:bookmarkEnd w:id="151"/>
      <w:bookmarkStart w:id="152" w:name="_Toc184314442"/>
      <w:bookmarkEnd w:id="152"/>
      <w:bookmarkStart w:id="153" w:name="_Toc184313269"/>
      <w:bookmarkEnd w:id="153"/>
      <w:bookmarkStart w:id="154" w:name="_Toc184313282"/>
      <w:bookmarkEnd w:id="154"/>
      <w:bookmarkStart w:id="155" w:name="_Toc184310326"/>
      <w:bookmarkEnd w:id="155"/>
      <w:bookmarkStart w:id="156" w:name="_Toc184310325"/>
      <w:bookmarkEnd w:id="156"/>
      <w:bookmarkStart w:id="157" w:name="_Toc184310317"/>
      <w:bookmarkEnd w:id="157"/>
      <w:bookmarkStart w:id="158" w:name="_Toc184313304"/>
      <w:bookmarkEnd w:id="158"/>
      <w:bookmarkStart w:id="159" w:name="_Toc184314434"/>
      <w:bookmarkEnd w:id="159"/>
      <w:bookmarkStart w:id="160" w:name="_Toc184313305"/>
      <w:bookmarkEnd w:id="160"/>
      <w:bookmarkStart w:id="161" w:name="_Toc184310324"/>
      <w:bookmarkEnd w:id="161"/>
      <w:bookmarkStart w:id="162" w:name="_Toc184310277"/>
      <w:bookmarkEnd w:id="162"/>
      <w:bookmarkStart w:id="163" w:name="_Toc184308106"/>
      <w:bookmarkEnd w:id="163"/>
      <w:bookmarkStart w:id="164" w:name="_Toc184314456"/>
      <w:bookmarkEnd w:id="164"/>
      <w:bookmarkStart w:id="165" w:name="_Toc184310319"/>
      <w:bookmarkEnd w:id="165"/>
      <w:bookmarkStart w:id="166" w:name="_Toc184314431"/>
      <w:bookmarkEnd w:id="166"/>
      <w:bookmarkStart w:id="167" w:name="_Toc184312095"/>
      <w:bookmarkEnd w:id="167"/>
      <w:bookmarkStart w:id="168" w:name="_Toc184313277"/>
      <w:bookmarkEnd w:id="168"/>
      <w:bookmarkStart w:id="169" w:name="_Toc184313276"/>
      <w:bookmarkEnd w:id="169"/>
      <w:bookmarkStart w:id="170" w:name="_Toc184314464"/>
      <w:bookmarkEnd w:id="170"/>
      <w:bookmarkStart w:id="171" w:name="_Toc184310286"/>
      <w:bookmarkEnd w:id="171"/>
      <w:bookmarkStart w:id="172" w:name="_Toc184313294"/>
      <w:bookmarkEnd w:id="172"/>
      <w:bookmarkStart w:id="173" w:name="_Toc184314423"/>
      <w:bookmarkEnd w:id="173"/>
      <w:bookmarkStart w:id="174" w:name="_Toc184314472"/>
      <w:bookmarkEnd w:id="174"/>
      <w:bookmarkStart w:id="175" w:name="_Toc184314460"/>
      <w:bookmarkEnd w:id="175"/>
      <w:bookmarkStart w:id="176" w:name="_Toc184308092"/>
      <w:bookmarkEnd w:id="176"/>
      <w:bookmarkStart w:id="177" w:name="_Toc184312097"/>
      <w:bookmarkEnd w:id="177"/>
      <w:bookmarkStart w:id="178" w:name="_Toc184312134"/>
      <w:bookmarkEnd w:id="178"/>
      <w:bookmarkStart w:id="179" w:name="_Toc184310281"/>
      <w:bookmarkEnd w:id="179"/>
      <w:bookmarkStart w:id="180" w:name="_Toc184313271"/>
      <w:bookmarkEnd w:id="180"/>
      <w:bookmarkStart w:id="181" w:name="_Toc184314429"/>
      <w:bookmarkEnd w:id="181"/>
      <w:bookmarkStart w:id="182" w:name="_Toc184308050"/>
      <w:bookmarkEnd w:id="182"/>
      <w:bookmarkStart w:id="183" w:name="_Toc184313251"/>
      <w:bookmarkEnd w:id="183"/>
      <w:bookmarkStart w:id="184" w:name="_Toc184313306"/>
      <w:bookmarkEnd w:id="184"/>
      <w:bookmarkStart w:id="185" w:name="_Toc184308063"/>
      <w:bookmarkEnd w:id="185"/>
      <w:bookmarkStart w:id="186" w:name="_Toc184312070"/>
      <w:bookmarkEnd w:id="186"/>
      <w:bookmarkStart w:id="187" w:name="_Toc184313292"/>
      <w:bookmarkEnd w:id="187"/>
      <w:bookmarkStart w:id="188" w:name="_Toc184312127"/>
      <w:bookmarkEnd w:id="188"/>
      <w:bookmarkStart w:id="189" w:name="_Toc184310288"/>
      <w:bookmarkEnd w:id="189"/>
      <w:bookmarkStart w:id="190" w:name="_Toc184308080"/>
      <w:bookmarkEnd w:id="190"/>
      <w:bookmarkStart w:id="191" w:name="_Toc184312131"/>
      <w:bookmarkEnd w:id="191"/>
      <w:bookmarkStart w:id="192" w:name="_Toc184313241"/>
      <w:bookmarkEnd w:id="192"/>
      <w:bookmarkStart w:id="193" w:name="_Toc184312139"/>
      <w:bookmarkEnd w:id="193"/>
      <w:bookmarkStart w:id="194" w:name="_Toc184313296"/>
      <w:bookmarkEnd w:id="194"/>
      <w:bookmarkStart w:id="195" w:name="_Toc184308046"/>
      <w:bookmarkEnd w:id="195"/>
      <w:bookmarkStart w:id="196" w:name="_Toc184308072"/>
      <w:bookmarkEnd w:id="196"/>
      <w:bookmarkStart w:id="197" w:name="_Toc184308055"/>
      <w:bookmarkEnd w:id="197"/>
      <w:bookmarkStart w:id="198" w:name="_Toc184314413"/>
      <w:bookmarkEnd w:id="198"/>
      <w:bookmarkStart w:id="199" w:name="_Toc184312102"/>
      <w:bookmarkEnd w:id="199"/>
      <w:bookmarkStart w:id="200" w:name="_Toc184313266"/>
      <w:bookmarkEnd w:id="200"/>
      <w:bookmarkStart w:id="201" w:name="_Toc184314475"/>
      <w:bookmarkEnd w:id="201"/>
      <w:bookmarkStart w:id="202" w:name="_Toc184312092"/>
      <w:bookmarkEnd w:id="202"/>
      <w:bookmarkStart w:id="203" w:name="_Toc184312123"/>
      <w:bookmarkEnd w:id="203"/>
      <w:bookmarkStart w:id="204" w:name="_Toc184308053"/>
      <w:bookmarkEnd w:id="204"/>
      <w:bookmarkStart w:id="205" w:name="_Toc184312078"/>
      <w:bookmarkEnd w:id="205"/>
      <w:bookmarkStart w:id="206" w:name="_Toc184314448"/>
      <w:bookmarkEnd w:id="206"/>
      <w:bookmarkStart w:id="207" w:name="_Toc184310323"/>
      <w:bookmarkEnd w:id="207"/>
      <w:bookmarkStart w:id="208" w:name="_Toc184308060"/>
      <w:bookmarkEnd w:id="208"/>
      <w:bookmarkStart w:id="209" w:name="_Toc184313295"/>
      <w:bookmarkEnd w:id="209"/>
      <w:bookmarkStart w:id="210" w:name="_Toc184310305"/>
      <w:bookmarkEnd w:id="210"/>
      <w:bookmarkStart w:id="211" w:name="_Toc184314465"/>
      <w:bookmarkEnd w:id="211"/>
      <w:bookmarkStart w:id="212" w:name="_Toc184312084"/>
      <w:bookmarkEnd w:id="212"/>
      <w:bookmarkStart w:id="213" w:name="_Toc184310341"/>
      <w:bookmarkEnd w:id="213"/>
      <w:bookmarkStart w:id="214" w:name="_Toc184313270"/>
      <w:bookmarkEnd w:id="214"/>
      <w:bookmarkStart w:id="215" w:name="_Toc184310301"/>
      <w:bookmarkEnd w:id="215"/>
      <w:bookmarkStart w:id="216" w:name="_Toc184312126"/>
      <w:bookmarkEnd w:id="216"/>
      <w:bookmarkStart w:id="217" w:name="_Toc184312096"/>
      <w:bookmarkEnd w:id="217"/>
      <w:bookmarkStart w:id="218" w:name="_Toc184312132"/>
      <w:bookmarkEnd w:id="218"/>
      <w:bookmarkStart w:id="219" w:name="_Toc184313262"/>
      <w:bookmarkEnd w:id="219"/>
      <w:bookmarkStart w:id="220" w:name="_Toc184308085"/>
      <w:bookmarkEnd w:id="220"/>
      <w:bookmarkStart w:id="221" w:name="_Toc184310283"/>
      <w:bookmarkEnd w:id="221"/>
      <w:bookmarkStart w:id="222" w:name="_Toc184314433"/>
      <w:bookmarkEnd w:id="222"/>
      <w:bookmarkStart w:id="223" w:name="_Toc184312119"/>
      <w:bookmarkEnd w:id="223"/>
      <w:bookmarkStart w:id="224" w:name="_Toc184308084"/>
      <w:bookmarkEnd w:id="224"/>
      <w:bookmarkStart w:id="225" w:name="_Toc184313264"/>
      <w:bookmarkEnd w:id="225"/>
      <w:bookmarkStart w:id="226" w:name="_Toc184310335"/>
      <w:bookmarkEnd w:id="226"/>
      <w:bookmarkStart w:id="227" w:name="_Toc184313299"/>
      <w:bookmarkEnd w:id="227"/>
      <w:bookmarkStart w:id="228" w:name="_Toc184312114"/>
      <w:bookmarkEnd w:id="228"/>
      <w:bookmarkStart w:id="229" w:name="_Toc184313278"/>
      <w:bookmarkEnd w:id="229"/>
      <w:bookmarkStart w:id="230" w:name="_Toc184314426"/>
      <w:bookmarkEnd w:id="230"/>
      <w:bookmarkStart w:id="231" w:name="_Toc184312129"/>
      <w:bookmarkEnd w:id="231"/>
      <w:bookmarkStart w:id="232" w:name="_Toc184314444"/>
      <w:bookmarkEnd w:id="232"/>
      <w:bookmarkStart w:id="233" w:name="_Toc184314422"/>
      <w:bookmarkEnd w:id="233"/>
      <w:bookmarkStart w:id="234" w:name="_Toc184313273"/>
      <w:bookmarkEnd w:id="234"/>
      <w:bookmarkStart w:id="235" w:name="_Toc184310329"/>
      <w:bookmarkEnd w:id="235"/>
      <w:bookmarkStart w:id="236" w:name="_Toc184308036"/>
      <w:bookmarkEnd w:id="236"/>
      <w:bookmarkStart w:id="237" w:name="_Toc184314454"/>
      <w:bookmarkEnd w:id="237"/>
      <w:bookmarkStart w:id="238" w:name="_Toc184314419"/>
      <w:bookmarkEnd w:id="238"/>
      <w:bookmarkStart w:id="239" w:name="_Toc184308086"/>
      <w:bookmarkEnd w:id="239"/>
      <w:bookmarkStart w:id="240" w:name="_Toc184308051"/>
      <w:bookmarkEnd w:id="240"/>
      <w:bookmarkStart w:id="241" w:name="_Toc184313240"/>
      <w:bookmarkEnd w:id="241"/>
      <w:bookmarkStart w:id="242" w:name="_Toc184314479"/>
      <w:bookmarkEnd w:id="242"/>
      <w:bookmarkStart w:id="243" w:name="_Toc184314447"/>
      <w:bookmarkEnd w:id="243"/>
      <w:bookmarkStart w:id="244" w:name="_Toc184312115"/>
      <w:bookmarkEnd w:id="244"/>
      <w:bookmarkStart w:id="245" w:name="_Toc184308041"/>
      <w:bookmarkEnd w:id="245"/>
      <w:bookmarkStart w:id="246" w:name="_Toc184308065"/>
      <w:bookmarkEnd w:id="246"/>
      <w:bookmarkStart w:id="247" w:name="_Toc184308062"/>
      <w:bookmarkEnd w:id="247"/>
      <w:bookmarkStart w:id="248" w:name="_Toc184312112"/>
      <w:bookmarkEnd w:id="248"/>
      <w:bookmarkStart w:id="249" w:name="_Toc184313238"/>
      <w:bookmarkEnd w:id="249"/>
      <w:bookmarkStart w:id="250" w:name="_Toc184308044"/>
      <w:bookmarkEnd w:id="250"/>
      <w:bookmarkStart w:id="251" w:name="_Toc184310318"/>
      <w:bookmarkEnd w:id="251"/>
      <w:bookmarkStart w:id="252" w:name="_Toc184312107"/>
      <w:bookmarkEnd w:id="252"/>
      <w:bookmarkStart w:id="253" w:name="_Toc184308093"/>
      <w:bookmarkEnd w:id="253"/>
      <w:bookmarkStart w:id="254" w:name="_Toc184314482"/>
      <w:bookmarkEnd w:id="254"/>
      <w:bookmarkStart w:id="255" w:name="_Toc184314478"/>
      <w:bookmarkEnd w:id="255"/>
      <w:bookmarkStart w:id="256" w:name="_Toc184312138"/>
      <w:bookmarkEnd w:id="256"/>
      <w:bookmarkStart w:id="257" w:name="_Toc184310294"/>
      <w:bookmarkEnd w:id="257"/>
      <w:bookmarkStart w:id="258" w:name="_Toc184310328"/>
      <w:bookmarkEnd w:id="258"/>
      <w:bookmarkStart w:id="259" w:name="_Toc184308069"/>
      <w:bookmarkEnd w:id="259"/>
      <w:bookmarkStart w:id="260" w:name="_Toc184314432"/>
      <w:bookmarkEnd w:id="260"/>
      <w:bookmarkStart w:id="261" w:name="_Toc184313274"/>
      <w:bookmarkEnd w:id="261"/>
      <w:bookmarkStart w:id="262" w:name="_Toc184314420"/>
      <w:bookmarkEnd w:id="262"/>
      <w:bookmarkStart w:id="263" w:name="_Toc184314452"/>
      <w:bookmarkEnd w:id="263"/>
      <w:bookmarkStart w:id="264" w:name="_Toc184314412"/>
      <w:bookmarkEnd w:id="264"/>
      <w:bookmarkStart w:id="265" w:name="_Toc184313275"/>
      <w:bookmarkEnd w:id="265"/>
      <w:bookmarkStart w:id="266" w:name="_Toc184308082"/>
      <w:bookmarkEnd w:id="266"/>
      <w:bookmarkStart w:id="267" w:name="_Toc184312136"/>
      <w:bookmarkEnd w:id="267"/>
      <w:bookmarkStart w:id="268" w:name="_Toc184308094"/>
      <w:bookmarkEnd w:id="268"/>
      <w:bookmarkStart w:id="269" w:name="_Toc184312128"/>
      <w:bookmarkEnd w:id="269"/>
      <w:bookmarkStart w:id="270" w:name="_Toc184314417"/>
      <w:bookmarkEnd w:id="270"/>
      <w:bookmarkStart w:id="271" w:name="_Toc184308071"/>
      <w:bookmarkEnd w:id="271"/>
      <w:bookmarkStart w:id="272" w:name="_Toc184312111"/>
      <w:bookmarkEnd w:id="272"/>
      <w:bookmarkStart w:id="273" w:name="_Toc184312105"/>
      <w:bookmarkEnd w:id="273"/>
      <w:bookmarkStart w:id="274" w:name="_Toc184313287"/>
      <w:bookmarkEnd w:id="274"/>
      <w:bookmarkStart w:id="275" w:name="_Toc184310289"/>
      <w:bookmarkEnd w:id="275"/>
      <w:bookmarkStart w:id="276" w:name="_Toc184308040"/>
      <w:bookmarkEnd w:id="276"/>
      <w:bookmarkStart w:id="277" w:name="_Toc184313289"/>
      <w:bookmarkEnd w:id="277"/>
      <w:bookmarkStart w:id="278" w:name="_Toc184310276"/>
      <w:bookmarkEnd w:id="278"/>
      <w:bookmarkStart w:id="279" w:name="_Toc184312083"/>
      <w:bookmarkEnd w:id="279"/>
      <w:bookmarkStart w:id="280" w:name="_Toc184313280"/>
      <w:bookmarkEnd w:id="280"/>
      <w:bookmarkStart w:id="281" w:name="_Toc184314453"/>
      <w:bookmarkEnd w:id="281"/>
      <w:bookmarkStart w:id="282" w:name="_Toc184313257"/>
      <w:bookmarkEnd w:id="282"/>
      <w:bookmarkStart w:id="283" w:name="_Toc184314467"/>
      <w:bookmarkEnd w:id="283"/>
      <w:bookmarkStart w:id="284" w:name="_Toc184312080"/>
      <w:bookmarkEnd w:id="284"/>
      <w:bookmarkStart w:id="285" w:name="_Toc184312071"/>
      <w:bookmarkEnd w:id="285"/>
      <w:bookmarkStart w:id="286" w:name="_Toc184308057"/>
      <w:bookmarkEnd w:id="286"/>
      <w:bookmarkStart w:id="287" w:name="_Toc184314470"/>
      <w:bookmarkEnd w:id="287"/>
      <w:bookmarkStart w:id="288" w:name="_Toc184308107"/>
      <w:bookmarkEnd w:id="288"/>
      <w:bookmarkStart w:id="289" w:name="_Toc184310292"/>
      <w:bookmarkEnd w:id="289"/>
      <w:bookmarkStart w:id="290" w:name="_Toc184313256"/>
      <w:bookmarkEnd w:id="290"/>
      <w:bookmarkStart w:id="291" w:name="_Toc184313242"/>
      <w:bookmarkEnd w:id="291"/>
      <w:bookmarkStart w:id="292" w:name="_Toc184310316"/>
      <w:bookmarkEnd w:id="292"/>
      <w:bookmarkStart w:id="293" w:name="_Toc184312094"/>
      <w:bookmarkEnd w:id="293"/>
      <w:bookmarkStart w:id="294" w:name="_Toc184312110"/>
      <w:bookmarkEnd w:id="294"/>
      <w:bookmarkStart w:id="295" w:name="_Toc184308064"/>
      <w:bookmarkEnd w:id="295"/>
      <w:bookmarkStart w:id="296" w:name="_Toc184308042"/>
      <w:bookmarkEnd w:id="296"/>
      <w:bookmarkStart w:id="297" w:name="_Toc184313267"/>
      <w:bookmarkEnd w:id="297"/>
      <w:bookmarkStart w:id="298" w:name="_Toc184313246"/>
      <w:bookmarkEnd w:id="298"/>
      <w:bookmarkStart w:id="299" w:name="_Toc184308100"/>
      <w:bookmarkEnd w:id="299"/>
      <w:bookmarkStart w:id="300" w:name="_Toc184308096"/>
      <w:bookmarkEnd w:id="300"/>
      <w:bookmarkStart w:id="301" w:name="_Toc184308056"/>
      <w:bookmarkEnd w:id="301"/>
      <w:bookmarkStart w:id="302" w:name="_Toc184313259"/>
      <w:bookmarkEnd w:id="302"/>
      <w:bookmarkStart w:id="303" w:name="_Toc184310287"/>
      <w:bookmarkEnd w:id="303"/>
      <w:bookmarkStart w:id="304" w:name="_Toc184308037"/>
      <w:bookmarkEnd w:id="304"/>
      <w:bookmarkStart w:id="305" w:name="_Toc184310274"/>
      <w:bookmarkEnd w:id="305"/>
      <w:bookmarkStart w:id="306" w:name="_Toc184312069"/>
      <w:bookmarkEnd w:id="306"/>
      <w:bookmarkStart w:id="307" w:name="_Toc184310307"/>
      <w:bookmarkEnd w:id="307"/>
      <w:bookmarkStart w:id="308" w:name="_Toc184313288"/>
      <w:bookmarkEnd w:id="308"/>
      <w:bookmarkStart w:id="309" w:name="_Toc184313265"/>
      <w:bookmarkEnd w:id="309"/>
      <w:bookmarkStart w:id="310" w:name="_Toc184308061"/>
      <w:bookmarkEnd w:id="310"/>
      <w:bookmarkStart w:id="311" w:name="_Toc184308081"/>
      <w:bookmarkEnd w:id="311"/>
      <w:bookmarkStart w:id="312" w:name="_Toc184314440"/>
      <w:bookmarkEnd w:id="312"/>
      <w:bookmarkStart w:id="313" w:name="_Toc184313250"/>
      <w:bookmarkEnd w:id="313"/>
      <w:bookmarkStart w:id="314" w:name="_Toc184314418"/>
      <w:bookmarkEnd w:id="314"/>
      <w:bookmarkStart w:id="315" w:name="_Toc184313253"/>
      <w:bookmarkEnd w:id="315"/>
      <w:bookmarkStart w:id="316" w:name="_Toc184313293"/>
      <w:bookmarkEnd w:id="316"/>
      <w:bookmarkStart w:id="317" w:name="_Toc184312093"/>
      <w:bookmarkEnd w:id="317"/>
      <w:bookmarkStart w:id="318" w:name="_Toc184310311"/>
      <w:bookmarkEnd w:id="318"/>
      <w:bookmarkStart w:id="319" w:name="_Toc184313298"/>
      <w:bookmarkEnd w:id="319"/>
      <w:bookmarkStart w:id="320" w:name="_Toc184312087"/>
      <w:bookmarkEnd w:id="320"/>
      <w:bookmarkStart w:id="321" w:name="_Toc184312101"/>
      <w:bookmarkEnd w:id="321"/>
      <w:bookmarkStart w:id="322" w:name="_Toc184313245"/>
      <w:bookmarkEnd w:id="322"/>
      <w:bookmarkStart w:id="323" w:name="_Toc184308077"/>
      <w:bookmarkEnd w:id="323"/>
      <w:bookmarkStart w:id="324" w:name="_Toc184314445"/>
      <w:bookmarkEnd w:id="324"/>
      <w:bookmarkStart w:id="325" w:name="_Toc184308098"/>
      <w:bookmarkEnd w:id="325"/>
      <w:bookmarkStart w:id="326" w:name="_Toc184310282"/>
      <w:bookmarkEnd w:id="326"/>
      <w:bookmarkStart w:id="327" w:name="_Toc184314415"/>
      <w:bookmarkEnd w:id="327"/>
      <w:bookmarkStart w:id="328" w:name="_Toc184313303"/>
      <w:bookmarkEnd w:id="328"/>
      <w:bookmarkStart w:id="329" w:name="_Toc184312072"/>
      <w:bookmarkEnd w:id="329"/>
      <w:bookmarkStart w:id="330" w:name="_Toc184308039"/>
      <w:bookmarkEnd w:id="330"/>
      <w:bookmarkStart w:id="331" w:name="_Toc184313252"/>
      <w:bookmarkEnd w:id="331"/>
      <w:bookmarkStart w:id="332" w:name="_Toc184308102"/>
      <w:bookmarkEnd w:id="332"/>
      <w:bookmarkStart w:id="333" w:name="_Toc184312133"/>
      <w:bookmarkEnd w:id="333"/>
      <w:bookmarkStart w:id="334" w:name="_Toc184314446"/>
      <w:bookmarkEnd w:id="334"/>
      <w:bookmarkStart w:id="335" w:name="_Toc184313260"/>
      <w:bookmarkEnd w:id="335"/>
      <w:bookmarkStart w:id="336" w:name="_Toc184312090"/>
      <w:bookmarkEnd w:id="336"/>
      <w:bookmarkStart w:id="337" w:name="_Toc184312122"/>
      <w:bookmarkEnd w:id="337"/>
      <w:bookmarkStart w:id="338" w:name="_Toc184308067"/>
      <w:bookmarkEnd w:id="338"/>
      <w:bookmarkStart w:id="339" w:name="_Toc184310321"/>
      <w:bookmarkEnd w:id="339"/>
      <w:bookmarkStart w:id="340" w:name="_Toc184314459"/>
      <w:bookmarkEnd w:id="340"/>
      <w:bookmarkStart w:id="341" w:name="_Toc184310320"/>
      <w:bookmarkEnd w:id="341"/>
      <w:bookmarkStart w:id="342" w:name="_Toc184314414"/>
      <w:bookmarkEnd w:id="342"/>
      <w:bookmarkStart w:id="343" w:name="_Toc184310299"/>
      <w:bookmarkEnd w:id="343"/>
      <w:bookmarkStart w:id="344" w:name="_Toc184312135"/>
      <w:bookmarkEnd w:id="344"/>
      <w:bookmarkStart w:id="345" w:name="_Toc184308073"/>
      <w:bookmarkEnd w:id="345"/>
      <w:bookmarkStart w:id="346" w:name="_Toc184314449"/>
      <w:bookmarkEnd w:id="346"/>
      <w:bookmarkStart w:id="347" w:name="_Toc184312120"/>
      <w:bookmarkEnd w:id="347"/>
      <w:bookmarkStart w:id="348" w:name="_Toc184308097"/>
      <w:bookmarkEnd w:id="348"/>
      <w:bookmarkStart w:id="349" w:name="_Toc184310285"/>
      <w:bookmarkEnd w:id="349"/>
      <w:bookmarkStart w:id="350" w:name="_Toc184314480"/>
      <w:bookmarkEnd w:id="350"/>
      <w:bookmarkStart w:id="351" w:name="_Toc184308105"/>
      <w:bookmarkEnd w:id="351"/>
      <w:bookmarkStart w:id="352" w:name="_Toc184308045"/>
      <w:bookmarkEnd w:id="352"/>
      <w:bookmarkStart w:id="353" w:name="_Toc184310312"/>
      <w:bookmarkEnd w:id="353"/>
      <w:bookmarkStart w:id="354" w:name="_Toc184310331"/>
      <w:bookmarkEnd w:id="354"/>
      <w:bookmarkStart w:id="355" w:name="_Toc184314458"/>
      <w:bookmarkEnd w:id="355"/>
      <w:bookmarkStart w:id="356" w:name="_Toc184313297"/>
      <w:bookmarkEnd w:id="356"/>
      <w:bookmarkStart w:id="357" w:name="_Toc184308087"/>
      <w:bookmarkEnd w:id="357"/>
      <w:bookmarkStart w:id="358" w:name="_Toc184314416"/>
      <w:bookmarkEnd w:id="358"/>
      <w:bookmarkStart w:id="359" w:name="_Toc184313255"/>
      <w:bookmarkEnd w:id="359"/>
      <w:bookmarkStart w:id="360" w:name="_Toc184310336"/>
      <w:bookmarkEnd w:id="360"/>
      <w:bookmarkStart w:id="361" w:name="_Toc184313249"/>
      <w:bookmarkEnd w:id="361"/>
      <w:bookmarkStart w:id="362" w:name="_Toc184310304"/>
      <w:bookmarkEnd w:id="362"/>
      <w:bookmarkStart w:id="363" w:name="_Toc184308048"/>
      <w:bookmarkEnd w:id="363"/>
      <w:bookmarkStart w:id="364" w:name="_Toc184310333"/>
      <w:bookmarkEnd w:id="364"/>
      <w:bookmarkStart w:id="365" w:name="_Toc184314439"/>
      <w:bookmarkEnd w:id="365"/>
      <w:bookmarkStart w:id="366" w:name="_Toc184313301"/>
      <w:bookmarkEnd w:id="366"/>
      <w:bookmarkStart w:id="367" w:name="_Toc184314476"/>
      <w:bookmarkEnd w:id="367"/>
      <w:bookmarkStart w:id="368" w:name="_Toc184310343"/>
      <w:bookmarkEnd w:id="368"/>
      <w:bookmarkStart w:id="369" w:name="_Toc184308103"/>
      <w:bookmarkEnd w:id="369"/>
      <w:bookmarkStart w:id="370" w:name="_Toc184310344"/>
      <w:bookmarkEnd w:id="370"/>
      <w:bookmarkStart w:id="371" w:name="_Toc184312137"/>
      <w:bookmarkEnd w:id="371"/>
      <w:bookmarkStart w:id="372" w:name="_Toc184313248"/>
      <w:bookmarkEnd w:id="372"/>
      <w:bookmarkStart w:id="373" w:name="_Toc184314463"/>
      <w:bookmarkEnd w:id="373"/>
      <w:bookmarkStart w:id="374" w:name="_Toc184312085"/>
      <w:bookmarkEnd w:id="374"/>
      <w:bookmarkStart w:id="375" w:name="_Toc184310300"/>
      <w:bookmarkEnd w:id="375"/>
      <w:bookmarkStart w:id="376" w:name="_Toc184312077"/>
      <w:bookmarkEnd w:id="376"/>
      <w:bookmarkStart w:id="377" w:name="_Toc184312116"/>
      <w:bookmarkEnd w:id="377"/>
      <w:bookmarkStart w:id="378" w:name="_Toc184313243"/>
      <w:bookmarkEnd w:id="378"/>
      <w:bookmarkStart w:id="379" w:name="_Toc184314450"/>
      <w:bookmarkEnd w:id="379"/>
      <w:bookmarkStart w:id="380" w:name="_Toc184308074"/>
      <w:bookmarkEnd w:id="380"/>
      <w:bookmarkStart w:id="381" w:name="_Toc184310303"/>
      <w:bookmarkEnd w:id="381"/>
      <w:bookmarkStart w:id="382" w:name="_Toc184314443"/>
      <w:bookmarkEnd w:id="382"/>
      <w:bookmarkStart w:id="383" w:name="_Toc184313254"/>
      <w:bookmarkEnd w:id="383"/>
      <w:bookmarkStart w:id="384" w:name="_Toc184308059"/>
      <w:bookmarkEnd w:id="384"/>
      <w:bookmarkStart w:id="385" w:name="_Toc184314424"/>
      <w:bookmarkEnd w:id="385"/>
      <w:bookmarkStart w:id="386" w:name="_Toc184308054"/>
      <w:bookmarkEnd w:id="386"/>
      <w:bookmarkStart w:id="387" w:name="_Toc184310339"/>
      <w:bookmarkEnd w:id="387"/>
      <w:bookmarkStart w:id="388" w:name="_Toc184313281"/>
      <w:bookmarkEnd w:id="388"/>
      <w:bookmarkStart w:id="389" w:name="_Toc184312079"/>
      <w:bookmarkEnd w:id="389"/>
      <w:bookmarkStart w:id="390" w:name="_Toc184308068"/>
      <w:bookmarkEnd w:id="390"/>
      <w:bookmarkStart w:id="391" w:name="_Toc184310278"/>
      <w:bookmarkEnd w:id="391"/>
      <w:bookmarkStart w:id="392" w:name="_Toc184314427"/>
      <w:bookmarkEnd w:id="392"/>
      <w:bookmarkStart w:id="393" w:name="_Toc184314457"/>
      <w:bookmarkEnd w:id="393"/>
      <w:bookmarkStart w:id="394" w:name="_Toc184308075"/>
      <w:bookmarkEnd w:id="394"/>
      <w:bookmarkStart w:id="395" w:name="_Toc184313283"/>
      <w:bookmarkEnd w:id="395"/>
      <w:bookmarkStart w:id="396" w:name="_Toc184313290"/>
      <w:bookmarkEnd w:id="396"/>
      <w:bookmarkStart w:id="397" w:name="_Toc184312099"/>
      <w:bookmarkEnd w:id="397"/>
      <w:bookmarkStart w:id="398" w:name="_Toc184310280"/>
      <w:bookmarkEnd w:id="398"/>
      <w:bookmarkStart w:id="399" w:name="_Toc184310337"/>
      <w:bookmarkEnd w:id="399"/>
      <w:bookmarkStart w:id="400" w:name="_Toc184310314"/>
      <w:bookmarkEnd w:id="400"/>
      <w:r>
        <w:rPr>
          <w:rFonts w:hint="eastAsia" w:ascii="宋体" w:hAnsi="宋体" w:cs="宋体"/>
          <w:b/>
          <w:color w:val="auto"/>
          <w:sz w:val="36"/>
          <w:szCs w:val="36"/>
          <w:highlight w:val="none"/>
        </w:rPr>
        <w:t>评标办法</w:t>
      </w:r>
    </w:p>
    <w:p w14:paraId="62320B4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881"/>
        <w:gridCol w:w="873"/>
        <w:gridCol w:w="983"/>
      </w:tblGrid>
      <w:tr w14:paraId="6232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4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881" w:type="dxa"/>
            <w:vAlign w:val="center"/>
          </w:tcPr>
          <w:p w14:paraId="62320B4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73" w:type="dxa"/>
            <w:vAlign w:val="center"/>
          </w:tcPr>
          <w:p w14:paraId="62320B4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满分值</w:t>
            </w:r>
          </w:p>
        </w:tc>
        <w:tc>
          <w:tcPr>
            <w:tcW w:w="983" w:type="dxa"/>
            <w:vAlign w:val="center"/>
          </w:tcPr>
          <w:p w14:paraId="62320B4F">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评分属性</w:t>
            </w:r>
          </w:p>
        </w:tc>
      </w:tr>
      <w:tr w14:paraId="6232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5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81" w:type="dxa"/>
          </w:tcPr>
          <w:p w14:paraId="62320B52">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w:t>
            </w:r>
            <w:r>
              <w:rPr>
                <w:rFonts w:hint="eastAsia" w:ascii="宋体" w:hAnsi="宋体" w:cs="宋体"/>
                <w:color w:val="auto"/>
                <w:kern w:val="0"/>
                <w:sz w:val="24"/>
                <w:szCs w:val="24"/>
                <w:highlight w:val="none"/>
                <w:lang w:eastAsia="zh-CN" w:bidi="ar"/>
              </w:rPr>
              <w:t>2022年1月1日</w:t>
            </w:r>
            <w:r>
              <w:rPr>
                <w:rFonts w:hint="eastAsia" w:ascii="宋体" w:hAnsi="宋体" w:eastAsia="宋体" w:cs="宋体"/>
                <w:color w:val="auto"/>
                <w:kern w:val="0"/>
                <w:sz w:val="24"/>
                <w:szCs w:val="24"/>
                <w:highlight w:val="none"/>
                <w:lang w:bidi="ar"/>
              </w:rPr>
              <w:t>以来（以合同签订时间为准），投标人承接过政务信息系统开发业绩的，每提供一个业绩得0.5分，最多得1分。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rPr>
              <w:t>【证明材料：（1）须提供合同复印件（至少包括首页、盖章页，并须能体现相关评审因素）或中标通知书复印件等证明材料；（2）提供的证明材料须能体现相关评审因素，不提供或无法提供有效证明材料的不得分。】</w:t>
            </w:r>
          </w:p>
        </w:tc>
        <w:tc>
          <w:tcPr>
            <w:tcW w:w="873" w:type="dxa"/>
            <w:shd w:val="clear" w:color="auto" w:fill="auto"/>
            <w:vAlign w:val="center"/>
          </w:tcPr>
          <w:p w14:paraId="62320B5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983" w:type="dxa"/>
            <w:vAlign w:val="center"/>
          </w:tcPr>
          <w:p w14:paraId="62320B5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5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81" w:type="dxa"/>
            <w:vAlign w:val="center"/>
          </w:tcPr>
          <w:p w14:paraId="62320B57">
            <w:pPr>
              <w:widowControl/>
              <w:spacing w:line="360" w:lineRule="auto"/>
              <w:textAlignment w:val="top"/>
              <w:rPr>
                <w:rFonts w:hint="eastAsia" w:ascii="宋体" w:hAnsi="宋体" w:eastAsia="宋体" w:cs="宋体"/>
                <w:color w:val="auto"/>
                <w:sz w:val="24"/>
                <w:szCs w:val="24"/>
                <w:highlight w:val="none"/>
              </w:rPr>
            </w:pPr>
            <w:r>
              <w:rPr>
                <w:rStyle w:val="374"/>
                <w:rFonts w:hint="eastAsia" w:ascii="宋体" w:hAnsi="宋体" w:eastAsia="宋体" w:cs="宋体"/>
                <w:color w:val="auto"/>
                <w:sz w:val="24"/>
                <w:szCs w:val="24"/>
                <w:highlight w:val="none"/>
                <w:lang w:bidi="ar"/>
              </w:rPr>
              <w:t>根据投标人提供的重要难点的分析及对应措施内容进行评分。（分值：3，2，1，0）</w:t>
            </w:r>
          </w:p>
        </w:tc>
        <w:tc>
          <w:tcPr>
            <w:tcW w:w="873" w:type="dxa"/>
            <w:shd w:val="clear" w:color="auto" w:fill="auto"/>
            <w:vAlign w:val="center"/>
          </w:tcPr>
          <w:p w14:paraId="62320B5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5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6232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5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81" w:type="dxa"/>
            <w:vAlign w:val="center"/>
          </w:tcPr>
          <w:p w14:paraId="62320B5C">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根据投标人提供的项目整体建设方案（包括系统功能架构、技术方案）与采购需求中相应要求匹配情况进行评分。</w:t>
            </w:r>
            <w:r>
              <w:rPr>
                <w:rStyle w:val="374"/>
                <w:rFonts w:hint="eastAsia" w:ascii="宋体" w:hAnsi="宋体" w:eastAsia="宋体" w:cs="宋体"/>
                <w:color w:val="auto"/>
                <w:sz w:val="24"/>
                <w:szCs w:val="24"/>
                <w:highlight w:val="none"/>
                <w:lang w:bidi="ar"/>
              </w:rPr>
              <w:t>（分值：4，3，2，1，0）</w:t>
            </w:r>
          </w:p>
        </w:tc>
        <w:tc>
          <w:tcPr>
            <w:tcW w:w="873" w:type="dxa"/>
            <w:shd w:val="clear" w:color="auto" w:fill="auto"/>
            <w:vAlign w:val="center"/>
          </w:tcPr>
          <w:p w14:paraId="62320B5D">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983" w:type="dxa"/>
            <w:vAlign w:val="center"/>
          </w:tcPr>
          <w:p w14:paraId="62320B5E">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60">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5881" w:type="dxa"/>
          </w:tcPr>
          <w:p w14:paraId="62320B61">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功能设计及实施方案</w:t>
            </w:r>
          </w:p>
        </w:tc>
        <w:tc>
          <w:tcPr>
            <w:tcW w:w="873" w:type="dxa"/>
            <w:shd w:val="clear" w:color="auto" w:fill="auto"/>
            <w:vAlign w:val="center"/>
          </w:tcPr>
          <w:p w14:paraId="62320B6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c>
          <w:tcPr>
            <w:tcW w:w="983" w:type="dxa"/>
            <w:vAlign w:val="center"/>
          </w:tcPr>
          <w:p w14:paraId="62320B63">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r>
      <w:tr w14:paraId="6232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65">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4.1</w:t>
            </w:r>
          </w:p>
        </w:tc>
        <w:tc>
          <w:tcPr>
            <w:tcW w:w="5881" w:type="dxa"/>
          </w:tcPr>
          <w:p w14:paraId="62320B66">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w:t>
            </w:r>
            <w:r>
              <w:rPr>
                <w:rFonts w:hint="eastAsia" w:ascii="宋体" w:hAnsi="宋体" w:eastAsia="宋体" w:cs="宋体"/>
                <w:color w:val="auto"/>
                <w:sz w:val="24"/>
                <w:szCs w:val="24"/>
                <w:highlight w:val="none"/>
              </w:rPr>
              <w:t>信用评价</w:t>
            </w:r>
            <w:r>
              <w:rPr>
                <w:rFonts w:hint="eastAsia" w:ascii="宋体" w:hAnsi="宋体" w:eastAsia="宋体" w:cs="宋体"/>
                <w:color w:val="auto"/>
                <w:kern w:val="0"/>
                <w:sz w:val="24"/>
                <w:szCs w:val="24"/>
                <w:highlight w:val="none"/>
                <w:lang w:bidi="ar"/>
              </w:rPr>
              <w:t>”模块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（分值：4，3，2，1，0）</w:t>
            </w:r>
          </w:p>
        </w:tc>
        <w:tc>
          <w:tcPr>
            <w:tcW w:w="873" w:type="dxa"/>
            <w:shd w:val="clear" w:color="auto" w:fill="auto"/>
            <w:vAlign w:val="center"/>
          </w:tcPr>
          <w:p w14:paraId="62320B67">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983" w:type="dxa"/>
            <w:vAlign w:val="center"/>
          </w:tcPr>
          <w:p w14:paraId="62320B68">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6A">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4.2</w:t>
            </w:r>
          </w:p>
        </w:tc>
        <w:tc>
          <w:tcPr>
            <w:tcW w:w="5881" w:type="dxa"/>
          </w:tcPr>
          <w:p w14:paraId="62320B6B">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投标人根据采购需求，需提供针对本项目的“公益服务”模块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4，3，2，1，0）</w:t>
            </w:r>
          </w:p>
        </w:tc>
        <w:tc>
          <w:tcPr>
            <w:tcW w:w="873" w:type="dxa"/>
            <w:shd w:val="clear" w:color="auto" w:fill="auto"/>
            <w:vAlign w:val="center"/>
          </w:tcPr>
          <w:p w14:paraId="62320B6C">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983" w:type="dxa"/>
            <w:vAlign w:val="center"/>
          </w:tcPr>
          <w:p w14:paraId="62320B6D">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6F">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4.3</w:t>
            </w:r>
          </w:p>
        </w:tc>
        <w:tc>
          <w:tcPr>
            <w:tcW w:w="5881" w:type="dxa"/>
          </w:tcPr>
          <w:p w14:paraId="62320B70">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投标人根据采购需求，需提供针对本项目的“智慧党建”模块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4，3，2，1，0）</w:t>
            </w:r>
          </w:p>
        </w:tc>
        <w:tc>
          <w:tcPr>
            <w:tcW w:w="873" w:type="dxa"/>
            <w:shd w:val="clear" w:color="auto" w:fill="auto"/>
            <w:vAlign w:val="center"/>
          </w:tcPr>
          <w:p w14:paraId="62320B71">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p>
        </w:tc>
        <w:tc>
          <w:tcPr>
            <w:tcW w:w="983" w:type="dxa"/>
            <w:vAlign w:val="center"/>
          </w:tcPr>
          <w:p w14:paraId="62320B72">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74">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4.4</w:t>
            </w:r>
          </w:p>
        </w:tc>
        <w:tc>
          <w:tcPr>
            <w:tcW w:w="5881" w:type="dxa"/>
          </w:tcPr>
          <w:p w14:paraId="62320B75">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投标人根据采购需求，需提供针对本项目的“党政法顾”模块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76">
            <w:pPr>
              <w:widowControl/>
              <w:spacing w:line="360" w:lineRule="auto"/>
              <w:jc w:val="center"/>
              <w:textAlignment w:val="top"/>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983" w:type="dxa"/>
            <w:vAlign w:val="center"/>
          </w:tcPr>
          <w:p w14:paraId="62320B77">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7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5881" w:type="dxa"/>
          </w:tcPr>
          <w:p w14:paraId="62320B7A">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投标人根据采购需求，需提供针对本项目的“浙里办应用”模块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7B">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83" w:type="dxa"/>
            <w:vAlign w:val="center"/>
          </w:tcPr>
          <w:p w14:paraId="62320B7C">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7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5881" w:type="dxa"/>
          </w:tcPr>
          <w:p w14:paraId="62320B7F">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投标人根据采购需求，需提供针对本项目的“浙政钉应用”模块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80">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83" w:type="dxa"/>
            <w:vAlign w:val="center"/>
          </w:tcPr>
          <w:p w14:paraId="62320B81">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8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5881" w:type="dxa"/>
          </w:tcPr>
          <w:p w14:paraId="62320B84">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投标人根据采购需求，需提供针对本项目的“系统管理”模块</w:t>
            </w:r>
            <w:r>
              <w:rPr>
                <w:rFonts w:hint="eastAsia" w:ascii="宋体" w:hAnsi="宋体" w:eastAsia="宋体" w:cs="宋体"/>
                <w:color w:val="auto"/>
                <w:sz w:val="24"/>
                <w:szCs w:val="24"/>
                <w:highlight w:val="none"/>
              </w:rPr>
              <w:t>（已作为演示项的内容除外）</w:t>
            </w:r>
            <w:r>
              <w:rPr>
                <w:rFonts w:hint="eastAsia" w:ascii="宋体" w:hAnsi="宋体" w:eastAsia="宋体" w:cs="宋体"/>
                <w:color w:val="auto"/>
                <w:kern w:val="0"/>
                <w:sz w:val="24"/>
                <w:szCs w:val="24"/>
                <w:highlight w:val="none"/>
                <w:lang w:bidi="ar"/>
              </w:rPr>
              <w:t>的功能设计及实施方案，评标委员会根据响应方案的业务要素、数据要素、功能界面、功能说明等内容进行评分。（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85">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83" w:type="dxa"/>
            <w:vAlign w:val="center"/>
          </w:tcPr>
          <w:p w14:paraId="62320B86">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88">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p>
        </w:tc>
        <w:tc>
          <w:tcPr>
            <w:tcW w:w="5881" w:type="dxa"/>
          </w:tcPr>
          <w:p w14:paraId="62320B89">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对投标人针对采购文件第三部分第三条技术要求的响应情况进行评审：完全符合的得</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分，每不符合1项扣2分，扣完为止。</w:t>
            </w:r>
          </w:p>
        </w:tc>
        <w:tc>
          <w:tcPr>
            <w:tcW w:w="873" w:type="dxa"/>
            <w:shd w:val="clear" w:color="auto" w:fill="auto"/>
            <w:vAlign w:val="center"/>
          </w:tcPr>
          <w:p w14:paraId="62320B8A">
            <w:pPr>
              <w:widowControl/>
              <w:spacing w:line="360" w:lineRule="auto"/>
              <w:jc w:val="center"/>
              <w:textAlignment w:val="top"/>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983" w:type="dxa"/>
            <w:vAlign w:val="center"/>
          </w:tcPr>
          <w:p w14:paraId="62320B8B">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客观分</w:t>
            </w:r>
          </w:p>
        </w:tc>
      </w:tr>
      <w:tr w14:paraId="6232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8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81" w:type="dxa"/>
          </w:tcPr>
          <w:p w14:paraId="62320B8E">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投标人根据采购需求，需提供针对本项目的组织实施方案（包括进度管理计划及具体方案、劳动力计划及具体方案、质量管理及措施等），评标委员会根据响应方案与采购需求中相应要求匹配情况进行评分。（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8F">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83" w:type="dxa"/>
            <w:vAlign w:val="center"/>
          </w:tcPr>
          <w:p w14:paraId="62320B90">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主观分</w:t>
            </w:r>
          </w:p>
        </w:tc>
      </w:tr>
      <w:tr w14:paraId="6232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9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81" w:type="dxa"/>
          </w:tcPr>
          <w:p w14:paraId="62320B93">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投标人根据采购需求，需提供针对本项目的运维服务方案(包括服务体系、服务内容、故障解决方案、专业技术人员保障等)，评标委员会根据响应方案与采购需求中相应要求匹配情况进行评分。（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3,2,1,0）</w:t>
            </w:r>
          </w:p>
        </w:tc>
        <w:tc>
          <w:tcPr>
            <w:tcW w:w="873" w:type="dxa"/>
            <w:shd w:val="clear" w:color="auto" w:fill="auto"/>
            <w:vAlign w:val="center"/>
          </w:tcPr>
          <w:p w14:paraId="62320B94">
            <w:pPr>
              <w:widowControl/>
              <w:spacing w:line="360" w:lineRule="auto"/>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983" w:type="dxa"/>
            <w:vAlign w:val="center"/>
          </w:tcPr>
          <w:p w14:paraId="62320B9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6232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97">
            <w:pPr>
              <w:pStyle w:val="2"/>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81" w:type="dxa"/>
          </w:tcPr>
          <w:p w14:paraId="62320B98">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投标人根据采购需求，需提供协助做好项目初验、试运行和终验的实施方案和具体措施，评标委员会根据响应方案与采购需求中相应要求匹配情况进行评分。（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2,1,0）</w:t>
            </w:r>
          </w:p>
        </w:tc>
        <w:tc>
          <w:tcPr>
            <w:tcW w:w="873" w:type="dxa"/>
            <w:shd w:val="clear" w:color="auto" w:fill="auto"/>
            <w:vAlign w:val="center"/>
          </w:tcPr>
          <w:p w14:paraId="62320B99">
            <w:pPr>
              <w:widowControl/>
              <w:spacing w:line="360" w:lineRule="auto"/>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83" w:type="dxa"/>
            <w:vAlign w:val="center"/>
          </w:tcPr>
          <w:p w14:paraId="62320B9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6232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81" w:type="dxa"/>
          </w:tcPr>
          <w:p w14:paraId="62320B9D">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投标人根据采购需求，需提供针对本项目的培训方案（包括培训计划、培训内容、培训时间等），评标委员会根据响应方案与采购需求中相应要求匹配情况进行评分。（</w:t>
            </w:r>
            <w:r>
              <w:rPr>
                <w:rStyle w:val="374"/>
                <w:rFonts w:hint="eastAsia" w:ascii="宋体" w:hAnsi="宋体" w:eastAsia="宋体" w:cs="宋体"/>
                <w:color w:val="auto"/>
                <w:sz w:val="24"/>
                <w:szCs w:val="24"/>
                <w:highlight w:val="none"/>
                <w:lang w:bidi="ar"/>
              </w:rPr>
              <w:t>分值：</w:t>
            </w:r>
            <w:r>
              <w:rPr>
                <w:rFonts w:hint="eastAsia" w:ascii="宋体" w:hAnsi="宋体" w:eastAsia="宋体" w:cs="宋体"/>
                <w:color w:val="auto"/>
                <w:kern w:val="0"/>
                <w:sz w:val="24"/>
                <w:szCs w:val="24"/>
                <w:highlight w:val="none"/>
                <w:lang w:bidi="ar"/>
              </w:rPr>
              <w:t>2,1,0）</w:t>
            </w:r>
          </w:p>
        </w:tc>
        <w:tc>
          <w:tcPr>
            <w:tcW w:w="873" w:type="dxa"/>
            <w:shd w:val="clear" w:color="auto" w:fill="auto"/>
            <w:vAlign w:val="center"/>
          </w:tcPr>
          <w:p w14:paraId="62320B9E">
            <w:pPr>
              <w:widowControl/>
              <w:spacing w:line="360" w:lineRule="auto"/>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83" w:type="dxa"/>
            <w:vAlign w:val="center"/>
          </w:tcPr>
          <w:p w14:paraId="62320B9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6232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A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81" w:type="dxa"/>
          </w:tcPr>
          <w:p w14:paraId="62320BA2">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开发团队（须为本单位在职员工，提供近三个月内任意时间本单位社保缴纳证明，否则不得分）</w:t>
            </w:r>
          </w:p>
        </w:tc>
        <w:tc>
          <w:tcPr>
            <w:tcW w:w="873" w:type="dxa"/>
            <w:shd w:val="clear" w:color="auto" w:fill="auto"/>
            <w:vAlign w:val="center"/>
          </w:tcPr>
          <w:p w14:paraId="62320BA3">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83" w:type="dxa"/>
            <w:vAlign w:val="center"/>
          </w:tcPr>
          <w:p w14:paraId="62320BA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232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6" w:type="dxa"/>
            <w:vAlign w:val="center"/>
          </w:tcPr>
          <w:p w14:paraId="62320BA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5881" w:type="dxa"/>
          </w:tcPr>
          <w:p w14:paraId="62320BA7">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873" w:type="dxa"/>
            <w:shd w:val="clear" w:color="auto" w:fill="auto"/>
            <w:vAlign w:val="center"/>
          </w:tcPr>
          <w:p w14:paraId="62320BA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83" w:type="dxa"/>
            <w:vAlign w:val="center"/>
          </w:tcPr>
          <w:p w14:paraId="62320BA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232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6" w:type="dxa"/>
            <w:shd w:val="clear" w:color="auto" w:fill="auto"/>
            <w:vAlign w:val="center"/>
          </w:tcPr>
          <w:p w14:paraId="62320BA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w:t>
            </w:r>
          </w:p>
        </w:tc>
        <w:tc>
          <w:tcPr>
            <w:tcW w:w="5881" w:type="dxa"/>
          </w:tcPr>
          <w:p w14:paraId="62320BAC">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项目经理近三年（自</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rPr>
              <w:t>以来）具有同类电子政务项目实施经验的每有1个得1分，最高得3分；提供合同复印件及业主证明等材料，否则不得分。</w:t>
            </w:r>
          </w:p>
        </w:tc>
        <w:tc>
          <w:tcPr>
            <w:tcW w:w="873" w:type="dxa"/>
            <w:shd w:val="clear" w:color="auto" w:fill="auto"/>
            <w:vAlign w:val="center"/>
          </w:tcPr>
          <w:p w14:paraId="62320BA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A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shd w:val="clear" w:color="auto" w:fill="auto"/>
            <w:vAlign w:val="center"/>
          </w:tcPr>
          <w:p w14:paraId="62320B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w:t>
            </w:r>
          </w:p>
        </w:tc>
        <w:tc>
          <w:tcPr>
            <w:tcW w:w="5881" w:type="dxa"/>
          </w:tcPr>
          <w:p w14:paraId="62320BB1">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项目经理具有计算机等履约相关专业本科或以上学历得2分，其他不得分；须提供证书等证明材料，否则不得分。</w:t>
            </w:r>
          </w:p>
        </w:tc>
        <w:tc>
          <w:tcPr>
            <w:tcW w:w="873" w:type="dxa"/>
            <w:shd w:val="clear" w:color="auto" w:fill="auto"/>
            <w:vAlign w:val="center"/>
          </w:tcPr>
          <w:p w14:paraId="62320BB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3" w:type="dxa"/>
            <w:vAlign w:val="center"/>
          </w:tcPr>
          <w:p w14:paraId="62320BB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shd w:val="clear" w:color="auto" w:fill="auto"/>
            <w:vAlign w:val="center"/>
          </w:tcPr>
          <w:p w14:paraId="62320B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w:t>
            </w:r>
          </w:p>
        </w:tc>
        <w:tc>
          <w:tcPr>
            <w:tcW w:w="5881" w:type="dxa"/>
          </w:tcPr>
          <w:p w14:paraId="62320BB6">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项目经理具全国软考的信息系统项目管理师得2分，其他不得分；须提供证书等证明材料，否则不得分。</w:t>
            </w:r>
          </w:p>
        </w:tc>
        <w:tc>
          <w:tcPr>
            <w:tcW w:w="873" w:type="dxa"/>
            <w:shd w:val="clear" w:color="auto" w:fill="auto"/>
            <w:vAlign w:val="center"/>
          </w:tcPr>
          <w:p w14:paraId="62320BB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3" w:type="dxa"/>
            <w:vAlign w:val="center"/>
          </w:tcPr>
          <w:p w14:paraId="62320BB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B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5881" w:type="dxa"/>
          </w:tcPr>
          <w:p w14:paraId="62320BBB">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w:t>
            </w:r>
          </w:p>
        </w:tc>
        <w:tc>
          <w:tcPr>
            <w:tcW w:w="873" w:type="dxa"/>
            <w:shd w:val="clear" w:color="auto" w:fill="auto"/>
            <w:vAlign w:val="center"/>
          </w:tcPr>
          <w:p w14:paraId="62320BB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83" w:type="dxa"/>
            <w:vAlign w:val="center"/>
          </w:tcPr>
          <w:p w14:paraId="62320BB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232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B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p>
        </w:tc>
        <w:tc>
          <w:tcPr>
            <w:tcW w:w="5881" w:type="dxa"/>
          </w:tcPr>
          <w:p w14:paraId="62320BC0">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技术负责人近三年（自</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rPr>
              <w:t>以来）具有同类电子政务项目实施经验的每有1个得1分，最高得3分；提供合同复印件及业主证明等材料，否则不得分。</w:t>
            </w:r>
          </w:p>
        </w:tc>
        <w:tc>
          <w:tcPr>
            <w:tcW w:w="873" w:type="dxa"/>
            <w:shd w:val="clear" w:color="auto" w:fill="auto"/>
            <w:vAlign w:val="center"/>
          </w:tcPr>
          <w:p w14:paraId="62320BC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C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C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p>
        </w:tc>
        <w:tc>
          <w:tcPr>
            <w:tcW w:w="5881" w:type="dxa"/>
          </w:tcPr>
          <w:p w14:paraId="62320BC5">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技术负责人具有计算机等履约相关专业本科或以上学历得2分，其他不得分；须提供证书等证明材料，否则不得分。</w:t>
            </w:r>
          </w:p>
        </w:tc>
        <w:tc>
          <w:tcPr>
            <w:tcW w:w="873" w:type="dxa"/>
            <w:shd w:val="clear" w:color="auto" w:fill="auto"/>
            <w:vAlign w:val="center"/>
          </w:tcPr>
          <w:p w14:paraId="62320BC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3" w:type="dxa"/>
            <w:vAlign w:val="center"/>
          </w:tcPr>
          <w:p w14:paraId="62320B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C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p>
        </w:tc>
        <w:tc>
          <w:tcPr>
            <w:tcW w:w="5881" w:type="dxa"/>
          </w:tcPr>
          <w:p w14:paraId="62320BCA">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技术负责人具有软件开发行业5年及以上从业经验得2分，其他不得分；须提供从业履历等证明材料，否则不得分。</w:t>
            </w:r>
          </w:p>
        </w:tc>
        <w:tc>
          <w:tcPr>
            <w:tcW w:w="873" w:type="dxa"/>
            <w:shd w:val="clear" w:color="auto" w:fill="auto"/>
            <w:vAlign w:val="center"/>
          </w:tcPr>
          <w:p w14:paraId="62320BC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83" w:type="dxa"/>
            <w:vAlign w:val="center"/>
          </w:tcPr>
          <w:p w14:paraId="62320BC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C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5881" w:type="dxa"/>
          </w:tcPr>
          <w:p w14:paraId="62320BCF">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项目其他成员（除项目经理和技术负责人外）：</w:t>
            </w:r>
          </w:p>
          <w:p w14:paraId="62320BD0">
            <w:pPr>
              <w:widowControl/>
              <w:numPr>
                <w:ilvl w:val="0"/>
                <w:numId w:val="9"/>
              </w:numPr>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项目其他成员（除项目经理和技术负责人外）中每有1人具有信息技术等履约相关专业本科以上学历（提供证书复印件或相关证明材料）的得0.5分，最高得2分；须提供证书复印件，否则不得分。</w:t>
            </w:r>
          </w:p>
          <w:p w14:paraId="62320BD1">
            <w:pPr>
              <w:widowControl/>
              <w:numPr>
                <w:ilvl w:val="0"/>
                <w:numId w:val="9"/>
              </w:numPr>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项目其他成员（除项目经理和技术负责人外）中每有1人具有近三年（自</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rPr>
              <w:t>以来）同类电子政府实施经验（业绩）的得0.5分，最高得2分；须提供合同复印件或业主证明等材料，否则不得分。</w:t>
            </w:r>
          </w:p>
        </w:tc>
        <w:tc>
          <w:tcPr>
            <w:tcW w:w="873" w:type="dxa"/>
            <w:shd w:val="clear" w:color="auto" w:fill="auto"/>
            <w:vAlign w:val="center"/>
          </w:tcPr>
          <w:p w14:paraId="62320BD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83" w:type="dxa"/>
            <w:vAlign w:val="center"/>
          </w:tcPr>
          <w:p w14:paraId="62320BD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D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81" w:type="dxa"/>
          </w:tcPr>
          <w:p w14:paraId="62320BD6">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系统演示</w:t>
            </w:r>
          </w:p>
        </w:tc>
        <w:tc>
          <w:tcPr>
            <w:tcW w:w="873" w:type="dxa"/>
            <w:shd w:val="clear" w:color="auto" w:fill="auto"/>
            <w:vAlign w:val="center"/>
          </w:tcPr>
          <w:p w14:paraId="62320BD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83" w:type="dxa"/>
            <w:vAlign w:val="center"/>
          </w:tcPr>
          <w:p w14:paraId="62320BD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232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D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5881" w:type="dxa"/>
          </w:tcPr>
          <w:p w14:paraId="62320BDB">
            <w:pPr>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信用评价演示内容和要求：</w:t>
            </w:r>
          </w:p>
          <w:p w14:paraId="62320BDC">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62320BDD">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信用评价：</w:t>
            </w:r>
          </w:p>
          <w:p w14:paraId="10F5A499">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规则管理及计算:</w:t>
            </w:r>
          </w:p>
          <w:p w14:paraId="7EB1C6EC">
            <w:pPr>
              <w:pStyle w:val="3"/>
              <w:ind w:left="0" w:leftChars="0" w:firstLine="0" w:firstLineChars="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根据信用评价的</w:t>
            </w:r>
            <w:r>
              <w:rPr>
                <w:rFonts w:hint="eastAsia" w:ascii="宋体" w:hAnsi="宋体" w:eastAsia="宋体" w:cs="宋体"/>
                <w:color w:val="auto"/>
                <w:sz w:val="24"/>
                <w:szCs w:val="24"/>
                <w:highlight w:val="none"/>
                <w:lang w:bidi="ar"/>
              </w:rPr>
              <w:t>采购</w:t>
            </w:r>
            <w:r>
              <w:rPr>
                <w:rFonts w:hint="eastAsia" w:ascii="宋体" w:hAnsi="宋体" w:cs="宋体"/>
                <w:color w:val="auto"/>
                <w:sz w:val="24"/>
                <w:szCs w:val="24"/>
                <w:highlight w:val="none"/>
                <w:lang w:bidi="ar"/>
              </w:rPr>
              <w:t>需求，</w:t>
            </w:r>
            <w:r>
              <w:rPr>
                <w:rFonts w:hint="eastAsia" w:ascii="宋体" w:hAnsi="宋体" w:eastAsia="宋体" w:cs="宋体"/>
                <w:color w:val="auto"/>
                <w:sz w:val="24"/>
                <w:szCs w:val="24"/>
                <w:highlight w:val="none"/>
                <w:lang w:bidi="ar"/>
              </w:rPr>
              <w:t>呈现所有指标项的配置，并支持版本管理的页面设计；</w:t>
            </w:r>
          </w:p>
          <w:p w14:paraId="053398E0">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信用分级管理：</w:t>
            </w:r>
          </w:p>
          <w:p w14:paraId="5857CE4C">
            <w:pPr>
              <w:pStyle w:val="3"/>
              <w:snapToGrid w:val="0"/>
              <w:spacing w:line="360" w:lineRule="auto"/>
              <w:ind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根据信用评价的采购需求，展示律师信用分的页面设计</w:t>
            </w:r>
            <w:r>
              <w:rPr>
                <w:rFonts w:hint="eastAsia" w:cs="宋体"/>
                <w:color w:val="auto"/>
                <w:sz w:val="24"/>
                <w:szCs w:val="24"/>
                <w:highlight w:val="none"/>
                <w:lang w:eastAsia="zh-CN" w:bidi="ar"/>
              </w:rPr>
              <w:t>。</w:t>
            </w:r>
          </w:p>
          <w:p w14:paraId="62320BDE">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62320BE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62320BE4">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E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E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5881" w:type="dxa"/>
          </w:tcPr>
          <w:p w14:paraId="62320BE8">
            <w:pPr>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公益服务演示内容和要求：</w:t>
            </w:r>
          </w:p>
          <w:p w14:paraId="62320BE9">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1DF5CB74">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公益服务，包括：</w:t>
            </w:r>
          </w:p>
          <w:p w14:paraId="382A7313">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自主申报</w:t>
            </w:r>
          </w:p>
          <w:p w14:paraId="5D182938">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申报管理</w:t>
            </w:r>
          </w:p>
          <w:p w14:paraId="36D297ED">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根据公益服务-自主申报的采购需求，呈现申报管理列表、检索条件及详情的设计；</w:t>
            </w:r>
          </w:p>
          <w:p w14:paraId="009B6A2D">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新增申报</w:t>
            </w:r>
          </w:p>
          <w:p w14:paraId="3849E011">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根据公益服务-自主申报的采购需求，分别呈现律师/律师事务所/司法行政机关、律师协会等角色下的申报页面设计；</w:t>
            </w:r>
          </w:p>
          <w:p w14:paraId="6544E7E8">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申报审批</w:t>
            </w:r>
          </w:p>
          <w:p w14:paraId="69A058D9">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根据公益服务-自主申报的采购需求，分别呈现律师/律师事务所申报事项的审批信息设计；</w:t>
            </w:r>
          </w:p>
          <w:p w14:paraId="1F81ABE4">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积分管理</w:t>
            </w:r>
          </w:p>
          <w:p w14:paraId="46F4855F">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积分总览</w:t>
            </w:r>
          </w:p>
          <w:p w14:paraId="19780D4E">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积分总览的采购需求，呈现积分总览页面，需包含：全省人员积分排行、全省机构积分排行、地区人员积分分布、地区机构积分分布、全省人员数量与分数分布、不同规模律所分数占比/趋势等设计。</w:t>
            </w:r>
          </w:p>
          <w:p w14:paraId="7F3DD2B1">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人员积分</w:t>
            </w:r>
          </w:p>
          <w:p w14:paraId="59987FC7">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根据公益服务-人员的采购需求，呈现人员积分的列表及检索条件的设计；</w:t>
            </w:r>
          </w:p>
          <w:p w14:paraId="01C8C891">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机构积分</w:t>
            </w:r>
          </w:p>
          <w:p w14:paraId="5F76F0E0">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根据公益服务-机构的采购需求，呈现机构积分的列表及检索条件的设计；</w:t>
            </w:r>
          </w:p>
          <w:p w14:paraId="6A89869F">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建模研探</w:t>
            </w:r>
          </w:p>
          <w:p w14:paraId="38FE6185">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人员</w:t>
            </w:r>
          </w:p>
          <w:p w14:paraId="5EE3C435">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根据公益服务-建模研探的采购需求，呈现人员在不同版本规则下的积分设计；</w:t>
            </w:r>
          </w:p>
          <w:p w14:paraId="11F00A67">
            <w:pPr>
              <w:snapToGrid w:val="0"/>
              <w:spacing w:line="360" w:lineRule="auto"/>
              <w:ind w:firstLine="24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机构</w:t>
            </w:r>
          </w:p>
          <w:p w14:paraId="390F2D1B">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根据公益服务-建模研探的采购需求，呈现机构在不同版本规则下的积分设计；</w:t>
            </w:r>
          </w:p>
          <w:p w14:paraId="62320BEA">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规则配置</w:t>
            </w:r>
          </w:p>
          <w:p w14:paraId="0FB9E380">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根据公益服务-规则配置的采购需求，呈现积分规则的管理列表及详情设计</w:t>
            </w:r>
            <w:r>
              <w:rPr>
                <w:rFonts w:hint="eastAsia" w:cs="宋体"/>
                <w:color w:val="auto"/>
                <w:sz w:val="24"/>
                <w:szCs w:val="24"/>
                <w:highlight w:val="none"/>
                <w:lang w:eastAsia="zh-CN" w:bidi="ar"/>
              </w:rPr>
              <w:t>。</w:t>
            </w:r>
          </w:p>
          <w:p w14:paraId="62320BEB">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62320BEC">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62320BED">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E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F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5881" w:type="dxa"/>
          </w:tcPr>
          <w:p w14:paraId="62320BF1">
            <w:pPr>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智慧党建演示内容和要求：</w:t>
            </w:r>
          </w:p>
          <w:p w14:paraId="62320BF2">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7C809F4F">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智慧党建：</w:t>
            </w:r>
          </w:p>
          <w:p w14:paraId="2556FC51">
            <w:pPr>
              <w:snapToGrid w:val="0"/>
              <w:spacing w:line="360" w:lineRule="auto"/>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 党组织管理</w:t>
            </w:r>
          </w:p>
          <w:p w14:paraId="151A71AA">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党组织信息：</w:t>
            </w:r>
          </w:p>
          <w:p w14:paraId="73C7230F">
            <w:pPr>
              <w:pStyle w:val="3"/>
              <w:ind w:firstLine="0" w:firstLineChars="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党组织管理</w:t>
            </w:r>
            <w:r>
              <w:rPr>
                <w:rFonts w:hint="eastAsia" w:ascii="宋体" w:hAnsi="宋体" w:cs="宋体"/>
                <w:color w:val="auto"/>
                <w:sz w:val="24"/>
                <w:szCs w:val="24"/>
                <w:highlight w:val="none"/>
                <w:lang w:bidi="ar"/>
              </w:rPr>
              <w:t>的采购需求，呈现</w:t>
            </w:r>
            <w:r>
              <w:rPr>
                <w:rFonts w:hint="eastAsia" w:ascii="宋体" w:hAnsi="宋体" w:eastAsia="宋体" w:cs="宋体"/>
                <w:color w:val="auto"/>
                <w:sz w:val="24"/>
                <w:szCs w:val="24"/>
                <w:highlight w:val="none"/>
                <w:lang w:bidi="ar"/>
              </w:rPr>
              <w:t>全省不同层级</w:t>
            </w:r>
            <w:r>
              <w:rPr>
                <w:rFonts w:hint="eastAsia" w:ascii="宋体" w:hAnsi="宋体" w:cs="宋体"/>
                <w:color w:val="auto"/>
                <w:sz w:val="24"/>
                <w:szCs w:val="24"/>
                <w:highlight w:val="none"/>
                <w:lang w:bidi="ar"/>
              </w:rPr>
              <w:t>的</w:t>
            </w:r>
            <w:r>
              <w:rPr>
                <w:rFonts w:hint="eastAsia" w:ascii="宋体" w:hAnsi="宋体" w:eastAsia="宋体" w:cs="宋体"/>
                <w:color w:val="auto"/>
                <w:sz w:val="24"/>
                <w:szCs w:val="24"/>
                <w:highlight w:val="none"/>
                <w:lang w:bidi="ar"/>
              </w:rPr>
              <w:t>党组织管理列表、</w:t>
            </w:r>
            <w:r>
              <w:rPr>
                <w:rFonts w:hint="eastAsia" w:ascii="宋体" w:hAnsi="宋体" w:cs="宋体"/>
                <w:color w:val="auto"/>
                <w:sz w:val="24"/>
                <w:szCs w:val="24"/>
                <w:highlight w:val="none"/>
                <w:lang w:bidi="ar"/>
              </w:rPr>
              <w:t>详情</w:t>
            </w:r>
            <w:r>
              <w:rPr>
                <w:rFonts w:hint="eastAsia" w:ascii="宋体" w:hAnsi="宋体" w:eastAsia="宋体" w:cs="宋体"/>
                <w:color w:val="auto"/>
                <w:sz w:val="24"/>
                <w:szCs w:val="24"/>
                <w:highlight w:val="none"/>
                <w:lang w:bidi="ar"/>
              </w:rPr>
              <w:t>等</w:t>
            </w:r>
            <w:r>
              <w:rPr>
                <w:rFonts w:hint="eastAsia" w:ascii="宋体" w:hAnsi="宋体" w:cs="宋体"/>
                <w:color w:val="auto"/>
                <w:sz w:val="24"/>
                <w:szCs w:val="24"/>
                <w:highlight w:val="none"/>
                <w:lang w:bidi="ar"/>
              </w:rPr>
              <w:t>设计；</w:t>
            </w:r>
          </w:p>
          <w:p w14:paraId="3287501D">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党支部新增：</w:t>
            </w:r>
          </w:p>
          <w:p w14:paraId="754415AB">
            <w:pPr>
              <w:pStyle w:val="3"/>
              <w:ind w:firstLine="0" w:firstLineChars="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党组织管理</w:t>
            </w:r>
            <w:r>
              <w:rPr>
                <w:rFonts w:hint="eastAsia" w:ascii="宋体" w:hAnsi="宋体" w:cs="宋体"/>
                <w:color w:val="auto"/>
                <w:sz w:val="24"/>
                <w:szCs w:val="24"/>
                <w:highlight w:val="none"/>
                <w:lang w:bidi="ar"/>
              </w:rPr>
              <w:t>-</w:t>
            </w:r>
            <w:r>
              <w:rPr>
                <w:rFonts w:hint="eastAsia" w:ascii="宋体" w:hAnsi="宋体" w:eastAsia="宋体" w:cs="宋体"/>
                <w:color w:val="auto"/>
                <w:sz w:val="24"/>
                <w:szCs w:val="24"/>
                <w:highlight w:val="none"/>
                <w:lang w:bidi="ar"/>
              </w:rPr>
              <w:t>党支部新增</w:t>
            </w:r>
            <w:r>
              <w:rPr>
                <w:rFonts w:hint="eastAsia" w:ascii="宋体" w:hAnsi="宋体" w:cs="宋体"/>
                <w:color w:val="auto"/>
                <w:sz w:val="24"/>
                <w:szCs w:val="24"/>
                <w:highlight w:val="none"/>
                <w:lang w:bidi="ar"/>
              </w:rPr>
              <w:t>的采购需求，呈现</w:t>
            </w:r>
            <w:r>
              <w:rPr>
                <w:rFonts w:hint="eastAsia" w:ascii="宋体" w:hAnsi="宋体" w:eastAsia="宋体" w:cs="宋体"/>
                <w:color w:val="auto"/>
                <w:sz w:val="24"/>
                <w:szCs w:val="24"/>
                <w:highlight w:val="none"/>
                <w:lang w:bidi="ar"/>
              </w:rPr>
              <w:t>党支部新增的页面</w:t>
            </w:r>
            <w:r>
              <w:rPr>
                <w:rFonts w:hint="eastAsia" w:ascii="宋体" w:hAnsi="宋体" w:cs="宋体"/>
                <w:color w:val="auto"/>
                <w:sz w:val="24"/>
                <w:szCs w:val="24"/>
                <w:highlight w:val="none"/>
                <w:lang w:bidi="ar"/>
              </w:rPr>
              <w:t>设计；</w:t>
            </w:r>
          </w:p>
          <w:p w14:paraId="0C193BB6">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党组织搜索：</w:t>
            </w:r>
          </w:p>
          <w:p w14:paraId="72E96997">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根据党组织管理-党组织搜索的采购需求，呈现党组织的检索条件设计；</w:t>
            </w:r>
          </w:p>
          <w:p w14:paraId="3F145A0F">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党组织换届：</w:t>
            </w:r>
          </w:p>
          <w:p w14:paraId="3AC37BF7">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根据党组织管理-党组织换届的采购需求，呈现党组织换届的页面设计；</w:t>
            </w:r>
          </w:p>
          <w:p w14:paraId="0ACFB9FC">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组织架构：</w:t>
            </w:r>
          </w:p>
          <w:p w14:paraId="775B0BD7">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根据党组织管理-组织架构的采购需求，呈现全省党组织的页面设计；</w:t>
            </w:r>
          </w:p>
          <w:p w14:paraId="5446FF73">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数据统计：</w:t>
            </w:r>
          </w:p>
          <w:p w14:paraId="2403CA1C">
            <w:pPr>
              <w:pStyle w:val="3"/>
              <w:snapToGrid w:val="0"/>
              <w:spacing w:line="360" w:lineRule="auto"/>
              <w:ind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根据党组织管理-数据统计的采购需求，呈现各级党组织数量的页面设计</w:t>
            </w:r>
            <w:r>
              <w:rPr>
                <w:rFonts w:hint="eastAsia" w:cs="宋体"/>
                <w:color w:val="auto"/>
                <w:sz w:val="24"/>
                <w:szCs w:val="24"/>
                <w:highlight w:val="none"/>
                <w:lang w:eastAsia="zh-CN" w:bidi="ar"/>
              </w:rPr>
              <w:t>。</w:t>
            </w:r>
          </w:p>
          <w:p w14:paraId="62320BF4">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62320BF5">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62320BF6">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BF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BF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5881" w:type="dxa"/>
          </w:tcPr>
          <w:p w14:paraId="62320BFA">
            <w:pPr>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党政法顾演示内容和要求：</w:t>
            </w:r>
          </w:p>
          <w:p w14:paraId="62320BFB">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62320BFC">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党政法顾：</w:t>
            </w:r>
          </w:p>
          <w:p w14:paraId="5C52CB3C">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首页</w:t>
            </w:r>
          </w:p>
          <w:p w14:paraId="6F4B96A2">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法律顾问统计</w:t>
            </w:r>
          </w:p>
          <w:p w14:paraId="59F5AE7A">
            <w:pPr>
              <w:pStyle w:val="3"/>
              <w:ind w:firstLine="0" w:firstLineChars="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根据</w:t>
            </w:r>
            <w:r>
              <w:rPr>
                <w:rFonts w:hint="eastAsia" w:ascii="宋体" w:hAnsi="宋体" w:eastAsia="宋体" w:cs="宋体"/>
                <w:color w:val="auto"/>
                <w:sz w:val="24"/>
                <w:szCs w:val="24"/>
                <w:highlight w:val="none"/>
                <w:lang w:bidi="ar"/>
              </w:rPr>
              <w:t>党政法顾</w:t>
            </w:r>
            <w:r>
              <w:rPr>
                <w:rFonts w:hint="eastAsia" w:ascii="宋体" w:hAnsi="宋体" w:cs="宋体"/>
                <w:color w:val="auto"/>
                <w:sz w:val="24"/>
                <w:szCs w:val="24"/>
                <w:highlight w:val="none"/>
                <w:lang w:bidi="ar"/>
              </w:rPr>
              <w:t>-</w:t>
            </w:r>
            <w:r>
              <w:rPr>
                <w:rFonts w:hint="eastAsia" w:ascii="宋体" w:hAnsi="宋体" w:eastAsia="宋体" w:cs="宋体"/>
                <w:color w:val="auto"/>
                <w:sz w:val="24"/>
                <w:szCs w:val="24"/>
                <w:highlight w:val="none"/>
                <w:lang w:bidi="ar"/>
              </w:rPr>
              <w:t>首页</w:t>
            </w:r>
            <w:r>
              <w:rPr>
                <w:rFonts w:hint="eastAsia" w:ascii="宋体" w:hAnsi="宋体" w:cs="宋体"/>
                <w:color w:val="auto"/>
                <w:sz w:val="24"/>
                <w:szCs w:val="24"/>
                <w:highlight w:val="none"/>
                <w:lang w:bidi="ar"/>
              </w:rPr>
              <w:t>的采购需求，</w:t>
            </w:r>
            <w:r>
              <w:rPr>
                <w:rFonts w:hint="eastAsia" w:ascii="宋体" w:hAnsi="宋体" w:eastAsia="宋体" w:cs="宋体"/>
                <w:color w:val="auto"/>
                <w:sz w:val="24"/>
                <w:szCs w:val="24"/>
                <w:highlight w:val="none"/>
                <w:lang w:bidi="ar"/>
              </w:rPr>
              <w:t>呈现法律顾问统计信息；人员年龄、性别、学历、地域、专长的分布图；</w:t>
            </w:r>
          </w:p>
          <w:p w14:paraId="41DEBCE3">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工作记录统计</w:t>
            </w:r>
          </w:p>
          <w:p w14:paraId="67F882DF">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根据党政法顾-首页的采购需求，呈现工作记录关键指标、工作类型关键指标；</w:t>
            </w:r>
          </w:p>
          <w:p w14:paraId="19012A02">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法律顾问管理</w:t>
            </w:r>
          </w:p>
          <w:p w14:paraId="5CB54486">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法律顾问管理</w:t>
            </w:r>
          </w:p>
          <w:p w14:paraId="555A6D19">
            <w:pPr>
              <w:pStyle w:val="3"/>
              <w:ind w:firstLine="0" w:firstLineChars="0"/>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bidi="ar"/>
              </w:rPr>
              <w:t>根据党政法顾-</w:t>
            </w:r>
            <w:r>
              <w:rPr>
                <w:rFonts w:hint="eastAsia" w:ascii="宋体" w:hAnsi="宋体" w:eastAsia="宋体" w:cs="宋体"/>
                <w:color w:val="auto"/>
                <w:sz w:val="24"/>
                <w:szCs w:val="24"/>
                <w:highlight w:val="none"/>
                <w:lang w:bidi="ar"/>
              </w:rPr>
              <w:t>法律顾问管理</w:t>
            </w:r>
            <w:r>
              <w:rPr>
                <w:rFonts w:hint="eastAsia" w:ascii="宋体" w:hAnsi="宋体" w:cs="宋体"/>
                <w:color w:val="auto"/>
                <w:sz w:val="24"/>
                <w:szCs w:val="24"/>
                <w:highlight w:val="none"/>
                <w:lang w:bidi="ar"/>
              </w:rPr>
              <w:t>的采购需求，</w:t>
            </w:r>
            <w:r>
              <w:rPr>
                <w:rFonts w:hint="eastAsia" w:ascii="宋体" w:hAnsi="宋体" w:eastAsia="宋体" w:cs="宋体"/>
                <w:color w:val="auto"/>
                <w:sz w:val="24"/>
                <w:szCs w:val="24"/>
                <w:highlight w:val="none"/>
                <w:lang w:bidi="ar"/>
              </w:rPr>
              <w:t>呈现法律顾问管理的列表、检索条件及详情设计；</w:t>
            </w:r>
          </w:p>
          <w:p w14:paraId="3112B28E">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工作记录管理</w:t>
            </w:r>
          </w:p>
          <w:p w14:paraId="5A69BC93">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根据党政法顾-工作记录管理的采购需求，呈现工作记录管理的列表、检索条件及详情设计；</w:t>
            </w:r>
          </w:p>
          <w:p w14:paraId="3558BE50">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法律顾问数据统计：</w:t>
            </w:r>
          </w:p>
          <w:p w14:paraId="13C92AE1">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根据党政法顾-法律顾问数据统计的采购需求，呈现法律顾问统计列表、检索条件及详情设计；工作记录统计的列表、检索条件及详情设计；过期法顾统计的列表、检索条件的设计；</w:t>
            </w:r>
          </w:p>
          <w:p w14:paraId="5592F0E8">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 权限管理</w:t>
            </w:r>
          </w:p>
          <w:p w14:paraId="62320BFD">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62320BFE">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62320BF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C0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232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14:paraId="62320C0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5881" w:type="dxa"/>
          </w:tcPr>
          <w:p w14:paraId="62320C03">
            <w:pPr>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浙里办应用演示内容和要求：</w:t>
            </w:r>
          </w:p>
          <w:p w14:paraId="62320C04">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62320C05">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浙里办应用：</w:t>
            </w:r>
          </w:p>
          <w:p w14:paraId="275A9FB2">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在线申请</w:t>
            </w:r>
          </w:p>
          <w:p w14:paraId="5FA723C0">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根据浙里办应用-在线申请的采购需求，呈现浙里办在线申请的页面设计；</w:t>
            </w:r>
          </w:p>
          <w:p w14:paraId="5AAD2E14">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律师评价</w:t>
            </w:r>
          </w:p>
          <w:p w14:paraId="40CD9ADE">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快速申报</w:t>
            </w:r>
          </w:p>
          <w:p w14:paraId="58AED66E">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根据浙里办应用-快速申报的采购需求，呈现浙里办快速申报的页面设计；</w:t>
            </w:r>
          </w:p>
          <w:p w14:paraId="2ABB1C2E">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申报记录</w:t>
            </w:r>
          </w:p>
          <w:p w14:paraId="01A485FC">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根据浙里办应用-申报记录的采购需求，呈现浙里办申报记录的页面设计；</w:t>
            </w:r>
          </w:p>
          <w:p w14:paraId="6734C8E8">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我的评价</w:t>
            </w:r>
          </w:p>
          <w:p w14:paraId="1C46420C">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根据浙里办应用-我的评价的采购需求，呈现浙里办我的评价的页面设计；</w:t>
            </w:r>
          </w:p>
          <w:p w14:paraId="6F0C4EF6">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申报统计</w:t>
            </w:r>
          </w:p>
          <w:p w14:paraId="631742FC">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根据浙里办应用-申报统计的采购需求，呈现浙里办申报统计的页面设计；</w:t>
            </w:r>
          </w:p>
          <w:p w14:paraId="463E15AC">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公益服务：</w:t>
            </w:r>
          </w:p>
          <w:p w14:paraId="56D24D50">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申报管理</w:t>
            </w:r>
          </w:p>
          <w:p w14:paraId="25897985">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根据浙里办应用-公益服务-申报管理的采购需求，呈现浙里办申报管理的页面设计；</w:t>
            </w:r>
          </w:p>
          <w:p w14:paraId="5CECCA21">
            <w:pPr>
              <w:pStyle w:val="2"/>
              <w:ind w:left="0" w:leftChars="0" w:firstLineChars="1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自主申报</w:t>
            </w:r>
          </w:p>
          <w:p w14:paraId="0C2264C1">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根据浙里办应用-公益服务-自主申报的采购需求，呈现浙里办自主申报的页面设计；</w:t>
            </w:r>
          </w:p>
          <w:p w14:paraId="03134C8D">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投诉答辩</w:t>
            </w:r>
          </w:p>
          <w:p w14:paraId="352D81CE">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根据浙里办应用-投诉答辩的采购需求，呈现浙里办投诉答辩的页面设计；</w:t>
            </w:r>
          </w:p>
          <w:p w14:paraId="166C7AAB">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年度考核</w:t>
            </w:r>
          </w:p>
          <w:p w14:paraId="7234F495">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根据浙里办应用-年度考核的采购需求，呈现浙里办年度考核的页面设计；</w:t>
            </w:r>
          </w:p>
          <w:p w14:paraId="5AAAA380">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调档申请</w:t>
            </w:r>
          </w:p>
          <w:p w14:paraId="0C2761F8">
            <w:pPr>
              <w:pStyle w:val="3"/>
              <w:ind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根据浙里办应用-调档申请的采购需求，呈现浙里办调档申请的页面设计；</w:t>
            </w:r>
          </w:p>
          <w:p w14:paraId="199389DF">
            <w:pPr>
              <w:pStyle w:val="2"/>
              <w:ind w:left="0" w:leftChars="0" w:firstLine="0" w:firstLine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我的档案</w:t>
            </w:r>
          </w:p>
          <w:p w14:paraId="04D9F1BC">
            <w:pPr>
              <w:pStyle w:val="3"/>
              <w:snapToGrid w:val="0"/>
              <w:spacing w:line="360" w:lineRule="auto"/>
              <w:ind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根据浙里办应用-我的档案的采购需求，呈现浙里办我的档案的页面设计</w:t>
            </w:r>
            <w:r>
              <w:rPr>
                <w:rFonts w:hint="eastAsia" w:cs="宋体"/>
                <w:color w:val="auto"/>
                <w:sz w:val="24"/>
                <w:szCs w:val="24"/>
                <w:highlight w:val="none"/>
                <w:lang w:eastAsia="zh-CN" w:bidi="ar"/>
              </w:rPr>
              <w:t>。</w:t>
            </w:r>
          </w:p>
          <w:p w14:paraId="62320C06">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62320C07">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62320C08">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83" w:type="dxa"/>
            <w:vAlign w:val="center"/>
          </w:tcPr>
          <w:p w14:paraId="62320C0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85F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shd w:val="clear" w:color="auto" w:fill="auto"/>
            <w:vAlign w:val="center"/>
          </w:tcPr>
          <w:p w14:paraId="219DAB0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5881" w:type="dxa"/>
            <w:shd w:val="clear" w:color="auto" w:fill="auto"/>
          </w:tcPr>
          <w:p w14:paraId="2D68ECA6">
            <w:pPr>
              <w:snapToGrid w:val="0"/>
              <w:spacing w:after="120"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瑕疵件管理演示内容和要求：</w:t>
            </w:r>
          </w:p>
          <w:p w14:paraId="2D4B62E3">
            <w:pPr>
              <w:snapToGrid w:val="0"/>
              <w:spacing w:after="120"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（一）演示内容</w:t>
            </w:r>
          </w:p>
          <w:p w14:paraId="401D7C5A">
            <w:pPr>
              <w:snapToGrid w:val="0"/>
              <w:spacing w:after="120"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瑕疵件管理：</w:t>
            </w:r>
          </w:p>
          <w:p w14:paraId="46385306">
            <w:pPr>
              <w:snapToGrid w:val="0"/>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瑕疵件查询</w:t>
            </w:r>
          </w:p>
          <w:p w14:paraId="67DD2BF3">
            <w:pPr>
              <w:pStyle w:val="2"/>
              <w:snapToGrid w:val="0"/>
              <w:spacing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根据瑕疵件管理-瑕疵件查询的采购需求，呈现瑕疵件管理的列表、检索条件及详情的页面设计；</w:t>
            </w:r>
          </w:p>
          <w:p w14:paraId="57625D7C">
            <w:pPr>
              <w:snapToGrid w:val="0"/>
              <w:spacing w:after="120"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瑕疵件统计</w:t>
            </w:r>
          </w:p>
          <w:p w14:paraId="6C7E254E">
            <w:pPr>
              <w:pStyle w:val="2"/>
              <w:snapToGrid w:val="0"/>
              <w:spacing w:after="120" w:line="360" w:lineRule="auto"/>
              <w:ind w:left="0" w:leftChars="0" w:firstLine="0" w:firstLineChars="0"/>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根据瑕疵件管理-瑕疵件统计的采购需求，呈现全省各级行政区域下各事项的办件数及瑕疵率统计的页面设计</w:t>
            </w:r>
            <w:r>
              <w:rPr>
                <w:rFonts w:hint="eastAsia" w:cs="宋体"/>
                <w:color w:val="auto"/>
                <w:sz w:val="24"/>
                <w:szCs w:val="24"/>
                <w:highlight w:val="none"/>
                <w:lang w:eastAsia="zh-CN" w:bidi="ar"/>
              </w:rPr>
              <w:t>。</w:t>
            </w:r>
          </w:p>
          <w:p w14:paraId="73A936C1">
            <w:pPr>
              <w:snapToGrid w:val="0"/>
              <w:spacing w:after="120"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（二）评分要求</w:t>
            </w:r>
          </w:p>
          <w:p w14:paraId="38B82F26">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bidi="ar"/>
              </w:rPr>
              <w:t>演示内容完全满足采购需求的得3分；功能、演示内容与采购需求有偏差的得1分；无演示或演示全部不满足采购需求的不得分。</w:t>
            </w:r>
          </w:p>
        </w:tc>
        <w:tc>
          <w:tcPr>
            <w:tcW w:w="873" w:type="dxa"/>
            <w:shd w:val="clear" w:color="auto" w:fill="auto"/>
            <w:vAlign w:val="center"/>
          </w:tcPr>
          <w:p w14:paraId="0CF59056">
            <w:pPr>
              <w:widowControl/>
              <w:spacing w:line="360" w:lineRule="auto"/>
              <w:jc w:val="center"/>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w:t>
            </w:r>
          </w:p>
        </w:tc>
        <w:tc>
          <w:tcPr>
            <w:tcW w:w="983" w:type="dxa"/>
            <w:shd w:val="clear" w:color="auto" w:fill="auto"/>
            <w:vAlign w:val="center"/>
          </w:tcPr>
          <w:p w14:paraId="43AEEA51">
            <w:pPr>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客观分</w:t>
            </w:r>
          </w:p>
        </w:tc>
      </w:tr>
      <w:tr w14:paraId="6232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shd w:val="clear" w:color="auto" w:fill="auto"/>
            <w:vAlign w:val="center"/>
          </w:tcPr>
          <w:p w14:paraId="62320C0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881" w:type="dxa"/>
            <w:shd w:val="clear" w:color="auto" w:fill="auto"/>
          </w:tcPr>
          <w:p w14:paraId="62320C0C">
            <w:pPr>
              <w:widowControl/>
              <w:spacing w:line="360" w:lineRule="auto"/>
              <w:textAlignment w:val="top"/>
              <w:rPr>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投标人根据采购需求，需提供针对本项目的保密方案(包括保密制度、针对流程的保密措施、针对人员的保密措施、针对工作内容的保密措施等)，评标委员会根据响应方案与项目实际要求匹配情况进行评分。（2,1,0）</w:t>
            </w:r>
          </w:p>
        </w:tc>
        <w:tc>
          <w:tcPr>
            <w:tcW w:w="873" w:type="dxa"/>
            <w:shd w:val="clear" w:color="auto" w:fill="auto"/>
            <w:vAlign w:val="center"/>
          </w:tcPr>
          <w:p w14:paraId="62320C0D">
            <w:pPr>
              <w:widowControl/>
              <w:spacing w:line="360" w:lineRule="auto"/>
              <w:jc w:val="center"/>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83" w:type="dxa"/>
            <w:shd w:val="clear" w:color="auto" w:fill="auto"/>
            <w:vAlign w:val="center"/>
          </w:tcPr>
          <w:p w14:paraId="62320C0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主观分</w:t>
            </w:r>
          </w:p>
        </w:tc>
      </w:tr>
      <w:tr w14:paraId="6232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36" w:type="dxa"/>
            <w:vAlign w:val="center"/>
          </w:tcPr>
          <w:p w14:paraId="62320C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881" w:type="dxa"/>
          </w:tcPr>
          <w:p w14:paraId="62320C11">
            <w:pPr>
              <w:widowControl/>
              <w:shd w:val="clear" w:color="auto" w:fill="FFFFFF"/>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62320C12">
            <w:pPr>
              <w:widowControl/>
              <w:shd w:val="clear" w:color="auto" w:fill="FFFFFF"/>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2320C13">
            <w:pPr>
              <w:widowControl/>
              <w:shd w:val="clear" w:color="auto" w:fill="FFFFFF"/>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73" w:type="dxa"/>
            <w:vAlign w:val="center"/>
          </w:tcPr>
          <w:p w14:paraId="62320C1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83" w:type="dxa"/>
            <w:vAlign w:val="center"/>
          </w:tcPr>
          <w:p w14:paraId="62320C15">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统一评分</w:t>
            </w:r>
          </w:p>
        </w:tc>
      </w:tr>
    </w:tbl>
    <w:p w14:paraId="62320C1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2320C1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2320C1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2320C1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2320C1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20C1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2320C1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320C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320C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2320C2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2320C21">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2320C22">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2320C23">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2320C24">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2320C25">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2320C26">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2320C2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2320C2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2320C29">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320C2A">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320C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320C2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320C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20C2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320C2F">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320C30">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2320C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320C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320C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2320C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2320C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2320C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320C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2320C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4.2.8《中小企业声明函》填写企业类型错误或者未填写企业类型的，投标无效。</w:t>
      </w:r>
    </w:p>
    <w:p w14:paraId="62320C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4.2.9报价明显低于其他通过符合性审查投标人的报价，有可能影响产品质量或者不能诚信履约的，未能按要求提供书面说明或者提交相关证明材料，不能证明其报价合理性的；</w:t>
      </w:r>
    </w:p>
    <w:p w14:paraId="62320C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4.2.10投标人对根据修正原则修正后的报价不确认的；</w:t>
      </w:r>
    </w:p>
    <w:p w14:paraId="62320C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4.2.11投标人提供虚假材料投标的（包括商务、技术响应情况与实际不符的）；</w:t>
      </w:r>
    </w:p>
    <w:p w14:paraId="62320C3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4.2.12投标人有恶意串通、妨碍其他投标人的竞争行为、损害采购人或者其他投标人的合法权益情形的；</w:t>
      </w:r>
    </w:p>
    <w:p w14:paraId="62320C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参与同一个采购包（标段）的投标人存在下列情形之一的，其投标（响应）文件无效：（1）不同投标人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投标人的投标（响应）文件的内容存在两处以上细节错误一致，且无法合理解释的；（4）不同投标人联系人为同一人或不同联系人的联系电话一致，且无法合理解释的。</w:t>
      </w:r>
    </w:p>
    <w:p w14:paraId="62320C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4.2.14投标人仅提交备份投标文件，未在电子交易平台传输递交投标文件的，投标无效；</w:t>
      </w:r>
    </w:p>
    <w:p w14:paraId="62320C3F">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4.2.15投标文件不满足招标文件的其它实质性要求的；</w:t>
      </w:r>
    </w:p>
    <w:p w14:paraId="62320C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4.2.16法律、法规、规章（适用本区划的）及省级以上规范性文件（适用本区划的）规定的其他无效情形。</w:t>
      </w:r>
    </w:p>
    <w:p w14:paraId="62320C41">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2320C42">
      <w:pPr>
        <w:pStyle w:val="3"/>
        <w:snapToGrid w:val="0"/>
        <w:spacing w:line="360" w:lineRule="auto"/>
        <w:rPr>
          <w:rFonts w:cs="宋体"/>
          <w:color w:val="auto"/>
          <w:highlight w:val="none"/>
        </w:rPr>
      </w:pPr>
      <w:r>
        <w:rPr>
          <w:rFonts w:hint="eastAsia" w:cs="宋体"/>
          <w:color w:val="auto"/>
          <w:highlight w:val="none"/>
        </w:rPr>
        <w:t>5.1符合专业条件的投标人或者对招标文件作实质响应的投标人不足3家的；</w:t>
      </w:r>
    </w:p>
    <w:p w14:paraId="62320C43">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62320C44">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2320C45">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62320C46">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2320C47">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320C48">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320C49">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2320C4A">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2320C4B">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2320C4C">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2320C4D">
      <w:pPr>
        <w:pStyle w:val="3"/>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401" w:name="第五部分"/>
      <w:bookmarkStart w:id="402" w:name="_Toc86217003"/>
    </w:p>
    <w:p w14:paraId="62320C4E">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2320C4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2320C50">
      <w:pPr>
        <w:autoSpaceDE w:val="0"/>
        <w:autoSpaceDN w:val="0"/>
        <w:spacing w:line="360" w:lineRule="auto"/>
        <w:jc w:val="center"/>
        <w:rPr>
          <w:rFonts w:ascii="宋体" w:hAnsi="宋体" w:cs="宋体"/>
          <w:b/>
          <w:color w:val="auto"/>
          <w:szCs w:val="21"/>
          <w:highlight w:val="none"/>
        </w:rPr>
      </w:pPr>
    </w:p>
    <w:p w14:paraId="62320C51">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（备注：以下仅提供合同主要条款，合同格式和具体条款在买卖双方签订合同时根据实际需求确定，正式合同文本以双方签字盖章的为准。）</w:t>
      </w:r>
    </w:p>
    <w:p w14:paraId="62320C52">
      <w:pPr>
        <w:spacing w:line="360" w:lineRule="auto"/>
        <w:ind w:right="-185" w:rightChars="-88"/>
        <w:rPr>
          <w:rFonts w:ascii="宋体" w:hAnsi="宋体" w:cs="宋体"/>
          <w:color w:val="auto"/>
          <w:szCs w:val="21"/>
          <w:highlight w:val="none"/>
        </w:rPr>
      </w:pPr>
      <w:bookmarkStart w:id="403" w:name="_Toc177870558"/>
      <w:bookmarkStart w:id="404" w:name="_Hlk534720381"/>
      <w:r>
        <w:rPr>
          <w:rFonts w:hint="eastAsia" w:ascii="宋体" w:hAnsi="宋体" w:cs="宋体"/>
          <w:color w:val="auto"/>
          <w:szCs w:val="21"/>
          <w:highlight w:val="none"/>
        </w:rPr>
        <w:t xml:space="preserve">    </w:t>
      </w:r>
    </w:p>
    <w:bookmarkEnd w:id="403"/>
    <w:bookmarkEnd w:id="404"/>
    <w:p w14:paraId="62320C53">
      <w:pPr>
        <w:spacing w:line="360" w:lineRule="auto"/>
        <w:ind w:right="-185" w:rightChars="-88"/>
        <w:rPr>
          <w:rFonts w:ascii="宋体" w:hAnsi="宋体" w:cs="宋体"/>
          <w:color w:val="auto"/>
          <w:szCs w:val="21"/>
          <w:highlight w:val="none"/>
        </w:rPr>
      </w:pPr>
      <w:r>
        <w:rPr>
          <w:rFonts w:hint="eastAsia" w:ascii="宋体" w:hAnsi="宋体" w:cs="宋体"/>
          <w:color w:val="auto"/>
          <w:szCs w:val="21"/>
          <w:highlight w:val="none"/>
        </w:rPr>
        <w:t xml:space="preserve">    </w:t>
      </w:r>
    </w:p>
    <w:p w14:paraId="62320C54">
      <w:pPr>
        <w:pStyle w:val="35"/>
        <w:spacing w:line="600" w:lineRule="exact"/>
        <w:jc w:val="center"/>
        <w:rPr>
          <w:rFonts w:hAnsi="宋体" w:cs="宋体"/>
          <w:color w:val="auto"/>
          <w:kern w:val="0"/>
          <w:sz w:val="36"/>
          <w:szCs w:val="36"/>
          <w:highlight w:val="none"/>
        </w:rPr>
      </w:pPr>
      <w:r>
        <w:rPr>
          <w:rFonts w:hint="eastAsia" w:hAnsi="宋体" w:cs="宋体"/>
          <w:color w:val="auto"/>
          <w:sz w:val="36"/>
          <w:szCs w:val="36"/>
          <w:highlight w:val="none"/>
        </w:rPr>
        <w:t>浙江省政府采购合同</w:t>
      </w:r>
    </w:p>
    <w:p w14:paraId="62320C55">
      <w:pPr>
        <w:pStyle w:val="35"/>
        <w:snapToGrid w:val="0"/>
        <w:spacing w:before="156" w:line="600" w:lineRule="exact"/>
        <w:jc w:val="center"/>
        <w:rPr>
          <w:rFonts w:hAnsi="宋体" w:cs="宋体"/>
          <w:color w:val="auto"/>
          <w:sz w:val="24"/>
          <w:szCs w:val="24"/>
          <w:highlight w:val="none"/>
        </w:rPr>
      </w:pPr>
      <w:r>
        <w:rPr>
          <w:rFonts w:hint="eastAsia" w:hAnsi="宋体" w:cs="宋体"/>
          <w:color w:val="auto"/>
          <w:sz w:val="24"/>
          <w:szCs w:val="24"/>
          <w:highlight w:val="none"/>
        </w:rPr>
        <w:t xml:space="preserve">                 合同编号：</w:t>
      </w:r>
    </w:p>
    <w:p w14:paraId="62320C56">
      <w:pPr>
        <w:pStyle w:val="35"/>
        <w:snapToGrid w:val="0"/>
        <w:spacing w:before="156" w:line="600" w:lineRule="exact"/>
        <w:jc w:val="center"/>
        <w:rPr>
          <w:rFonts w:hAnsi="宋体" w:cs="宋体"/>
          <w:color w:val="auto"/>
          <w:sz w:val="24"/>
          <w:szCs w:val="24"/>
          <w:highlight w:val="none"/>
        </w:rPr>
      </w:pPr>
      <w:r>
        <w:rPr>
          <w:rFonts w:hint="eastAsia" w:hAnsi="宋体" w:cs="宋体"/>
          <w:color w:val="auto"/>
          <w:sz w:val="24"/>
          <w:szCs w:val="24"/>
          <w:highlight w:val="none"/>
        </w:rPr>
        <w:t xml:space="preserve">                 确认书号：</w:t>
      </w:r>
    </w:p>
    <w:p w14:paraId="62320C57">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甲方</w:t>
      </w:r>
      <w:r>
        <w:rPr>
          <w:rFonts w:hint="eastAsia" w:ascii="宋体" w:hAnsi="宋体" w:cs="宋体"/>
          <w:color w:val="auto"/>
          <w:sz w:val="24"/>
          <w:highlight w:val="none"/>
        </w:rPr>
        <w:t>（采购人）：浙江省司法厅</w:t>
      </w:r>
    </w:p>
    <w:p w14:paraId="62320C5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乙方</w:t>
      </w:r>
      <w:r>
        <w:rPr>
          <w:rFonts w:hint="eastAsia" w:ascii="宋体" w:hAnsi="宋体" w:cs="宋体"/>
          <w:color w:val="auto"/>
          <w:sz w:val="24"/>
          <w:highlight w:val="none"/>
        </w:rPr>
        <w:t>（供应商）：</w:t>
      </w:r>
    </w:p>
    <w:p w14:paraId="62320C59">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甲、乙双方根据浙江国际招投标有限公司关于项目编号为××的（标项一：××项目）项目公开招标的结果，签署本合同。</w:t>
      </w:r>
    </w:p>
    <w:p w14:paraId="62320C5A">
      <w:pPr>
        <w:pStyle w:val="970"/>
        <w:spacing w:before="0" w:beforeLines="0" w:after="0" w:afterLines="0"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合同文件</w:t>
      </w:r>
    </w:p>
    <w:p w14:paraId="62320C5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合同文件的组成，包括：</w:t>
      </w:r>
    </w:p>
    <w:p w14:paraId="62320C5C">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（1）本合同协议书和合同全部条款；</w:t>
      </w:r>
    </w:p>
    <w:p w14:paraId="62320C5D">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（2）招标文件；</w:t>
      </w:r>
    </w:p>
    <w:p w14:paraId="62320C5E">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（3）投标文件；</w:t>
      </w:r>
    </w:p>
    <w:p w14:paraId="62320C5F">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（4）评标过程中形成的文字资料/询标纪要；</w:t>
      </w:r>
    </w:p>
    <w:p w14:paraId="62320C60">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（5）中标通知书；</w:t>
      </w:r>
    </w:p>
    <w:p w14:paraId="62320C61">
      <w:pPr>
        <w:pStyle w:val="969"/>
        <w:spacing w:before="0" w:beforeLines="0" w:after="0" w:afterLines="0" w:line="360" w:lineRule="auto"/>
        <w:ind w:firstLine="480"/>
        <w:rPr>
          <w:rFonts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（6）其他合同文件；</w:t>
      </w:r>
    </w:p>
    <w:p w14:paraId="62320C6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62320C63">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62320C64">
      <w:pPr>
        <w:pStyle w:val="970"/>
        <w:spacing w:before="0" w:beforeLines="0" w:after="0" w:afterLines="0"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项目内容及合同价格</w:t>
      </w:r>
    </w:p>
    <w:p w14:paraId="62320C65">
      <w:pPr>
        <w:pStyle w:val="35"/>
        <w:snapToGrid w:val="0"/>
        <w:spacing w:line="360" w:lineRule="auto"/>
        <w:jc w:val="right"/>
        <w:rPr>
          <w:rFonts w:hAnsi="宋体" w:cs="宋体"/>
          <w:color w:val="auto"/>
          <w:sz w:val="24"/>
          <w:szCs w:val="24"/>
          <w:highlight w:val="none"/>
        </w:rPr>
      </w:pPr>
      <w:r>
        <w:rPr>
          <w:rFonts w:hint="eastAsia" w:hAnsi="宋体" w:cs="宋体"/>
          <w:color w:val="auto"/>
          <w:sz w:val="24"/>
          <w:szCs w:val="24"/>
          <w:highlight w:val="none"/>
        </w:rPr>
        <w:t>金额单位：元（人民币）</w:t>
      </w:r>
    </w:p>
    <w:tbl>
      <w:tblPr>
        <w:tblStyle w:val="63"/>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126"/>
        <w:gridCol w:w="850"/>
        <w:gridCol w:w="1733"/>
        <w:gridCol w:w="1734"/>
      </w:tblGrid>
      <w:tr w14:paraId="623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14:paraId="62320C66">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项目名称</w:t>
            </w:r>
          </w:p>
        </w:tc>
        <w:tc>
          <w:tcPr>
            <w:tcW w:w="2126" w:type="dxa"/>
            <w:tcBorders>
              <w:top w:val="single" w:color="auto" w:sz="4" w:space="0"/>
              <w:left w:val="single" w:color="auto" w:sz="4" w:space="0"/>
              <w:bottom w:val="single" w:color="auto" w:sz="4" w:space="0"/>
              <w:right w:val="single" w:color="auto" w:sz="4" w:space="0"/>
            </w:tcBorders>
            <w:vAlign w:val="center"/>
          </w:tcPr>
          <w:p w14:paraId="62320C67">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技术需求</w:t>
            </w:r>
          </w:p>
        </w:tc>
        <w:tc>
          <w:tcPr>
            <w:tcW w:w="850" w:type="dxa"/>
            <w:tcBorders>
              <w:top w:val="single" w:color="auto" w:sz="4" w:space="0"/>
              <w:left w:val="single" w:color="auto" w:sz="4" w:space="0"/>
              <w:bottom w:val="single" w:color="auto" w:sz="4" w:space="0"/>
              <w:right w:val="single" w:color="auto" w:sz="4" w:space="0"/>
            </w:tcBorders>
            <w:vAlign w:val="center"/>
          </w:tcPr>
          <w:p w14:paraId="62320C68">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数量</w:t>
            </w:r>
          </w:p>
        </w:tc>
        <w:tc>
          <w:tcPr>
            <w:tcW w:w="1733" w:type="dxa"/>
            <w:tcBorders>
              <w:top w:val="single" w:color="auto" w:sz="4" w:space="0"/>
              <w:left w:val="single" w:color="auto" w:sz="4" w:space="0"/>
              <w:bottom w:val="single" w:color="auto" w:sz="4" w:space="0"/>
              <w:right w:val="single" w:color="auto" w:sz="4" w:space="0"/>
            </w:tcBorders>
            <w:vAlign w:val="center"/>
          </w:tcPr>
          <w:p w14:paraId="62320C69">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单价</w:t>
            </w:r>
          </w:p>
        </w:tc>
        <w:tc>
          <w:tcPr>
            <w:tcW w:w="1734" w:type="dxa"/>
            <w:tcBorders>
              <w:top w:val="single" w:color="auto" w:sz="4" w:space="0"/>
              <w:left w:val="single" w:color="auto" w:sz="4" w:space="0"/>
              <w:bottom w:val="single" w:color="auto" w:sz="4" w:space="0"/>
              <w:right w:val="single" w:color="auto" w:sz="4" w:space="0"/>
            </w:tcBorders>
            <w:vAlign w:val="center"/>
          </w:tcPr>
          <w:p w14:paraId="62320C6A">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总价</w:t>
            </w:r>
          </w:p>
        </w:tc>
      </w:tr>
      <w:tr w14:paraId="623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14:paraId="62320C6C">
            <w:pPr>
              <w:pStyle w:val="35"/>
              <w:snapToGrid w:val="0"/>
              <w:spacing w:line="360" w:lineRule="auto"/>
              <w:jc w:val="center"/>
              <w:rPr>
                <w:rFonts w:hAnsi="宋体" w:cs="宋体"/>
                <w:color w:val="auto"/>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62320C6D">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详见项目对应采购文件</w:t>
            </w:r>
          </w:p>
        </w:tc>
        <w:tc>
          <w:tcPr>
            <w:tcW w:w="850" w:type="dxa"/>
            <w:tcBorders>
              <w:top w:val="single" w:color="auto" w:sz="4" w:space="0"/>
              <w:left w:val="single" w:color="auto" w:sz="4" w:space="0"/>
              <w:bottom w:val="single" w:color="auto" w:sz="4" w:space="0"/>
              <w:right w:val="single" w:color="auto" w:sz="4" w:space="0"/>
            </w:tcBorders>
            <w:vAlign w:val="center"/>
          </w:tcPr>
          <w:p w14:paraId="62320C6E">
            <w:pPr>
              <w:pStyle w:val="35"/>
              <w:snapToGrid w:val="0"/>
              <w:spacing w:line="360" w:lineRule="auto"/>
              <w:jc w:val="center"/>
              <w:rPr>
                <w:rFonts w:hAnsi="宋体" w:cs="宋体"/>
                <w:color w:val="auto"/>
                <w:sz w:val="24"/>
                <w:szCs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62320C6F">
            <w:pPr>
              <w:pStyle w:val="35"/>
              <w:snapToGrid w:val="0"/>
              <w:spacing w:line="360" w:lineRule="auto"/>
              <w:jc w:val="center"/>
              <w:rPr>
                <w:rFonts w:hAnsi="宋体" w:cs="宋体"/>
                <w:color w:val="auto"/>
                <w:sz w:val="24"/>
                <w:szCs w:val="24"/>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2320C70">
            <w:pPr>
              <w:pStyle w:val="35"/>
              <w:snapToGrid w:val="0"/>
              <w:spacing w:line="360" w:lineRule="auto"/>
              <w:jc w:val="center"/>
              <w:rPr>
                <w:rFonts w:hAnsi="宋体" w:cs="宋体"/>
                <w:color w:val="auto"/>
                <w:sz w:val="24"/>
                <w:szCs w:val="24"/>
                <w:highlight w:val="none"/>
              </w:rPr>
            </w:pPr>
          </w:p>
        </w:tc>
      </w:tr>
      <w:tr w14:paraId="623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5" w:type="dxa"/>
            <w:gridSpan w:val="2"/>
            <w:tcBorders>
              <w:top w:val="single" w:color="auto" w:sz="4" w:space="0"/>
              <w:left w:val="single" w:color="auto" w:sz="4" w:space="0"/>
              <w:bottom w:val="single" w:color="auto" w:sz="4" w:space="0"/>
              <w:right w:val="single" w:color="auto" w:sz="4" w:space="0"/>
            </w:tcBorders>
            <w:vAlign w:val="center"/>
          </w:tcPr>
          <w:p w14:paraId="62320C72">
            <w:pPr>
              <w:pStyle w:val="35"/>
              <w:snapToGrid w:val="0"/>
              <w:spacing w:line="360" w:lineRule="auto"/>
              <w:jc w:val="center"/>
              <w:rPr>
                <w:rFonts w:hAnsi="宋体" w:cs="宋体"/>
                <w:color w:val="auto"/>
                <w:sz w:val="24"/>
                <w:szCs w:val="24"/>
                <w:highlight w:val="none"/>
              </w:rPr>
            </w:pPr>
            <w:r>
              <w:rPr>
                <w:rFonts w:hint="eastAsia" w:hAnsi="宋体" w:cs="宋体"/>
                <w:color w:val="auto"/>
                <w:sz w:val="24"/>
                <w:szCs w:val="24"/>
                <w:highlight w:val="none"/>
              </w:rPr>
              <w:t>合            计</w:t>
            </w:r>
          </w:p>
        </w:tc>
        <w:tc>
          <w:tcPr>
            <w:tcW w:w="4317" w:type="dxa"/>
            <w:gridSpan w:val="3"/>
            <w:tcBorders>
              <w:top w:val="single" w:color="auto" w:sz="4" w:space="0"/>
              <w:left w:val="single" w:color="auto" w:sz="4" w:space="0"/>
              <w:bottom w:val="single" w:color="auto" w:sz="4" w:space="0"/>
              <w:right w:val="single" w:color="auto" w:sz="4" w:space="0"/>
            </w:tcBorders>
            <w:vAlign w:val="center"/>
          </w:tcPr>
          <w:p w14:paraId="62320C73">
            <w:pPr>
              <w:pStyle w:val="35"/>
              <w:snapToGrid w:val="0"/>
              <w:spacing w:line="360" w:lineRule="auto"/>
              <w:jc w:val="center"/>
              <w:rPr>
                <w:rFonts w:hAnsi="宋体" w:cs="宋体"/>
                <w:color w:val="auto"/>
                <w:sz w:val="24"/>
                <w:szCs w:val="24"/>
                <w:highlight w:val="none"/>
              </w:rPr>
            </w:pPr>
          </w:p>
        </w:tc>
      </w:tr>
      <w:tr w14:paraId="623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5"/>
            <w:tcBorders>
              <w:top w:val="single" w:color="auto" w:sz="4" w:space="0"/>
              <w:left w:val="single" w:color="auto" w:sz="4" w:space="0"/>
              <w:bottom w:val="single" w:color="auto" w:sz="4" w:space="0"/>
              <w:right w:val="single" w:color="auto" w:sz="4" w:space="0"/>
            </w:tcBorders>
            <w:vAlign w:val="center"/>
          </w:tcPr>
          <w:p w14:paraId="62320C75">
            <w:pPr>
              <w:pStyle w:val="35"/>
              <w:snapToGrid w:val="0"/>
              <w:spacing w:line="360" w:lineRule="auto"/>
              <w:jc w:val="left"/>
              <w:rPr>
                <w:rFonts w:hAnsi="宋体" w:cs="宋体"/>
                <w:color w:val="auto"/>
                <w:sz w:val="24"/>
                <w:szCs w:val="24"/>
                <w:highlight w:val="none"/>
              </w:rPr>
            </w:pPr>
            <w:r>
              <w:rPr>
                <w:rFonts w:hint="eastAsia" w:hAnsi="宋体" w:cs="宋体"/>
                <w:color w:val="auto"/>
                <w:sz w:val="24"/>
                <w:szCs w:val="24"/>
                <w:highlight w:val="none"/>
              </w:rPr>
              <w:t xml:space="preserve">合同总价大写：                        小写：￥      </w:t>
            </w:r>
          </w:p>
        </w:tc>
      </w:tr>
    </w:tbl>
    <w:p w14:paraId="62320C7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注：1.项目具体技术需求详见招标文件、投标文件以及询标记录。</w:t>
      </w:r>
    </w:p>
    <w:p w14:paraId="62320C78">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2.以上合同总价包含项目达到预期使用效果甲方所应承担的一切费用。</w:t>
      </w:r>
    </w:p>
    <w:p w14:paraId="62320C79">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技术资料</w:t>
      </w:r>
    </w:p>
    <w:p w14:paraId="62320C7A">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1.乙方应按采购文件规定的时间向甲方提供使用项目的有关技术资料。具体如下：</w:t>
      </w:r>
    </w:p>
    <w:p w14:paraId="62320C7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（1）合同签订后两周内提供需求规格说明书以及项目建设实施方案；</w:t>
      </w:r>
    </w:p>
    <w:p w14:paraId="62320C7C">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（2）项目投入正式运行以前，提供项目半月报，定期进行汇报；</w:t>
      </w:r>
    </w:p>
    <w:p w14:paraId="62320C7D">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（3）用户培训时提供培训相关资料；</w:t>
      </w:r>
    </w:p>
    <w:p w14:paraId="62320C7E">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（4）项目验收时提供系统管理维护文档、系统使用操作文档以及系统源代码等，纸质和电子各一份；</w:t>
      </w:r>
    </w:p>
    <w:p w14:paraId="62320C7F">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（5）其他甲方需要的文档。</w:t>
      </w:r>
    </w:p>
    <w:p w14:paraId="62320C80">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320C81">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p w14:paraId="62320C8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1.本项目所产生成果（包括计算机软件、技术诀窍、秘密信息、技术资料和文件等）的知识产权甲方独享，共性技术双方共享。</w:t>
      </w:r>
    </w:p>
    <w:p w14:paraId="62320C83">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2.乙方保证甲方不受到第三方关于侵犯知识产权（包括版权和专利权、商标权等）的指控，任何第三方如果提出指控，乙方与第三方交涉，承担可能发生的一切法律责任、费用和后果。</w:t>
      </w:r>
    </w:p>
    <w:p w14:paraId="62320C84">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产权瑕疵担保</w:t>
      </w:r>
    </w:p>
    <w:p w14:paraId="62320C85">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乙方保证所交付的货物的所有权完全属于乙方且无任何抵押、查封等产权瑕疵。</w:t>
      </w:r>
    </w:p>
    <w:p w14:paraId="62320C86">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转包或分包</w:t>
      </w:r>
    </w:p>
    <w:p w14:paraId="62320C8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不允许转包。</w:t>
      </w:r>
    </w:p>
    <w:p w14:paraId="62320C88">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允许分包部分</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 xml:space="preserve"> 。</w:t>
      </w:r>
    </w:p>
    <w:p w14:paraId="62320C89">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如乙方将项目转包或将不允许分包部分进行了分包，甲方有权解除合同，没收履约保证金并追究乙方的违约责任。</w:t>
      </w:r>
    </w:p>
    <w:p w14:paraId="62320C8A">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62320C8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免费维护期（即为</w:t>
      </w: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年。（自项目验收合格交付使用之日起计）</w:t>
      </w:r>
    </w:p>
    <w:p w14:paraId="62320C8C">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元。[履约保证金在合同签订之日起5个工作日内交至采购人指定银行账户，在合同约定交货验收合格满（1）个月之日起5个工作日内无息退还]</w:t>
      </w:r>
    </w:p>
    <w:p w14:paraId="62320C8D">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若履约保证金逾期超过30日未交付的，甲方有权解除合同并要求乙方承担合同总价的5%的违约责任，不足以弥补甲方损失的，乙方应按照甲方实际损失承担赔偿责任。</w:t>
      </w:r>
    </w:p>
    <w:p w14:paraId="62320C8E">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履约期间，需服从监理单位的统一管理，如未能按本项目及其关联工作要求履职，监理单位有权做出书面意见。供应商自第二次（含）收到《监理通知单》起，按单次5000元予以处罚，在履约保证金退还时予以扣除。</w:t>
      </w:r>
    </w:p>
    <w:p w14:paraId="62320C8F">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项目工期及实施地点</w:t>
      </w:r>
    </w:p>
    <w:p w14:paraId="62320C90">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1.项目工期：</w:t>
      </w:r>
    </w:p>
    <w:p w14:paraId="62320C91">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月   日前，完成需求分析、方案设计、概要设计及详细设计等工作；</w:t>
      </w:r>
    </w:p>
    <w:p w14:paraId="62320C9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月   日前，完成程序编码、联调测试、用户培训等工作，经相关方确认后投入试运行；</w:t>
      </w:r>
    </w:p>
    <w:p w14:paraId="62320C93">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月   日前，完成项目试运行，并对程序功能进行调优，经相关方确认后组织验收。</w:t>
      </w:r>
    </w:p>
    <w:p w14:paraId="62320C94">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2.实施地点：甲方指定地点。</w:t>
      </w:r>
    </w:p>
    <w:p w14:paraId="62320C95">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货款支付</w:t>
      </w:r>
    </w:p>
    <w:p w14:paraId="62320C96">
      <w:pPr>
        <w:pStyle w:val="969"/>
        <w:spacing w:beforeLines="0"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第一期付款：合同签订后且具备项目实施条件（应用场景概要设计方案经招标方审查通过）后7个工作日内，支付合同金额40%的预付款项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第二期付款：系统初验通过后</w:t>
      </w:r>
      <w:r>
        <w:rPr>
          <w:rFonts w:hint="eastAsia" w:ascii="宋体" w:hAnsi="宋体" w:eastAsia="宋体" w:cs="宋体"/>
          <w:color w:val="auto"/>
          <w:sz w:val="24"/>
          <w:szCs w:val="24"/>
          <w:highlight w:val="none"/>
          <w:lang w:val="en-US"/>
        </w:rPr>
        <w:t>7个工作日内</w:t>
      </w:r>
      <w:r>
        <w:rPr>
          <w:rFonts w:hint="eastAsia" w:ascii="宋体" w:hAnsi="宋体" w:eastAsia="宋体" w:cs="宋体"/>
          <w:color w:val="auto"/>
          <w:sz w:val="24"/>
          <w:szCs w:val="24"/>
          <w:highlight w:val="none"/>
        </w:rPr>
        <w:t>，支付合同金额</w:t>
      </w:r>
      <w:r>
        <w:rPr>
          <w:rFonts w:hint="eastAsia" w:ascii="宋体" w:hAnsi="宋体" w:eastAsia="宋体" w:cs="宋体"/>
          <w:color w:val="auto"/>
          <w:sz w:val="24"/>
          <w:szCs w:val="24"/>
          <w:highlight w:val="none"/>
          <w:lang w:val="en-US"/>
        </w:rPr>
        <w:t>40</w:t>
      </w:r>
      <w:r>
        <w:rPr>
          <w:rFonts w:hint="eastAsia" w:ascii="宋体" w:hAnsi="宋体" w:eastAsia="宋体" w:cs="宋体"/>
          <w:color w:val="auto"/>
          <w:sz w:val="24"/>
          <w:szCs w:val="24"/>
          <w:highlight w:val="none"/>
        </w:rPr>
        <w:t>%的款项。第三期付款：系统终验通过后</w:t>
      </w:r>
      <w:r>
        <w:rPr>
          <w:rFonts w:hint="eastAsia" w:ascii="宋体" w:hAnsi="宋体" w:eastAsia="宋体" w:cs="宋体"/>
          <w:color w:val="auto"/>
          <w:sz w:val="24"/>
          <w:szCs w:val="24"/>
          <w:highlight w:val="none"/>
          <w:lang w:val="en-US"/>
        </w:rPr>
        <w:t>7个工作日内</w:t>
      </w:r>
      <w:r>
        <w:rPr>
          <w:rFonts w:hint="eastAsia" w:ascii="宋体" w:hAnsi="宋体" w:eastAsia="宋体" w:cs="宋体"/>
          <w:color w:val="auto"/>
          <w:sz w:val="24"/>
          <w:szCs w:val="24"/>
          <w:highlight w:val="none"/>
        </w:rPr>
        <w:t>，支付合同金额的</w:t>
      </w:r>
      <w:r>
        <w:rPr>
          <w:rFonts w:hint="eastAsia" w:ascii="宋体" w:hAnsi="宋体" w:eastAsia="宋体" w:cs="宋体"/>
          <w:color w:val="auto"/>
          <w:sz w:val="24"/>
          <w:szCs w:val="24"/>
          <w:highlight w:val="none"/>
          <w:lang w:val="en-US"/>
        </w:rPr>
        <w:t>20%款项。</w:t>
      </w:r>
      <w:r>
        <w:rPr>
          <w:rFonts w:hint="eastAsia" w:ascii="宋体" w:hAnsi="宋体" w:eastAsia="宋体" w:cs="宋体"/>
          <w:color w:val="auto"/>
          <w:sz w:val="24"/>
          <w:szCs w:val="24"/>
          <w:highlight w:val="none"/>
        </w:rPr>
        <w:t>并退还履约保证金。</w:t>
      </w:r>
    </w:p>
    <w:p w14:paraId="62320C9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支付环节，乙方需向甲方提供符合甲方财务要求的增值税发票，否则甲方可顺延付款，所造成的风险由乙方承担。如因财政资金的下达、拨付问题导致付款延迟的，不视为甲方违约，合同相对方不能据此追究甲方的违约责任。</w:t>
      </w:r>
    </w:p>
    <w:p w14:paraId="62320C98">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税费</w:t>
      </w:r>
    </w:p>
    <w:p w14:paraId="62320C99">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2320C9A">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质量保证及售后服务</w:t>
      </w:r>
    </w:p>
    <w:p w14:paraId="62320C9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1.详见采购文件</w:t>
      </w:r>
    </w:p>
    <w:p w14:paraId="62320C9C">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2.按照《信息安全技术网络安全等级保护基本要求》（GB/T 22239-2019）文件第三级安全要求，着重加强防病毒、网络态势感知、终端接入管理、身份认证密码、数据资源安全等网络安全体系建设，保障信息系统安全可靠运行。</w:t>
      </w:r>
    </w:p>
    <w:p w14:paraId="62320C9D">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遵循商用密码应用安全体系框架建设，所有应用系统应能满足商用密码应用安全评估要求。根据《浙江省公共数据条例》、《浙江省公共数据安全管理总则》、《浙江省电子政务外网安全评估指标体系》等文件精神，落实数据安全分级分类、脱敏、加密、安全评估要求。</w:t>
      </w:r>
    </w:p>
    <w:p w14:paraId="62320C9E">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4.根据采购人要求，所有建设应用系统应基于安全可靠的技术路线，支持在信创云上部署和运行，满足安全可靠要求。</w:t>
      </w:r>
    </w:p>
    <w:p w14:paraId="62320C9F">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当遵守甲方制定的安全政策和技术规范，确保其提供的服务符合网络安全和数据安全行业监管以及相关法律法规的要求。如未按照规范开发设计，在建设和运行中存在网络攻击、信息泄露、有害程序植入等较大风险隐患的，被国家机关、省级机关书面通报的，按单次5000元予以处罚。未按照厅应用系统网络安全通报要求及时整改的，按以下处罚：</w:t>
      </w:r>
    </w:p>
    <w:p w14:paraId="62320CA0">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i.</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高危漏洞</w:t>
      </w:r>
    </w:p>
    <w:p w14:paraId="62320CA1">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连续2次被通报的，每漏洞处罚2000元。因未整改被继续通报的，每次增加处罚500元。</w:t>
      </w:r>
    </w:p>
    <w:p w14:paraId="62320CA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ii.</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中危漏洞</w:t>
      </w:r>
    </w:p>
    <w:p w14:paraId="62320CA3">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连续3次被通报的，每漏洞处罚1000元。因未整改被继续通报的，每次增加处罚500元。</w:t>
      </w:r>
    </w:p>
    <w:p w14:paraId="62320CA4">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该项处罚费用优先从履约保证金中扣除，履约保证金不足时从合同款中扣除，合同款也不足时由乙方补交处罚费用。若乙方未能在合理期限内解决问题，甲方有权暂停或终止合同服务，并要求乙方承担因此产生的所有损失和费用。</w:t>
      </w:r>
    </w:p>
    <w:p w14:paraId="62320CA5">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调试和验收</w:t>
      </w:r>
    </w:p>
    <w:p w14:paraId="62320CA6">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前，乙方需提交验收申请，并提交相关验收文档和资料，经审核通过后，提供纸质和电子各一份，盖章文档须扫描成电子版。验收文档和资料包括：开工报告、实施方案、需求说明书、概要设计、详细设计、数据库设计、测试报告、运行报告、培训报告、技术手册（软件源代码、用户操作手册、运维手册）等。</w:t>
      </w:r>
    </w:p>
    <w:p w14:paraId="62320CA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2.系统试运行期间，乙方需委托第三方机构开展软件验收测评（功能、性能），以采购文件为测评依据，经测评合格且取得书面检测报告后方可申请验收。</w:t>
      </w:r>
    </w:p>
    <w:p w14:paraId="62320CA8">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货物包装</w:t>
      </w:r>
    </w:p>
    <w:p w14:paraId="62320CA9">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62320CAA">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w:t>
      </w:r>
    </w:p>
    <w:p w14:paraId="62320CA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1.甲方无正当理由拒收验收项目的，甲方向乙方偿付拒收合同总价的百分之五违约金。</w:t>
      </w:r>
    </w:p>
    <w:p w14:paraId="62320CAC">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2.甲方无故逾期验收或逾期支付合同款项的，甲方应按逾期付款总额每日万分之五向乙方支付违约金。</w:t>
      </w:r>
    </w:p>
    <w:p w14:paraId="62320CAD">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3.乙方逾期交付项目的，乙方应按逾期交付项目总额每日千分之六向甲方支付违约金。逾期超过约定日期10个工作日不能交付的，甲方可单方面解除本合同。</w:t>
      </w:r>
    </w:p>
    <w:p w14:paraId="62320CAE">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2320CAF">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5.因乙方逾期交付或其他违约行为导致甲方解除合同的，乙方应向甲方支付合同总值5%的违约金，如造成甲方损失超过违约金的，超出部分由乙方继续承担赔偿责任。</w:t>
      </w:r>
    </w:p>
    <w:p w14:paraId="62320CB0">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6.就乙方因未能履行合同约定义务而应承担的违约金或应赔偿的损失，甲方有权从履约保证金中扣除。履约保证金不足以弥补甲方损失的，乙方按照实际损失承担赔偿责任。</w:t>
      </w:r>
    </w:p>
    <w:p w14:paraId="62320CB1">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7.守约方为实现合同权利支出的律师费、诉讼费、仲裁费、保全费等费用，由违约方承担。</w:t>
      </w:r>
    </w:p>
    <w:p w14:paraId="62320CB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8.安全责任</w:t>
      </w:r>
    </w:p>
    <w:p w14:paraId="62320CB3">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1)乙方应按照《中华人民共和国数据安全法》《中华人民共和国个人信息保护法》《中华人民共和国网络安全法》的要求，履行网络、数据安全保护和个人信息保护的义务。</w:t>
      </w:r>
    </w:p>
    <w:p w14:paraId="62320CB4">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2)项目涉及乙方工作人员均需签订《保密承诺书》，且乙方应对项目涉及工作人员进行背景审查。</w:t>
      </w:r>
    </w:p>
    <w:p w14:paraId="62320CB5">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3)乙方应当采取技术措施和其他必要措施，确保其网络和数据安全，防止信息泄露、毁损、丢失。在发生或者可能发生信息泄露、毁损、丢失的情况时，应当立即采取补救措施，并在第一时间告知甲方。</w:t>
      </w:r>
    </w:p>
    <w:p w14:paraId="62320CB6">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4)乙方应合理使用操作账号，严禁乙方存在多名工作人员共用操作账号的情形，同时操作账号应采用高强度的密码、并定期更新账号密码。</w:t>
      </w:r>
    </w:p>
    <w:p w14:paraId="62320CB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5)未经甲方允许，乙方不得对项目资源私开端口，不得利用项目资源进行与该项目无关的工作，不得将政务网和互联网私自打通。</w:t>
      </w:r>
    </w:p>
    <w:p w14:paraId="62320CB8">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6)乙方应严格按照要求使用、处理、交换、共享数据资源。做好数据落地相应的数据保护工作，严格执行数据安全技术标准和安全管理措施，避免相关数据出现泄露、窃取、篡改的风险。</w:t>
      </w:r>
    </w:p>
    <w:p w14:paraId="62320CB9">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7)乙方应认真组织开展各项数据处理活动，查找项目数据安全隐患和漏洞，对薄弱环节和潜在威胁采取有力措施进行整改，避免和消除数据安全风险，履行数据安全保护义务。</w:t>
      </w:r>
    </w:p>
    <w:p w14:paraId="62320CBA">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采购人报告。</w:t>
      </w:r>
    </w:p>
    <w:p w14:paraId="62320CBB">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任一条款，乙方应按合同总额的5%/次承担违约责任，若甲方实际损失超过违约金数额，超出部分由乙方另行承担。若乙方累计3次违反的，甲方有权解除合同，要求乙方退还已收取的全部合同款并按合同总额的20%承担违约金。若甲方要求乙方继续履行合同，不免除乙方承担违约金的义务。</w:t>
      </w:r>
    </w:p>
    <w:p w14:paraId="62320CBC">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以上条款违反《中华人民共和国数据安全法》《中华人民共和国个人信息保护法》《中华人民共和国网络安全法》任一法律规定，构成违反治安管理行为的，依法给予治安管理处罚；构成犯罪的，依法追究刑事责任。</w:t>
      </w:r>
    </w:p>
    <w:p w14:paraId="62320CBD">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不可抗力事件处理</w:t>
      </w:r>
    </w:p>
    <w:p w14:paraId="62320CBE">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62320CBF">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62320CC0">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2320CC1">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诉讼</w:t>
      </w:r>
    </w:p>
    <w:p w14:paraId="62320CC2">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双方在执行合同中所发生的一切争议，应通过协商解决。如协商不成，任何一方可向甲方所在地有管辖权的法院起诉。</w:t>
      </w:r>
    </w:p>
    <w:p w14:paraId="62320CC3">
      <w:pPr>
        <w:pStyle w:val="970"/>
        <w:spacing w:before="0" w:beforeLines="0" w:after="0" w:afterLines="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合同生效及其它</w:t>
      </w:r>
    </w:p>
    <w:p w14:paraId="62320CC4">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1.合同经甲、乙双方法定代表人或授权代表签名并加盖单位公章后成立，乙方交付履约保证金并生效。</w:t>
      </w:r>
    </w:p>
    <w:p w14:paraId="62320CC5">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2.合同执行中涉及采购资金和采购内容修改或补充的，须经采购中心、财政部门审批，并签书面补充协议，经报政府采购监督管理部门备案后，方可作为主合同不可分割的一部分。</w:t>
      </w:r>
    </w:p>
    <w:p w14:paraId="62320CC6">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62320CC7">
      <w:pPr>
        <w:pStyle w:val="969"/>
        <w:spacing w:before="0" w:beforeLines="0" w:after="0" w:afterLines="0"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4.本合同一式四份，具有同等法律效力，甲、乙双方各执二份。</w:t>
      </w:r>
    </w:p>
    <w:p w14:paraId="62320CC8">
      <w:pPr>
        <w:pStyle w:val="969"/>
        <w:ind w:firstLine="480"/>
        <w:rPr>
          <w:rFonts w:ascii="宋体" w:hAnsi="宋体" w:eastAsia="宋体" w:cs="宋体"/>
          <w:color w:val="auto"/>
          <w:sz w:val="24"/>
          <w:szCs w:val="24"/>
          <w:highlight w:val="none"/>
        </w:rPr>
      </w:pPr>
    </w:p>
    <w:tbl>
      <w:tblPr>
        <w:tblStyle w:val="6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1"/>
        <w:gridCol w:w="4151"/>
      </w:tblGrid>
      <w:tr w14:paraId="6232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51" w:type="dxa"/>
          </w:tcPr>
          <w:p w14:paraId="62320CC9">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甲方（盖章）：浙江省司法厅</w:t>
            </w:r>
          </w:p>
          <w:p w14:paraId="62320CCA">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法定（授权）代表人：</w:t>
            </w:r>
          </w:p>
          <w:p w14:paraId="62320CCB">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地址：省府路11号</w:t>
            </w:r>
          </w:p>
          <w:p w14:paraId="62320CCC">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开户行：</w:t>
            </w:r>
          </w:p>
          <w:p w14:paraId="62320CCD">
            <w:pPr>
              <w:spacing w:line="360" w:lineRule="auto"/>
              <w:jc w:val="left"/>
              <w:rPr>
                <w:rFonts w:ascii="宋体" w:hAnsi="宋体" w:cs="宋体"/>
                <w:color w:val="auto"/>
                <w:sz w:val="24"/>
                <w:highlight w:val="none"/>
              </w:rPr>
            </w:pPr>
            <w:r>
              <w:rPr>
                <w:rFonts w:hint="eastAsia" w:ascii="宋体" w:hAnsi="宋体" w:cs="宋体"/>
                <w:color w:val="auto"/>
                <w:sz w:val="24"/>
                <w:highlight w:val="none"/>
              </w:rPr>
              <w:t>开户账号：</w:t>
            </w:r>
          </w:p>
          <w:p w14:paraId="62320CCE">
            <w:pPr>
              <w:spacing w:before="120" w:beforeLines="50"/>
              <w:jc w:val="left"/>
              <w:rPr>
                <w:rFonts w:ascii="宋体" w:hAnsi="宋体" w:cs="宋体"/>
                <w:color w:val="auto"/>
                <w:sz w:val="24"/>
                <w:highlight w:val="none"/>
              </w:rPr>
            </w:pPr>
            <w:r>
              <w:rPr>
                <w:rFonts w:hint="eastAsia" w:ascii="宋体" w:hAnsi="宋体" w:cs="宋体"/>
                <w:color w:val="auto"/>
                <w:sz w:val="24"/>
                <w:highlight w:val="none"/>
              </w:rPr>
              <w:t>签字日期：</w:t>
            </w:r>
          </w:p>
        </w:tc>
        <w:tc>
          <w:tcPr>
            <w:tcW w:w="4151" w:type="dxa"/>
          </w:tcPr>
          <w:p w14:paraId="62320CCF">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乙方（盖章）：</w:t>
            </w:r>
          </w:p>
          <w:p w14:paraId="62320CD0">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法定（授权）代表人：</w:t>
            </w:r>
          </w:p>
          <w:p w14:paraId="62320CD1">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地址：</w:t>
            </w:r>
          </w:p>
          <w:p w14:paraId="62320CD2">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w:t>
            </w:r>
          </w:p>
          <w:p w14:paraId="62320CD3">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开户账号：</w:t>
            </w:r>
          </w:p>
          <w:p w14:paraId="62320CD4">
            <w:pPr>
              <w:pStyle w:val="35"/>
              <w:snapToGrid w:val="0"/>
              <w:spacing w:line="360" w:lineRule="auto"/>
              <w:rPr>
                <w:rFonts w:hAnsi="宋体" w:cs="宋体"/>
                <w:color w:val="auto"/>
                <w:sz w:val="24"/>
                <w:szCs w:val="24"/>
                <w:highlight w:val="none"/>
              </w:rPr>
            </w:pPr>
            <w:r>
              <w:rPr>
                <w:rFonts w:hint="eastAsia" w:hAnsi="宋体" w:cs="宋体"/>
                <w:color w:val="auto"/>
                <w:sz w:val="24"/>
                <w:szCs w:val="24"/>
                <w:highlight w:val="none"/>
              </w:rPr>
              <w:t>签字日期：</w:t>
            </w:r>
          </w:p>
        </w:tc>
      </w:tr>
    </w:tbl>
    <w:p w14:paraId="62320CD6">
      <w:pPr>
        <w:rPr>
          <w:rFonts w:ascii="宋体" w:hAnsi="宋体" w:cs="宋体"/>
          <w:color w:val="auto"/>
          <w:sz w:val="24"/>
          <w:highlight w:val="none"/>
        </w:rPr>
      </w:pPr>
    </w:p>
    <w:p w14:paraId="62320CD7">
      <w:pPr>
        <w:jc w:val="center"/>
        <w:rPr>
          <w:rFonts w:ascii="宋体" w:hAnsi="宋体" w:cs="宋体"/>
          <w:b/>
          <w:bCs/>
          <w:color w:val="auto"/>
          <w:sz w:val="28"/>
          <w:highlight w:val="none"/>
        </w:rPr>
      </w:pPr>
    </w:p>
    <w:p w14:paraId="62320CD8">
      <w:pPr>
        <w:widowControl/>
        <w:adjustRightInd/>
        <w:jc w:val="left"/>
        <w:rPr>
          <w:rFonts w:ascii="宋体" w:hAnsi="宋体" w:cs="宋体"/>
          <w:b/>
          <w:color w:val="auto"/>
          <w:sz w:val="24"/>
          <w:highlight w:val="none"/>
        </w:rPr>
      </w:pPr>
    </w:p>
    <w:p w14:paraId="62320CD9">
      <w:pPr>
        <w:spacing w:line="360" w:lineRule="auto"/>
        <w:ind w:left="-420" w:leftChars="-200" w:right="-420" w:rightChars="-200" w:firstLine="480" w:firstLineChars="200"/>
        <w:jc w:val="center"/>
        <w:outlineLvl w:val="0"/>
        <w:rPr>
          <w:rFonts w:ascii="宋体" w:hAnsi="宋体" w:cs="宋体"/>
          <w:color w:val="auto"/>
          <w:sz w:val="24"/>
          <w:highlight w:val="none"/>
        </w:rPr>
      </w:pPr>
    </w:p>
    <w:p w14:paraId="62320CDA">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2320CD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62320CDC">
      <w:pPr>
        <w:spacing w:line="360" w:lineRule="auto"/>
        <w:jc w:val="center"/>
        <w:outlineLvl w:val="0"/>
        <w:rPr>
          <w:rFonts w:ascii="宋体" w:hAnsi="宋体" w:cs="宋体"/>
          <w:b/>
          <w:color w:val="auto"/>
          <w:kern w:val="0"/>
          <w:sz w:val="36"/>
          <w:szCs w:val="36"/>
          <w:highlight w:val="none"/>
        </w:rPr>
      </w:pPr>
    </w:p>
    <w:p w14:paraId="62320C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320C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320CDF">
      <w:pPr>
        <w:spacing w:line="360" w:lineRule="auto"/>
        <w:jc w:val="center"/>
        <w:outlineLvl w:val="0"/>
        <w:rPr>
          <w:rFonts w:ascii="宋体" w:hAnsi="宋体" w:cs="宋体"/>
          <w:b/>
          <w:color w:val="auto"/>
          <w:kern w:val="0"/>
          <w:sz w:val="36"/>
          <w:szCs w:val="36"/>
          <w:highlight w:val="none"/>
        </w:rPr>
      </w:pPr>
    </w:p>
    <w:p w14:paraId="62320C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2320CE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2320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2320C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62320C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（5）分包意向协议</w:t>
      </w:r>
      <w:r>
        <w:rPr>
          <w:rFonts w:hint="eastAsia" w:ascii="宋体" w:hAnsi="宋体" w:cs="宋体"/>
          <w:color w:val="auto"/>
          <w:highlight w:val="none"/>
        </w:rPr>
        <w:t>…………………………………………………………………（页码）</w:t>
      </w:r>
    </w:p>
    <w:p w14:paraId="62320CE5">
      <w:pPr>
        <w:snapToGrid w:val="0"/>
        <w:spacing w:line="360" w:lineRule="auto"/>
        <w:ind w:firstLine="480" w:firstLineChars="200"/>
        <w:rPr>
          <w:rFonts w:ascii="宋体" w:hAnsi="宋体" w:cs="宋体"/>
          <w:color w:val="auto"/>
          <w:sz w:val="24"/>
          <w:highlight w:val="none"/>
        </w:rPr>
      </w:pPr>
    </w:p>
    <w:p w14:paraId="62320CE6">
      <w:pPr>
        <w:spacing w:line="360" w:lineRule="auto"/>
        <w:ind w:firstLine="480" w:firstLineChars="200"/>
        <w:rPr>
          <w:rFonts w:ascii="宋体" w:hAnsi="宋体" w:cs="宋体"/>
          <w:color w:val="auto"/>
          <w:sz w:val="24"/>
          <w:highlight w:val="none"/>
        </w:rPr>
      </w:pPr>
    </w:p>
    <w:p w14:paraId="62320CE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2320CE8">
      <w:pPr>
        <w:snapToGrid w:val="0"/>
        <w:spacing w:line="360" w:lineRule="auto"/>
        <w:rPr>
          <w:rFonts w:ascii="宋体" w:hAnsi="宋体" w:cs="宋体"/>
          <w:color w:val="auto"/>
          <w:sz w:val="24"/>
          <w:highlight w:val="none"/>
          <w:u w:val="single"/>
        </w:rPr>
      </w:pPr>
    </w:p>
    <w:p w14:paraId="62320CE9">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浙江省司法厅：</w:t>
      </w:r>
    </w:p>
    <w:p w14:paraId="62320C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我方参与浙江省司法厅浙江省法律服务领域应用迭代升级改造项目—律师管理功能【招标编号：ZJ-2471321-11】政府采购活动，郑重承诺：</w:t>
      </w:r>
    </w:p>
    <w:p w14:paraId="62320CE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320C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2320C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2320C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2320C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2320C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2320C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2320C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320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2320C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2320C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320CF6">
      <w:pPr>
        <w:snapToGrid w:val="0"/>
        <w:spacing w:line="360" w:lineRule="auto"/>
        <w:ind w:firstLine="5520" w:firstLineChars="2300"/>
        <w:rPr>
          <w:rFonts w:ascii="宋体" w:hAnsi="宋体" w:cs="宋体"/>
          <w:color w:val="auto"/>
          <w:kern w:val="0"/>
          <w:sz w:val="24"/>
          <w:highlight w:val="none"/>
          <w:lang w:val="zh-CN"/>
        </w:rPr>
      </w:pPr>
    </w:p>
    <w:p w14:paraId="62320CF7">
      <w:pPr>
        <w:snapToGrid w:val="0"/>
        <w:spacing w:line="360" w:lineRule="auto"/>
        <w:ind w:firstLine="5520" w:firstLineChars="2300"/>
        <w:rPr>
          <w:rFonts w:ascii="宋体" w:hAnsi="宋体" w:cs="宋体"/>
          <w:color w:val="auto"/>
          <w:kern w:val="0"/>
          <w:sz w:val="24"/>
          <w:highlight w:val="none"/>
          <w:lang w:val="zh-CN"/>
        </w:rPr>
      </w:pPr>
    </w:p>
    <w:p w14:paraId="62320CF8">
      <w:pPr>
        <w:snapToGrid w:val="0"/>
        <w:spacing w:line="360" w:lineRule="auto"/>
        <w:ind w:firstLine="5520" w:firstLineChars="2300"/>
        <w:rPr>
          <w:rFonts w:ascii="宋体" w:hAnsi="宋体" w:cs="宋体"/>
          <w:color w:val="auto"/>
          <w:kern w:val="0"/>
          <w:sz w:val="24"/>
          <w:highlight w:val="none"/>
          <w:lang w:val="zh-CN"/>
        </w:rPr>
      </w:pPr>
    </w:p>
    <w:p w14:paraId="62320C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2320C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320CFB">
      <w:pPr>
        <w:snapToGrid w:val="0"/>
        <w:spacing w:line="360" w:lineRule="auto"/>
        <w:ind w:right="480"/>
        <w:jc w:val="center"/>
        <w:rPr>
          <w:rFonts w:ascii="宋体" w:hAnsi="宋体" w:cs="宋体"/>
          <w:b/>
          <w:color w:val="auto"/>
          <w:kern w:val="0"/>
          <w:sz w:val="32"/>
          <w:szCs w:val="32"/>
          <w:highlight w:val="none"/>
        </w:rPr>
      </w:pPr>
    </w:p>
    <w:p w14:paraId="62320CFC">
      <w:pPr>
        <w:snapToGrid w:val="0"/>
        <w:spacing w:line="360" w:lineRule="auto"/>
        <w:ind w:right="480"/>
        <w:jc w:val="center"/>
        <w:rPr>
          <w:rFonts w:ascii="宋体" w:hAnsi="宋体" w:cs="宋体"/>
          <w:b/>
          <w:color w:val="auto"/>
          <w:kern w:val="0"/>
          <w:sz w:val="32"/>
          <w:szCs w:val="32"/>
          <w:highlight w:val="none"/>
        </w:rPr>
      </w:pPr>
    </w:p>
    <w:p w14:paraId="62320CFD">
      <w:pPr>
        <w:snapToGrid w:val="0"/>
        <w:spacing w:line="360" w:lineRule="auto"/>
        <w:ind w:right="480"/>
        <w:jc w:val="center"/>
        <w:rPr>
          <w:rFonts w:ascii="宋体" w:hAnsi="宋体" w:cs="宋体"/>
          <w:b/>
          <w:color w:val="auto"/>
          <w:kern w:val="0"/>
          <w:sz w:val="32"/>
          <w:szCs w:val="32"/>
          <w:highlight w:val="none"/>
        </w:rPr>
      </w:pPr>
    </w:p>
    <w:p w14:paraId="62320CFE">
      <w:pPr>
        <w:rPr>
          <w:rFonts w:ascii="宋体" w:hAnsi="宋体" w:cs="宋体"/>
          <w:color w:val="auto"/>
          <w:highlight w:val="none"/>
        </w:rPr>
      </w:pPr>
    </w:p>
    <w:p w14:paraId="62320CFF">
      <w:pPr>
        <w:snapToGrid w:val="0"/>
        <w:spacing w:line="360" w:lineRule="auto"/>
        <w:ind w:right="480"/>
        <w:jc w:val="center"/>
        <w:rPr>
          <w:rFonts w:ascii="宋体" w:hAnsi="宋体" w:cs="宋体"/>
          <w:b/>
          <w:color w:val="auto"/>
          <w:kern w:val="0"/>
          <w:sz w:val="32"/>
          <w:szCs w:val="32"/>
          <w:highlight w:val="none"/>
        </w:rPr>
      </w:pPr>
    </w:p>
    <w:p w14:paraId="62320D0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2320D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2320D02">
      <w:pPr>
        <w:snapToGrid w:val="0"/>
        <w:spacing w:line="360" w:lineRule="auto"/>
        <w:ind w:right="480"/>
        <w:jc w:val="center"/>
        <w:rPr>
          <w:rFonts w:ascii="宋体" w:hAnsi="宋体" w:cs="宋体"/>
          <w:b/>
          <w:color w:val="auto"/>
          <w:kern w:val="0"/>
          <w:sz w:val="32"/>
          <w:szCs w:val="32"/>
          <w:highlight w:val="none"/>
        </w:rPr>
      </w:pPr>
    </w:p>
    <w:p w14:paraId="62320D03">
      <w:pPr>
        <w:snapToGrid w:val="0"/>
        <w:spacing w:line="360" w:lineRule="auto"/>
        <w:ind w:right="480"/>
        <w:jc w:val="center"/>
        <w:rPr>
          <w:rFonts w:ascii="宋体" w:hAnsi="宋体" w:cs="宋体"/>
          <w:b/>
          <w:color w:val="auto"/>
          <w:kern w:val="0"/>
          <w:sz w:val="32"/>
          <w:szCs w:val="32"/>
          <w:highlight w:val="none"/>
        </w:rPr>
      </w:pPr>
    </w:p>
    <w:p w14:paraId="62320D0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320D0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2320D0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62320D08">
      <w:pPr>
        <w:widowControl/>
        <w:spacing w:line="360" w:lineRule="auto"/>
        <w:ind w:firstLine="480"/>
        <w:jc w:val="left"/>
        <w:rPr>
          <w:rFonts w:ascii="宋体" w:hAnsi="宋体" w:cs="宋体"/>
          <w:color w:val="auto"/>
          <w:sz w:val="24"/>
          <w:highlight w:val="none"/>
        </w:rPr>
      </w:pPr>
    </w:p>
    <w:p w14:paraId="62320D0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2320D0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2320D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2320D0C">
      <w:pPr>
        <w:widowControl/>
        <w:spacing w:line="360" w:lineRule="auto"/>
        <w:ind w:left="150"/>
        <w:jc w:val="center"/>
        <w:rPr>
          <w:rFonts w:ascii="宋体" w:hAnsi="宋体" w:cs="宋体"/>
          <w:b/>
          <w:color w:val="auto"/>
          <w:kern w:val="0"/>
          <w:sz w:val="32"/>
          <w:szCs w:val="32"/>
          <w:highlight w:val="none"/>
        </w:rPr>
      </w:pPr>
    </w:p>
    <w:p w14:paraId="62320D0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0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2320D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2320D10">
      <w:pPr>
        <w:rPr>
          <w:rFonts w:ascii="宋体" w:hAnsi="宋体" w:cs="宋体"/>
          <w:color w:val="auto"/>
          <w:highlight w:val="none"/>
        </w:rPr>
      </w:pPr>
    </w:p>
    <w:p w14:paraId="62320D11">
      <w:pPr>
        <w:snapToGrid w:val="0"/>
        <w:spacing w:line="360" w:lineRule="auto"/>
        <w:ind w:right="480"/>
        <w:jc w:val="center"/>
        <w:rPr>
          <w:rFonts w:ascii="宋体" w:hAnsi="宋体" w:cs="宋体"/>
          <w:b/>
          <w:color w:val="auto"/>
          <w:kern w:val="0"/>
          <w:sz w:val="32"/>
          <w:szCs w:val="32"/>
          <w:highlight w:val="none"/>
        </w:rPr>
      </w:pPr>
    </w:p>
    <w:p w14:paraId="62320D12">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2320D1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2320D14">
      <w:pPr>
        <w:spacing w:line="360" w:lineRule="auto"/>
        <w:jc w:val="center"/>
        <w:outlineLvl w:val="0"/>
        <w:rPr>
          <w:rFonts w:ascii="宋体" w:hAnsi="宋体" w:cs="宋体"/>
          <w:b/>
          <w:color w:val="auto"/>
          <w:kern w:val="0"/>
          <w:sz w:val="24"/>
          <w:highlight w:val="none"/>
        </w:rPr>
      </w:pPr>
    </w:p>
    <w:p w14:paraId="62320D1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2320D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2320D1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62320D1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（5）投标标的清单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62320D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2320D1B">
      <w:pPr>
        <w:snapToGrid w:val="0"/>
        <w:spacing w:line="360" w:lineRule="auto"/>
        <w:jc w:val="center"/>
        <w:rPr>
          <w:rFonts w:ascii="宋体" w:hAnsi="宋体" w:cs="宋体"/>
          <w:b/>
          <w:color w:val="auto"/>
          <w:kern w:val="0"/>
          <w:sz w:val="32"/>
          <w:szCs w:val="32"/>
          <w:highlight w:val="none"/>
          <w:lang w:val="zh-CN"/>
        </w:rPr>
      </w:pPr>
    </w:p>
    <w:p w14:paraId="62320D1C">
      <w:pPr>
        <w:snapToGrid w:val="0"/>
        <w:spacing w:line="360" w:lineRule="auto"/>
        <w:jc w:val="center"/>
        <w:rPr>
          <w:rFonts w:ascii="宋体" w:hAnsi="宋体" w:cs="宋体"/>
          <w:b/>
          <w:color w:val="auto"/>
          <w:kern w:val="0"/>
          <w:sz w:val="32"/>
          <w:szCs w:val="32"/>
          <w:highlight w:val="none"/>
          <w:lang w:val="zh-CN"/>
        </w:rPr>
      </w:pPr>
    </w:p>
    <w:p w14:paraId="62320D1D">
      <w:pPr>
        <w:snapToGrid w:val="0"/>
        <w:spacing w:line="360" w:lineRule="auto"/>
        <w:jc w:val="center"/>
        <w:rPr>
          <w:rFonts w:ascii="宋体" w:hAnsi="宋体" w:cs="宋体"/>
          <w:b/>
          <w:color w:val="auto"/>
          <w:kern w:val="0"/>
          <w:sz w:val="32"/>
          <w:szCs w:val="32"/>
          <w:highlight w:val="none"/>
          <w:lang w:val="zh-CN"/>
        </w:rPr>
      </w:pPr>
    </w:p>
    <w:p w14:paraId="62320D1E">
      <w:pPr>
        <w:snapToGrid w:val="0"/>
        <w:spacing w:line="360" w:lineRule="auto"/>
        <w:jc w:val="center"/>
        <w:rPr>
          <w:rFonts w:ascii="宋体" w:hAnsi="宋体" w:cs="宋体"/>
          <w:b/>
          <w:color w:val="auto"/>
          <w:kern w:val="0"/>
          <w:sz w:val="32"/>
          <w:szCs w:val="32"/>
          <w:highlight w:val="none"/>
          <w:lang w:val="zh-CN"/>
        </w:rPr>
      </w:pPr>
    </w:p>
    <w:p w14:paraId="62320D1F">
      <w:pPr>
        <w:snapToGrid w:val="0"/>
        <w:spacing w:line="360" w:lineRule="auto"/>
        <w:jc w:val="center"/>
        <w:rPr>
          <w:rFonts w:ascii="宋体" w:hAnsi="宋体" w:cs="宋体"/>
          <w:b/>
          <w:color w:val="auto"/>
          <w:kern w:val="0"/>
          <w:sz w:val="32"/>
          <w:szCs w:val="32"/>
          <w:highlight w:val="none"/>
          <w:lang w:val="zh-CN"/>
        </w:rPr>
      </w:pPr>
    </w:p>
    <w:p w14:paraId="62320D20">
      <w:pPr>
        <w:snapToGrid w:val="0"/>
        <w:spacing w:line="360" w:lineRule="auto"/>
        <w:jc w:val="center"/>
        <w:rPr>
          <w:rFonts w:ascii="宋体" w:hAnsi="宋体" w:cs="宋体"/>
          <w:b/>
          <w:color w:val="auto"/>
          <w:kern w:val="0"/>
          <w:sz w:val="32"/>
          <w:szCs w:val="32"/>
          <w:highlight w:val="none"/>
          <w:lang w:val="zh-CN"/>
        </w:rPr>
      </w:pPr>
    </w:p>
    <w:p w14:paraId="62320D21">
      <w:pPr>
        <w:snapToGrid w:val="0"/>
        <w:spacing w:line="360" w:lineRule="auto"/>
        <w:jc w:val="center"/>
        <w:rPr>
          <w:rFonts w:ascii="宋体" w:hAnsi="宋体" w:cs="宋体"/>
          <w:b/>
          <w:color w:val="auto"/>
          <w:kern w:val="0"/>
          <w:sz w:val="32"/>
          <w:szCs w:val="32"/>
          <w:highlight w:val="none"/>
          <w:lang w:val="zh-CN"/>
        </w:rPr>
      </w:pPr>
    </w:p>
    <w:p w14:paraId="62320D22">
      <w:pPr>
        <w:snapToGrid w:val="0"/>
        <w:spacing w:line="360" w:lineRule="auto"/>
        <w:jc w:val="center"/>
        <w:rPr>
          <w:rFonts w:ascii="宋体" w:hAnsi="宋体" w:cs="宋体"/>
          <w:b/>
          <w:color w:val="auto"/>
          <w:kern w:val="0"/>
          <w:sz w:val="32"/>
          <w:szCs w:val="32"/>
          <w:highlight w:val="none"/>
          <w:lang w:val="zh-CN"/>
        </w:rPr>
      </w:pPr>
    </w:p>
    <w:p w14:paraId="62320D23">
      <w:pPr>
        <w:snapToGrid w:val="0"/>
        <w:spacing w:line="360" w:lineRule="auto"/>
        <w:jc w:val="center"/>
        <w:rPr>
          <w:rFonts w:ascii="宋体" w:hAnsi="宋体" w:cs="宋体"/>
          <w:b/>
          <w:color w:val="auto"/>
          <w:kern w:val="0"/>
          <w:sz w:val="32"/>
          <w:szCs w:val="32"/>
          <w:highlight w:val="none"/>
          <w:lang w:val="zh-CN"/>
        </w:rPr>
      </w:pPr>
    </w:p>
    <w:p w14:paraId="62320D24">
      <w:pPr>
        <w:snapToGrid w:val="0"/>
        <w:spacing w:line="360" w:lineRule="auto"/>
        <w:jc w:val="center"/>
        <w:rPr>
          <w:rFonts w:ascii="宋体" w:hAnsi="宋体" w:cs="宋体"/>
          <w:b/>
          <w:color w:val="auto"/>
          <w:kern w:val="0"/>
          <w:sz w:val="32"/>
          <w:szCs w:val="32"/>
          <w:highlight w:val="none"/>
          <w:lang w:val="zh-CN"/>
        </w:rPr>
      </w:pPr>
    </w:p>
    <w:p w14:paraId="62320D25">
      <w:pPr>
        <w:snapToGrid w:val="0"/>
        <w:spacing w:line="360" w:lineRule="auto"/>
        <w:jc w:val="center"/>
        <w:rPr>
          <w:rFonts w:ascii="宋体" w:hAnsi="宋体" w:cs="宋体"/>
          <w:b/>
          <w:color w:val="auto"/>
          <w:kern w:val="0"/>
          <w:sz w:val="32"/>
          <w:szCs w:val="32"/>
          <w:highlight w:val="none"/>
          <w:lang w:val="zh-CN"/>
        </w:rPr>
      </w:pPr>
    </w:p>
    <w:p w14:paraId="62320D26">
      <w:pPr>
        <w:snapToGrid w:val="0"/>
        <w:spacing w:line="360" w:lineRule="auto"/>
        <w:jc w:val="center"/>
        <w:rPr>
          <w:rFonts w:ascii="宋体" w:hAnsi="宋体" w:cs="宋体"/>
          <w:b/>
          <w:color w:val="auto"/>
          <w:kern w:val="0"/>
          <w:sz w:val="32"/>
          <w:szCs w:val="32"/>
          <w:highlight w:val="none"/>
          <w:lang w:val="zh-CN"/>
        </w:rPr>
      </w:pPr>
    </w:p>
    <w:p w14:paraId="62320D27">
      <w:pPr>
        <w:rPr>
          <w:rFonts w:ascii="宋体" w:hAnsi="宋体" w:cs="宋体"/>
          <w:b/>
          <w:color w:val="auto"/>
          <w:kern w:val="0"/>
          <w:sz w:val="32"/>
          <w:szCs w:val="32"/>
          <w:highlight w:val="none"/>
          <w:lang w:val="zh-CN"/>
        </w:rPr>
      </w:pPr>
    </w:p>
    <w:p w14:paraId="62320D28">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2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2320D2A">
      <w:pPr>
        <w:snapToGrid w:val="0"/>
        <w:spacing w:line="360" w:lineRule="auto"/>
        <w:rPr>
          <w:rFonts w:ascii="宋体" w:hAnsi="宋体" w:cs="宋体"/>
          <w:b/>
          <w:bCs/>
          <w:color w:val="auto"/>
          <w:sz w:val="24"/>
          <w:highlight w:val="none"/>
          <w:u w:val="single"/>
        </w:rPr>
      </w:pPr>
      <w:r>
        <w:rPr>
          <w:rFonts w:hint="eastAsia" w:ascii="宋体" w:hAnsi="宋体" w:cs="宋体"/>
          <w:b/>
          <w:bCs/>
          <w:color w:val="auto"/>
          <w:sz w:val="24"/>
          <w:highlight w:val="none"/>
          <w:u w:val="single"/>
        </w:rPr>
        <w:t>浙江省司法厅：</w:t>
      </w:r>
    </w:p>
    <w:p w14:paraId="62320D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浙江省司法厅浙江省法律服务领域应用迭代升级改造项目—律师管理功能【招标编号：ZJ-2471321-11】</w:t>
      </w:r>
      <w:r>
        <w:rPr>
          <w:rFonts w:hint="eastAsia" w:ascii="宋体" w:hAnsi="宋体" w:cs="宋体"/>
          <w:color w:val="auto"/>
          <w:sz w:val="24"/>
          <w:highlight w:val="none"/>
        </w:rPr>
        <w:t>招标的有关活动，并对此项目进行投标。为此：</w:t>
      </w:r>
    </w:p>
    <w:p w14:paraId="62320D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320D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2320D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320D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320D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5" w:name="_Hlk101257010"/>
      <w:r>
        <w:rPr>
          <w:rFonts w:hint="eastAsia" w:ascii="宋体" w:hAnsi="宋体" w:cs="宋体"/>
          <w:color w:val="auto"/>
          <w:sz w:val="24"/>
          <w:highlight w:val="none"/>
        </w:rPr>
        <w:t>（如果有）</w:t>
      </w:r>
      <w:bookmarkEnd w:id="405"/>
      <w:r>
        <w:rPr>
          <w:rFonts w:hint="eastAsia" w:ascii="宋体" w:hAnsi="宋体" w:cs="宋体"/>
          <w:snapToGrid w:val="0"/>
          <w:color w:val="auto"/>
          <w:kern w:val="28"/>
          <w:sz w:val="24"/>
          <w:szCs w:val="20"/>
          <w:highlight w:val="none"/>
        </w:rPr>
        <w:t>；</w:t>
      </w:r>
    </w:p>
    <w:p w14:paraId="62320D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2.1.3落实政府采购政策需满足的资格要求：中小企业声明函（服务）；</w:t>
      </w:r>
    </w:p>
    <w:p w14:paraId="62320D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2.1.4本项目的特定资格要求：无；</w:t>
      </w:r>
    </w:p>
    <w:p w14:paraId="62320D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2.1.5分包意向协议（如果有）。</w:t>
      </w:r>
    </w:p>
    <w:p w14:paraId="62320D3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2320D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2320D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320D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62320D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62320D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2.2.5投标标的清单；</w:t>
      </w:r>
    </w:p>
    <w:p w14:paraId="62320D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2320D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2320D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2320D3E">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2320D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62320D41">
      <w:pPr>
        <w:pStyle w:val="87"/>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2320D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2320D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2320D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320D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320D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320D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62320D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320D49">
      <w:pPr>
        <w:spacing w:line="360" w:lineRule="auto"/>
        <w:ind w:firstLine="3600" w:firstLineChars="1500"/>
        <w:rPr>
          <w:rFonts w:ascii="宋体" w:hAnsi="宋体" w:cs="宋体"/>
          <w:color w:val="auto"/>
          <w:sz w:val="24"/>
          <w:highlight w:val="none"/>
        </w:rPr>
      </w:pPr>
    </w:p>
    <w:p w14:paraId="62320D4A">
      <w:pPr>
        <w:spacing w:line="360" w:lineRule="auto"/>
        <w:ind w:firstLine="3600" w:firstLineChars="1500"/>
        <w:rPr>
          <w:rFonts w:ascii="宋体" w:hAnsi="宋体" w:cs="宋体"/>
          <w:color w:val="auto"/>
          <w:sz w:val="24"/>
          <w:highlight w:val="none"/>
        </w:rPr>
      </w:pPr>
    </w:p>
    <w:p w14:paraId="62320D4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320D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320D4D">
      <w:pPr>
        <w:snapToGrid w:val="0"/>
        <w:spacing w:line="360" w:lineRule="auto"/>
        <w:ind w:left="420" w:leftChars="200" w:firstLine="4200" w:firstLineChars="1750"/>
        <w:rPr>
          <w:rFonts w:ascii="宋体" w:hAnsi="宋体" w:cs="宋体"/>
          <w:color w:val="auto"/>
          <w:kern w:val="0"/>
          <w:sz w:val="24"/>
          <w:highlight w:val="none"/>
          <w:u w:val="single"/>
        </w:rPr>
      </w:pPr>
    </w:p>
    <w:p w14:paraId="62320D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320D4F">
      <w:pPr>
        <w:snapToGrid w:val="0"/>
        <w:spacing w:line="360" w:lineRule="auto"/>
        <w:jc w:val="center"/>
        <w:rPr>
          <w:rFonts w:ascii="宋体" w:hAnsi="宋体" w:cs="宋体"/>
          <w:b/>
          <w:color w:val="auto"/>
          <w:kern w:val="0"/>
          <w:sz w:val="32"/>
          <w:szCs w:val="32"/>
          <w:highlight w:val="none"/>
        </w:rPr>
      </w:pPr>
    </w:p>
    <w:p w14:paraId="62320D50">
      <w:pPr>
        <w:snapToGrid w:val="0"/>
        <w:spacing w:line="360" w:lineRule="auto"/>
        <w:rPr>
          <w:rFonts w:ascii="宋体" w:hAnsi="宋体" w:cs="宋体"/>
          <w:color w:val="auto"/>
          <w:sz w:val="24"/>
          <w:highlight w:val="none"/>
        </w:rPr>
      </w:pPr>
    </w:p>
    <w:p w14:paraId="62320D51">
      <w:pPr>
        <w:jc w:val="center"/>
        <w:rPr>
          <w:rFonts w:ascii="宋体" w:hAnsi="宋体" w:cs="宋体"/>
          <w:b/>
          <w:color w:val="auto"/>
          <w:kern w:val="0"/>
          <w:sz w:val="32"/>
          <w:szCs w:val="32"/>
          <w:highlight w:val="none"/>
        </w:rPr>
      </w:pPr>
    </w:p>
    <w:p w14:paraId="62320D52">
      <w:pPr>
        <w:jc w:val="center"/>
        <w:rPr>
          <w:rFonts w:ascii="宋体" w:hAnsi="宋体" w:cs="宋体"/>
          <w:b/>
          <w:color w:val="auto"/>
          <w:kern w:val="0"/>
          <w:sz w:val="32"/>
          <w:szCs w:val="32"/>
          <w:highlight w:val="none"/>
        </w:rPr>
      </w:pPr>
    </w:p>
    <w:p w14:paraId="62320D53">
      <w:pPr>
        <w:jc w:val="center"/>
        <w:rPr>
          <w:rFonts w:ascii="宋体" w:hAnsi="宋体" w:cs="宋体"/>
          <w:b/>
          <w:color w:val="auto"/>
          <w:kern w:val="0"/>
          <w:sz w:val="32"/>
          <w:szCs w:val="32"/>
          <w:highlight w:val="none"/>
        </w:rPr>
      </w:pPr>
    </w:p>
    <w:p w14:paraId="62320D54">
      <w:pPr>
        <w:jc w:val="center"/>
        <w:rPr>
          <w:rFonts w:ascii="宋体" w:hAnsi="宋体" w:cs="宋体"/>
          <w:b/>
          <w:color w:val="auto"/>
          <w:kern w:val="0"/>
          <w:sz w:val="32"/>
          <w:szCs w:val="32"/>
          <w:highlight w:val="none"/>
        </w:rPr>
      </w:pPr>
    </w:p>
    <w:p w14:paraId="62320D55">
      <w:pPr>
        <w:jc w:val="center"/>
        <w:rPr>
          <w:rFonts w:ascii="宋体" w:hAnsi="宋体" w:cs="宋体"/>
          <w:b/>
          <w:color w:val="auto"/>
          <w:kern w:val="0"/>
          <w:sz w:val="32"/>
          <w:szCs w:val="32"/>
          <w:highlight w:val="none"/>
        </w:rPr>
      </w:pPr>
    </w:p>
    <w:p w14:paraId="62320D56">
      <w:pPr>
        <w:jc w:val="center"/>
        <w:rPr>
          <w:rFonts w:ascii="宋体" w:hAnsi="宋体" w:cs="宋体"/>
          <w:b/>
          <w:color w:val="auto"/>
          <w:kern w:val="0"/>
          <w:sz w:val="32"/>
          <w:szCs w:val="32"/>
          <w:highlight w:val="none"/>
        </w:rPr>
      </w:pPr>
    </w:p>
    <w:p w14:paraId="62320D57">
      <w:pPr>
        <w:jc w:val="center"/>
        <w:rPr>
          <w:rFonts w:ascii="宋体" w:hAnsi="宋体" w:cs="宋体"/>
          <w:b/>
          <w:color w:val="auto"/>
          <w:kern w:val="0"/>
          <w:sz w:val="32"/>
          <w:szCs w:val="32"/>
          <w:highlight w:val="none"/>
        </w:rPr>
      </w:pPr>
    </w:p>
    <w:p w14:paraId="62320D58">
      <w:pPr>
        <w:jc w:val="center"/>
        <w:rPr>
          <w:rFonts w:ascii="宋体" w:hAnsi="宋体" w:cs="宋体"/>
          <w:b/>
          <w:color w:val="auto"/>
          <w:kern w:val="0"/>
          <w:sz w:val="32"/>
          <w:szCs w:val="32"/>
          <w:highlight w:val="none"/>
        </w:rPr>
      </w:pPr>
    </w:p>
    <w:p w14:paraId="62320D59">
      <w:pPr>
        <w:jc w:val="center"/>
        <w:rPr>
          <w:rFonts w:ascii="宋体" w:hAnsi="宋体" w:cs="宋体"/>
          <w:b/>
          <w:color w:val="auto"/>
          <w:kern w:val="0"/>
          <w:sz w:val="32"/>
          <w:szCs w:val="32"/>
          <w:highlight w:val="none"/>
        </w:rPr>
      </w:pPr>
    </w:p>
    <w:p w14:paraId="62320D5A">
      <w:pPr>
        <w:jc w:val="center"/>
        <w:rPr>
          <w:rFonts w:ascii="宋体" w:hAnsi="宋体" w:cs="宋体"/>
          <w:b/>
          <w:color w:val="auto"/>
          <w:kern w:val="0"/>
          <w:sz w:val="32"/>
          <w:szCs w:val="32"/>
          <w:highlight w:val="none"/>
        </w:rPr>
      </w:pPr>
    </w:p>
    <w:p w14:paraId="62320D5B">
      <w:pPr>
        <w:jc w:val="center"/>
        <w:rPr>
          <w:rFonts w:ascii="宋体" w:hAnsi="宋体" w:cs="宋体"/>
          <w:b/>
          <w:color w:val="auto"/>
          <w:kern w:val="0"/>
          <w:sz w:val="32"/>
          <w:szCs w:val="32"/>
          <w:highlight w:val="none"/>
        </w:rPr>
      </w:pPr>
    </w:p>
    <w:p w14:paraId="62320D5C">
      <w:pPr>
        <w:jc w:val="center"/>
        <w:rPr>
          <w:rFonts w:ascii="宋体" w:hAnsi="宋体" w:cs="宋体"/>
          <w:b/>
          <w:color w:val="auto"/>
          <w:kern w:val="0"/>
          <w:sz w:val="32"/>
          <w:szCs w:val="32"/>
          <w:highlight w:val="none"/>
        </w:rPr>
      </w:pPr>
    </w:p>
    <w:p w14:paraId="62320D5D">
      <w:pPr>
        <w:jc w:val="center"/>
        <w:rPr>
          <w:rFonts w:ascii="宋体" w:hAnsi="宋体" w:cs="宋体"/>
          <w:b/>
          <w:color w:val="auto"/>
          <w:kern w:val="0"/>
          <w:sz w:val="32"/>
          <w:szCs w:val="32"/>
          <w:highlight w:val="none"/>
        </w:rPr>
      </w:pPr>
    </w:p>
    <w:p w14:paraId="62320D5E">
      <w:pPr>
        <w:jc w:val="center"/>
        <w:rPr>
          <w:rFonts w:ascii="宋体" w:hAnsi="宋体" w:cs="宋体"/>
          <w:b/>
          <w:color w:val="auto"/>
          <w:kern w:val="0"/>
          <w:sz w:val="32"/>
          <w:szCs w:val="32"/>
          <w:highlight w:val="none"/>
        </w:rPr>
      </w:pPr>
    </w:p>
    <w:p w14:paraId="62320D5F">
      <w:pPr>
        <w:jc w:val="center"/>
        <w:rPr>
          <w:rFonts w:ascii="宋体" w:hAnsi="宋体" w:cs="宋体"/>
          <w:b/>
          <w:color w:val="auto"/>
          <w:kern w:val="0"/>
          <w:sz w:val="32"/>
          <w:szCs w:val="32"/>
          <w:highlight w:val="none"/>
        </w:rPr>
      </w:pPr>
    </w:p>
    <w:p w14:paraId="62320D60">
      <w:pPr>
        <w:jc w:val="center"/>
        <w:rPr>
          <w:rFonts w:ascii="宋体" w:hAnsi="宋体" w:cs="宋体"/>
          <w:b/>
          <w:color w:val="auto"/>
          <w:kern w:val="0"/>
          <w:sz w:val="32"/>
          <w:szCs w:val="32"/>
          <w:highlight w:val="none"/>
        </w:rPr>
      </w:pPr>
    </w:p>
    <w:p w14:paraId="62320D61">
      <w:pPr>
        <w:jc w:val="center"/>
        <w:rPr>
          <w:rFonts w:ascii="宋体" w:hAnsi="宋体" w:cs="宋体"/>
          <w:b/>
          <w:color w:val="auto"/>
          <w:kern w:val="0"/>
          <w:sz w:val="32"/>
          <w:szCs w:val="32"/>
          <w:highlight w:val="none"/>
        </w:rPr>
      </w:pPr>
    </w:p>
    <w:p w14:paraId="62320D6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6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320D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2320D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2320D66">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rPr>
        <w:t>浙江省司法厅</w:t>
      </w:r>
      <w:r>
        <w:rPr>
          <w:rFonts w:hint="eastAsia" w:ascii="宋体" w:hAnsi="宋体" w:cs="宋体"/>
          <w:b/>
          <w:bCs/>
          <w:color w:val="auto"/>
          <w:kern w:val="0"/>
          <w:sz w:val="24"/>
          <w:highlight w:val="none"/>
          <w:u w:val="single"/>
          <w:lang w:val="zh-CN"/>
        </w:rPr>
        <w:t>：</w:t>
      </w:r>
    </w:p>
    <w:p w14:paraId="62320D6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浙江省司法厅浙江省法律服务领域应用迭代升级改造项目—律师管理功能【招标编号：ZJ-2471321-11】</w:t>
      </w:r>
      <w:r>
        <w:rPr>
          <w:rFonts w:hint="eastAsia" w:ascii="宋体" w:hAnsi="宋体" w:cs="宋体"/>
          <w:color w:val="auto"/>
          <w:kern w:val="0"/>
          <w:sz w:val="24"/>
          <w:highlight w:val="none"/>
          <w:lang w:val="zh-CN"/>
        </w:rPr>
        <w:t>政府采购投标的一切事项，其法律后果由我方承担。</w:t>
      </w:r>
    </w:p>
    <w:p w14:paraId="62320D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320D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320D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320D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2320D6C">
      <w:pPr>
        <w:snapToGrid w:val="0"/>
        <w:spacing w:line="360" w:lineRule="auto"/>
        <w:rPr>
          <w:rFonts w:ascii="宋体" w:hAnsi="宋体" w:cs="宋体"/>
          <w:color w:val="auto"/>
          <w:sz w:val="24"/>
          <w:highlight w:val="none"/>
        </w:rPr>
      </w:pPr>
    </w:p>
    <w:p w14:paraId="62320D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320D6E">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rPr>
        <w:t>浙江省司法厅</w:t>
      </w:r>
      <w:r>
        <w:rPr>
          <w:rFonts w:hint="eastAsia" w:ascii="宋体" w:hAnsi="宋体" w:cs="宋体"/>
          <w:b/>
          <w:bCs/>
          <w:color w:val="auto"/>
          <w:kern w:val="0"/>
          <w:sz w:val="24"/>
          <w:highlight w:val="none"/>
          <w:u w:val="single"/>
          <w:lang w:val="zh-CN"/>
        </w:rPr>
        <w:t>：</w:t>
      </w:r>
    </w:p>
    <w:p w14:paraId="62320D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浙江省司法厅浙江省法律服务领域应用迭代升级改造项目—律师管理功能【招标编号：ZJ-2471321-11】</w:t>
      </w:r>
      <w:r>
        <w:rPr>
          <w:rFonts w:hint="eastAsia" w:ascii="宋体" w:hAnsi="宋体" w:cs="宋体"/>
          <w:color w:val="auto"/>
          <w:kern w:val="0"/>
          <w:sz w:val="24"/>
          <w:highlight w:val="none"/>
          <w:lang w:val="zh-CN"/>
        </w:rPr>
        <w:t>政府采购投标的一切事项，其法律后果由我方承担。</w:t>
      </w:r>
    </w:p>
    <w:p w14:paraId="62320D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320D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2320D72">
      <w:pPr>
        <w:jc w:val="center"/>
        <w:rPr>
          <w:rFonts w:ascii="宋体" w:hAnsi="宋体" w:cs="宋体"/>
          <w:b/>
          <w:color w:val="auto"/>
          <w:kern w:val="0"/>
          <w:sz w:val="32"/>
          <w:szCs w:val="32"/>
          <w:highlight w:val="none"/>
        </w:rPr>
      </w:pPr>
    </w:p>
    <w:p w14:paraId="62320D73">
      <w:pPr>
        <w:rPr>
          <w:rFonts w:ascii="宋体" w:hAnsi="宋体" w:cs="宋体"/>
          <w:color w:val="auto"/>
          <w:highlight w:val="none"/>
        </w:rPr>
      </w:pPr>
    </w:p>
    <w:p w14:paraId="62320D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320D7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320D7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320D7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320D78">
      <w:pPr>
        <w:autoSpaceDE w:val="0"/>
        <w:autoSpaceDN w:val="0"/>
        <w:spacing w:line="360" w:lineRule="auto"/>
        <w:jc w:val="center"/>
        <w:rPr>
          <w:rFonts w:ascii="宋体" w:hAnsi="宋体" w:cs="宋体"/>
          <w:b/>
          <w:color w:val="auto"/>
          <w:kern w:val="0"/>
          <w:sz w:val="32"/>
          <w:szCs w:val="32"/>
          <w:highlight w:val="none"/>
          <w:lang w:val="zh-CN"/>
        </w:rPr>
      </w:pPr>
    </w:p>
    <w:p w14:paraId="62320D79">
      <w:pPr>
        <w:autoSpaceDE w:val="0"/>
        <w:autoSpaceDN w:val="0"/>
        <w:spacing w:line="360" w:lineRule="auto"/>
        <w:jc w:val="center"/>
        <w:rPr>
          <w:rFonts w:ascii="宋体" w:hAnsi="宋体" w:cs="宋体"/>
          <w:b/>
          <w:color w:val="auto"/>
          <w:kern w:val="0"/>
          <w:sz w:val="32"/>
          <w:szCs w:val="32"/>
          <w:highlight w:val="none"/>
          <w:lang w:val="zh-CN"/>
        </w:rPr>
      </w:pPr>
    </w:p>
    <w:p w14:paraId="62320D7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2320D7B">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3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320D7C">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2320D7D">
            <w:pPr>
              <w:pStyle w:val="156"/>
              <w:adjustRightInd w:val="0"/>
              <w:spacing w:line="360" w:lineRule="auto"/>
              <w:rPr>
                <w:rFonts w:hAnsi="宋体" w:cs="宋体"/>
                <w:bCs/>
                <w:color w:val="auto"/>
                <w:sz w:val="24"/>
                <w:highlight w:val="none"/>
              </w:rPr>
            </w:pPr>
          </w:p>
        </w:tc>
      </w:tr>
    </w:tbl>
    <w:p w14:paraId="62320D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2320D8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2320D8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320D82">
      <w:pPr>
        <w:jc w:val="center"/>
        <w:rPr>
          <w:rFonts w:ascii="宋体" w:hAnsi="宋体" w:cs="宋体"/>
          <w:b/>
          <w:color w:val="auto"/>
          <w:kern w:val="0"/>
          <w:sz w:val="32"/>
          <w:szCs w:val="32"/>
          <w:highlight w:val="none"/>
        </w:rPr>
      </w:pPr>
    </w:p>
    <w:p w14:paraId="62320D83">
      <w:pPr>
        <w:jc w:val="center"/>
        <w:rPr>
          <w:rFonts w:ascii="宋体" w:hAnsi="宋体" w:cs="宋体"/>
          <w:b/>
          <w:color w:val="auto"/>
          <w:kern w:val="0"/>
          <w:sz w:val="32"/>
          <w:szCs w:val="32"/>
          <w:highlight w:val="none"/>
        </w:rPr>
      </w:pPr>
    </w:p>
    <w:p w14:paraId="62320D84">
      <w:pPr>
        <w:jc w:val="center"/>
        <w:rPr>
          <w:rFonts w:ascii="宋体" w:hAnsi="宋体" w:cs="宋体"/>
          <w:b/>
          <w:color w:val="auto"/>
          <w:kern w:val="0"/>
          <w:sz w:val="32"/>
          <w:szCs w:val="32"/>
          <w:highlight w:val="none"/>
        </w:rPr>
      </w:pPr>
    </w:p>
    <w:p w14:paraId="62320D85">
      <w:pPr>
        <w:jc w:val="center"/>
        <w:rPr>
          <w:rFonts w:ascii="宋体" w:hAnsi="宋体" w:cs="宋体"/>
          <w:b/>
          <w:color w:val="auto"/>
          <w:kern w:val="0"/>
          <w:sz w:val="32"/>
          <w:szCs w:val="32"/>
          <w:highlight w:val="none"/>
        </w:rPr>
      </w:pPr>
    </w:p>
    <w:p w14:paraId="62320D86">
      <w:pPr>
        <w:jc w:val="center"/>
        <w:rPr>
          <w:rFonts w:ascii="宋体" w:hAnsi="宋体" w:cs="宋体"/>
          <w:b/>
          <w:color w:val="auto"/>
          <w:kern w:val="0"/>
          <w:sz w:val="32"/>
          <w:szCs w:val="32"/>
          <w:highlight w:val="none"/>
        </w:rPr>
      </w:pPr>
    </w:p>
    <w:p w14:paraId="62320D87">
      <w:pPr>
        <w:jc w:val="center"/>
        <w:rPr>
          <w:rFonts w:ascii="宋体" w:hAnsi="宋体" w:cs="宋体"/>
          <w:b/>
          <w:color w:val="auto"/>
          <w:kern w:val="0"/>
          <w:sz w:val="32"/>
          <w:szCs w:val="32"/>
          <w:highlight w:val="none"/>
        </w:rPr>
      </w:pPr>
    </w:p>
    <w:p w14:paraId="62320D88">
      <w:pPr>
        <w:jc w:val="center"/>
        <w:rPr>
          <w:rFonts w:ascii="宋体" w:hAnsi="宋体" w:cs="宋体"/>
          <w:b/>
          <w:color w:val="auto"/>
          <w:kern w:val="0"/>
          <w:sz w:val="32"/>
          <w:szCs w:val="32"/>
          <w:highlight w:val="none"/>
        </w:rPr>
      </w:pPr>
    </w:p>
    <w:p w14:paraId="62320D89">
      <w:pPr>
        <w:jc w:val="center"/>
        <w:rPr>
          <w:rFonts w:ascii="宋体" w:hAnsi="宋体" w:cs="宋体"/>
          <w:b/>
          <w:color w:val="auto"/>
          <w:kern w:val="0"/>
          <w:sz w:val="32"/>
          <w:szCs w:val="32"/>
          <w:highlight w:val="none"/>
        </w:rPr>
      </w:pPr>
    </w:p>
    <w:p w14:paraId="62320D8A">
      <w:pPr>
        <w:jc w:val="center"/>
        <w:rPr>
          <w:rFonts w:ascii="宋体" w:hAnsi="宋体" w:cs="宋体"/>
          <w:b/>
          <w:color w:val="auto"/>
          <w:kern w:val="0"/>
          <w:sz w:val="32"/>
          <w:szCs w:val="32"/>
          <w:highlight w:val="none"/>
        </w:rPr>
      </w:pPr>
    </w:p>
    <w:p w14:paraId="62320D8B">
      <w:pPr>
        <w:jc w:val="center"/>
        <w:rPr>
          <w:rFonts w:ascii="宋体" w:hAnsi="宋体" w:cs="宋体"/>
          <w:b/>
          <w:color w:val="auto"/>
          <w:kern w:val="0"/>
          <w:sz w:val="32"/>
          <w:szCs w:val="32"/>
          <w:highlight w:val="none"/>
        </w:rPr>
      </w:pPr>
    </w:p>
    <w:p w14:paraId="6B046DE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232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2320D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62320D8F">
      <w:pPr>
        <w:snapToGrid w:val="0"/>
        <w:spacing w:line="360" w:lineRule="auto"/>
        <w:rPr>
          <w:rFonts w:ascii="宋体" w:hAnsi="宋体" w:cs="宋体"/>
          <w:color w:val="auto"/>
          <w:kern w:val="0"/>
          <w:sz w:val="24"/>
          <w:highlight w:val="none"/>
        </w:rPr>
      </w:pPr>
    </w:p>
    <w:p w14:paraId="62320D9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2320D9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6232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62320D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203" w:type="dxa"/>
            <w:vAlign w:val="center"/>
          </w:tcPr>
          <w:p w14:paraId="62320D9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2320D9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2320D9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2320D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232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99">
            <w:pPr>
              <w:jc w:val="center"/>
              <w:rPr>
                <w:rFonts w:ascii="宋体" w:hAnsi="宋体" w:cs="宋体"/>
                <w:color w:val="auto"/>
                <w:sz w:val="24"/>
                <w:highlight w:val="none"/>
              </w:rPr>
            </w:pPr>
            <w:r>
              <w:rPr>
                <w:rFonts w:hint="eastAsia" w:ascii="宋体" w:hAnsi="宋体" w:cs="宋体"/>
                <w:color w:val="auto"/>
                <w:sz w:val="24"/>
                <w:highlight w:val="none"/>
              </w:rPr>
              <w:t>1</w:t>
            </w:r>
          </w:p>
        </w:tc>
        <w:tc>
          <w:tcPr>
            <w:tcW w:w="5203" w:type="dxa"/>
            <w:vAlign w:val="center"/>
          </w:tcPr>
          <w:p w14:paraId="62320D9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2320D9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2320D9C">
            <w:pPr>
              <w:rPr>
                <w:rFonts w:ascii="宋体" w:hAnsi="宋体" w:cs="宋体"/>
                <w:color w:val="auto"/>
                <w:sz w:val="24"/>
                <w:highlight w:val="none"/>
              </w:rPr>
            </w:pPr>
          </w:p>
          <w:p w14:paraId="62320D9D">
            <w:pPr>
              <w:rPr>
                <w:rFonts w:ascii="宋体" w:hAnsi="宋体" w:cs="宋体"/>
                <w:color w:val="auto"/>
                <w:sz w:val="24"/>
                <w:highlight w:val="none"/>
              </w:rPr>
            </w:pPr>
            <w:r>
              <w:rPr>
                <w:rFonts w:hint="eastAsia" w:ascii="宋体" w:hAnsi="宋体" w:cs="宋体"/>
                <w:color w:val="auto"/>
                <w:sz w:val="24"/>
                <w:highlight w:val="none"/>
              </w:rPr>
              <w:t>见投标文件</w:t>
            </w:r>
          </w:p>
          <w:p w14:paraId="62320D9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32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A0">
            <w:pPr>
              <w:jc w:val="center"/>
              <w:rPr>
                <w:rFonts w:ascii="宋体" w:hAnsi="宋体" w:cs="宋体"/>
                <w:color w:val="auto"/>
                <w:sz w:val="24"/>
                <w:highlight w:val="none"/>
              </w:rPr>
            </w:pPr>
            <w:r>
              <w:rPr>
                <w:rFonts w:hint="eastAsia" w:ascii="宋体" w:hAnsi="宋体" w:cs="宋体"/>
                <w:color w:val="auto"/>
                <w:sz w:val="24"/>
                <w:highlight w:val="none"/>
              </w:rPr>
              <w:t>2</w:t>
            </w:r>
          </w:p>
        </w:tc>
        <w:tc>
          <w:tcPr>
            <w:tcW w:w="5203" w:type="dxa"/>
            <w:shd w:val="clear" w:color="auto" w:fill="auto"/>
            <w:vAlign w:val="center"/>
          </w:tcPr>
          <w:p w14:paraId="62320DA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shd w:val="clear" w:color="auto" w:fill="auto"/>
            <w:vAlign w:val="center"/>
          </w:tcPr>
          <w:p w14:paraId="62320DA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shd w:val="clear" w:color="auto" w:fill="auto"/>
          </w:tcPr>
          <w:p w14:paraId="62320DA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32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5203" w:type="dxa"/>
            <w:vAlign w:val="center"/>
          </w:tcPr>
          <w:p w14:paraId="62320DA6">
            <w:pPr>
              <w:spacing w:line="360" w:lineRule="auto"/>
              <w:rPr>
                <w:rFonts w:ascii="宋体" w:hAnsi="宋体" w:cs="宋体"/>
                <w:color w:val="auto"/>
                <w:sz w:val="24"/>
                <w:highlight w:val="none"/>
              </w:rPr>
            </w:pPr>
            <w:r>
              <w:rPr>
                <w:rFonts w:hint="eastAsia" w:ascii="宋体" w:hAnsi="宋体" w:cs="宋体"/>
                <w:color w:val="auto"/>
                <w:sz w:val="24"/>
                <w:highlight w:val="none"/>
              </w:rPr>
              <w:t>投标文件的组成应符合招标文件要求</w:t>
            </w:r>
          </w:p>
        </w:tc>
        <w:tc>
          <w:tcPr>
            <w:tcW w:w="2551" w:type="dxa"/>
            <w:vAlign w:val="center"/>
          </w:tcPr>
          <w:p w14:paraId="62320DA7">
            <w:pPr>
              <w:spacing w:line="360" w:lineRule="auto"/>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62320DA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232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AA">
            <w:pPr>
              <w:jc w:val="center"/>
              <w:rPr>
                <w:rFonts w:ascii="宋体" w:hAnsi="宋体" w:cs="宋体"/>
                <w:color w:val="auto"/>
                <w:sz w:val="24"/>
                <w:highlight w:val="none"/>
              </w:rPr>
            </w:pPr>
            <w:r>
              <w:rPr>
                <w:rFonts w:hint="eastAsia" w:ascii="宋体" w:hAnsi="宋体" w:cs="宋体"/>
                <w:color w:val="auto"/>
                <w:sz w:val="24"/>
                <w:highlight w:val="none"/>
              </w:rPr>
              <w:t>4</w:t>
            </w:r>
          </w:p>
        </w:tc>
        <w:tc>
          <w:tcPr>
            <w:tcW w:w="5203" w:type="dxa"/>
            <w:vAlign w:val="center"/>
          </w:tcPr>
          <w:p w14:paraId="62320DAB">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2320DAC">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2320DA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32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AF">
            <w:pPr>
              <w:jc w:val="center"/>
              <w:rPr>
                <w:rFonts w:ascii="宋体" w:hAnsi="宋体" w:cs="宋体"/>
                <w:color w:val="auto"/>
                <w:sz w:val="24"/>
                <w:highlight w:val="none"/>
              </w:rPr>
            </w:pPr>
            <w:r>
              <w:rPr>
                <w:rFonts w:hint="eastAsia" w:ascii="宋体" w:hAnsi="宋体" w:cs="宋体"/>
                <w:color w:val="auto"/>
                <w:sz w:val="24"/>
                <w:highlight w:val="none"/>
              </w:rPr>
              <w:t>5</w:t>
            </w:r>
          </w:p>
        </w:tc>
        <w:tc>
          <w:tcPr>
            <w:tcW w:w="5203" w:type="dxa"/>
            <w:vAlign w:val="center"/>
          </w:tcPr>
          <w:p w14:paraId="62320DB0">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2320DB1">
            <w:pPr>
              <w:rPr>
                <w:rFonts w:ascii="宋体" w:hAnsi="宋体" w:cs="宋体"/>
                <w:color w:val="auto"/>
                <w:kern w:val="0"/>
                <w:sz w:val="24"/>
                <w:highlight w:val="none"/>
              </w:rPr>
            </w:pPr>
          </w:p>
        </w:tc>
        <w:tc>
          <w:tcPr>
            <w:tcW w:w="1418" w:type="dxa"/>
          </w:tcPr>
          <w:p w14:paraId="62320DB2">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3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2320DB4">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5203" w:type="dxa"/>
            <w:vAlign w:val="center"/>
          </w:tcPr>
          <w:p w14:paraId="62320DB5">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2320DB6">
            <w:pPr>
              <w:rPr>
                <w:rFonts w:ascii="宋体" w:hAnsi="宋体" w:cs="宋体"/>
                <w:color w:val="auto"/>
                <w:sz w:val="24"/>
                <w:highlight w:val="none"/>
              </w:rPr>
            </w:pPr>
          </w:p>
        </w:tc>
        <w:tc>
          <w:tcPr>
            <w:tcW w:w="1418" w:type="dxa"/>
          </w:tcPr>
          <w:p w14:paraId="62320DB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2320D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2320DBA">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2320DBB">
      <w:pPr>
        <w:spacing w:line="360" w:lineRule="auto"/>
        <w:ind w:right="420"/>
        <w:rPr>
          <w:rFonts w:ascii="宋体" w:hAnsi="宋体" w:cs="宋体"/>
          <w:color w:val="auto"/>
          <w:sz w:val="24"/>
          <w:highlight w:val="none"/>
        </w:rPr>
      </w:pPr>
    </w:p>
    <w:p w14:paraId="62320DBC">
      <w:pPr>
        <w:jc w:val="center"/>
        <w:rPr>
          <w:rFonts w:ascii="宋体" w:hAnsi="宋体" w:cs="宋体"/>
          <w:b/>
          <w:color w:val="auto"/>
          <w:kern w:val="0"/>
          <w:sz w:val="32"/>
          <w:szCs w:val="32"/>
          <w:highlight w:val="none"/>
        </w:rPr>
      </w:pPr>
    </w:p>
    <w:p w14:paraId="62320DB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2320DBE">
      <w:pPr>
        <w:jc w:val="center"/>
        <w:rPr>
          <w:rFonts w:ascii="宋体" w:hAnsi="宋体" w:cs="宋体"/>
          <w:b/>
          <w:color w:val="auto"/>
          <w:kern w:val="0"/>
          <w:sz w:val="32"/>
          <w:szCs w:val="32"/>
          <w:highlight w:val="none"/>
        </w:rPr>
      </w:pPr>
    </w:p>
    <w:p w14:paraId="62320DBF">
      <w:pPr>
        <w:jc w:val="center"/>
        <w:rPr>
          <w:rFonts w:ascii="宋体" w:hAnsi="宋体" w:cs="宋体"/>
          <w:b/>
          <w:color w:val="auto"/>
          <w:kern w:val="0"/>
          <w:sz w:val="32"/>
          <w:szCs w:val="32"/>
          <w:highlight w:val="none"/>
        </w:rPr>
      </w:pPr>
    </w:p>
    <w:p w14:paraId="62320DC0">
      <w:pPr>
        <w:jc w:val="center"/>
        <w:rPr>
          <w:rFonts w:ascii="宋体" w:hAnsi="宋体" w:cs="宋体"/>
          <w:b/>
          <w:color w:val="auto"/>
          <w:kern w:val="0"/>
          <w:sz w:val="32"/>
          <w:szCs w:val="32"/>
          <w:highlight w:val="none"/>
        </w:rPr>
      </w:pPr>
    </w:p>
    <w:p w14:paraId="62320DC1">
      <w:pPr>
        <w:jc w:val="center"/>
        <w:rPr>
          <w:rFonts w:ascii="宋体" w:hAnsi="宋体" w:cs="宋体"/>
          <w:b/>
          <w:color w:val="auto"/>
          <w:kern w:val="0"/>
          <w:sz w:val="32"/>
          <w:szCs w:val="32"/>
          <w:highlight w:val="none"/>
        </w:rPr>
      </w:pPr>
    </w:p>
    <w:p w14:paraId="62320DC2">
      <w:pPr>
        <w:jc w:val="center"/>
        <w:rPr>
          <w:rFonts w:ascii="宋体" w:hAnsi="宋体" w:cs="宋体"/>
          <w:b/>
          <w:color w:val="auto"/>
          <w:kern w:val="0"/>
          <w:sz w:val="32"/>
          <w:szCs w:val="32"/>
          <w:highlight w:val="none"/>
        </w:rPr>
      </w:pPr>
    </w:p>
    <w:p w14:paraId="62320DC3">
      <w:pPr>
        <w:jc w:val="center"/>
        <w:rPr>
          <w:rFonts w:ascii="宋体" w:hAnsi="宋体" w:cs="宋体"/>
          <w:b/>
          <w:color w:val="auto"/>
          <w:kern w:val="0"/>
          <w:sz w:val="32"/>
          <w:szCs w:val="32"/>
          <w:highlight w:val="none"/>
        </w:rPr>
      </w:pPr>
    </w:p>
    <w:p w14:paraId="62320DC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C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232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tcPr>
          <w:p w14:paraId="62320DC6">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序号</w:t>
            </w:r>
          </w:p>
        </w:tc>
        <w:tc>
          <w:tcPr>
            <w:tcW w:w="5465" w:type="dxa"/>
            <w:tcBorders>
              <w:top w:val="single" w:color="auto" w:sz="4" w:space="0"/>
              <w:left w:val="nil"/>
              <w:bottom w:val="single" w:color="auto" w:sz="4" w:space="0"/>
              <w:right w:val="single" w:color="auto" w:sz="4" w:space="0"/>
            </w:tcBorders>
          </w:tcPr>
          <w:p w14:paraId="62320DC7">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62320DC8">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投标文件中的页码位置</w:t>
            </w:r>
          </w:p>
        </w:tc>
      </w:tr>
      <w:tr w14:paraId="6232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2320DCA">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1</w:t>
            </w:r>
          </w:p>
        </w:tc>
        <w:tc>
          <w:tcPr>
            <w:tcW w:w="5465" w:type="dxa"/>
            <w:tcBorders>
              <w:top w:val="single" w:color="auto" w:sz="4" w:space="0"/>
              <w:left w:val="nil"/>
              <w:bottom w:val="single" w:color="auto" w:sz="4" w:space="0"/>
              <w:right w:val="single" w:color="auto" w:sz="4" w:space="0"/>
            </w:tcBorders>
          </w:tcPr>
          <w:p w14:paraId="62320DCB">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XXX（预先填写）</w:t>
            </w:r>
          </w:p>
        </w:tc>
        <w:tc>
          <w:tcPr>
            <w:tcW w:w="3046" w:type="dxa"/>
            <w:tcBorders>
              <w:top w:val="single" w:color="auto" w:sz="4" w:space="0"/>
              <w:left w:val="nil"/>
              <w:bottom w:val="single" w:color="auto" w:sz="4" w:space="0"/>
              <w:right w:val="single" w:color="auto" w:sz="4" w:space="0"/>
            </w:tcBorders>
          </w:tcPr>
          <w:p w14:paraId="62320DCC">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232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2320DCE">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2</w:t>
            </w:r>
          </w:p>
        </w:tc>
        <w:tc>
          <w:tcPr>
            <w:tcW w:w="5465" w:type="dxa"/>
            <w:tcBorders>
              <w:top w:val="single" w:color="auto" w:sz="4" w:space="0"/>
              <w:left w:val="nil"/>
              <w:bottom w:val="single" w:color="auto" w:sz="4" w:space="0"/>
              <w:right w:val="single" w:color="auto" w:sz="4" w:space="0"/>
            </w:tcBorders>
          </w:tcPr>
          <w:p w14:paraId="62320DCF">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XXX</w:t>
            </w:r>
          </w:p>
        </w:tc>
        <w:tc>
          <w:tcPr>
            <w:tcW w:w="3046" w:type="dxa"/>
            <w:tcBorders>
              <w:top w:val="single" w:color="auto" w:sz="4" w:space="0"/>
              <w:left w:val="nil"/>
              <w:bottom w:val="single" w:color="auto" w:sz="4" w:space="0"/>
              <w:right w:val="single" w:color="auto" w:sz="4" w:space="0"/>
            </w:tcBorders>
          </w:tcPr>
          <w:p w14:paraId="62320DD0">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232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2320DD2">
            <w:pPr>
              <w:snapToGrid w:val="0"/>
              <w:spacing w:line="600" w:lineRule="exact"/>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5465" w:type="dxa"/>
            <w:tcBorders>
              <w:top w:val="single" w:color="auto" w:sz="4" w:space="0"/>
              <w:left w:val="nil"/>
              <w:bottom w:val="single" w:color="auto" w:sz="4" w:space="0"/>
              <w:right w:val="single" w:color="auto" w:sz="4" w:space="0"/>
            </w:tcBorders>
          </w:tcPr>
          <w:p w14:paraId="62320DD3">
            <w:pPr>
              <w:snapToGrid w:val="0"/>
              <w:spacing w:line="600" w:lineRule="exact"/>
              <w:ind w:firstLine="480" w:firstLineChars="200"/>
              <w:jc w:val="center"/>
              <w:rPr>
                <w:rFonts w:ascii="宋体" w:hAnsi="宋体" w:cs="宋体"/>
                <w:color w:val="auto"/>
                <w:sz w:val="24"/>
                <w:highlight w:val="none"/>
              </w:rPr>
            </w:pPr>
          </w:p>
        </w:tc>
        <w:tc>
          <w:tcPr>
            <w:tcW w:w="3046" w:type="dxa"/>
            <w:tcBorders>
              <w:top w:val="single" w:color="auto" w:sz="4" w:space="0"/>
              <w:left w:val="nil"/>
              <w:bottom w:val="single" w:color="auto" w:sz="4" w:space="0"/>
              <w:right w:val="single" w:color="auto" w:sz="4" w:space="0"/>
            </w:tcBorders>
          </w:tcPr>
          <w:p w14:paraId="62320DD4">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62320DD6">
      <w:pPr>
        <w:jc w:val="center"/>
        <w:rPr>
          <w:rFonts w:ascii="宋体" w:hAnsi="宋体" w:cs="宋体"/>
          <w:b/>
          <w:color w:val="auto"/>
          <w:kern w:val="0"/>
          <w:sz w:val="32"/>
          <w:szCs w:val="32"/>
          <w:highlight w:val="none"/>
        </w:rPr>
      </w:pPr>
    </w:p>
    <w:p w14:paraId="62320DD7">
      <w:pPr>
        <w:jc w:val="center"/>
        <w:rPr>
          <w:rFonts w:ascii="宋体" w:hAnsi="宋体" w:cs="宋体"/>
          <w:b/>
          <w:color w:val="auto"/>
          <w:kern w:val="0"/>
          <w:sz w:val="32"/>
          <w:szCs w:val="32"/>
          <w:highlight w:val="none"/>
        </w:rPr>
      </w:pPr>
    </w:p>
    <w:p w14:paraId="62320DD8">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DD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32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20D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320D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2320DDC">
            <w:pPr>
              <w:spacing w:line="360" w:lineRule="auto"/>
              <w:jc w:val="center"/>
              <w:rPr>
                <w:rFonts w:ascii="宋体" w:hAnsi="宋体" w:cs="宋体"/>
                <w:b/>
                <w:color w:val="auto"/>
                <w:sz w:val="24"/>
                <w:highlight w:val="none"/>
              </w:rPr>
            </w:pPr>
          </w:p>
          <w:p w14:paraId="62320D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2320D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320D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320D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2320DE1">
            <w:pPr>
              <w:spacing w:line="360" w:lineRule="auto"/>
              <w:jc w:val="center"/>
              <w:rPr>
                <w:rFonts w:ascii="宋体" w:hAnsi="宋体" w:cs="宋体"/>
                <w:b/>
                <w:color w:val="auto"/>
                <w:sz w:val="24"/>
                <w:highlight w:val="none"/>
              </w:rPr>
            </w:pPr>
          </w:p>
          <w:p w14:paraId="62320D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2320DE3">
            <w:pPr>
              <w:spacing w:line="360" w:lineRule="auto"/>
              <w:jc w:val="center"/>
              <w:rPr>
                <w:rFonts w:ascii="宋体" w:hAnsi="宋体" w:cs="宋体"/>
                <w:b/>
                <w:color w:val="auto"/>
                <w:sz w:val="24"/>
                <w:highlight w:val="none"/>
              </w:rPr>
            </w:pPr>
          </w:p>
        </w:tc>
      </w:tr>
      <w:tr w14:paraId="6232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20D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320DE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320D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320DE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320DE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320DE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320DEB">
            <w:pPr>
              <w:spacing w:line="360" w:lineRule="auto"/>
              <w:jc w:val="center"/>
              <w:rPr>
                <w:rFonts w:ascii="宋体" w:hAnsi="宋体" w:cs="宋体"/>
                <w:color w:val="auto"/>
                <w:sz w:val="24"/>
                <w:highlight w:val="none"/>
              </w:rPr>
            </w:pPr>
          </w:p>
        </w:tc>
      </w:tr>
      <w:tr w14:paraId="6232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20D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320DE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320D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320DF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320DF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320DF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320DF3">
            <w:pPr>
              <w:spacing w:line="360" w:lineRule="auto"/>
              <w:jc w:val="center"/>
              <w:rPr>
                <w:rFonts w:ascii="宋体" w:hAnsi="宋体" w:cs="宋体"/>
                <w:color w:val="auto"/>
                <w:sz w:val="24"/>
                <w:highlight w:val="none"/>
              </w:rPr>
            </w:pPr>
          </w:p>
        </w:tc>
      </w:tr>
      <w:tr w14:paraId="6232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20D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320DF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320DF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320D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320DF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2320DF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2320DFB">
            <w:pPr>
              <w:spacing w:line="360" w:lineRule="auto"/>
              <w:jc w:val="center"/>
              <w:rPr>
                <w:rFonts w:ascii="宋体" w:hAnsi="宋体" w:cs="宋体"/>
                <w:color w:val="auto"/>
                <w:sz w:val="24"/>
                <w:highlight w:val="none"/>
              </w:rPr>
            </w:pPr>
          </w:p>
        </w:tc>
      </w:tr>
    </w:tbl>
    <w:p w14:paraId="62320D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320DFE">
      <w:pPr>
        <w:jc w:val="center"/>
        <w:rPr>
          <w:rFonts w:ascii="宋体" w:hAnsi="宋体" w:cs="宋体"/>
          <w:b/>
          <w:color w:val="auto"/>
          <w:kern w:val="0"/>
          <w:sz w:val="32"/>
          <w:szCs w:val="32"/>
          <w:highlight w:val="none"/>
        </w:rPr>
      </w:pPr>
    </w:p>
    <w:p w14:paraId="62320DFF">
      <w:pPr>
        <w:jc w:val="center"/>
        <w:rPr>
          <w:rFonts w:ascii="宋体" w:hAnsi="宋体" w:cs="宋体"/>
          <w:b/>
          <w:color w:val="auto"/>
          <w:kern w:val="0"/>
          <w:sz w:val="32"/>
          <w:szCs w:val="32"/>
          <w:highlight w:val="none"/>
        </w:rPr>
      </w:pPr>
    </w:p>
    <w:p w14:paraId="62320E00">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320E0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232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62320E0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2320E0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62320E0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62320E0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232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320E0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62320E08">
            <w:pPr>
              <w:jc w:val="center"/>
              <w:rPr>
                <w:rFonts w:ascii="宋体" w:hAnsi="宋体" w:cs="宋体"/>
                <w:b/>
                <w:color w:val="auto"/>
                <w:kern w:val="0"/>
                <w:sz w:val="32"/>
                <w:szCs w:val="32"/>
                <w:highlight w:val="none"/>
              </w:rPr>
            </w:pPr>
          </w:p>
        </w:tc>
        <w:tc>
          <w:tcPr>
            <w:tcW w:w="3546" w:type="dxa"/>
            <w:vAlign w:val="center"/>
          </w:tcPr>
          <w:p w14:paraId="62320E09">
            <w:pPr>
              <w:jc w:val="center"/>
              <w:rPr>
                <w:rFonts w:ascii="宋体" w:hAnsi="宋体" w:cs="宋体"/>
                <w:b/>
                <w:color w:val="auto"/>
                <w:kern w:val="0"/>
                <w:sz w:val="32"/>
                <w:szCs w:val="32"/>
                <w:highlight w:val="none"/>
              </w:rPr>
            </w:pPr>
          </w:p>
        </w:tc>
        <w:tc>
          <w:tcPr>
            <w:tcW w:w="1276" w:type="dxa"/>
            <w:vAlign w:val="center"/>
          </w:tcPr>
          <w:p w14:paraId="62320E0A">
            <w:pPr>
              <w:jc w:val="center"/>
              <w:rPr>
                <w:rFonts w:ascii="宋体" w:hAnsi="宋体" w:cs="宋体"/>
                <w:b/>
                <w:color w:val="auto"/>
                <w:kern w:val="0"/>
                <w:sz w:val="32"/>
                <w:szCs w:val="32"/>
                <w:highlight w:val="none"/>
              </w:rPr>
            </w:pPr>
          </w:p>
        </w:tc>
      </w:tr>
      <w:tr w14:paraId="623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320E0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62320E0D">
            <w:pPr>
              <w:jc w:val="center"/>
              <w:rPr>
                <w:rFonts w:ascii="宋体" w:hAnsi="宋体" w:cs="宋体"/>
                <w:b/>
                <w:color w:val="auto"/>
                <w:kern w:val="0"/>
                <w:sz w:val="32"/>
                <w:szCs w:val="32"/>
                <w:highlight w:val="none"/>
              </w:rPr>
            </w:pPr>
          </w:p>
        </w:tc>
        <w:tc>
          <w:tcPr>
            <w:tcW w:w="3546" w:type="dxa"/>
            <w:vAlign w:val="center"/>
          </w:tcPr>
          <w:p w14:paraId="62320E0E">
            <w:pPr>
              <w:jc w:val="center"/>
              <w:rPr>
                <w:rFonts w:ascii="宋体" w:hAnsi="宋体" w:cs="宋体"/>
                <w:b/>
                <w:color w:val="auto"/>
                <w:kern w:val="0"/>
                <w:sz w:val="32"/>
                <w:szCs w:val="32"/>
                <w:highlight w:val="none"/>
              </w:rPr>
            </w:pPr>
          </w:p>
        </w:tc>
        <w:tc>
          <w:tcPr>
            <w:tcW w:w="1276" w:type="dxa"/>
            <w:vAlign w:val="center"/>
          </w:tcPr>
          <w:p w14:paraId="62320E0F">
            <w:pPr>
              <w:jc w:val="center"/>
              <w:rPr>
                <w:rFonts w:ascii="宋体" w:hAnsi="宋体" w:cs="宋体"/>
                <w:b/>
                <w:color w:val="auto"/>
                <w:kern w:val="0"/>
                <w:sz w:val="32"/>
                <w:szCs w:val="32"/>
                <w:highlight w:val="none"/>
              </w:rPr>
            </w:pPr>
          </w:p>
        </w:tc>
      </w:tr>
      <w:tr w14:paraId="6232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2320E1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62320E12">
            <w:pPr>
              <w:jc w:val="center"/>
              <w:rPr>
                <w:rFonts w:ascii="宋体" w:hAnsi="宋体" w:cs="宋体"/>
                <w:b/>
                <w:color w:val="auto"/>
                <w:kern w:val="0"/>
                <w:sz w:val="32"/>
                <w:szCs w:val="32"/>
                <w:highlight w:val="none"/>
              </w:rPr>
            </w:pPr>
          </w:p>
        </w:tc>
        <w:tc>
          <w:tcPr>
            <w:tcW w:w="3546" w:type="dxa"/>
            <w:vAlign w:val="center"/>
          </w:tcPr>
          <w:p w14:paraId="62320E13">
            <w:pPr>
              <w:jc w:val="center"/>
              <w:rPr>
                <w:rFonts w:ascii="宋体" w:hAnsi="宋体" w:cs="宋体"/>
                <w:b/>
                <w:color w:val="auto"/>
                <w:kern w:val="0"/>
                <w:sz w:val="32"/>
                <w:szCs w:val="32"/>
                <w:highlight w:val="none"/>
              </w:rPr>
            </w:pPr>
          </w:p>
        </w:tc>
        <w:tc>
          <w:tcPr>
            <w:tcW w:w="1276" w:type="dxa"/>
            <w:vAlign w:val="center"/>
          </w:tcPr>
          <w:p w14:paraId="62320E14">
            <w:pPr>
              <w:jc w:val="center"/>
              <w:rPr>
                <w:rFonts w:ascii="宋体" w:hAnsi="宋体" w:cs="宋体"/>
                <w:b/>
                <w:color w:val="auto"/>
                <w:kern w:val="0"/>
                <w:sz w:val="32"/>
                <w:szCs w:val="32"/>
                <w:highlight w:val="none"/>
              </w:rPr>
            </w:pPr>
          </w:p>
        </w:tc>
      </w:tr>
    </w:tbl>
    <w:p w14:paraId="62320E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2320E17">
      <w:pPr>
        <w:jc w:val="center"/>
        <w:rPr>
          <w:rFonts w:ascii="宋体" w:hAnsi="宋体" w:cs="宋体"/>
          <w:b/>
          <w:color w:val="auto"/>
          <w:kern w:val="0"/>
          <w:sz w:val="32"/>
          <w:szCs w:val="32"/>
          <w:highlight w:val="none"/>
        </w:rPr>
      </w:pPr>
    </w:p>
    <w:p w14:paraId="62320E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2320E19">
      <w:pPr>
        <w:pStyle w:val="85"/>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2.本表格所反映的偏离情况与“符合性审查资料”、“评标标准相应的商务技术资料”不一致的，以“符合性审查资料”、“评标标准相应的商务技术资料”为准。</w:t>
      </w:r>
    </w:p>
    <w:p w14:paraId="62320E1A">
      <w:pPr>
        <w:pStyle w:val="85"/>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3.投标人须保证：除商务技术偏离表列出的偏离外，投标人响应招标文件的全部非实质性要求。</w:t>
      </w:r>
    </w:p>
    <w:p w14:paraId="62320E1B">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2320E1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2320E1D">
      <w:pPr>
        <w:snapToGrid w:val="0"/>
        <w:spacing w:line="360" w:lineRule="auto"/>
        <w:rPr>
          <w:rFonts w:ascii="宋体" w:hAnsi="宋体" w:cs="宋体"/>
          <w:color w:val="auto"/>
          <w:sz w:val="24"/>
          <w:highlight w:val="none"/>
        </w:rPr>
      </w:pPr>
    </w:p>
    <w:p w14:paraId="62320E1E">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rPr>
        <w:t>浙江省司法厅</w:t>
      </w:r>
      <w:r>
        <w:rPr>
          <w:rFonts w:hint="eastAsia" w:ascii="宋体" w:hAnsi="宋体" w:cs="宋体"/>
          <w:b/>
          <w:bCs/>
          <w:color w:val="auto"/>
          <w:kern w:val="0"/>
          <w:sz w:val="24"/>
          <w:highlight w:val="none"/>
          <w:u w:val="single"/>
          <w:lang w:val="zh-CN"/>
        </w:rPr>
        <w:t>：</w:t>
      </w:r>
    </w:p>
    <w:p w14:paraId="62320E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2320E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2320E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2320E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320E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320E2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320E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2320E2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2320E2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2320E28">
      <w:pPr>
        <w:autoSpaceDE w:val="0"/>
        <w:autoSpaceDN w:val="0"/>
        <w:spacing w:line="360" w:lineRule="auto"/>
        <w:ind w:left="2"/>
        <w:jc w:val="left"/>
        <w:rPr>
          <w:rFonts w:ascii="宋体" w:hAnsi="宋体" w:cs="宋体"/>
          <w:color w:val="auto"/>
          <w:kern w:val="0"/>
          <w:sz w:val="24"/>
          <w:highlight w:val="none"/>
          <w:lang w:val="zh-CN"/>
        </w:rPr>
      </w:pPr>
    </w:p>
    <w:p w14:paraId="62320E29">
      <w:pPr>
        <w:autoSpaceDE w:val="0"/>
        <w:autoSpaceDN w:val="0"/>
        <w:spacing w:line="360" w:lineRule="auto"/>
        <w:ind w:left="2"/>
        <w:jc w:val="left"/>
        <w:rPr>
          <w:rFonts w:ascii="宋体" w:hAnsi="宋体" w:cs="宋体"/>
          <w:color w:val="auto"/>
          <w:kern w:val="0"/>
          <w:sz w:val="24"/>
          <w:highlight w:val="none"/>
          <w:lang w:val="zh-CN"/>
        </w:rPr>
      </w:pPr>
    </w:p>
    <w:p w14:paraId="62320E2A">
      <w:pPr>
        <w:autoSpaceDE w:val="0"/>
        <w:autoSpaceDN w:val="0"/>
        <w:spacing w:line="360" w:lineRule="auto"/>
        <w:ind w:left="2"/>
        <w:jc w:val="left"/>
        <w:rPr>
          <w:rFonts w:ascii="宋体" w:hAnsi="宋体" w:cs="宋体"/>
          <w:color w:val="auto"/>
          <w:kern w:val="0"/>
          <w:sz w:val="24"/>
          <w:highlight w:val="none"/>
          <w:lang w:val="zh-CN"/>
        </w:rPr>
      </w:pPr>
    </w:p>
    <w:p w14:paraId="62320E2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2320E2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320E2D">
      <w:pPr>
        <w:spacing w:line="360" w:lineRule="auto"/>
        <w:jc w:val="center"/>
        <w:rPr>
          <w:rFonts w:ascii="宋体" w:hAnsi="宋体" w:cs="宋体"/>
          <w:b/>
          <w:bCs/>
          <w:color w:val="auto"/>
          <w:sz w:val="24"/>
          <w:highlight w:val="none"/>
        </w:rPr>
      </w:pPr>
    </w:p>
    <w:p w14:paraId="62320E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6149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320E3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2320E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320E32">
      <w:pPr>
        <w:spacing w:line="360" w:lineRule="auto"/>
        <w:jc w:val="center"/>
        <w:outlineLvl w:val="0"/>
        <w:rPr>
          <w:rFonts w:ascii="宋体" w:hAnsi="宋体" w:cs="宋体"/>
          <w:b/>
          <w:color w:val="auto"/>
          <w:kern w:val="0"/>
          <w:sz w:val="36"/>
          <w:szCs w:val="36"/>
          <w:highlight w:val="none"/>
        </w:rPr>
      </w:pPr>
    </w:p>
    <w:p w14:paraId="62320E33">
      <w:pPr>
        <w:numPr>
          <w:ilvl w:val="0"/>
          <w:numId w:val="10"/>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2320E3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报价情况说明（如有）</w:t>
      </w:r>
      <w:r>
        <w:rPr>
          <w:rFonts w:hint="eastAsia" w:ascii="宋体" w:hAnsi="宋体" w:cs="宋体"/>
          <w:color w:val="auto"/>
          <w:sz w:val="24"/>
          <w:highlight w:val="none"/>
        </w:rPr>
        <w:t>………………………………………………………（页码）</w:t>
      </w:r>
    </w:p>
    <w:p w14:paraId="62320E36">
      <w:pPr>
        <w:pStyle w:val="87"/>
        <w:rPr>
          <w:rFonts w:ascii="宋体" w:hAnsi="宋体" w:eastAsia="宋体" w:cs="宋体"/>
          <w:color w:val="auto"/>
          <w:highlight w:val="none"/>
        </w:rPr>
      </w:pPr>
    </w:p>
    <w:p w14:paraId="62320E37">
      <w:pPr>
        <w:pStyle w:val="87"/>
        <w:rPr>
          <w:rFonts w:ascii="宋体" w:hAnsi="宋体" w:eastAsia="宋体" w:cs="宋体"/>
          <w:color w:val="auto"/>
          <w:highlight w:val="none"/>
        </w:rPr>
      </w:pPr>
    </w:p>
    <w:p w14:paraId="62320E38">
      <w:pPr>
        <w:snapToGrid w:val="0"/>
        <w:spacing w:line="360" w:lineRule="auto"/>
        <w:ind w:right="480"/>
        <w:jc w:val="center"/>
        <w:rPr>
          <w:rFonts w:ascii="宋体" w:hAnsi="宋体" w:cs="宋体"/>
          <w:b/>
          <w:color w:val="auto"/>
          <w:kern w:val="0"/>
          <w:sz w:val="32"/>
          <w:szCs w:val="32"/>
          <w:highlight w:val="none"/>
        </w:rPr>
      </w:pPr>
    </w:p>
    <w:p w14:paraId="62320E39">
      <w:pPr>
        <w:snapToGrid w:val="0"/>
        <w:spacing w:line="360" w:lineRule="auto"/>
        <w:ind w:right="480"/>
        <w:jc w:val="center"/>
        <w:rPr>
          <w:rFonts w:ascii="宋体" w:hAnsi="宋体" w:cs="宋体"/>
          <w:b/>
          <w:color w:val="auto"/>
          <w:kern w:val="0"/>
          <w:sz w:val="32"/>
          <w:szCs w:val="32"/>
          <w:highlight w:val="none"/>
        </w:rPr>
      </w:pPr>
    </w:p>
    <w:p w14:paraId="62320E3A">
      <w:pPr>
        <w:snapToGrid w:val="0"/>
        <w:spacing w:line="360" w:lineRule="auto"/>
        <w:ind w:right="480"/>
        <w:jc w:val="center"/>
        <w:rPr>
          <w:rFonts w:ascii="宋体" w:hAnsi="宋体" w:cs="宋体"/>
          <w:b/>
          <w:color w:val="auto"/>
          <w:kern w:val="0"/>
          <w:sz w:val="32"/>
          <w:szCs w:val="32"/>
          <w:highlight w:val="none"/>
        </w:rPr>
      </w:pPr>
    </w:p>
    <w:p w14:paraId="62320E3B">
      <w:pPr>
        <w:snapToGrid w:val="0"/>
        <w:spacing w:line="360" w:lineRule="auto"/>
        <w:ind w:right="480"/>
        <w:jc w:val="center"/>
        <w:rPr>
          <w:rFonts w:ascii="宋体" w:hAnsi="宋体" w:cs="宋体"/>
          <w:b/>
          <w:color w:val="auto"/>
          <w:kern w:val="0"/>
          <w:sz w:val="32"/>
          <w:szCs w:val="32"/>
          <w:highlight w:val="none"/>
        </w:rPr>
      </w:pPr>
    </w:p>
    <w:p w14:paraId="62320E3C">
      <w:pPr>
        <w:snapToGrid w:val="0"/>
        <w:spacing w:line="360" w:lineRule="auto"/>
        <w:ind w:right="480"/>
        <w:jc w:val="center"/>
        <w:rPr>
          <w:rFonts w:ascii="宋体" w:hAnsi="宋体" w:cs="宋体"/>
          <w:b/>
          <w:color w:val="auto"/>
          <w:kern w:val="0"/>
          <w:sz w:val="32"/>
          <w:szCs w:val="32"/>
          <w:highlight w:val="none"/>
        </w:rPr>
      </w:pPr>
    </w:p>
    <w:p w14:paraId="62320E3D">
      <w:pPr>
        <w:snapToGrid w:val="0"/>
        <w:spacing w:line="360" w:lineRule="auto"/>
        <w:ind w:right="480"/>
        <w:jc w:val="center"/>
        <w:rPr>
          <w:rFonts w:ascii="宋体" w:hAnsi="宋体" w:cs="宋体"/>
          <w:b/>
          <w:color w:val="auto"/>
          <w:kern w:val="0"/>
          <w:sz w:val="32"/>
          <w:szCs w:val="32"/>
          <w:highlight w:val="none"/>
        </w:rPr>
      </w:pPr>
    </w:p>
    <w:p w14:paraId="62320E3E">
      <w:pPr>
        <w:snapToGrid w:val="0"/>
        <w:spacing w:line="360" w:lineRule="auto"/>
        <w:ind w:right="480"/>
        <w:jc w:val="center"/>
        <w:rPr>
          <w:rFonts w:ascii="宋体" w:hAnsi="宋体" w:cs="宋体"/>
          <w:b/>
          <w:color w:val="auto"/>
          <w:kern w:val="0"/>
          <w:sz w:val="32"/>
          <w:szCs w:val="32"/>
          <w:highlight w:val="none"/>
        </w:rPr>
      </w:pPr>
    </w:p>
    <w:p w14:paraId="62320E3F">
      <w:pPr>
        <w:snapToGrid w:val="0"/>
        <w:spacing w:line="360" w:lineRule="auto"/>
        <w:ind w:right="480"/>
        <w:jc w:val="center"/>
        <w:rPr>
          <w:rFonts w:ascii="宋体" w:hAnsi="宋体" w:cs="宋体"/>
          <w:b/>
          <w:color w:val="auto"/>
          <w:kern w:val="0"/>
          <w:sz w:val="32"/>
          <w:szCs w:val="32"/>
          <w:highlight w:val="none"/>
        </w:rPr>
      </w:pPr>
    </w:p>
    <w:p w14:paraId="62320E40">
      <w:pPr>
        <w:snapToGrid w:val="0"/>
        <w:spacing w:line="360" w:lineRule="auto"/>
        <w:ind w:right="480"/>
        <w:jc w:val="center"/>
        <w:rPr>
          <w:rFonts w:ascii="宋体" w:hAnsi="宋体" w:cs="宋体"/>
          <w:b/>
          <w:color w:val="auto"/>
          <w:kern w:val="0"/>
          <w:sz w:val="32"/>
          <w:szCs w:val="32"/>
          <w:highlight w:val="none"/>
        </w:rPr>
      </w:pPr>
    </w:p>
    <w:p w14:paraId="62320E41">
      <w:pPr>
        <w:snapToGrid w:val="0"/>
        <w:spacing w:line="360" w:lineRule="auto"/>
        <w:ind w:right="480"/>
        <w:jc w:val="center"/>
        <w:rPr>
          <w:rFonts w:ascii="宋体" w:hAnsi="宋体" w:cs="宋体"/>
          <w:b/>
          <w:color w:val="auto"/>
          <w:kern w:val="0"/>
          <w:sz w:val="32"/>
          <w:szCs w:val="32"/>
          <w:highlight w:val="none"/>
        </w:rPr>
      </w:pPr>
    </w:p>
    <w:p w14:paraId="62320E42">
      <w:pPr>
        <w:snapToGrid w:val="0"/>
        <w:spacing w:line="360" w:lineRule="auto"/>
        <w:ind w:right="480"/>
        <w:jc w:val="center"/>
        <w:rPr>
          <w:rFonts w:ascii="宋体" w:hAnsi="宋体" w:cs="宋体"/>
          <w:b/>
          <w:color w:val="auto"/>
          <w:kern w:val="0"/>
          <w:sz w:val="32"/>
          <w:szCs w:val="32"/>
          <w:highlight w:val="none"/>
        </w:rPr>
      </w:pPr>
    </w:p>
    <w:p w14:paraId="62320E43">
      <w:pPr>
        <w:snapToGrid w:val="0"/>
        <w:spacing w:line="360" w:lineRule="auto"/>
        <w:ind w:right="480"/>
        <w:jc w:val="center"/>
        <w:rPr>
          <w:rFonts w:ascii="宋体" w:hAnsi="宋体" w:cs="宋体"/>
          <w:b/>
          <w:color w:val="auto"/>
          <w:kern w:val="0"/>
          <w:sz w:val="32"/>
          <w:szCs w:val="32"/>
          <w:highlight w:val="none"/>
        </w:rPr>
      </w:pPr>
    </w:p>
    <w:p w14:paraId="62320E44">
      <w:pPr>
        <w:snapToGrid w:val="0"/>
        <w:spacing w:line="360" w:lineRule="auto"/>
        <w:ind w:right="480"/>
        <w:jc w:val="center"/>
        <w:rPr>
          <w:rFonts w:ascii="宋体" w:hAnsi="宋体" w:cs="宋体"/>
          <w:b/>
          <w:color w:val="auto"/>
          <w:kern w:val="0"/>
          <w:sz w:val="32"/>
          <w:szCs w:val="32"/>
          <w:highlight w:val="none"/>
        </w:rPr>
      </w:pPr>
    </w:p>
    <w:p w14:paraId="62320E45">
      <w:pPr>
        <w:snapToGrid w:val="0"/>
        <w:spacing w:line="360" w:lineRule="auto"/>
        <w:ind w:right="480"/>
        <w:jc w:val="center"/>
        <w:rPr>
          <w:rFonts w:ascii="宋体" w:hAnsi="宋体" w:cs="宋体"/>
          <w:b/>
          <w:color w:val="auto"/>
          <w:kern w:val="0"/>
          <w:sz w:val="32"/>
          <w:szCs w:val="32"/>
          <w:highlight w:val="none"/>
        </w:rPr>
      </w:pPr>
    </w:p>
    <w:p w14:paraId="62320E46">
      <w:pPr>
        <w:snapToGrid w:val="0"/>
        <w:spacing w:line="360" w:lineRule="auto"/>
        <w:ind w:right="480"/>
        <w:jc w:val="center"/>
        <w:rPr>
          <w:rFonts w:ascii="宋体" w:hAnsi="宋体" w:cs="宋体"/>
          <w:b/>
          <w:color w:val="auto"/>
          <w:kern w:val="0"/>
          <w:sz w:val="32"/>
          <w:szCs w:val="32"/>
          <w:highlight w:val="none"/>
        </w:rPr>
      </w:pPr>
    </w:p>
    <w:p w14:paraId="0CE556E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2320E4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2320E49">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rPr>
        <w:t>浙江省司法厅</w:t>
      </w:r>
      <w:r>
        <w:rPr>
          <w:rFonts w:hint="eastAsia" w:ascii="宋体" w:hAnsi="宋体" w:cs="宋体"/>
          <w:b/>
          <w:bCs/>
          <w:color w:val="auto"/>
          <w:kern w:val="0"/>
          <w:sz w:val="24"/>
          <w:highlight w:val="none"/>
          <w:u w:val="single"/>
          <w:lang w:val="zh-CN"/>
        </w:rPr>
        <w:t>：</w:t>
      </w:r>
    </w:p>
    <w:p w14:paraId="62320E4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浙江省司法厅浙江省法律服务领域应用迭代升级改造项目—律师管理功能</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ZJ-2471321-11】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2320E4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2"/>
        <w:gridCol w:w="1798"/>
        <w:gridCol w:w="2410"/>
        <w:gridCol w:w="2268"/>
        <w:gridCol w:w="2126"/>
        <w:gridCol w:w="2127"/>
        <w:gridCol w:w="2126"/>
      </w:tblGrid>
      <w:tr w14:paraId="6232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2320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2" w:type="dxa"/>
            <w:vAlign w:val="center"/>
          </w:tcPr>
          <w:p w14:paraId="62320E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98" w:type="dxa"/>
          </w:tcPr>
          <w:p w14:paraId="62320E4E">
            <w:pPr>
              <w:spacing w:line="360" w:lineRule="auto"/>
              <w:jc w:val="center"/>
              <w:rPr>
                <w:rFonts w:ascii="宋体" w:hAnsi="宋体" w:cs="宋体"/>
                <w:b/>
                <w:color w:val="auto"/>
                <w:sz w:val="24"/>
                <w:highlight w:val="none"/>
              </w:rPr>
            </w:pPr>
          </w:p>
          <w:p w14:paraId="62320E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2320E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2320E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126" w:type="dxa"/>
            <w:vAlign w:val="center"/>
          </w:tcPr>
          <w:p w14:paraId="62320E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127" w:type="dxa"/>
            <w:vAlign w:val="center"/>
          </w:tcPr>
          <w:p w14:paraId="62320E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126" w:type="dxa"/>
            <w:vAlign w:val="center"/>
          </w:tcPr>
          <w:p w14:paraId="62320E54">
            <w:pPr>
              <w:spacing w:line="360" w:lineRule="auto"/>
              <w:jc w:val="center"/>
              <w:rPr>
                <w:rFonts w:ascii="宋体" w:hAnsi="宋体" w:cs="宋体"/>
                <w:b/>
                <w:color w:val="auto"/>
                <w:sz w:val="24"/>
                <w:highlight w:val="none"/>
              </w:rPr>
            </w:pPr>
          </w:p>
          <w:p w14:paraId="62320E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2320E56">
            <w:pPr>
              <w:spacing w:line="360" w:lineRule="auto"/>
              <w:jc w:val="center"/>
              <w:rPr>
                <w:rFonts w:ascii="宋体" w:hAnsi="宋体" w:cs="宋体"/>
                <w:b/>
                <w:color w:val="auto"/>
                <w:sz w:val="24"/>
                <w:highlight w:val="none"/>
              </w:rPr>
            </w:pPr>
          </w:p>
        </w:tc>
      </w:tr>
      <w:tr w14:paraId="623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320E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2" w:type="dxa"/>
            <w:vAlign w:val="center"/>
          </w:tcPr>
          <w:p w14:paraId="62320E59">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62320E5A">
            <w:pPr>
              <w:snapToGrid w:val="0"/>
              <w:spacing w:line="360" w:lineRule="auto"/>
              <w:jc w:val="center"/>
              <w:rPr>
                <w:rFonts w:ascii="宋体" w:hAnsi="宋体" w:cs="宋体"/>
                <w:color w:val="auto"/>
                <w:sz w:val="24"/>
                <w:highlight w:val="none"/>
              </w:rPr>
            </w:pPr>
          </w:p>
        </w:tc>
        <w:tc>
          <w:tcPr>
            <w:tcW w:w="2410" w:type="dxa"/>
            <w:vAlign w:val="center"/>
          </w:tcPr>
          <w:p w14:paraId="62320E5B">
            <w:pPr>
              <w:snapToGrid w:val="0"/>
              <w:spacing w:line="360" w:lineRule="auto"/>
              <w:jc w:val="center"/>
              <w:rPr>
                <w:rFonts w:ascii="宋体" w:hAnsi="宋体" w:cs="宋体"/>
                <w:color w:val="auto"/>
                <w:sz w:val="24"/>
                <w:highlight w:val="none"/>
              </w:rPr>
            </w:pPr>
          </w:p>
        </w:tc>
        <w:tc>
          <w:tcPr>
            <w:tcW w:w="2268" w:type="dxa"/>
            <w:vAlign w:val="center"/>
          </w:tcPr>
          <w:p w14:paraId="62320E5C">
            <w:pPr>
              <w:snapToGrid w:val="0"/>
              <w:spacing w:line="360" w:lineRule="auto"/>
              <w:jc w:val="center"/>
              <w:rPr>
                <w:rFonts w:ascii="宋体" w:hAnsi="宋体" w:cs="宋体"/>
                <w:color w:val="auto"/>
                <w:sz w:val="24"/>
                <w:highlight w:val="none"/>
              </w:rPr>
            </w:pPr>
          </w:p>
        </w:tc>
        <w:tc>
          <w:tcPr>
            <w:tcW w:w="2126" w:type="dxa"/>
            <w:vAlign w:val="center"/>
          </w:tcPr>
          <w:p w14:paraId="62320E5D">
            <w:pPr>
              <w:spacing w:line="360" w:lineRule="auto"/>
              <w:jc w:val="center"/>
              <w:rPr>
                <w:rFonts w:ascii="宋体" w:hAnsi="宋体" w:cs="宋体"/>
                <w:color w:val="auto"/>
                <w:sz w:val="24"/>
                <w:highlight w:val="none"/>
              </w:rPr>
            </w:pPr>
          </w:p>
        </w:tc>
        <w:tc>
          <w:tcPr>
            <w:tcW w:w="2127" w:type="dxa"/>
          </w:tcPr>
          <w:p w14:paraId="62320E5E">
            <w:pPr>
              <w:spacing w:line="360" w:lineRule="auto"/>
              <w:jc w:val="center"/>
              <w:rPr>
                <w:rFonts w:ascii="宋体" w:hAnsi="宋体" w:cs="宋体"/>
                <w:color w:val="auto"/>
                <w:sz w:val="24"/>
                <w:highlight w:val="none"/>
              </w:rPr>
            </w:pPr>
          </w:p>
        </w:tc>
        <w:tc>
          <w:tcPr>
            <w:tcW w:w="2126" w:type="dxa"/>
            <w:vAlign w:val="center"/>
          </w:tcPr>
          <w:p w14:paraId="62320E5F">
            <w:pPr>
              <w:spacing w:line="360" w:lineRule="auto"/>
              <w:jc w:val="center"/>
              <w:rPr>
                <w:rFonts w:ascii="宋体" w:hAnsi="宋体" w:cs="宋体"/>
                <w:color w:val="auto"/>
                <w:sz w:val="24"/>
                <w:highlight w:val="none"/>
              </w:rPr>
            </w:pPr>
          </w:p>
        </w:tc>
      </w:tr>
      <w:tr w14:paraId="6232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320E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62" w:type="dxa"/>
            <w:vAlign w:val="center"/>
          </w:tcPr>
          <w:p w14:paraId="62320E62">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62320E63">
            <w:pPr>
              <w:snapToGrid w:val="0"/>
              <w:spacing w:line="360" w:lineRule="auto"/>
              <w:jc w:val="center"/>
              <w:rPr>
                <w:rFonts w:ascii="宋体" w:hAnsi="宋体" w:cs="宋体"/>
                <w:color w:val="auto"/>
                <w:sz w:val="24"/>
                <w:highlight w:val="none"/>
              </w:rPr>
            </w:pPr>
          </w:p>
        </w:tc>
        <w:tc>
          <w:tcPr>
            <w:tcW w:w="2410" w:type="dxa"/>
            <w:vAlign w:val="center"/>
          </w:tcPr>
          <w:p w14:paraId="62320E64">
            <w:pPr>
              <w:snapToGrid w:val="0"/>
              <w:spacing w:line="360" w:lineRule="auto"/>
              <w:jc w:val="center"/>
              <w:rPr>
                <w:rFonts w:ascii="宋体" w:hAnsi="宋体" w:cs="宋体"/>
                <w:color w:val="auto"/>
                <w:sz w:val="24"/>
                <w:highlight w:val="none"/>
              </w:rPr>
            </w:pPr>
          </w:p>
        </w:tc>
        <w:tc>
          <w:tcPr>
            <w:tcW w:w="2268" w:type="dxa"/>
            <w:vAlign w:val="center"/>
          </w:tcPr>
          <w:p w14:paraId="62320E65">
            <w:pPr>
              <w:snapToGrid w:val="0"/>
              <w:spacing w:line="360" w:lineRule="auto"/>
              <w:jc w:val="center"/>
              <w:rPr>
                <w:rFonts w:ascii="宋体" w:hAnsi="宋体" w:cs="宋体"/>
                <w:color w:val="auto"/>
                <w:sz w:val="24"/>
                <w:highlight w:val="none"/>
              </w:rPr>
            </w:pPr>
          </w:p>
        </w:tc>
        <w:tc>
          <w:tcPr>
            <w:tcW w:w="2126" w:type="dxa"/>
            <w:vAlign w:val="center"/>
          </w:tcPr>
          <w:p w14:paraId="62320E66">
            <w:pPr>
              <w:spacing w:line="360" w:lineRule="auto"/>
              <w:jc w:val="center"/>
              <w:rPr>
                <w:rFonts w:ascii="宋体" w:hAnsi="宋体" w:cs="宋体"/>
                <w:color w:val="auto"/>
                <w:sz w:val="24"/>
                <w:highlight w:val="none"/>
              </w:rPr>
            </w:pPr>
          </w:p>
        </w:tc>
        <w:tc>
          <w:tcPr>
            <w:tcW w:w="2127" w:type="dxa"/>
          </w:tcPr>
          <w:p w14:paraId="62320E67">
            <w:pPr>
              <w:spacing w:line="360" w:lineRule="auto"/>
              <w:jc w:val="center"/>
              <w:rPr>
                <w:rFonts w:ascii="宋体" w:hAnsi="宋体" w:cs="宋体"/>
                <w:color w:val="auto"/>
                <w:sz w:val="24"/>
                <w:highlight w:val="none"/>
              </w:rPr>
            </w:pPr>
          </w:p>
        </w:tc>
        <w:tc>
          <w:tcPr>
            <w:tcW w:w="2126" w:type="dxa"/>
            <w:vAlign w:val="center"/>
          </w:tcPr>
          <w:p w14:paraId="62320E68">
            <w:pPr>
              <w:spacing w:line="360" w:lineRule="auto"/>
              <w:jc w:val="center"/>
              <w:rPr>
                <w:rFonts w:ascii="宋体" w:hAnsi="宋体" w:cs="宋体"/>
                <w:color w:val="auto"/>
                <w:sz w:val="24"/>
                <w:highlight w:val="none"/>
              </w:rPr>
            </w:pPr>
          </w:p>
        </w:tc>
      </w:tr>
      <w:tr w14:paraId="6232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2320E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62" w:type="dxa"/>
            <w:vAlign w:val="center"/>
          </w:tcPr>
          <w:p w14:paraId="62320E6B">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62320E6C">
            <w:pPr>
              <w:snapToGrid w:val="0"/>
              <w:spacing w:line="360" w:lineRule="auto"/>
              <w:jc w:val="center"/>
              <w:rPr>
                <w:rFonts w:ascii="宋体" w:hAnsi="宋体" w:cs="宋体"/>
                <w:color w:val="auto"/>
                <w:sz w:val="24"/>
                <w:highlight w:val="none"/>
              </w:rPr>
            </w:pPr>
          </w:p>
        </w:tc>
        <w:tc>
          <w:tcPr>
            <w:tcW w:w="2410" w:type="dxa"/>
            <w:vAlign w:val="center"/>
          </w:tcPr>
          <w:p w14:paraId="62320E6D">
            <w:pPr>
              <w:snapToGrid w:val="0"/>
              <w:spacing w:line="360" w:lineRule="auto"/>
              <w:jc w:val="center"/>
              <w:rPr>
                <w:rFonts w:ascii="宋体" w:hAnsi="宋体" w:cs="宋体"/>
                <w:color w:val="auto"/>
                <w:sz w:val="24"/>
                <w:highlight w:val="none"/>
              </w:rPr>
            </w:pPr>
          </w:p>
        </w:tc>
        <w:tc>
          <w:tcPr>
            <w:tcW w:w="2268" w:type="dxa"/>
            <w:vAlign w:val="center"/>
          </w:tcPr>
          <w:p w14:paraId="62320E6E">
            <w:pPr>
              <w:snapToGrid w:val="0"/>
              <w:spacing w:line="360" w:lineRule="auto"/>
              <w:jc w:val="center"/>
              <w:rPr>
                <w:rFonts w:ascii="宋体" w:hAnsi="宋体" w:cs="宋体"/>
                <w:color w:val="auto"/>
                <w:sz w:val="24"/>
                <w:highlight w:val="none"/>
              </w:rPr>
            </w:pPr>
          </w:p>
        </w:tc>
        <w:tc>
          <w:tcPr>
            <w:tcW w:w="2126" w:type="dxa"/>
            <w:vAlign w:val="center"/>
          </w:tcPr>
          <w:p w14:paraId="62320E6F">
            <w:pPr>
              <w:spacing w:line="360" w:lineRule="auto"/>
              <w:jc w:val="center"/>
              <w:rPr>
                <w:rFonts w:ascii="宋体" w:hAnsi="宋体" w:cs="宋体"/>
                <w:color w:val="auto"/>
                <w:sz w:val="24"/>
                <w:highlight w:val="none"/>
              </w:rPr>
            </w:pPr>
          </w:p>
        </w:tc>
        <w:tc>
          <w:tcPr>
            <w:tcW w:w="2127" w:type="dxa"/>
          </w:tcPr>
          <w:p w14:paraId="62320E70">
            <w:pPr>
              <w:spacing w:line="360" w:lineRule="auto"/>
              <w:jc w:val="center"/>
              <w:rPr>
                <w:rFonts w:ascii="宋体" w:hAnsi="宋体" w:cs="宋体"/>
                <w:color w:val="auto"/>
                <w:sz w:val="24"/>
                <w:highlight w:val="none"/>
              </w:rPr>
            </w:pPr>
          </w:p>
        </w:tc>
        <w:tc>
          <w:tcPr>
            <w:tcW w:w="2126" w:type="dxa"/>
            <w:vAlign w:val="center"/>
          </w:tcPr>
          <w:p w14:paraId="62320E71">
            <w:pPr>
              <w:spacing w:line="360" w:lineRule="auto"/>
              <w:jc w:val="center"/>
              <w:rPr>
                <w:rFonts w:ascii="宋体" w:hAnsi="宋体" w:cs="宋体"/>
                <w:color w:val="auto"/>
                <w:sz w:val="24"/>
                <w:highlight w:val="none"/>
              </w:rPr>
            </w:pPr>
          </w:p>
        </w:tc>
      </w:tr>
      <w:tr w14:paraId="6232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2320E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2320E74">
            <w:pPr>
              <w:spacing w:line="360" w:lineRule="auto"/>
              <w:jc w:val="center"/>
              <w:rPr>
                <w:rFonts w:ascii="宋体" w:hAnsi="宋体" w:cs="宋体"/>
                <w:color w:val="auto"/>
                <w:sz w:val="24"/>
                <w:highlight w:val="none"/>
              </w:rPr>
            </w:pPr>
          </w:p>
        </w:tc>
      </w:tr>
      <w:tr w14:paraId="6232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320E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62320E77">
            <w:pPr>
              <w:spacing w:line="360" w:lineRule="auto"/>
              <w:jc w:val="center"/>
              <w:rPr>
                <w:rFonts w:ascii="宋体" w:hAnsi="宋体" w:cs="宋体"/>
                <w:color w:val="auto"/>
                <w:sz w:val="24"/>
                <w:highlight w:val="none"/>
              </w:rPr>
            </w:pPr>
          </w:p>
        </w:tc>
      </w:tr>
    </w:tbl>
    <w:p w14:paraId="62320E7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2320E7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2320E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320E7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320E7D">
      <w:pPr>
        <w:spacing w:line="360" w:lineRule="auto"/>
        <w:ind w:firstLine="482" w:firstLineChars="200"/>
        <w:rPr>
          <w:rFonts w:ascii="宋体" w:hAnsi="宋体" w:cs="宋体"/>
          <w:b/>
          <w:color w:val="auto"/>
          <w:kern w:val="0"/>
          <w:sz w:val="24"/>
          <w:highlight w:val="none"/>
        </w:rPr>
      </w:pPr>
    </w:p>
    <w:p w14:paraId="62320E7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2320E7F">
      <w:pPr>
        <w:spacing w:line="360" w:lineRule="auto"/>
        <w:ind w:firstLine="7358" w:firstLineChars="3066"/>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320E80">
      <w:pPr>
        <w:spacing w:line="360" w:lineRule="auto"/>
        <w:ind w:firstLine="7358" w:firstLineChars="3066"/>
        <w:rPr>
          <w:rFonts w:ascii="宋体" w:hAnsi="宋体" w:cs="宋体"/>
          <w:color w:val="auto"/>
          <w:sz w:val="24"/>
          <w:highlight w:val="none"/>
        </w:rPr>
      </w:pPr>
      <w:r>
        <w:rPr>
          <w:rFonts w:hint="eastAsia" w:ascii="宋体" w:hAnsi="宋体" w:cs="宋体"/>
          <w:color w:val="auto"/>
          <w:sz w:val="24"/>
          <w:highlight w:val="none"/>
        </w:rPr>
        <w:t>日期：  年   月   日</w:t>
      </w:r>
    </w:p>
    <w:p w14:paraId="4D8D8FB8">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2320E82">
      <w:pPr>
        <w:pStyle w:val="694"/>
        <w:keepNext w:val="0"/>
        <w:numPr>
          <w:ilvl w:val="0"/>
          <w:numId w:val="11"/>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62320E83">
      <w:pPr>
        <w:pStyle w:val="6"/>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62320E8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2320E85">
      <w:pPr>
        <w:pStyle w:val="87"/>
        <w:ind w:firstLine="482"/>
        <w:rPr>
          <w:rFonts w:ascii="宋体" w:hAnsi="宋体" w:eastAsia="宋体" w:cs="宋体"/>
          <w:b/>
          <w:color w:val="auto"/>
          <w:sz w:val="24"/>
          <w:highlight w:val="none"/>
        </w:rPr>
      </w:pPr>
    </w:p>
    <w:p w14:paraId="62320E86">
      <w:pPr>
        <w:pStyle w:val="87"/>
        <w:ind w:firstLine="482"/>
        <w:rPr>
          <w:rFonts w:ascii="宋体" w:hAnsi="宋体" w:eastAsia="宋体" w:cs="宋体"/>
          <w:b/>
          <w:color w:val="auto"/>
          <w:sz w:val="24"/>
          <w:highlight w:val="none"/>
        </w:rPr>
      </w:pPr>
    </w:p>
    <w:p w14:paraId="62320E87">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2320E88">
      <w:pPr>
        <w:spacing w:line="360" w:lineRule="auto"/>
        <w:ind w:right="420" w:firstLine="3614" w:firstLineChars="1000"/>
        <w:rPr>
          <w:rFonts w:ascii="宋体" w:hAnsi="宋体" w:cs="宋体"/>
          <w:b/>
          <w:color w:val="auto"/>
          <w:kern w:val="0"/>
          <w:sz w:val="36"/>
          <w:szCs w:val="36"/>
          <w:highlight w:val="none"/>
        </w:rPr>
      </w:pPr>
    </w:p>
    <w:p w14:paraId="62320E89">
      <w:pPr>
        <w:spacing w:line="360" w:lineRule="auto"/>
        <w:ind w:right="420" w:firstLine="3614" w:firstLineChars="1000"/>
        <w:rPr>
          <w:rFonts w:ascii="宋体" w:hAnsi="宋体" w:cs="宋体"/>
          <w:b/>
          <w:color w:val="auto"/>
          <w:kern w:val="0"/>
          <w:sz w:val="36"/>
          <w:szCs w:val="36"/>
          <w:highlight w:val="none"/>
        </w:rPr>
      </w:pPr>
    </w:p>
    <w:p w14:paraId="62320E8A">
      <w:pPr>
        <w:spacing w:line="360" w:lineRule="auto"/>
        <w:ind w:right="420" w:firstLine="3614" w:firstLineChars="1000"/>
        <w:rPr>
          <w:rFonts w:ascii="宋体" w:hAnsi="宋体" w:cs="宋体"/>
          <w:b/>
          <w:color w:val="auto"/>
          <w:kern w:val="0"/>
          <w:sz w:val="36"/>
          <w:szCs w:val="36"/>
          <w:highlight w:val="none"/>
        </w:rPr>
      </w:pPr>
    </w:p>
    <w:p w14:paraId="62320E8B">
      <w:pPr>
        <w:spacing w:line="360" w:lineRule="auto"/>
        <w:ind w:right="420" w:firstLine="3614" w:firstLineChars="1000"/>
        <w:rPr>
          <w:rFonts w:ascii="宋体" w:hAnsi="宋体" w:cs="宋体"/>
          <w:b/>
          <w:color w:val="auto"/>
          <w:kern w:val="0"/>
          <w:sz w:val="36"/>
          <w:szCs w:val="36"/>
          <w:highlight w:val="none"/>
        </w:rPr>
      </w:pPr>
    </w:p>
    <w:p w14:paraId="62320E8C">
      <w:pPr>
        <w:spacing w:line="360" w:lineRule="auto"/>
        <w:ind w:right="420" w:firstLine="3614" w:firstLineChars="1000"/>
        <w:rPr>
          <w:rFonts w:ascii="宋体" w:hAnsi="宋体" w:cs="宋体"/>
          <w:b/>
          <w:color w:val="auto"/>
          <w:kern w:val="0"/>
          <w:sz w:val="36"/>
          <w:szCs w:val="36"/>
          <w:highlight w:val="none"/>
        </w:rPr>
      </w:pPr>
    </w:p>
    <w:p w14:paraId="62320E8D">
      <w:pPr>
        <w:spacing w:line="360" w:lineRule="auto"/>
        <w:ind w:right="420" w:firstLine="3614" w:firstLineChars="1000"/>
        <w:rPr>
          <w:rFonts w:ascii="宋体" w:hAnsi="宋体" w:cs="宋体"/>
          <w:b/>
          <w:color w:val="auto"/>
          <w:kern w:val="0"/>
          <w:sz w:val="36"/>
          <w:szCs w:val="36"/>
          <w:highlight w:val="none"/>
        </w:rPr>
      </w:pPr>
    </w:p>
    <w:p w14:paraId="62320E8E">
      <w:pPr>
        <w:spacing w:line="360" w:lineRule="auto"/>
        <w:ind w:right="420" w:firstLine="3614" w:firstLineChars="1000"/>
        <w:rPr>
          <w:rFonts w:ascii="宋体" w:hAnsi="宋体" w:cs="宋体"/>
          <w:b/>
          <w:color w:val="auto"/>
          <w:kern w:val="0"/>
          <w:sz w:val="36"/>
          <w:szCs w:val="36"/>
          <w:highlight w:val="none"/>
        </w:rPr>
      </w:pPr>
    </w:p>
    <w:p w14:paraId="62320E8F">
      <w:pPr>
        <w:spacing w:line="360" w:lineRule="auto"/>
        <w:ind w:right="420" w:firstLine="3614" w:firstLineChars="1000"/>
        <w:rPr>
          <w:rFonts w:ascii="宋体" w:hAnsi="宋体" w:cs="宋体"/>
          <w:b/>
          <w:color w:val="auto"/>
          <w:kern w:val="0"/>
          <w:sz w:val="36"/>
          <w:szCs w:val="36"/>
          <w:highlight w:val="none"/>
        </w:rPr>
      </w:pPr>
    </w:p>
    <w:p w14:paraId="62320E90">
      <w:pPr>
        <w:spacing w:line="360" w:lineRule="auto"/>
        <w:ind w:right="420" w:firstLine="3614" w:firstLineChars="1000"/>
        <w:rPr>
          <w:rFonts w:ascii="宋体" w:hAnsi="宋体" w:cs="宋体"/>
          <w:b/>
          <w:color w:val="auto"/>
          <w:kern w:val="0"/>
          <w:sz w:val="36"/>
          <w:szCs w:val="36"/>
          <w:highlight w:val="none"/>
        </w:rPr>
      </w:pPr>
    </w:p>
    <w:p w14:paraId="62320E91">
      <w:pPr>
        <w:spacing w:line="360" w:lineRule="auto"/>
        <w:ind w:right="420" w:firstLine="3614" w:firstLineChars="1000"/>
        <w:rPr>
          <w:rFonts w:ascii="宋体" w:hAnsi="宋体" w:cs="宋体"/>
          <w:b/>
          <w:color w:val="auto"/>
          <w:kern w:val="0"/>
          <w:sz w:val="36"/>
          <w:szCs w:val="36"/>
          <w:highlight w:val="none"/>
        </w:rPr>
      </w:pPr>
    </w:p>
    <w:p w14:paraId="62320E92">
      <w:pPr>
        <w:spacing w:line="360" w:lineRule="auto"/>
        <w:ind w:right="420" w:firstLine="3614" w:firstLineChars="1000"/>
        <w:rPr>
          <w:rFonts w:ascii="宋体" w:hAnsi="宋体" w:cs="宋体"/>
          <w:b/>
          <w:color w:val="auto"/>
          <w:kern w:val="0"/>
          <w:sz w:val="36"/>
          <w:szCs w:val="36"/>
          <w:highlight w:val="none"/>
        </w:rPr>
      </w:pPr>
    </w:p>
    <w:p w14:paraId="62320E93">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62320E9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2320E95">
      <w:pPr>
        <w:spacing w:line="360" w:lineRule="auto"/>
        <w:jc w:val="center"/>
        <w:rPr>
          <w:rFonts w:ascii="宋体" w:hAnsi="宋体" w:cs="宋体"/>
          <w:b/>
          <w:color w:val="auto"/>
          <w:spacing w:val="6"/>
          <w:sz w:val="32"/>
          <w:szCs w:val="32"/>
          <w:highlight w:val="none"/>
        </w:rPr>
      </w:pPr>
      <w:bookmarkStart w:id="406" w:name="OLE_LINK13"/>
      <w:bookmarkStart w:id="407" w:name="OLE_LINK14"/>
      <w:r>
        <w:rPr>
          <w:rFonts w:hint="eastAsia" w:ascii="宋体" w:hAnsi="宋体" w:cs="宋体"/>
          <w:b/>
          <w:color w:val="auto"/>
          <w:spacing w:val="6"/>
          <w:sz w:val="32"/>
          <w:szCs w:val="32"/>
          <w:highlight w:val="none"/>
        </w:rPr>
        <w:t>残疾人福利性单位声明函</w:t>
      </w:r>
    </w:p>
    <w:bookmarkEnd w:id="406"/>
    <w:bookmarkEnd w:id="407"/>
    <w:p w14:paraId="62320E96">
      <w:pPr>
        <w:spacing w:line="360" w:lineRule="auto"/>
        <w:rPr>
          <w:rFonts w:ascii="宋体" w:hAnsi="宋体" w:cs="宋体"/>
          <w:b/>
          <w:color w:val="auto"/>
          <w:spacing w:val="6"/>
          <w:sz w:val="30"/>
          <w:szCs w:val="30"/>
          <w:highlight w:val="none"/>
        </w:rPr>
      </w:pPr>
    </w:p>
    <w:p w14:paraId="62320E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浙江省司法厅浙江省法律服务领域应用迭代升级改造项目—律师管理功能</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2320E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320E99">
      <w:pPr>
        <w:spacing w:line="360" w:lineRule="auto"/>
        <w:ind w:firstLine="480" w:firstLineChars="200"/>
        <w:rPr>
          <w:rFonts w:ascii="宋体" w:hAnsi="宋体" w:cs="宋体"/>
          <w:color w:val="auto"/>
          <w:sz w:val="24"/>
          <w:highlight w:val="none"/>
        </w:rPr>
      </w:pPr>
    </w:p>
    <w:p w14:paraId="62320E9A">
      <w:pPr>
        <w:spacing w:line="360" w:lineRule="auto"/>
        <w:ind w:firstLine="480" w:firstLineChars="200"/>
        <w:rPr>
          <w:rFonts w:ascii="宋体" w:hAnsi="宋体" w:cs="宋体"/>
          <w:color w:val="auto"/>
          <w:sz w:val="24"/>
          <w:highlight w:val="none"/>
        </w:rPr>
      </w:pPr>
    </w:p>
    <w:p w14:paraId="62320E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2320E9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2320E9D">
      <w:pPr>
        <w:spacing w:line="360" w:lineRule="auto"/>
        <w:ind w:firstLine="480" w:firstLineChars="200"/>
        <w:rPr>
          <w:rFonts w:ascii="宋体" w:hAnsi="宋体" w:cs="宋体"/>
          <w:color w:val="auto"/>
          <w:sz w:val="24"/>
          <w:highlight w:val="none"/>
        </w:rPr>
      </w:pPr>
    </w:p>
    <w:p w14:paraId="62320E9E">
      <w:pPr>
        <w:spacing w:line="360" w:lineRule="auto"/>
        <w:ind w:firstLine="420" w:firstLineChars="200"/>
        <w:rPr>
          <w:rFonts w:ascii="宋体" w:hAnsi="宋体" w:cs="宋体"/>
          <w:color w:val="auto"/>
          <w:highlight w:val="none"/>
        </w:rPr>
      </w:pPr>
    </w:p>
    <w:p w14:paraId="62320E9F">
      <w:pPr>
        <w:spacing w:line="360" w:lineRule="auto"/>
        <w:ind w:firstLine="420" w:firstLineChars="200"/>
        <w:rPr>
          <w:rFonts w:ascii="宋体" w:hAnsi="宋体" w:cs="宋体"/>
          <w:color w:val="auto"/>
          <w:highlight w:val="none"/>
        </w:rPr>
      </w:pPr>
    </w:p>
    <w:p w14:paraId="62320EA0">
      <w:pPr>
        <w:spacing w:line="360" w:lineRule="auto"/>
        <w:ind w:firstLine="420" w:firstLineChars="200"/>
        <w:rPr>
          <w:rFonts w:ascii="宋体" w:hAnsi="宋体" w:cs="宋体"/>
          <w:color w:val="auto"/>
          <w:highlight w:val="none"/>
        </w:rPr>
      </w:pPr>
    </w:p>
    <w:p w14:paraId="62320EA1">
      <w:pPr>
        <w:spacing w:line="360" w:lineRule="auto"/>
        <w:ind w:firstLine="420" w:firstLineChars="200"/>
        <w:rPr>
          <w:rFonts w:ascii="宋体" w:hAnsi="宋体" w:cs="宋体"/>
          <w:color w:val="auto"/>
          <w:highlight w:val="none"/>
        </w:rPr>
      </w:pPr>
    </w:p>
    <w:p w14:paraId="62320EA2">
      <w:pPr>
        <w:spacing w:line="360" w:lineRule="auto"/>
        <w:rPr>
          <w:rFonts w:ascii="宋体" w:hAnsi="宋体" w:cs="宋体"/>
          <w:b/>
          <w:color w:val="auto"/>
          <w:sz w:val="24"/>
          <w:highlight w:val="none"/>
        </w:rPr>
      </w:pPr>
    </w:p>
    <w:p w14:paraId="62320EA3">
      <w:pPr>
        <w:spacing w:line="360" w:lineRule="auto"/>
        <w:rPr>
          <w:rFonts w:ascii="宋体" w:hAnsi="宋体" w:cs="宋体"/>
          <w:b/>
          <w:color w:val="auto"/>
          <w:sz w:val="24"/>
          <w:highlight w:val="none"/>
        </w:rPr>
      </w:pPr>
    </w:p>
    <w:p w14:paraId="62320EA4">
      <w:pPr>
        <w:spacing w:line="360" w:lineRule="auto"/>
        <w:rPr>
          <w:rFonts w:ascii="宋体" w:hAnsi="宋体" w:cs="宋体"/>
          <w:b/>
          <w:color w:val="auto"/>
          <w:sz w:val="24"/>
          <w:highlight w:val="none"/>
        </w:rPr>
      </w:pPr>
    </w:p>
    <w:p w14:paraId="62320EA5">
      <w:pPr>
        <w:spacing w:line="360" w:lineRule="auto"/>
        <w:rPr>
          <w:rFonts w:ascii="宋体" w:hAnsi="宋体" w:cs="宋体"/>
          <w:b/>
          <w:color w:val="auto"/>
          <w:sz w:val="24"/>
          <w:highlight w:val="none"/>
        </w:rPr>
      </w:pPr>
    </w:p>
    <w:p w14:paraId="62320EA6">
      <w:pPr>
        <w:spacing w:line="360" w:lineRule="auto"/>
        <w:rPr>
          <w:rFonts w:ascii="宋体" w:hAnsi="宋体" w:cs="宋体"/>
          <w:b/>
          <w:color w:val="auto"/>
          <w:sz w:val="24"/>
          <w:highlight w:val="none"/>
        </w:rPr>
      </w:pPr>
    </w:p>
    <w:p w14:paraId="62320EA7">
      <w:pPr>
        <w:spacing w:line="360" w:lineRule="auto"/>
        <w:rPr>
          <w:rFonts w:ascii="宋体" w:hAnsi="宋体" w:cs="宋体"/>
          <w:b/>
          <w:color w:val="auto"/>
          <w:sz w:val="24"/>
          <w:highlight w:val="none"/>
        </w:rPr>
      </w:pPr>
    </w:p>
    <w:p w14:paraId="62320EA8">
      <w:pPr>
        <w:spacing w:line="360" w:lineRule="auto"/>
        <w:rPr>
          <w:rFonts w:ascii="宋体" w:hAnsi="宋体" w:cs="宋体"/>
          <w:b/>
          <w:color w:val="auto"/>
          <w:sz w:val="24"/>
          <w:highlight w:val="none"/>
        </w:rPr>
      </w:pPr>
    </w:p>
    <w:p w14:paraId="62320EA9">
      <w:pPr>
        <w:spacing w:line="360" w:lineRule="auto"/>
        <w:rPr>
          <w:rFonts w:ascii="宋体" w:hAnsi="宋体" w:cs="宋体"/>
          <w:b/>
          <w:color w:val="auto"/>
          <w:sz w:val="24"/>
          <w:highlight w:val="none"/>
        </w:rPr>
      </w:pPr>
    </w:p>
    <w:p w14:paraId="62320EAA">
      <w:pPr>
        <w:spacing w:line="360" w:lineRule="auto"/>
        <w:rPr>
          <w:rFonts w:ascii="宋体" w:hAnsi="宋体" w:cs="宋体"/>
          <w:b/>
          <w:color w:val="auto"/>
          <w:sz w:val="24"/>
          <w:highlight w:val="none"/>
        </w:rPr>
      </w:pPr>
    </w:p>
    <w:p w14:paraId="62320E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2320EA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320EA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320E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2320E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320E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20E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2320E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320E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320E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2320E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320E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320E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2320E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2320E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2320E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2320E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320EB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2320E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320E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320E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2320E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2320EC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2320E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320E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320E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320EC5">
      <w:pPr>
        <w:spacing w:line="360" w:lineRule="auto"/>
        <w:jc w:val="center"/>
        <w:rPr>
          <w:rFonts w:ascii="宋体" w:hAnsi="宋体" w:cs="宋体"/>
          <w:b/>
          <w:bCs/>
          <w:color w:val="auto"/>
          <w:sz w:val="24"/>
          <w:highlight w:val="none"/>
        </w:rPr>
      </w:pPr>
    </w:p>
    <w:p w14:paraId="62320EC6">
      <w:pPr>
        <w:spacing w:line="360" w:lineRule="auto"/>
        <w:rPr>
          <w:rFonts w:ascii="宋体" w:hAnsi="宋体" w:cs="宋体"/>
          <w:b/>
          <w:color w:val="auto"/>
          <w:sz w:val="24"/>
          <w:highlight w:val="none"/>
        </w:rPr>
      </w:pPr>
    </w:p>
    <w:p w14:paraId="62320EC7">
      <w:pPr>
        <w:spacing w:line="360" w:lineRule="auto"/>
        <w:rPr>
          <w:rFonts w:ascii="宋体" w:hAnsi="宋体" w:cs="宋体"/>
          <w:b/>
          <w:color w:val="auto"/>
          <w:sz w:val="24"/>
          <w:highlight w:val="none"/>
        </w:rPr>
      </w:pPr>
    </w:p>
    <w:p w14:paraId="62320EC8">
      <w:pPr>
        <w:spacing w:line="360" w:lineRule="auto"/>
        <w:rPr>
          <w:rFonts w:ascii="宋体" w:hAnsi="宋体" w:cs="宋体"/>
          <w:b/>
          <w:color w:val="auto"/>
          <w:sz w:val="24"/>
          <w:highlight w:val="none"/>
        </w:rPr>
      </w:pPr>
    </w:p>
    <w:p w14:paraId="62320EC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320E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2320E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2320E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2320E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320E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2320E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320ED0">
      <w:pPr>
        <w:widowControl/>
        <w:spacing w:line="360" w:lineRule="auto"/>
        <w:ind w:firstLine="600" w:firstLineChars="200"/>
        <w:jc w:val="left"/>
        <w:rPr>
          <w:rFonts w:ascii="宋体" w:hAnsi="宋体" w:cs="宋体"/>
          <w:color w:val="auto"/>
          <w:sz w:val="30"/>
          <w:szCs w:val="30"/>
          <w:highlight w:val="none"/>
        </w:rPr>
      </w:pPr>
    </w:p>
    <w:p w14:paraId="62320ED1">
      <w:pPr>
        <w:spacing w:line="360" w:lineRule="auto"/>
        <w:jc w:val="center"/>
        <w:rPr>
          <w:rFonts w:ascii="宋体" w:hAnsi="宋体" w:cs="宋体"/>
          <w:b/>
          <w:color w:val="auto"/>
          <w:spacing w:val="6"/>
          <w:sz w:val="32"/>
          <w:szCs w:val="32"/>
          <w:highlight w:val="none"/>
        </w:rPr>
      </w:pPr>
    </w:p>
    <w:p w14:paraId="62320ED2">
      <w:pPr>
        <w:spacing w:line="360" w:lineRule="auto"/>
        <w:jc w:val="center"/>
        <w:rPr>
          <w:rFonts w:ascii="宋体" w:hAnsi="宋体" w:cs="宋体"/>
          <w:b/>
          <w:color w:val="auto"/>
          <w:spacing w:val="6"/>
          <w:sz w:val="32"/>
          <w:szCs w:val="32"/>
          <w:highlight w:val="none"/>
        </w:rPr>
      </w:pPr>
    </w:p>
    <w:p w14:paraId="62320ED3">
      <w:pPr>
        <w:spacing w:line="360" w:lineRule="auto"/>
        <w:jc w:val="center"/>
        <w:rPr>
          <w:rFonts w:ascii="宋体" w:hAnsi="宋体" w:cs="宋体"/>
          <w:b/>
          <w:color w:val="auto"/>
          <w:spacing w:val="6"/>
          <w:sz w:val="32"/>
          <w:szCs w:val="32"/>
          <w:highlight w:val="none"/>
        </w:rPr>
      </w:pPr>
    </w:p>
    <w:p w14:paraId="62320ED4">
      <w:pPr>
        <w:spacing w:line="360" w:lineRule="auto"/>
        <w:jc w:val="center"/>
        <w:rPr>
          <w:rFonts w:ascii="宋体" w:hAnsi="宋体" w:cs="宋体"/>
          <w:b/>
          <w:color w:val="auto"/>
          <w:spacing w:val="6"/>
          <w:sz w:val="32"/>
          <w:szCs w:val="32"/>
          <w:highlight w:val="none"/>
        </w:rPr>
      </w:pPr>
    </w:p>
    <w:p w14:paraId="62320ED5">
      <w:pPr>
        <w:spacing w:line="360" w:lineRule="auto"/>
        <w:jc w:val="center"/>
        <w:rPr>
          <w:rFonts w:ascii="宋体" w:hAnsi="宋体" w:cs="宋体"/>
          <w:b/>
          <w:color w:val="auto"/>
          <w:spacing w:val="6"/>
          <w:sz w:val="32"/>
          <w:szCs w:val="32"/>
          <w:highlight w:val="none"/>
        </w:rPr>
      </w:pPr>
    </w:p>
    <w:p w14:paraId="62320ED6">
      <w:pPr>
        <w:spacing w:line="360" w:lineRule="auto"/>
        <w:jc w:val="center"/>
        <w:rPr>
          <w:rFonts w:ascii="宋体" w:hAnsi="宋体" w:cs="宋体"/>
          <w:b/>
          <w:color w:val="auto"/>
          <w:spacing w:val="6"/>
          <w:sz w:val="32"/>
          <w:szCs w:val="32"/>
          <w:highlight w:val="none"/>
        </w:rPr>
      </w:pPr>
    </w:p>
    <w:p w14:paraId="62320ED7">
      <w:pPr>
        <w:spacing w:line="360" w:lineRule="auto"/>
        <w:jc w:val="center"/>
        <w:rPr>
          <w:rFonts w:ascii="宋体" w:hAnsi="宋体" w:cs="宋体"/>
          <w:b/>
          <w:color w:val="auto"/>
          <w:spacing w:val="6"/>
          <w:sz w:val="32"/>
          <w:szCs w:val="32"/>
          <w:highlight w:val="none"/>
        </w:rPr>
      </w:pPr>
    </w:p>
    <w:p w14:paraId="62320ED8">
      <w:pPr>
        <w:spacing w:line="360" w:lineRule="auto"/>
        <w:jc w:val="center"/>
        <w:rPr>
          <w:rFonts w:ascii="宋体" w:hAnsi="宋体" w:cs="宋体"/>
          <w:b/>
          <w:color w:val="auto"/>
          <w:spacing w:val="6"/>
          <w:sz w:val="32"/>
          <w:szCs w:val="32"/>
          <w:highlight w:val="none"/>
        </w:rPr>
      </w:pPr>
    </w:p>
    <w:p w14:paraId="62320ED9">
      <w:pPr>
        <w:spacing w:line="360" w:lineRule="auto"/>
        <w:jc w:val="center"/>
        <w:rPr>
          <w:rFonts w:ascii="宋体" w:hAnsi="宋体" w:cs="宋体"/>
          <w:b/>
          <w:color w:val="auto"/>
          <w:spacing w:val="6"/>
          <w:sz w:val="32"/>
          <w:szCs w:val="32"/>
          <w:highlight w:val="none"/>
        </w:rPr>
      </w:pPr>
    </w:p>
    <w:p w14:paraId="62320EDA">
      <w:pPr>
        <w:spacing w:line="360" w:lineRule="auto"/>
        <w:jc w:val="center"/>
        <w:rPr>
          <w:rFonts w:ascii="宋体" w:hAnsi="宋体" w:cs="宋体"/>
          <w:b/>
          <w:color w:val="auto"/>
          <w:spacing w:val="6"/>
          <w:sz w:val="32"/>
          <w:szCs w:val="32"/>
          <w:highlight w:val="none"/>
        </w:rPr>
      </w:pPr>
    </w:p>
    <w:p w14:paraId="62320EDB">
      <w:pPr>
        <w:spacing w:line="360" w:lineRule="auto"/>
        <w:jc w:val="center"/>
        <w:rPr>
          <w:rFonts w:ascii="宋体" w:hAnsi="宋体" w:cs="宋体"/>
          <w:b/>
          <w:color w:val="auto"/>
          <w:spacing w:val="6"/>
          <w:sz w:val="32"/>
          <w:szCs w:val="32"/>
          <w:highlight w:val="none"/>
        </w:rPr>
      </w:pPr>
    </w:p>
    <w:p w14:paraId="62320EDC">
      <w:pPr>
        <w:spacing w:line="360" w:lineRule="auto"/>
        <w:jc w:val="center"/>
        <w:rPr>
          <w:rFonts w:ascii="宋体" w:hAnsi="宋体" w:cs="宋体"/>
          <w:b/>
          <w:color w:val="auto"/>
          <w:spacing w:val="6"/>
          <w:sz w:val="32"/>
          <w:szCs w:val="32"/>
          <w:highlight w:val="none"/>
        </w:rPr>
      </w:pPr>
    </w:p>
    <w:p w14:paraId="62320EDD">
      <w:pPr>
        <w:spacing w:line="360" w:lineRule="auto"/>
        <w:jc w:val="left"/>
        <w:rPr>
          <w:rFonts w:ascii="宋体" w:hAnsi="宋体" w:cs="宋体"/>
          <w:b/>
          <w:color w:val="auto"/>
          <w:spacing w:val="6"/>
          <w:sz w:val="32"/>
          <w:szCs w:val="32"/>
          <w:highlight w:val="none"/>
        </w:rPr>
      </w:pPr>
    </w:p>
    <w:p w14:paraId="62320EDE">
      <w:pPr>
        <w:spacing w:line="360" w:lineRule="auto"/>
        <w:jc w:val="left"/>
        <w:rPr>
          <w:rFonts w:ascii="宋体" w:hAnsi="宋体" w:cs="宋体"/>
          <w:b/>
          <w:color w:val="auto"/>
          <w:spacing w:val="6"/>
          <w:sz w:val="32"/>
          <w:szCs w:val="32"/>
          <w:highlight w:val="none"/>
        </w:rPr>
      </w:pPr>
    </w:p>
    <w:p w14:paraId="62320ED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320EE0">
      <w:pPr>
        <w:spacing w:line="360" w:lineRule="auto"/>
        <w:jc w:val="center"/>
        <w:rPr>
          <w:rFonts w:ascii="宋体" w:hAnsi="宋体" w:cs="宋体"/>
          <w:b/>
          <w:color w:val="auto"/>
          <w:sz w:val="24"/>
          <w:highlight w:val="none"/>
        </w:rPr>
      </w:pPr>
    </w:p>
    <w:p w14:paraId="62320EE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320EE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2320E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2320E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E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320EE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20E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20E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2320E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E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2320E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2320E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F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20EF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2320E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320EF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20EF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2320E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320E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320EF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2320EF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320EF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320EF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2320EF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2320E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320EF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320E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320F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320F0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320F0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320F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2320F0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320F0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320F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2320F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320F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320F09">
      <w:pPr>
        <w:spacing w:line="360" w:lineRule="auto"/>
        <w:rPr>
          <w:rFonts w:ascii="宋体" w:hAnsi="宋体" w:cs="宋体"/>
          <w:b/>
          <w:color w:val="auto"/>
          <w:sz w:val="24"/>
          <w:highlight w:val="none"/>
        </w:rPr>
      </w:pPr>
    </w:p>
    <w:p w14:paraId="62320F0A">
      <w:pPr>
        <w:spacing w:line="360" w:lineRule="auto"/>
        <w:rPr>
          <w:rFonts w:ascii="宋体" w:hAnsi="宋体" w:cs="宋体"/>
          <w:b/>
          <w:color w:val="auto"/>
          <w:sz w:val="24"/>
          <w:highlight w:val="none"/>
        </w:rPr>
      </w:pPr>
    </w:p>
    <w:p w14:paraId="62320F0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2320F0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320F0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2320F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320F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2320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2320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2320F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2320F13">
      <w:pPr>
        <w:spacing w:line="360" w:lineRule="auto"/>
        <w:rPr>
          <w:rFonts w:ascii="宋体" w:hAnsi="宋体" w:cs="宋体"/>
          <w:b/>
          <w:color w:val="auto"/>
          <w:sz w:val="24"/>
          <w:highlight w:val="none"/>
        </w:rPr>
      </w:pPr>
    </w:p>
    <w:p w14:paraId="62320F14">
      <w:pPr>
        <w:autoSpaceDE w:val="0"/>
        <w:autoSpaceDN w:val="0"/>
        <w:jc w:val="center"/>
        <w:rPr>
          <w:rFonts w:ascii="宋体" w:hAnsi="宋体" w:cs="宋体"/>
          <w:b/>
          <w:color w:val="auto"/>
          <w:spacing w:val="6"/>
          <w:sz w:val="32"/>
          <w:szCs w:val="32"/>
          <w:highlight w:val="none"/>
        </w:rPr>
      </w:pPr>
    </w:p>
    <w:p w14:paraId="62320F1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2320F16">
      <w:pPr>
        <w:spacing w:line="360" w:lineRule="auto"/>
        <w:rPr>
          <w:rFonts w:ascii="宋体" w:hAnsi="宋体" w:cs="宋体"/>
          <w:color w:val="auto"/>
          <w:sz w:val="24"/>
          <w:highlight w:val="none"/>
          <w:u w:val="single"/>
        </w:rPr>
      </w:pPr>
    </w:p>
    <w:p w14:paraId="62320F17">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浙江省司法厅：</w:t>
      </w:r>
    </w:p>
    <w:p w14:paraId="62320F1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你方组织的浙江省司法厅浙江省法律服务领域应用迭代升级改造项目—律师管理功能【招标编号：ZJ-2471321-11】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2320F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2320F1A">
      <w:pPr>
        <w:spacing w:line="360" w:lineRule="auto"/>
        <w:ind w:firstLine="494"/>
        <w:rPr>
          <w:rFonts w:ascii="宋体" w:hAnsi="宋体" w:cs="宋体"/>
          <w:color w:val="auto"/>
          <w:sz w:val="24"/>
          <w:highlight w:val="none"/>
        </w:rPr>
      </w:pPr>
    </w:p>
    <w:p w14:paraId="62320F1B">
      <w:pPr>
        <w:spacing w:line="360" w:lineRule="auto"/>
        <w:ind w:firstLine="494"/>
        <w:rPr>
          <w:rFonts w:ascii="宋体" w:hAnsi="宋体" w:cs="宋体"/>
          <w:color w:val="auto"/>
          <w:sz w:val="24"/>
          <w:highlight w:val="none"/>
        </w:rPr>
      </w:pPr>
    </w:p>
    <w:p w14:paraId="62320F1C">
      <w:pPr>
        <w:spacing w:line="360" w:lineRule="auto"/>
        <w:ind w:firstLine="494"/>
        <w:rPr>
          <w:rFonts w:ascii="宋体" w:hAnsi="宋体" w:cs="宋体"/>
          <w:color w:val="auto"/>
          <w:sz w:val="24"/>
          <w:highlight w:val="none"/>
        </w:rPr>
      </w:pPr>
    </w:p>
    <w:p w14:paraId="62320F1D">
      <w:pPr>
        <w:spacing w:line="360" w:lineRule="auto"/>
        <w:ind w:firstLine="494"/>
        <w:rPr>
          <w:rFonts w:ascii="宋体" w:hAnsi="宋体" w:cs="宋体"/>
          <w:color w:val="auto"/>
          <w:sz w:val="24"/>
          <w:highlight w:val="none"/>
        </w:rPr>
      </w:pPr>
    </w:p>
    <w:p w14:paraId="62320F1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2320F1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320F20">
      <w:pPr>
        <w:rPr>
          <w:rFonts w:ascii="宋体" w:hAnsi="宋体" w:cs="宋体"/>
          <w:color w:val="auto"/>
          <w:sz w:val="24"/>
          <w:highlight w:val="none"/>
        </w:rPr>
      </w:pPr>
      <w:r>
        <w:rPr>
          <w:rFonts w:hint="eastAsia" w:ascii="宋体" w:hAnsi="宋体" w:cs="宋体"/>
          <w:b/>
          <w:bCs/>
          <w:color w:val="auto"/>
          <w:sz w:val="24"/>
          <w:highlight w:val="none"/>
        </w:rPr>
        <w:t>附：</w:t>
      </w:r>
    </w:p>
    <w:p w14:paraId="62320F2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2320F22">
      <w:pPr>
        <w:autoSpaceDE w:val="0"/>
        <w:autoSpaceDN w:val="0"/>
        <w:jc w:val="center"/>
        <w:rPr>
          <w:rFonts w:ascii="宋体" w:hAnsi="宋体" w:cs="宋体"/>
          <w:b/>
          <w:color w:val="auto"/>
          <w:spacing w:val="6"/>
          <w:sz w:val="32"/>
          <w:szCs w:val="32"/>
          <w:highlight w:val="none"/>
        </w:rPr>
      </w:pPr>
    </w:p>
    <w:p w14:paraId="62320F23">
      <w:pPr>
        <w:autoSpaceDE w:val="0"/>
        <w:autoSpaceDN w:val="0"/>
        <w:jc w:val="center"/>
        <w:rPr>
          <w:rFonts w:ascii="宋体" w:hAnsi="宋体" w:cs="宋体"/>
          <w:b/>
          <w:color w:val="auto"/>
          <w:spacing w:val="6"/>
          <w:sz w:val="32"/>
          <w:szCs w:val="32"/>
          <w:highlight w:val="none"/>
        </w:rPr>
      </w:pPr>
    </w:p>
    <w:p w14:paraId="62320F24">
      <w:pPr>
        <w:autoSpaceDE w:val="0"/>
        <w:autoSpaceDN w:val="0"/>
        <w:jc w:val="center"/>
        <w:rPr>
          <w:rFonts w:ascii="宋体" w:hAnsi="宋体" w:cs="宋体"/>
          <w:b/>
          <w:color w:val="auto"/>
          <w:spacing w:val="6"/>
          <w:sz w:val="32"/>
          <w:szCs w:val="32"/>
          <w:highlight w:val="none"/>
        </w:rPr>
      </w:pPr>
    </w:p>
    <w:p w14:paraId="62320F25">
      <w:pPr>
        <w:autoSpaceDE w:val="0"/>
        <w:autoSpaceDN w:val="0"/>
        <w:jc w:val="center"/>
        <w:rPr>
          <w:rFonts w:ascii="宋体" w:hAnsi="宋体" w:cs="宋体"/>
          <w:b/>
          <w:color w:val="auto"/>
          <w:spacing w:val="6"/>
          <w:sz w:val="32"/>
          <w:szCs w:val="32"/>
          <w:highlight w:val="none"/>
        </w:rPr>
      </w:pPr>
    </w:p>
    <w:p w14:paraId="62320F26">
      <w:pPr>
        <w:autoSpaceDE w:val="0"/>
        <w:autoSpaceDN w:val="0"/>
        <w:jc w:val="center"/>
        <w:rPr>
          <w:rFonts w:ascii="宋体" w:hAnsi="宋体" w:cs="宋体"/>
          <w:b/>
          <w:color w:val="auto"/>
          <w:spacing w:val="6"/>
          <w:sz w:val="32"/>
          <w:szCs w:val="32"/>
          <w:highlight w:val="none"/>
        </w:rPr>
      </w:pPr>
    </w:p>
    <w:p w14:paraId="62320F27">
      <w:pPr>
        <w:autoSpaceDE w:val="0"/>
        <w:autoSpaceDN w:val="0"/>
        <w:jc w:val="center"/>
        <w:rPr>
          <w:rFonts w:ascii="宋体" w:hAnsi="宋体" w:cs="宋体"/>
          <w:b/>
          <w:color w:val="auto"/>
          <w:spacing w:val="6"/>
          <w:sz w:val="32"/>
          <w:szCs w:val="32"/>
          <w:highlight w:val="none"/>
        </w:rPr>
      </w:pPr>
    </w:p>
    <w:p w14:paraId="62320F28">
      <w:pPr>
        <w:autoSpaceDE w:val="0"/>
        <w:autoSpaceDN w:val="0"/>
        <w:jc w:val="center"/>
        <w:rPr>
          <w:rFonts w:ascii="宋体" w:hAnsi="宋体" w:cs="宋体"/>
          <w:b/>
          <w:color w:val="auto"/>
          <w:spacing w:val="6"/>
          <w:sz w:val="32"/>
          <w:szCs w:val="32"/>
          <w:highlight w:val="none"/>
        </w:rPr>
      </w:pPr>
    </w:p>
    <w:p w14:paraId="62320F29">
      <w:pPr>
        <w:autoSpaceDE w:val="0"/>
        <w:autoSpaceDN w:val="0"/>
        <w:jc w:val="center"/>
        <w:rPr>
          <w:rFonts w:ascii="宋体" w:hAnsi="宋体" w:cs="宋体"/>
          <w:b/>
          <w:color w:val="auto"/>
          <w:spacing w:val="6"/>
          <w:sz w:val="32"/>
          <w:szCs w:val="32"/>
          <w:highlight w:val="none"/>
        </w:rPr>
      </w:pPr>
    </w:p>
    <w:p w14:paraId="62320F2A">
      <w:pPr>
        <w:autoSpaceDE w:val="0"/>
        <w:autoSpaceDN w:val="0"/>
        <w:jc w:val="center"/>
        <w:rPr>
          <w:rFonts w:ascii="宋体" w:hAnsi="宋体" w:cs="宋体"/>
          <w:b/>
          <w:color w:val="auto"/>
          <w:spacing w:val="6"/>
          <w:sz w:val="32"/>
          <w:szCs w:val="32"/>
          <w:highlight w:val="none"/>
        </w:rPr>
      </w:pPr>
    </w:p>
    <w:p w14:paraId="62320F2B">
      <w:pPr>
        <w:autoSpaceDE w:val="0"/>
        <w:autoSpaceDN w:val="0"/>
        <w:jc w:val="center"/>
        <w:rPr>
          <w:rFonts w:ascii="宋体" w:hAnsi="宋体" w:cs="宋体"/>
          <w:b/>
          <w:color w:val="auto"/>
          <w:spacing w:val="6"/>
          <w:sz w:val="32"/>
          <w:szCs w:val="32"/>
          <w:highlight w:val="none"/>
        </w:rPr>
      </w:pPr>
    </w:p>
    <w:p w14:paraId="62320F2C">
      <w:pPr>
        <w:autoSpaceDE w:val="0"/>
        <w:autoSpaceDN w:val="0"/>
        <w:jc w:val="center"/>
        <w:rPr>
          <w:rFonts w:ascii="宋体" w:hAnsi="宋体" w:cs="宋体"/>
          <w:b/>
          <w:color w:val="auto"/>
          <w:spacing w:val="6"/>
          <w:sz w:val="32"/>
          <w:szCs w:val="32"/>
          <w:highlight w:val="none"/>
        </w:rPr>
      </w:pPr>
    </w:p>
    <w:p w14:paraId="62320F2D">
      <w:pPr>
        <w:autoSpaceDE w:val="0"/>
        <w:autoSpaceDN w:val="0"/>
        <w:jc w:val="center"/>
        <w:rPr>
          <w:rFonts w:ascii="宋体" w:hAnsi="宋体" w:cs="宋体"/>
          <w:b/>
          <w:color w:val="auto"/>
          <w:spacing w:val="6"/>
          <w:sz w:val="32"/>
          <w:szCs w:val="32"/>
          <w:highlight w:val="none"/>
        </w:rPr>
      </w:pPr>
    </w:p>
    <w:p w14:paraId="62320F2E">
      <w:pPr>
        <w:autoSpaceDE w:val="0"/>
        <w:autoSpaceDN w:val="0"/>
        <w:jc w:val="center"/>
        <w:rPr>
          <w:rFonts w:ascii="宋体" w:hAnsi="宋体" w:cs="宋体"/>
          <w:b/>
          <w:color w:val="auto"/>
          <w:spacing w:val="6"/>
          <w:sz w:val="32"/>
          <w:szCs w:val="32"/>
          <w:highlight w:val="none"/>
        </w:rPr>
      </w:pPr>
    </w:p>
    <w:p w14:paraId="62320F2F">
      <w:pPr>
        <w:autoSpaceDE w:val="0"/>
        <w:autoSpaceDN w:val="0"/>
        <w:jc w:val="center"/>
        <w:rPr>
          <w:rFonts w:ascii="宋体" w:hAnsi="宋体" w:cs="宋体"/>
          <w:b/>
          <w:color w:val="auto"/>
          <w:spacing w:val="6"/>
          <w:sz w:val="32"/>
          <w:szCs w:val="32"/>
          <w:highlight w:val="none"/>
        </w:rPr>
      </w:pPr>
    </w:p>
    <w:p w14:paraId="62320F3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320F3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62320F3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320F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浙江省司法厅浙江省法律服务领域应用迭代升级改造项目—律师管理功能【招标编号：ZJ-2471321-11】</w:t>
      </w:r>
      <w:r>
        <w:rPr>
          <w:rFonts w:hint="eastAsia" w:ascii="宋体" w:hAnsi="宋体" w:cs="宋体"/>
          <w:color w:val="auto"/>
          <w:kern w:val="0"/>
          <w:sz w:val="24"/>
          <w:highlight w:val="none"/>
          <w:lang w:val="zh-CN"/>
        </w:rPr>
        <w:t xml:space="preserve">投标。 </w:t>
      </w:r>
    </w:p>
    <w:p w14:paraId="62320F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320F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2320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2320F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320F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320F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320F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2320F3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8" w:name="_Hlk101131882"/>
      <w:r>
        <w:rPr>
          <w:rFonts w:hint="eastAsia" w:ascii="宋体" w:hAnsi="宋体" w:cs="宋体"/>
          <w:color w:val="auto"/>
          <w:kern w:val="0"/>
          <w:sz w:val="24"/>
          <w:highlight w:val="none"/>
          <w:u w:val="single"/>
        </w:rPr>
        <w:t>联合体成员X,……</w:t>
      </w:r>
      <w:bookmarkEnd w:id="40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9"/>
      <w:r>
        <w:rPr>
          <w:rFonts w:hint="eastAsia" w:ascii="宋体" w:hAnsi="宋体" w:cs="宋体"/>
          <w:b/>
          <w:color w:val="auto"/>
          <w:kern w:val="0"/>
          <w:sz w:val="24"/>
          <w:highlight w:val="none"/>
          <w:lang w:val="zh-CN"/>
        </w:rPr>
        <w:t>）</w:t>
      </w:r>
    </w:p>
    <w:p w14:paraId="62320F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0"/>
    </w:p>
    <w:p w14:paraId="62320F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2320F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320F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2320F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2320F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320F42">
      <w:pPr>
        <w:snapToGrid w:val="0"/>
        <w:spacing w:line="360" w:lineRule="auto"/>
        <w:ind w:firstLine="5040" w:firstLineChars="2100"/>
        <w:rPr>
          <w:rFonts w:ascii="宋体" w:hAnsi="宋体" w:cs="宋体"/>
          <w:color w:val="auto"/>
          <w:kern w:val="0"/>
          <w:sz w:val="24"/>
          <w:highlight w:val="none"/>
          <w:lang w:val="zh-CN"/>
        </w:rPr>
      </w:pPr>
    </w:p>
    <w:p w14:paraId="62320F43">
      <w:pPr>
        <w:snapToGrid w:val="0"/>
        <w:spacing w:line="360" w:lineRule="auto"/>
        <w:ind w:firstLine="5040" w:firstLineChars="2100"/>
        <w:rPr>
          <w:rFonts w:ascii="宋体" w:hAnsi="宋体" w:cs="宋体"/>
          <w:color w:val="auto"/>
          <w:kern w:val="0"/>
          <w:sz w:val="24"/>
          <w:highlight w:val="none"/>
          <w:lang w:val="zh-CN"/>
        </w:rPr>
      </w:pPr>
    </w:p>
    <w:p w14:paraId="62320F44">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320F45">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320F46">
      <w:pPr>
        <w:snapToGrid w:val="0"/>
        <w:spacing w:line="360" w:lineRule="auto"/>
        <w:ind w:right="960"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2320F47">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2320F48">
      <w:pPr>
        <w:spacing w:line="360" w:lineRule="auto"/>
        <w:ind w:right="420"/>
        <w:rPr>
          <w:rFonts w:ascii="宋体" w:hAnsi="宋体" w:cs="宋体"/>
          <w:color w:val="auto"/>
          <w:sz w:val="24"/>
          <w:highlight w:val="none"/>
        </w:rPr>
      </w:pPr>
    </w:p>
    <w:p w14:paraId="62320F49">
      <w:pPr>
        <w:spacing w:line="360" w:lineRule="auto"/>
        <w:ind w:right="420"/>
        <w:rPr>
          <w:rFonts w:ascii="宋体" w:hAnsi="宋体" w:cs="宋体"/>
          <w:color w:val="auto"/>
          <w:sz w:val="24"/>
          <w:highlight w:val="none"/>
        </w:rPr>
      </w:pPr>
    </w:p>
    <w:p w14:paraId="62320F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320F4B">
      <w:pPr>
        <w:autoSpaceDE w:val="0"/>
        <w:autoSpaceDN w:val="0"/>
        <w:jc w:val="center"/>
        <w:rPr>
          <w:rFonts w:ascii="宋体" w:hAnsi="宋体" w:cs="宋体"/>
          <w:b/>
          <w:color w:val="auto"/>
          <w:spacing w:val="6"/>
          <w:sz w:val="32"/>
          <w:szCs w:val="32"/>
          <w:highlight w:val="none"/>
        </w:rPr>
      </w:pPr>
    </w:p>
    <w:p w14:paraId="62320F4C">
      <w:pPr>
        <w:autoSpaceDE w:val="0"/>
        <w:autoSpaceDN w:val="0"/>
        <w:jc w:val="center"/>
        <w:rPr>
          <w:rFonts w:ascii="宋体" w:hAnsi="宋体" w:cs="宋体"/>
          <w:b/>
          <w:color w:val="auto"/>
          <w:spacing w:val="6"/>
          <w:sz w:val="32"/>
          <w:szCs w:val="32"/>
          <w:highlight w:val="none"/>
        </w:rPr>
      </w:pPr>
    </w:p>
    <w:p w14:paraId="62320F4D">
      <w:pPr>
        <w:autoSpaceDE w:val="0"/>
        <w:autoSpaceDN w:val="0"/>
        <w:jc w:val="center"/>
        <w:rPr>
          <w:rFonts w:ascii="宋体" w:hAnsi="宋体" w:cs="宋体"/>
          <w:b/>
          <w:color w:val="auto"/>
          <w:spacing w:val="6"/>
          <w:sz w:val="32"/>
          <w:szCs w:val="32"/>
          <w:highlight w:val="none"/>
        </w:rPr>
      </w:pPr>
    </w:p>
    <w:p w14:paraId="62320F4E">
      <w:pPr>
        <w:autoSpaceDE w:val="0"/>
        <w:autoSpaceDN w:val="0"/>
        <w:jc w:val="center"/>
        <w:rPr>
          <w:rFonts w:ascii="宋体" w:hAnsi="宋体" w:cs="宋体"/>
          <w:b/>
          <w:color w:val="auto"/>
          <w:spacing w:val="6"/>
          <w:sz w:val="32"/>
          <w:szCs w:val="32"/>
          <w:highlight w:val="none"/>
        </w:rPr>
      </w:pPr>
    </w:p>
    <w:p w14:paraId="62320F4F">
      <w:pPr>
        <w:autoSpaceDE w:val="0"/>
        <w:autoSpaceDN w:val="0"/>
        <w:jc w:val="center"/>
        <w:rPr>
          <w:rFonts w:ascii="宋体" w:hAnsi="宋体" w:cs="宋体"/>
          <w:b/>
          <w:color w:val="auto"/>
          <w:spacing w:val="6"/>
          <w:sz w:val="32"/>
          <w:szCs w:val="32"/>
          <w:highlight w:val="none"/>
        </w:rPr>
      </w:pPr>
    </w:p>
    <w:p w14:paraId="62320F50">
      <w:pPr>
        <w:autoSpaceDE w:val="0"/>
        <w:autoSpaceDN w:val="0"/>
        <w:jc w:val="center"/>
        <w:rPr>
          <w:rFonts w:ascii="宋体" w:hAnsi="宋体" w:cs="宋体"/>
          <w:b/>
          <w:color w:val="auto"/>
          <w:spacing w:val="6"/>
          <w:sz w:val="32"/>
          <w:szCs w:val="32"/>
          <w:highlight w:val="none"/>
        </w:rPr>
      </w:pPr>
    </w:p>
    <w:p w14:paraId="62320F51">
      <w:pPr>
        <w:autoSpaceDE w:val="0"/>
        <w:autoSpaceDN w:val="0"/>
        <w:jc w:val="center"/>
        <w:rPr>
          <w:rFonts w:ascii="宋体" w:hAnsi="宋体" w:cs="宋体"/>
          <w:b/>
          <w:color w:val="auto"/>
          <w:spacing w:val="6"/>
          <w:sz w:val="32"/>
          <w:szCs w:val="32"/>
          <w:highlight w:val="none"/>
        </w:rPr>
      </w:pPr>
    </w:p>
    <w:p w14:paraId="62320F52">
      <w:pPr>
        <w:autoSpaceDE w:val="0"/>
        <w:autoSpaceDN w:val="0"/>
        <w:jc w:val="center"/>
        <w:rPr>
          <w:rFonts w:ascii="宋体" w:hAnsi="宋体" w:cs="宋体"/>
          <w:b/>
          <w:color w:val="auto"/>
          <w:spacing w:val="6"/>
          <w:sz w:val="32"/>
          <w:szCs w:val="32"/>
          <w:highlight w:val="none"/>
        </w:rPr>
      </w:pPr>
    </w:p>
    <w:p w14:paraId="62320F53">
      <w:pPr>
        <w:autoSpaceDE w:val="0"/>
        <w:autoSpaceDN w:val="0"/>
        <w:jc w:val="center"/>
        <w:rPr>
          <w:rFonts w:ascii="宋体" w:hAnsi="宋体" w:cs="宋体"/>
          <w:b/>
          <w:color w:val="auto"/>
          <w:spacing w:val="6"/>
          <w:sz w:val="32"/>
          <w:szCs w:val="32"/>
          <w:highlight w:val="none"/>
        </w:rPr>
      </w:pPr>
    </w:p>
    <w:p w14:paraId="62320F54">
      <w:pPr>
        <w:autoSpaceDE w:val="0"/>
        <w:autoSpaceDN w:val="0"/>
        <w:jc w:val="center"/>
        <w:rPr>
          <w:rFonts w:ascii="宋体" w:hAnsi="宋体" w:cs="宋体"/>
          <w:b/>
          <w:color w:val="auto"/>
          <w:spacing w:val="6"/>
          <w:sz w:val="32"/>
          <w:szCs w:val="32"/>
          <w:highlight w:val="none"/>
        </w:rPr>
      </w:pPr>
    </w:p>
    <w:p w14:paraId="62320F55">
      <w:pPr>
        <w:autoSpaceDE w:val="0"/>
        <w:autoSpaceDN w:val="0"/>
        <w:jc w:val="center"/>
        <w:rPr>
          <w:rFonts w:ascii="宋体" w:hAnsi="宋体" w:cs="宋体"/>
          <w:b/>
          <w:color w:val="auto"/>
          <w:spacing w:val="6"/>
          <w:sz w:val="32"/>
          <w:szCs w:val="32"/>
          <w:highlight w:val="none"/>
        </w:rPr>
      </w:pPr>
    </w:p>
    <w:p w14:paraId="62320F56">
      <w:pPr>
        <w:autoSpaceDE w:val="0"/>
        <w:autoSpaceDN w:val="0"/>
        <w:jc w:val="center"/>
        <w:rPr>
          <w:rFonts w:ascii="宋体" w:hAnsi="宋体" w:cs="宋体"/>
          <w:b/>
          <w:color w:val="auto"/>
          <w:spacing w:val="6"/>
          <w:sz w:val="32"/>
          <w:szCs w:val="32"/>
          <w:highlight w:val="none"/>
        </w:rPr>
      </w:pPr>
    </w:p>
    <w:p w14:paraId="62320F57">
      <w:pPr>
        <w:autoSpaceDE w:val="0"/>
        <w:autoSpaceDN w:val="0"/>
        <w:jc w:val="center"/>
        <w:rPr>
          <w:rFonts w:ascii="宋体" w:hAnsi="宋体" w:cs="宋体"/>
          <w:b/>
          <w:color w:val="auto"/>
          <w:spacing w:val="6"/>
          <w:sz w:val="32"/>
          <w:szCs w:val="32"/>
          <w:highlight w:val="none"/>
        </w:rPr>
      </w:pPr>
    </w:p>
    <w:p w14:paraId="62320F58">
      <w:pPr>
        <w:autoSpaceDE w:val="0"/>
        <w:autoSpaceDN w:val="0"/>
        <w:jc w:val="center"/>
        <w:rPr>
          <w:rFonts w:ascii="宋体" w:hAnsi="宋体" w:cs="宋体"/>
          <w:b/>
          <w:color w:val="auto"/>
          <w:spacing w:val="6"/>
          <w:sz w:val="32"/>
          <w:szCs w:val="32"/>
          <w:highlight w:val="none"/>
        </w:rPr>
      </w:pPr>
    </w:p>
    <w:p w14:paraId="62320F59">
      <w:pPr>
        <w:autoSpaceDE w:val="0"/>
        <w:autoSpaceDN w:val="0"/>
        <w:jc w:val="center"/>
        <w:rPr>
          <w:rFonts w:ascii="宋体" w:hAnsi="宋体" w:cs="宋体"/>
          <w:b/>
          <w:color w:val="auto"/>
          <w:spacing w:val="6"/>
          <w:sz w:val="32"/>
          <w:szCs w:val="32"/>
          <w:highlight w:val="none"/>
        </w:rPr>
      </w:pPr>
    </w:p>
    <w:p w14:paraId="62320F5A">
      <w:pPr>
        <w:autoSpaceDE w:val="0"/>
        <w:autoSpaceDN w:val="0"/>
        <w:jc w:val="center"/>
        <w:rPr>
          <w:rFonts w:ascii="宋体" w:hAnsi="宋体" w:cs="宋体"/>
          <w:b/>
          <w:color w:val="auto"/>
          <w:spacing w:val="6"/>
          <w:sz w:val="32"/>
          <w:szCs w:val="32"/>
          <w:highlight w:val="none"/>
        </w:rPr>
      </w:pPr>
    </w:p>
    <w:p w14:paraId="62320F5B">
      <w:pPr>
        <w:autoSpaceDE w:val="0"/>
        <w:autoSpaceDN w:val="0"/>
        <w:jc w:val="center"/>
        <w:rPr>
          <w:rFonts w:ascii="宋体" w:hAnsi="宋体" w:cs="宋体"/>
          <w:b/>
          <w:color w:val="auto"/>
          <w:spacing w:val="6"/>
          <w:sz w:val="32"/>
          <w:szCs w:val="32"/>
          <w:highlight w:val="none"/>
        </w:rPr>
      </w:pPr>
    </w:p>
    <w:p w14:paraId="62320F5C">
      <w:pPr>
        <w:autoSpaceDE w:val="0"/>
        <w:autoSpaceDN w:val="0"/>
        <w:jc w:val="center"/>
        <w:rPr>
          <w:rFonts w:ascii="宋体" w:hAnsi="宋体" w:cs="宋体"/>
          <w:b/>
          <w:color w:val="auto"/>
          <w:spacing w:val="6"/>
          <w:sz w:val="32"/>
          <w:szCs w:val="32"/>
          <w:highlight w:val="none"/>
        </w:rPr>
      </w:pPr>
    </w:p>
    <w:p w14:paraId="62320F5D">
      <w:pPr>
        <w:autoSpaceDE w:val="0"/>
        <w:autoSpaceDN w:val="0"/>
        <w:jc w:val="center"/>
        <w:rPr>
          <w:rFonts w:ascii="宋体" w:hAnsi="宋体" w:cs="宋体"/>
          <w:b/>
          <w:color w:val="auto"/>
          <w:spacing w:val="6"/>
          <w:sz w:val="32"/>
          <w:szCs w:val="32"/>
          <w:highlight w:val="none"/>
        </w:rPr>
      </w:pPr>
    </w:p>
    <w:p w14:paraId="62320F5E">
      <w:pPr>
        <w:autoSpaceDE w:val="0"/>
        <w:autoSpaceDN w:val="0"/>
        <w:jc w:val="center"/>
        <w:rPr>
          <w:rFonts w:ascii="宋体" w:hAnsi="宋体" w:cs="宋体"/>
          <w:b/>
          <w:color w:val="auto"/>
          <w:spacing w:val="6"/>
          <w:sz w:val="32"/>
          <w:szCs w:val="32"/>
          <w:highlight w:val="none"/>
        </w:rPr>
      </w:pPr>
    </w:p>
    <w:p w14:paraId="62320F5F">
      <w:pPr>
        <w:autoSpaceDE w:val="0"/>
        <w:autoSpaceDN w:val="0"/>
        <w:jc w:val="center"/>
        <w:rPr>
          <w:rFonts w:ascii="宋体" w:hAnsi="宋体" w:cs="宋体"/>
          <w:b/>
          <w:color w:val="auto"/>
          <w:spacing w:val="6"/>
          <w:sz w:val="32"/>
          <w:szCs w:val="32"/>
          <w:highlight w:val="none"/>
        </w:rPr>
      </w:pPr>
    </w:p>
    <w:p w14:paraId="62320F60">
      <w:pPr>
        <w:autoSpaceDE w:val="0"/>
        <w:autoSpaceDN w:val="0"/>
        <w:jc w:val="center"/>
        <w:rPr>
          <w:rFonts w:ascii="宋体" w:hAnsi="宋体" w:cs="宋体"/>
          <w:b/>
          <w:color w:val="auto"/>
          <w:spacing w:val="6"/>
          <w:sz w:val="32"/>
          <w:szCs w:val="32"/>
          <w:highlight w:val="none"/>
        </w:rPr>
      </w:pPr>
    </w:p>
    <w:p w14:paraId="62320F61">
      <w:pPr>
        <w:widowControl/>
        <w:adjustRightInd/>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62320F6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2320F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浙江省司法厅浙江省法律服务领域应用迭代升级改造项目—律师管理功能【招标编号：ZJ-2471321-11】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2320F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2320F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320F66">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320F67">
      <w:pPr>
        <w:rPr>
          <w:rFonts w:ascii="宋体" w:hAnsi="宋体" w:cs="宋体"/>
          <w:color w:val="auto"/>
          <w:highlight w:val="none"/>
        </w:rPr>
      </w:pPr>
      <w:r>
        <w:rPr>
          <w:rFonts w:hint="eastAsia" w:ascii="宋体" w:hAnsi="宋体" w:cs="宋体"/>
          <w:color w:val="auto"/>
          <w:highlight w:val="none"/>
          <w:lang w:val="zh-CN"/>
        </w:rPr>
        <w:t xml:space="preserve"> </w:t>
      </w:r>
    </w:p>
    <w:p w14:paraId="62320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2320F6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320F6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2320F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2320F6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2320F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2320F6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2320F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2320F7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六、违约责任</w:t>
      </w:r>
    </w:p>
    <w:p w14:paraId="62320F7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2320F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2320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320F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2320F7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62320F76">
      <w:pPr>
        <w:snapToGrid w:val="0"/>
        <w:spacing w:line="360" w:lineRule="auto"/>
        <w:ind w:left="5758" w:leftChars="342" w:hanging="5040" w:hangingChars="2100"/>
        <w:rPr>
          <w:rFonts w:ascii="宋体" w:hAnsi="宋体" w:cs="宋体"/>
          <w:color w:val="auto"/>
          <w:kern w:val="0"/>
          <w:sz w:val="24"/>
          <w:highlight w:val="none"/>
          <w:lang w:val="zh-CN"/>
        </w:rPr>
      </w:pPr>
    </w:p>
    <w:p w14:paraId="62320F77">
      <w:pPr>
        <w:snapToGrid w:val="0"/>
        <w:spacing w:line="360" w:lineRule="auto"/>
        <w:ind w:left="5758" w:leftChars="342" w:hanging="5040" w:hangingChars="2100"/>
        <w:rPr>
          <w:rFonts w:ascii="宋体" w:hAnsi="宋体" w:cs="宋体"/>
          <w:color w:val="auto"/>
          <w:kern w:val="0"/>
          <w:sz w:val="24"/>
          <w:highlight w:val="none"/>
          <w:lang w:val="zh-CN"/>
        </w:rPr>
      </w:pPr>
    </w:p>
    <w:p w14:paraId="62320F78">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62320F79">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320F7A">
      <w:pPr>
        <w:snapToGrid w:val="0"/>
        <w:spacing w:line="360" w:lineRule="auto"/>
        <w:ind w:left="5757" w:leftChars="2000" w:hanging="1557" w:hangingChars="649"/>
        <w:rPr>
          <w:rFonts w:ascii="宋体" w:hAnsi="宋体" w:cs="宋体"/>
          <w:color w:val="auto"/>
          <w:highlight w:val="none"/>
        </w:rPr>
      </w:pPr>
      <w:r>
        <w:rPr>
          <w:rFonts w:hint="eastAsia" w:ascii="宋体" w:hAnsi="宋体" w:cs="宋体"/>
          <w:color w:val="auto"/>
          <w:kern w:val="0"/>
          <w:sz w:val="24"/>
          <w:highlight w:val="none"/>
          <w:lang w:val="zh-CN"/>
        </w:rPr>
        <w:t>……</w:t>
      </w:r>
    </w:p>
    <w:p w14:paraId="62320F7B">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2320F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320F7D">
      <w:pPr>
        <w:autoSpaceDE w:val="0"/>
        <w:autoSpaceDN w:val="0"/>
        <w:jc w:val="center"/>
        <w:rPr>
          <w:rFonts w:ascii="宋体" w:hAnsi="宋体" w:cs="宋体"/>
          <w:b/>
          <w:color w:val="auto"/>
          <w:spacing w:val="6"/>
          <w:sz w:val="32"/>
          <w:szCs w:val="32"/>
          <w:highlight w:val="none"/>
        </w:rPr>
      </w:pPr>
    </w:p>
    <w:p w14:paraId="62320F7E">
      <w:pPr>
        <w:autoSpaceDE w:val="0"/>
        <w:autoSpaceDN w:val="0"/>
        <w:jc w:val="center"/>
        <w:rPr>
          <w:rFonts w:ascii="宋体" w:hAnsi="宋体" w:cs="宋体"/>
          <w:b/>
          <w:color w:val="auto"/>
          <w:spacing w:val="6"/>
          <w:sz w:val="32"/>
          <w:szCs w:val="32"/>
          <w:highlight w:val="none"/>
        </w:rPr>
      </w:pPr>
    </w:p>
    <w:p w14:paraId="62320F7F">
      <w:pPr>
        <w:autoSpaceDE w:val="0"/>
        <w:autoSpaceDN w:val="0"/>
        <w:jc w:val="center"/>
        <w:rPr>
          <w:rFonts w:ascii="宋体" w:hAnsi="宋体" w:cs="宋体"/>
          <w:b/>
          <w:color w:val="auto"/>
          <w:spacing w:val="6"/>
          <w:sz w:val="32"/>
          <w:szCs w:val="32"/>
          <w:highlight w:val="none"/>
        </w:rPr>
      </w:pPr>
    </w:p>
    <w:p w14:paraId="62320F80">
      <w:pPr>
        <w:autoSpaceDE w:val="0"/>
        <w:autoSpaceDN w:val="0"/>
        <w:jc w:val="center"/>
        <w:rPr>
          <w:rFonts w:ascii="宋体" w:hAnsi="宋体" w:cs="宋体"/>
          <w:b/>
          <w:color w:val="auto"/>
          <w:spacing w:val="6"/>
          <w:sz w:val="32"/>
          <w:szCs w:val="32"/>
          <w:highlight w:val="none"/>
        </w:rPr>
      </w:pPr>
    </w:p>
    <w:p w14:paraId="62320F81">
      <w:pPr>
        <w:autoSpaceDE w:val="0"/>
        <w:autoSpaceDN w:val="0"/>
        <w:jc w:val="center"/>
        <w:rPr>
          <w:rFonts w:ascii="宋体" w:hAnsi="宋体" w:cs="宋体"/>
          <w:b/>
          <w:color w:val="auto"/>
          <w:spacing w:val="6"/>
          <w:sz w:val="32"/>
          <w:szCs w:val="32"/>
          <w:highlight w:val="none"/>
        </w:rPr>
      </w:pPr>
    </w:p>
    <w:p w14:paraId="62320F82">
      <w:pPr>
        <w:autoSpaceDE w:val="0"/>
        <w:autoSpaceDN w:val="0"/>
        <w:jc w:val="center"/>
        <w:rPr>
          <w:rFonts w:ascii="宋体" w:hAnsi="宋体" w:cs="宋体"/>
          <w:b/>
          <w:color w:val="auto"/>
          <w:spacing w:val="6"/>
          <w:sz w:val="32"/>
          <w:szCs w:val="32"/>
          <w:highlight w:val="none"/>
        </w:rPr>
      </w:pPr>
    </w:p>
    <w:p w14:paraId="62320F83">
      <w:pPr>
        <w:autoSpaceDE w:val="0"/>
        <w:autoSpaceDN w:val="0"/>
        <w:jc w:val="center"/>
        <w:rPr>
          <w:rFonts w:ascii="宋体" w:hAnsi="宋体" w:cs="宋体"/>
          <w:b/>
          <w:color w:val="auto"/>
          <w:spacing w:val="6"/>
          <w:sz w:val="32"/>
          <w:szCs w:val="32"/>
          <w:highlight w:val="none"/>
        </w:rPr>
      </w:pPr>
    </w:p>
    <w:p w14:paraId="62320F84">
      <w:pPr>
        <w:autoSpaceDE w:val="0"/>
        <w:autoSpaceDN w:val="0"/>
        <w:jc w:val="center"/>
        <w:rPr>
          <w:rFonts w:ascii="宋体" w:hAnsi="宋体" w:cs="宋体"/>
          <w:b/>
          <w:color w:val="auto"/>
          <w:spacing w:val="6"/>
          <w:sz w:val="32"/>
          <w:szCs w:val="32"/>
          <w:highlight w:val="none"/>
        </w:rPr>
      </w:pPr>
    </w:p>
    <w:p w14:paraId="62320F85">
      <w:pPr>
        <w:autoSpaceDE w:val="0"/>
        <w:autoSpaceDN w:val="0"/>
        <w:jc w:val="center"/>
        <w:rPr>
          <w:rFonts w:ascii="宋体" w:hAnsi="宋体" w:cs="宋体"/>
          <w:b/>
          <w:color w:val="auto"/>
          <w:spacing w:val="6"/>
          <w:sz w:val="32"/>
          <w:szCs w:val="32"/>
          <w:highlight w:val="none"/>
        </w:rPr>
      </w:pPr>
    </w:p>
    <w:p w14:paraId="62320F86">
      <w:pPr>
        <w:autoSpaceDE w:val="0"/>
        <w:autoSpaceDN w:val="0"/>
        <w:jc w:val="center"/>
        <w:rPr>
          <w:rFonts w:ascii="宋体" w:hAnsi="宋体" w:cs="宋体"/>
          <w:b/>
          <w:color w:val="auto"/>
          <w:spacing w:val="6"/>
          <w:sz w:val="32"/>
          <w:szCs w:val="32"/>
          <w:highlight w:val="none"/>
        </w:rPr>
      </w:pPr>
    </w:p>
    <w:p w14:paraId="62320F87">
      <w:pPr>
        <w:autoSpaceDE w:val="0"/>
        <w:autoSpaceDN w:val="0"/>
        <w:jc w:val="center"/>
        <w:rPr>
          <w:rFonts w:ascii="宋体" w:hAnsi="宋体" w:cs="宋体"/>
          <w:b/>
          <w:color w:val="auto"/>
          <w:spacing w:val="6"/>
          <w:sz w:val="32"/>
          <w:szCs w:val="32"/>
          <w:highlight w:val="none"/>
        </w:rPr>
      </w:pPr>
    </w:p>
    <w:p w14:paraId="62320F88">
      <w:pPr>
        <w:autoSpaceDE w:val="0"/>
        <w:autoSpaceDN w:val="0"/>
        <w:jc w:val="center"/>
        <w:rPr>
          <w:rFonts w:ascii="宋体" w:hAnsi="宋体" w:cs="宋体"/>
          <w:b/>
          <w:color w:val="auto"/>
          <w:spacing w:val="6"/>
          <w:sz w:val="32"/>
          <w:szCs w:val="32"/>
          <w:highlight w:val="none"/>
        </w:rPr>
      </w:pPr>
    </w:p>
    <w:p w14:paraId="62320F89">
      <w:pPr>
        <w:autoSpaceDE w:val="0"/>
        <w:autoSpaceDN w:val="0"/>
        <w:jc w:val="center"/>
        <w:rPr>
          <w:rFonts w:ascii="宋体" w:hAnsi="宋体" w:cs="宋体"/>
          <w:b/>
          <w:color w:val="auto"/>
          <w:spacing w:val="6"/>
          <w:sz w:val="32"/>
          <w:szCs w:val="32"/>
          <w:highlight w:val="none"/>
        </w:rPr>
      </w:pPr>
    </w:p>
    <w:p w14:paraId="62320F8A">
      <w:pPr>
        <w:autoSpaceDE w:val="0"/>
        <w:autoSpaceDN w:val="0"/>
        <w:jc w:val="center"/>
        <w:rPr>
          <w:rFonts w:ascii="宋体" w:hAnsi="宋体" w:cs="宋体"/>
          <w:b/>
          <w:color w:val="auto"/>
          <w:spacing w:val="6"/>
          <w:sz w:val="32"/>
          <w:szCs w:val="32"/>
          <w:highlight w:val="none"/>
        </w:rPr>
      </w:pPr>
    </w:p>
    <w:p w14:paraId="62320F8B">
      <w:pPr>
        <w:autoSpaceDE w:val="0"/>
        <w:autoSpaceDN w:val="0"/>
        <w:jc w:val="center"/>
        <w:rPr>
          <w:rFonts w:ascii="宋体" w:hAnsi="宋体" w:cs="宋体"/>
          <w:b/>
          <w:color w:val="auto"/>
          <w:spacing w:val="6"/>
          <w:sz w:val="32"/>
          <w:szCs w:val="32"/>
          <w:highlight w:val="none"/>
        </w:rPr>
      </w:pPr>
    </w:p>
    <w:p w14:paraId="62320F8C">
      <w:pPr>
        <w:autoSpaceDE w:val="0"/>
        <w:autoSpaceDN w:val="0"/>
        <w:jc w:val="center"/>
        <w:rPr>
          <w:rFonts w:ascii="宋体" w:hAnsi="宋体" w:cs="宋体"/>
          <w:b/>
          <w:color w:val="auto"/>
          <w:spacing w:val="6"/>
          <w:sz w:val="32"/>
          <w:szCs w:val="32"/>
          <w:highlight w:val="none"/>
        </w:rPr>
      </w:pPr>
    </w:p>
    <w:p w14:paraId="62320F8D">
      <w:pPr>
        <w:autoSpaceDE w:val="0"/>
        <w:autoSpaceDN w:val="0"/>
        <w:jc w:val="center"/>
        <w:rPr>
          <w:rFonts w:ascii="宋体" w:hAnsi="宋体" w:cs="宋体"/>
          <w:b/>
          <w:color w:val="auto"/>
          <w:spacing w:val="6"/>
          <w:sz w:val="32"/>
          <w:szCs w:val="32"/>
          <w:highlight w:val="none"/>
        </w:rPr>
      </w:pPr>
    </w:p>
    <w:p w14:paraId="62320F8E">
      <w:pPr>
        <w:autoSpaceDE w:val="0"/>
        <w:autoSpaceDN w:val="0"/>
        <w:jc w:val="center"/>
        <w:rPr>
          <w:rFonts w:ascii="宋体" w:hAnsi="宋体" w:cs="宋体"/>
          <w:b/>
          <w:color w:val="auto"/>
          <w:spacing w:val="6"/>
          <w:sz w:val="32"/>
          <w:szCs w:val="32"/>
          <w:highlight w:val="none"/>
        </w:rPr>
      </w:pPr>
    </w:p>
    <w:p w14:paraId="62320F8F">
      <w:pPr>
        <w:autoSpaceDE w:val="0"/>
        <w:autoSpaceDN w:val="0"/>
        <w:jc w:val="center"/>
        <w:rPr>
          <w:rFonts w:ascii="宋体" w:hAnsi="宋体" w:cs="宋体"/>
          <w:b/>
          <w:color w:val="auto"/>
          <w:spacing w:val="6"/>
          <w:sz w:val="32"/>
          <w:szCs w:val="32"/>
          <w:highlight w:val="none"/>
        </w:rPr>
      </w:pPr>
    </w:p>
    <w:p w14:paraId="62320F90">
      <w:pPr>
        <w:autoSpaceDE w:val="0"/>
        <w:autoSpaceDN w:val="0"/>
        <w:jc w:val="center"/>
        <w:rPr>
          <w:rFonts w:ascii="宋体" w:hAnsi="宋体" w:cs="宋体"/>
          <w:b/>
          <w:color w:val="auto"/>
          <w:spacing w:val="6"/>
          <w:sz w:val="32"/>
          <w:szCs w:val="32"/>
          <w:highlight w:val="none"/>
        </w:rPr>
      </w:pPr>
    </w:p>
    <w:p w14:paraId="62320F91">
      <w:pPr>
        <w:autoSpaceDE w:val="0"/>
        <w:autoSpaceDN w:val="0"/>
        <w:jc w:val="center"/>
        <w:rPr>
          <w:rFonts w:ascii="宋体" w:hAnsi="宋体" w:cs="宋体"/>
          <w:b/>
          <w:color w:val="auto"/>
          <w:spacing w:val="6"/>
          <w:sz w:val="32"/>
          <w:szCs w:val="32"/>
          <w:highlight w:val="none"/>
        </w:rPr>
      </w:pPr>
    </w:p>
    <w:p w14:paraId="62320F92">
      <w:pPr>
        <w:autoSpaceDE w:val="0"/>
        <w:autoSpaceDN w:val="0"/>
        <w:jc w:val="center"/>
        <w:rPr>
          <w:rFonts w:ascii="宋体" w:hAnsi="宋体" w:cs="宋体"/>
          <w:b/>
          <w:color w:val="auto"/>
          <w:spacing w:val="6"/>
          <w:sz w:val="32"/>
          <w:szCs w:val="32"/>
          <w:highlight w:val="none"/>
        </w:rPr>
      </w:pPr>
    </w:p>
    <w:p w14:paraId="62320F93">
      <w:pPr>
        <w:autoSpaceDE w:val="0"/>
        <w:autoSpaceDN w:val="0"/>
        <w:jc w:val="center"/>
        <w:rPr>
          <w:rFonts w:ascii="宋体" w:hAnsi="宋体" w:cs="宋体"/>
          <w:b/>
          <w:color w:val="auto"/>
          <w:spacing w:val="6"/>
          <w:sz w:val="32"/>
          <w:szCs w:val="32"/>
          <w:highlight w:val="none"/>
        </w:rPr>
      </w:pPr>
    </w:p>
    <w:p w14:paraId="62320F94">
      <w:pPr>
        <w:autoSpaceDE w:val="0"/>
        <w:autoSpaceDN w:val="0"/>
        <w:jc w:val="center"/>
        <w:rPr>
          <w:rFonts w:ascii="宋体" w:hAnsi="宋体" w:cs="宋体"/>
          <w:b/>
          <w:color w:val="auto"/>
          <w:spacing w:val="6"/>
          <w:sz w:val="32"/>
          <w:szCs w:val="32"/>
          <w:highlight w:val="none"/>
        </w:rPr>
      </w:pPr>
    </w:p>
    <w:p w14:paraId="62320F95">
      <w:pPr>
        <w:autoSpaceDE w:val="0"/>
        <w:autoSpaceDN w:val="0"/>
        <w:jc w:val="center"/>
        <w:rPr>
          <w:rFonts w:ascii="宋体" w:hAnsi="宋体" w:cs="宋体"/>
          <w:b/>
          <w:color w:val="auto"/>
          <w:spacing w:val="6"/>
          <w:sz w:val="32"/>
          <w:szCs w:val="32"/>
          <w:highlight w:val="none"/>
        </w:rPr>
      </w:pPr>
    </w:p>
    <w:p w14:paraId="62320F96">
      <w:pPr>
        <w:autoSpaceDE w:val="0"/>
        <w:autoSpaceDN w:val="0"/>
        <w:jc w:val="center"/>
        <w:rPr>
          <w:rFonts w:ascii="宋体" w:hAnsi="宋体" w:cs="宋体"/>
          <w:b/>
          <w:color w:val="auto"/>
          <w:spacing w:val="6"/>
          <w:sz w:val="32"/>
          <w:szCs w:val="32"/>
          <w:highlight w:val="none"/>
        </w:rPr>
      </w:pPr>
    </w:p>
    <w:p w14:paraId="62320F9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62320F98">
      <w:pPr>
        <w:spacing w:line="360" w:lineRule="auto"/>
        <w:jc w:val="center"/>
        <w:rPr>
          <w:rFonts w:ascii="宋体" w:hAnsi="宋体" w:cs="宋体"/>
          <w:color w:val="auto"/>
          <w:sz w:val="24"/>
          <w:highlight w:val="none"/>
          <w:u w:val="single"/>
        </w:rPr>
      </w:pPr>
    </w:p>
    <w:p w14:paraId="62320F9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2320F9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浙江省司法厅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浙江省司法厅浙江省法律服务领域应用迭代升级改造项目—律师管理功能</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2320F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u w:val="single"/>
        </w:rPr>
        <w:t xml:space="preserve"> 浙江省法律服务领域应用迭代升级改造项目—律师管理功能，</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软件和信息技术服务业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320F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2320F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2320F9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2320F9F">
      <w:pPr>
        <w:spacing w:line="360" w:lineRule="auto"/>
        <w:ind w:right="1760"/>
        <w:jc w:val="right"/>
        <w:rPr>
          <w:rFonts w:ascii="宋体" w:hAnsi="宋体" w:cs="宋体"/>
          <w:color w:val="auto"/>
          <w:sz w:val="24"/>
          <w:highlight w:val="none"/>
        </w:rPr>
      </w:pPr>
    </w:p>
    <w:p w14:paraId="62320FA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2320FA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320FA2">
      <w:pPr>
        <w:spacing w:line="360" w:lineRule="auto"/>
        <w:ind w:right="420"/>
        <w:rPr>
          <w:rFonts w:ascii="宋体" w:hAnsi="宋体" w:cs="宋体"/>
          <w:color w:val="auto"/>
          <w:sz w:val="24"/>
          <w:highlight w:val="none"/>
        </w:rPr>
      </w:pPr>
    </w:p>
    <w:p w14:paraId="62320FA3">
      <w:pPr>
        <w:spacing w:line="360" w:lineRule="auto"/>
        <w:ind w:right="420" w:firstLine="480" w:firstLineChars="200"/>
        <w:rPr>
          <w:rFonts w:ascii="宋体" w:hAnsi="宋体" w:cs="宋体"/>
          <w:color w:val="auto"/>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62320FA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1">
    <w:pPr>
      <w:pStyle w:val="42"/>
      <w:framePr w:wrap="around" w:vAnchor="text" w:hAnchor="margin" w:xAlign="right" w:y="1"/>
      <w:rPr>
        <w:rStyle w:val="73"/>
      </w:rPr>
    </w:pPr>
    <w:r>
      <w:fldChar w:fldCharType="begin"/>
    </w:r>
    <w:r>
      <w:rPr>
        <w:rStyle w:val="73"/>
      </w:rPr>
      <w:instrText xml:space="preserve">PAGE  </w:instrText>
    </w:r>
    <w:r>
      <w:fldChar w:fldCharType="end"/>
    </w:r>
  </w:p>
  <w:p w14:paraId="62320FB2">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9">
    <w:pPr>
      <w:pStyle w:val="4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9">
                          <w:pPr>
                            <w:pStyle w:val="4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2320FE9">
                    <w:pPr>
                      <w:pStyle w:val="4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7">
    <w:pPr>
      <w:pStyle w:val="42"/>
      <w:framePr w:wrap="around" w:vAnchor="text" w:hAnchor="margin" w:xAlign="right" w:y="1"/>
      <w:rPr>
        <w:rStyle w:val="73"/>
      </w:rPr>
    </w:pPr>
    <w:r>
      <w:fldChar w:fldCharType="begin"/>
    </w:r>
    <w:r>
      <w:rPr>
        <w:rStyle w:val="73"/>
      </w:rPr>
      <w:instrText xml:space="preserve">PAGE  </w:instrText>
    </w:r>
    <w:r>
      <w:fldChar w:fldCharType="end"/>
    </w:r>
  </w:p>
  <w:p w14:paraId="62320FC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B">
    <w:pPr>
      <w:pStyle w:val="4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8">
                          <w:pPr>
                            <w:pStyle w:val="4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2320FE8">
                    <w:pPr>
                      <w:pStyle w:val="4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4">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1">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320FE1">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5">
    <w:pPr>
      <w:pStyle w:val="42"/>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2320FE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8">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3">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2320FE3">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B">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2">
                          <w:pPr>
                            <w:pStyle w:val="4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2320FE2">
                    <w:pPr>
                      <w:pStyle w:val="4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E">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5">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2320FE5">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0">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4">
                          <w:pPr>
                            <w:pStyle w:val="4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2320FE4">
                    <w:pPr>
                      <w:pStyle w:val="4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3">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7">
                          <w:pPr>
                            <w:pStyle w:val="4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2320FE7">
                    <w:pPr>
                      <w:pStyle w:val="4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20FE6">
                          <w:pPr>
                            <w:pStyle w:val="4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2320FE6">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AF">
    <w:pPr>
      <w:pStyle w:val="44"/>
      <w:pBdr>
        <w:bottom w:val="single" w:color="auto" w:sz="6" w:space="4"/>
      </w:pBdr>
      <w:jc w:val="right"/>
    </w:pPr>
    <w:r>
      <w:t></w:t>
    </w:r>
    <w:r>
      <w:rPr>
        <w:rFonts w:hint="eastAsia"/>
      </w:rPr>
      <w:t xml:space="preserve">            </w:t>
    </w:r>
    <w:r>
      <w:t>政府采购公开招标文件</w:t>
    </w:r>
  </w:p>
  <w:p w14:paraId="62320FB0">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A">
    <w:pPr>
      <w:pStyle w:val="44"/>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3">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6">
    <w:pPr>
      <w:pStyle w:val="44"/>
      <w:rPr>
        <w:rFonts w:ascii="仿宋_GB2312" w:eastAsia="仿宋_GB2312"/>
        <w:b/>
        <w:i/>
        <w:u w:val="single"/>
      </w:rPr>
    </w:pPr>
    <w:r>
      <w:t></w:t>
    </w:r>
    <w:r>
      <w:rPr>
        <w:rFonts w:hint="eastAsia"/>
      </w:rPr>
      <w:t xml:space="preserve">                                                  </w:t>
    </w:r>
    <w:r>
      <w:t xml:space="preserve">           政府采购公开招标文件</w:t>
    </w:r>
  </w:p>
  <w:p w14:paraId="62320FB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9">
    <w:pPr>
      <w:pStyle w:val="44"/>
    </w:pPr>
    <w:r>
      <w:t></w:t>
    </w:r>
    <w:r>
      <w:rPr>
        <w:rFonts w:hint="eastAsia"/>
      </w:rPr>
      <w:t xml:space="preserve">         </w:t>
    </w:r>
  </w:p>
  <w:p w14:paraId="62320FBA">
    <w:pPr>
      <w:pStyle w:val="44"/>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C">
    <w:pPr>
      <w:pStyle w:val="44"/>
      <w:rPr>
        <w:rFonts w:ascii="仿宋_GB2312" w:eastAsia="仿宋_GB2312"/>
        <w:b/>
        <w:i/>
        <w:u w:val="single"/>
      </w:rPr>
    </w:pPr>
    <w:r>
      <w:t></w:t>
    </w:r>
    <w:r>
      <w:rPr>
        <w:rFonts w:hint="eastAsia"/>
      </w:rPr>
      <w:t xml:space="preserve">                                                 </w:t>
    </w:r>
    <w:r>
      <w:t>政府采购公开招标文件</w:t>
    </w:r>
  </w:p>
  <w:p w14:paraId="62320FB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BF">
    <w:pPr>
      <w:pStyle w:val="44"/>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1">
    <w:pPr>
      <w:pStyle w:val="44"/>
      <w:jc w:val="right"/>
      <w:rPr>
        <w:rFonts w:ascii="仿宋_GB2312" w:eastAsia="仿宋_GB2312"/>
        <w:b/>
        <w:i/>
        <w:u w:val="single"/>
      </w:rPr>
    </w:pPr>
    <w:r>
      <w:rPr>
        <w:rFonts w:hint="eastAsia"/>
      </w:rPr>
      <w:t xml:space="preserve">                                 </w:t>
    </w:r>
    <w:r>
      <w:t>政府采购公开招标文件</w:t>
    </w:r>
  </w:p>
  <w:p w14:paraId="62320FC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4">
    <w:pPr>
      <w:pStyle w:val="44"/>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0FC6">
    <w:pPr>
      <w:pStyle w:val="44"/>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E40ED"/>
    <w:multiLevelType w:val="multilevel"/>
    <w:tmpl w:val="DD0E40ED"/>
    <w:lvl w:ilvl="0" w:tentative="0">
      <w:start w:val="2"/>
      <w:numFmt w:val="decimal"/>
      <w:lvlText w:val="%1."/>
      <w:lvlJc w:val="left"/>
      <w:pPr>
        <w:ind w:left="425" w:hanging="425"/>
      </w:pPr>
      <w:rPr>
        <w:rFonts w:hint="default"/>
      </w:rPr>
    </w:lvl>
    <w:lvl w:ilvl="1" w:tentative="0">
      <w:start w:val="1"/>
      <w:numFmt w:val="decimal"/>
      <w:lvlRestart w:val="0"/>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E95B3697"/>
    <w:multiLevelType w:val="singleLevel"/>
    <w:tmpl w:val="E95B3697"/>
    <w:lvl w:ilvl="0" w:tentative="0">
      <w:start w:val="1"/>
      <w:numFmt w:val="bullet"/>
      <w:lvlText w:val=""/>
      <w:lvlJc w:val="left"/>
      <w:pPr>
        <w:ind w:left="420" w:hanging="420"/>
      </w:pPr>
      <w:rPr>
        <w:rFonts w:hint="default" w:ascii="Wingdings" w:hAnsi="Wingdings"/>
      </w:rPr>
    </w:lvl>
  </w:abstractNum>
  <w:abstractNum w:abstractNumId="2">
    <w:nsid w:val="EABBFC7D"/>
    <w:multiLevelType w:val="singleLevel"/>
    <w:tmpl w:val="EABBFC7D"/>
    <w:lvl w:ilvl="0" w:tentative="0">
      <w:start w:val="1"/>
      <w:numFmt w:val="decimal"/>
      <w:suff w:val="nothing"/>
      <w:lvlText w:val="%1．"/>
      <w:lvlJc w:val="left"/>
      <w:pPr>
        <w:ind w:left="0" w:firstLine="400"/>
      </w:pPr>
      <w:rPr>
        <w:rFonts w:hint="default"/>
      </w:rPr>
    </w:lvl>
  </w:abstractNum>
  <w:abstractNum w:abstractNumId="3">
    <w:nsid w:val="15FDA569"/>
    <w:multiLevelType w:val="multilevel"/>
    <w:tmpl w:val="15FDA56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25F54A1E"/>
    <w:multiLevelType w:val="multilevel"/>
    <w:tmpl w:val="25F54A1E"/>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3569376E"/>
    <w:multiLevelType w:val="multilevel"/>
    <w:tmpl w:val="3569376E"/>
    <w:lvl w:ilvl="0" w:tentative="0">
      <w:start w:val="5"/>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35D71722"/>
    <w:multiLevelType w:val="singleLevel"/>
    <w:tmpl w:val="35D71722"/>
    <w:lvl w:ilvl="0" w:tentative="0">
      <w:start w:val="2"/>
      <w:numFmt w:val="chineseCounting"/>
      <w:suff w:val="nothing"/>
      <w:lvlText w:val="%1、"/>
      <w:lvlJc w:val="left"/>
      <w:rPr>
        <w:rFonts w:hint="eastAsia"/>
      </w:rPr>
    </w:lvl>
  </w:abstractNum>
  <w:abstractNum w:abstractNumId="7">
    <w:nsid w:val="3B05A91B"/>
    <w:multiLevelType w:val="singleLevel"/>
    <w:tmpl w:val="3B05A91B"/>
    <w:lvl w:ilvl="0" w:tentative="0">
      <w:start w:val="1"/>
      <w:numFmt w:val="decimal"/>
      <w:suff w:val="nothing"/>
      <w:lvlText w:val="（%1）"/>
      <w:lvlJc w:val="left"/>
      <w:rPr>
        <w:rFonts w:hint="default" w:ascii="宋体" w:hAnsi="宋体" w:eastAsia="宋体" w:cs="宋体"/>
        <w:sz w:val="24"/>
        <w:szCs w:val="24"/>
      </w:rPr>
    </w:lvl>
  </w:abstractNum>
  <w:abstractNum w:abstractNumId="8">
    <w:nsid w:val="41892D21"/>
    <w:multiLevelType w:val="singleLevel"/>
    <w:tmpl w:val="41892D21"/>
    <w:lvl w:ilvl="0" w:tentative="0">
      <w:start w:val="1"/>
      <w:numFmt w:val="decimal"/>
      <w:suff w:val="nothing"/>
      <w:lvlText w:val="（%1）"/>
      <w:lvlJc w:val="left"/>
    </w:lvl>
  </w:abstractNum>
  <w:abstractNum w:abstractNumId="9">
    <w:nsid w:val="749556B6"/>
    <w:multiLevelType w:val="multilevel"/>
    <w:tmpl w:val="749556B6"/>
    <w:lvl w:ilvl="0" w:tentative="0">
      <w:start w:val="1"/>
      <w:numFmt w:val="chineseCountingThousand"/>
      <w:pStyle w:val="970"/>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0">
    <w:nsid w:val="7C01601A"/>
    <w:multiLevelType w:val="multilevel"/>
    <w:tmpl w:val="7C01601A"/>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9"/>
  </w:num>
  <w:num w:numId="2">
    <w:abstractNumId w:val="2"/>
  </w:num>
  <w:num w:numId="3">
    <w:abstractNumId w:val="1"/>
  </w:num>
  <w:num w:numId="4">
    <w:abstractNumId w:val="3"/>
  </w:num>
  <w:num w:numId="5">
    <w:abstractNumId w:val="0"/>
  </w:num>
  <w:num w:numId="6">
    <w:abstractNumId w:val="4"/>
  </w:num>
  <w:num w:numId="7">
    <w:abstractNumId w:val="5"/>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E3F"/>
    <w:rsid w:val="00002DE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6F9"/>
    <w:rsid w:val="00020287"/>
    <w:rsid w:val="000202FE"/>
    <w:rsid w:val="00020B5F"/>
    <w:rsid w:val="000211BC"/>
    <w:rsid w:val="0002207B"/>
    <w:rsid w:val="000232FD"/>
    <w:rsid w:val="00023323"/>
    <w:rsid w:val="000233E4"/>
    <w:rsid w:val="00023495"/>
    <w:rsid w:val="0002355A"/>
    <w:rsid w:val="00023777"/>
    <w:rsid w:val="00023C0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6B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B"/>
    <w:rsid w:val="0006785E"/>
    <w:rsid w:val="00067AFB"/>
    <w:rsid w:val="00067F92"/>
    <w:rsid w:val="00067FA7"/>
    <w:rsid w:val="0007038E"/>
    <w:rsid w:val="0007077C"/>
    <w:rsid w:val="00070825"/>
    <w:rsid w:val="00071CD8"/>
    <w:rsid w:val="00071DB2"/>
    <w:rsid w:val="0007237B"/>
    <w:rsid w:val="00072AED"/>
    <w:rsid w:val="00072B56"/>
    <w:rsid w:val="00072D2B"/>
    <w:rsid w:val="00072D51"/>
    <w:rsid w:val="000730B1"/>
    <w:rsid w:val="00073860"/>
    <w:rsid w:val="00073879"/>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F6"/>
    <w:rsid w:val="000D11E5"/>
    <w:rsid w:val="000D19E8"/>
    <w:rsid w:val="000D1FA1"/>
    <w:rsid w:val="000D2834"/>
    <w:rsid w:val="000D286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866"/>
    <w:rsid w:val="000E6AE1"/>
    <w:rsid w:val="000E7142"/>
    <w:rsid w:val="000E7632"/>
    <w:rsid w:val="000E7737"/>
    <w:rsid w:val="000E7739"/>
    <w:rsid w:val="000E77EE"/>
    <w:rsid w:val="000F1332"/>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0A"/>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A26"/>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047"/>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7E9"/>
    <w:rsid w:val="00173826"/>
    <w:rsid w:val="00173C58"/>
    <w:rsid w:val="00173E59"/>
    <w:rsid w:val="001741DC"/>
    <w:rsid w:val="00174C4F"/>
    <w:rsid w:val="00174F57"/>
    <w:rsid w:val="00175078"/>
    <w:rsid w:val="001755DC"/>
    <w:rsid w:val="00176AA6"/>
    <w:rsid w:val="00177063"/>
    <w:rsid w:val="00180A47"/>
    <w:rsid w:val="00181025"/>
    <w:rsid w:val="00182014"/>
    <w:rsid w:val="001827B7"/>
    <w:rsid w:val="001827EF"/>
    <w:rsid w:val="00182982"/>
    <w:rsid w:val="001829BC"/>
    <w:rsid w:val="00182D68"/>
    <w:rsid w:val="00183031"/>
    <w:rsid w:val="00183468"/>
    <w:rsid w:val="0018397E"/>
    <w:rsid w:val="00184466"/>
    <w:rsid w:val="00184DBF"/>
    <w:rsid w:val="00184E83"/>
    <w:rsid w:val="001852A8"/>
    <w:rsid w:val="0018620A"/>
    <w:rsid w:val="00186EB0"/>
    <w:rsid w:val="00187121"/>
    <w:rsid w:val="00187243"/>
    <w:rsid w:val="00187C29"/>
    <w:rsid w:val="00190782"/>
    <w:rsid w:val="00190942"/>
    <w:rsid w:val="001909A7"/>
    <w:rsid w:val="001909C3"/>
    <w:rsid w:val="00190CF7"/>
    <w:rsid w:val="00191459"/>
    <w:rsid w:val="00191603"/>
    <w:rsid w:val="0019173E"/>
    <w:rsid w:val="0019174E"/>
    <w:rsid w:val="0019196B"/>
    <w:rsid w:val="00191E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1E"/>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B6"/>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9B1"/>
    <w:rsid w:val="001D1D55"/>
    <w:rsid w:val="001D21EF"/>
    <w:rsid w:val="001D29A4"/>
    <w:rsid w:val="001D2B73"/>
    <w:rsid w:val="001D3136"/>
    <w:rsid w:val="001D3177"/>
    <w:rsid w:val="001D330D"/>
    <w:rsid w:val="001D4AB6"/>
    <w:rsid w:val="001D4AD3"/>
    <w:rsid w:val="001D5281"/>
    <w:rsid w:val="001E0F77"/>
    <w:rsid w:val="001E17E3"/>
    <w:rsid w:val="001E2052"/>
    <w:rsid w:val="001E2492"/>
    <w:rsid w:val="001E257C"/>
    <w:rsid w:val="001E286C"/>
    <w:rsid w:val="001E2F34"/>
    <w:rsid w:val="001E35EE"/>
    <w:rsid w:val="001E46A4"/>
    <w:rsid w:val="001E4B2C"/>
    <w:rsid w:val="001E507F"/>
    <w:rsid w:val="001E56C2"/>
    <w:rsid w:val="001E59FB"/>
    <w:rsid w:val="001E7F81"/>
    <w:rsid w:val="001F0FD1"/>
    <w:rsid w:val="001F1526"/>
    <w:rsid w:val="001F19D1"/>
    <w:rsid w:val="001F1CB9"/>
    <w:rsid w:val="001F1F18"/>
    <w:rsid w:val="001F2F92"/>
    <w:rsid w:val="001F456F"/>
    <w:rsid w:val="001F50E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ED"/>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E"/>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6F7"/>
    <w:rsid w:val="00242F79"/>
    <w:rsid w:val="0024415B"/>
    <w:rsid w:val="00245565"/>
    <w:rsid w:val="002458C1"/>
    <w:rsid w:val="00245E62"/>
    <w:rsid w:val="002460D0"/>
    <w:rsid w:val="00246357"/>
    <w:rsid w:val="00247422"/>
    <w:rsid w:val="00247BA2"/>
    <w:rsid w:val="00250870"/>
    <w:rsid w:val="0025117F"/>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ADB"/>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DE8"/>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ACD"/>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D2"/>
    <w:rsid w:val="002C519E"/>
    <w:rsid w:val="002C5D5E"/>
    <w:rsid w:val="002C6116"/>
    <w:rsid w:val="002C643D"/>
    <w:rsid w:val="002C66B8"/>
    <w:rsid w:val="002C70E7"/>
    <w:rsid w:val="002D0767"/>
    <w:rsid w:val="002D0C27"/>
    <w:rsid w:val="002D0E88"/>
    <w:rsid w:val="002D0EA7"/>
    <w:rsid w:val="002D0F31"/>
    <w:rsid w:val="002D1593"/>
    <w:rsid w:val="002D1A1E"/>
    <w:rsid w:val="002D22A6"/>
    <w:rsid w:val="002D2819"/>
    <w:rsid w:val="002D2BB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1E"/>
    <w:rsid w:val="002E12FA"/>
    <w:rsid w:val="002E13CF"/>
    <w:rsid w:val="002E201C"/>
    <w:rsid w:val="002E22CA"/>
    <w:rsid w:val="002E236F"/>
    <w:rsid w:val="002E30C6"/>
    <w:rsid w:val="002E37C5"/>
    <w:rsid w:val="002E3956"/>
    <w:rsid w:val="002E3C08"/>
    <w:rsid w:val="002E3CF2"/>
    <w:rsid w:val="002E469E"/>
    <w:rsid w:val="002E4C01"/>
    <w:rsid w:val="002E4D50"/>
    <w:rsid w:val="002E51AF"/>
    <w:rsid w:val="002E55FF"/>
    <w:rsid w:val="002E587E"/>
    <w:rsid w:val="002E672A"/>
    <w:rsid w:val="002E6853"/>
    <w:rsid w:val="002E7EC1"/>
    <w:rsid w:val="002E7EE5"/>
    <w:rsid w:val="002F0323"/>
    <w:rsid w:val="002F0DFB"/>
    <w:rsid w:val="002F0F4E"/>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4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09B"/>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87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475"/>
    <w:rsid w:val="00372842"/>
    <w:rsid w:val="003729A5"/>
    <w:rsid w:val="00372C89"/>
    <w:rsid w:val="00372E9A"/>
    <w:rsid w:val="003735B9"/>
    <w:rsid w:val="00373634"/>
    <w:rsid w:val="00374677"/>
    <w:rsid w:val="0037510C"/>
    <w:rsid w:val="00375850"/>
    <w:rsid w:val="0037632F"/>
    <w:rsid w:val="00377B26"/>
    <w:rsid w:val="00377E4C"/>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8C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E8"/>
    <w:rsid w:val="00396F7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C8D"/>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4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E7D"/>
    <w:rsid w:val="00440262"/>
    <w:rsid w:val="004406BF"/>
    <w:rsid w:val="00440814"/>
    <w:rsid w:val="004408AE"/>
    <w:rsid w:val="0044105D"/>
    <w:rsid w:val="00441424"/>
    <w:rsid w:val="00442731"/>
    <w:rsid w:val="00442C12"/>
    <w:rsid w:val="004434DF"/>
    <w:rsid w:val="0044354B"/>
    <w:rsid w:val="0044384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1C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C2"/>
    <w:rsid w:val="0049492D"/>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92A"/>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44F"/>
    <w:rsid w:val="004C0BF0"/>
    <w:rsid w:val="004C0D40"/>
    <w:rsid w:val="004C114F"/>
    <w:rsid w:val="004C11A9"/>
    <w:rsid w:val="004C27CF"/>
    <w:rsid w:val="004C2CA7"/>
    <w:rsid w:val="004C3592"/>
    <w:rsid w:val="004C36D8"/>
    <w:rsid w:val="004C3D56"/>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11"/>
    <w:rsid w:val="004D1934"/>
    <w:rsid w:val="004D1E41"/>
    <w:rsid w:val="004D2326"/>
    <w:rsid w:val="004D2E11"/>
    <w:rsid w:val="004D2F9F"/>
    <w:rsid w:val="004D3108"/>
    <w:rsid w:val="004D329C"/>
    <w:rsid w:val="004D34D1"/>
    <w:rsid w:val="004D4523"/>
    <w:rsid w:val="004D4990"/>
    <w:rsid w:val="004D4AAA"/>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DA"/>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CD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1E0"/>
    <w:rsid w:val="00594437"/>
    <w:rsid w:val="00594B70"/>
    <w:rsid w:val="00596CFA"/>
    <w:rsid w:val="00596EC6"/>
    <w:rsid w:val="005975CE"/>
    <w:rsid w:val="005977F2"/>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8D9"/>
    <w:rsid w:val="005C4E4D"/>
    <w:rsid w:val="005C58F2"/>
    <w:rsid w:val="005C5A97"/>
    <w:rsid w:val="005C5F77"/>
    <w:rsid w:val="005C6AAB"/>
    <w:rsid w:val="005C6D5D"/>
    <w:rsid w:val="005C6DEC"/>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36"/>
    <w:rsid w:val="00603373"/>
    <w:rsid w:val="006036D0"/>
    <w:rsid w:val="00603B1C"/>
    <w:rsid w:val="006042CD"/>
    <w:rsid w:val="00605217"/>
    <w:rsid w:val="006054A5"/>
    <w:rsid w:val="006059E4"/>
    <w:rsid w:val="00605D60"/>
    <w:rsid w:val="006062A0"/>
    <w:rsid w:val="00606F3D"/>
    <w:rsid w:val="00607015"/>
    <w:rsid w:val="0061098D"/>
    <w:rsid w:val="00610B78"/>
    <w:rsid w:val="00611B59"/>
    <w:rsid w:val="00611FBA"/>
    <w:rsid w:val="00612098"/>
    <w:rsid w:val="0061272A"/>
    <w:rsid w:val="0061299E"/>
    <w:rsid w:val="006130D0"/>
    <w:rsid w:val="0061355D"/>
    <w:rsid w:val="0061392B"/>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4EC"/>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93F"/>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B"/>
    <w:rsid w:val="0067772D"/>
    <w:rsid w:val="00677991"/>
    <w:rsid w:val="00677AD2"/>
    <w:rsid w:val="00680326"/>
    <w:rsid w:val="00680714"/>
    <w:rsid w:val="0068071D"/>
    <w:rsid w:val="00680C6B"/>
    <w:rsid w:val="006811F3"/>
    <w:rsid w:val="00681240"/>
    <w:rsid w:val="00681408"/>
    <w:rsid w:val="00681E43"/>
    <w:rsid w:val="00683068"/>
    <w:rsid w:val="0068356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373"/>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36"/>
    <w:rsid w:val="006A0582"/>
    <w:rsid w:val="006A060C"/>
    <w:rsid w:val="006A06F8"/>
    <w:rsid w:val="006A071C"/>
    <w:rsid w:val="006A0DC7"/>
    <w:rsid w:val="006A150D"/>
    <w:rsid w:val="006A1B00"/>
    <w:rsid w:val="006A2766"/>
    <w:rsid w:val="006A2D2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63"/>
    <w:rsid w:val="006B54E8"/>
    <w:rsid w:val="006B5FBC"/>
    <w:rsid w:val="006B6ED2"/>
    <w:rsid w:val="006B7F74"/>
    <w:rsid w:val="006C0230"/>
    <w:rsid w:val="006C05C7"/>
    <w:rsid w:val="006C25AB"/>
    <w:rsid w:val="006C2DA6"/>
    <w:rsid w:val="006C3581"/>
    <w:rsid w:val="006C39A0"/>
    <w:rsid w:val="006C3DB7"/>
    <w:rsid w:val="006C3EFE"/>
    <w:rsid w:val="006C46C7"/>
    <w:rsid w:val="006C4767"/>
    <w:rsid w:val="006C47E5"/>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C1"/>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3E"/>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BAF"/>
    <w:rsid w:val="007702BF"/>
    <w:rsid w:val="007705F0"/>
    <w:rsid w:val="00770C04"/>
    <w:rsid w:val="00771CAC"/>
    <w:rsid w:val="00772036"/>
    <w:rsid w:val="00772794"/>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08A"/>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F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3C"/>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9C5"/>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15E"/>
    <w:rsid w:val="008465B4"/>
    <w:rsid w:val="00846D25"/>
    <w:rsid w:val="00850013"/>
    <w:rsid w:val="008500DD"/>
    <w:rsid w:val="00850A0A"/>
    <w:rsid w:val="00850A94"/>
    <w:rsid w:val="00851CEF"/>
    <w:rsid w:val="00851E96"/>
    <w:rsid w:val="00851F1C"/>
    <w:rsid w:val="0085237B"/>
    <w:rsid w:val="0085287D"/>
    <w:rsid w:val="00852FA5"/>
    <w:rsid w:val="00853864"/>
    <w:rsid w:val="00853F7D"/>
    <w:rsid w:val="0085517F"/>
    <w:rsid w:val="0085562D"/>
    <w:rsid w:val="00855A78"/>
    <w:rsid w:val="00856154"/>
    <w:rsid w:val="00856286"/>
    <w:rsid w:val="0085657E"/>
    <w:rsid w:val="00856BD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8A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00"/>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68"/>
    <w:rsid w:val="008D5432"/>
    <w:rsid w:val="008D54C0"/>
    <w:rsid w:val="008D5558"/>
    <w:rsid w:val="008D5806"/>
    <w:rsid w:val="008D5ED9"/>
    <w:rsid w:val="008D65BE"/>
    <w:rsid w:val="008D7247"/>
    <w:rsid w:val="008D7567"/>
    <w:rsid w:val="008E0EE4"/>
    <w:rsid w:val="008E12BE"/>
    <w:rsid w:val="008E13FD"/>
    <w:rsid w:val="008E15AC"/>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91"/>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B4B"/>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1EB2"/>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6F5"/>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218"/>
    <w:rsid w:val="0099361F"/>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AC"/>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310"/>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7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C7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E3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9CF"/>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B8E"/>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29E"/>
    <w:rsid w:val="00A82D32"/>
    <w:rsid w:val="00A82EAE"/>
    <w:rsid w:val="00A82FC7"/>
    <w:rsid w:val="00A847F9"/>
    <w:rsid w:val="00A84CB7"/>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A3"/>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BC"/>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8B6"/>
    <w:rsid w:val="00B07A43"/>
    <w:rsid w:val="00B07F74"/>
    <w:rsid w:val="00B10618"/>
    <w:rsid w:val="00B10B04"/>
    <w:rsid w:val="00B10CC6"/>
    <w:rsid w:val="00B10CD4"/>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C44"/>
    <w:rsid w:val="00B274E3"/>
    <w:rsid w:val="00B2765C"/>
    <w:rsid w:val="00B27C4B"/>
    <w:rsid w:val="00B3020F"/>
    <w:rsid w:val="00B30563"/>
    <w:rsid w:val="00B3069E"/>
    <w:rsid w:val="00B30A76"/>
    <w:rsid w:val="00B31246"/>
    <w:rsid w:val="00B32295"/>
    <w:rsid w:val="00B33AB5"/>
    <w:rsid w:val="00B3412E"/>
    <w:rsid w:val="00B343E0"/>
    <w:rsid w:val="00B35137"/>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440"/>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59C"/>
    <w:rsid w:val="00B70200"/>
    <w:rsid w:val="00B702D7"/>
    <w:rsid w:val="00B70389"/>
    <w:rsid w:val="00B70E01"/>
    <w:rsid w:val="00B718FA"/>
    <w:rsid w:val="00B72A0B"/>
    <w:rsid w:val="00B72CF0"/>
    <w:rsid w:val="00B72F50"/>
    <w:rsid w:val="00B7380E"/>
    <w:rsid w:val="00B740F6"/>
    <w:rsid w:val="00B74615"/>
    <w:rsid w:val="00B74789"/>
    <w:rsid w:val="00B755B6"/>
    <w:rsid w:val="00B75977"/>
    <w:rsid w:val="00B75A48"/>
    <w:rsid w:val="00B75CC0"/>
    <w:rsid w:val="00B76021"/>
    <w:rsid w:val="00B76FCD"/>
    <w:rsid w:val="00B7764D"/>
    <w:rsid w:val="00B804F8"/>
    <w:rsid w:val="00B80861"/>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2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428"/>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3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3E9"/>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0"/>
    <w:rsid w:val="00C20051"/>
    <w:rsid w:val="00C2021B"/>
    <w:rsid w:val="00C203C7"/>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872"/>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633"/>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1F1"/>
    <w:rsid w:val="00CD44FF"/>
    <w:rsid w:val="00CD46A7"/>
    <w:rsid w:val="00CD47BC"/>
    <w:rsid w:val="00CD4E50"/>
    <w:rsid w:val="00CD57CB"/>
    <w:rsid w:val="00CD64E1"/>
    <w:rsid w:val="00CD66BA"/>
    <w:rsid w:val="00CD68D5"/>
    <w:rsid w:val="00CD699D"/>
    <w:rsid w:val="00CD6BA3"/>
    <w:rsid w:val="00CD70DB"/>
    <w:rsid w:val="00CD7544"/>
    <w:rsid w:val="00CD75B6"/>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6D"/>
    <w:rsid w:val="00CF43F4"/>
    <w:rsid w:val="00CF475F"/>
    <w:rsid w:val="00CF4E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98"/>
    <w:rsid w:val="00D144D8"/>
    <w:rsid w:val="00D14919"/>
    <w:rsid w:val="00D14E25"/>
    <w:rsid w:val="00D15470"/>
    <w:rsid w:val="00D15AE3"/>
    <w:rsid w:val="00D160C4"/>
    <w:rsid w:val="00D165D8"/>
    <w:rsid w:val="00D1724E"/>
    <w:rsid w:val="00D178E8"/>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D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F74"/>
    <w:rsid w:val="00D511E7"/>
    <w:rsid w:val="00D51372"/>
    <w:rsid w:val="00D517ED"/>
    <w:rsid w:val="00D5251C"/>
    <w:rsid w:val="00D52F56"/>
    <w:rsid w:val="00D537B7"/>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56"/>
    <w:rsid w:val="00D774F4"/>
    <w:rsid w:val="00D77687"/>
    <w:rsid w:val="00D77AF6"/>
    <w:rsid w:val="00D804C5"/>
    <w:rsid w:val="00D815E6"/>
    <w:rsid w:val="00D81A28"/>
    <w:rsid w:val="00D81BDE"/>
    <w:rsid w:val="00D8201D"/>
    <w:rsid w:val="00D82043"/>
    <w:rsid w:val="00D826E6"/>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2AA"/>
    <w:rsid w:val="00DC4311"/>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3C9"/>
    <w:rsid w:val="00E105CE"/>
    <w:rsid w:val="00E10712"/>
    <w:rsid w:val="00E10DD1"/>
    <w:rsid w:val="00E1224C"/>
    <w:rsid w:val="00E1254C"/>
    <w:rsid w:val="00E12BDF"/>
    <w:rsid w:val="00E13326"/>
    <w:rsid w:val="00E13D07"/>
    <w:rsid w:val="00E14356"/>
    <w:rsid w:val="00E14961"/>
    <w:rsid w:val="00E14D76"/>
    <w:rsid w:val="00E15183"/>
    <w:rsid w:val="00E15995"/>
    <w:rsid w:val="00E15D6C"/>
    <w:rsid w:val="00E1720B"/>
    <w:rsid w:val="00E203DE"/>
    <w:rsid w:val="00E20971"/>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6D8"/>
    <w:rsid w:val="00E31761"/>
    <w:rsid w:val="00E31812"/>
    <w:rsid w:val="00E31889"/>
    <w:rsid w:val="00E31CE7"/>
    <w:rsid w:val="00E333D5"/>
    <w:rsid w:val="00E3394F"/>
    <w:rsid w:val="00E33A0B"/>
    <w:rsid w:val="00E34A2F"/>
    <w:rsid w:val="00E35A45"/>
    <w:rsid w:val="00E35F7F"/>
    <w:rsid w:val="00E36112"/>
    <w:rsid w:val="00E36392"/>
    <w:rsid w:val="00E3694F"/>
    <w:rsid w:val="00E36B32"/>
    <w:rsid w:val="00E36E4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41"/>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F2F"/>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5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0FB"/>
    <w:rsid w:val="00EF71E6"/>
    <w:rsid w:val="00F0058A"/>
    <w:rsid w:val="00F00630"/>
    <w:rsid w:val="00F00922"/>
    <w:rsid w:val="00F00924"/>
    <w:rsid w:val="00F0161A"/>
    <w:rsid w:val="00F0187E"/>
    <w:rsid w:val="00F01956"/>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2C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8E1"/>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895"/>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15"/>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00"/>
    <w:rsid w:val="00F54E5E"/>
    <w:rsid w:val="00F551DB"/>
    <w:rsid w:val="00F551DF"/>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678"/>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E5"/>
    <w:rsid w:val="00FB5138"/>
    <w:rsid w:val="00FB547F"/>
    <w:rsid w:val="00FB5A71"/>
    <w:rsid w:val="00FB63F6"/>
    <w:rsid w:val="00FB7823"/>
    <w:rsid w:val="00FC05B2"/>
    <w:rsid w:val="00FC08B3"/>
    <w:rsid w:val="00FC09D7"/>
    <w:rsid w:val="00FC0ABE"/>
    <w:rsid w:val="00FC1269"/>
    <w:rsid w:val="00FC22D0"/>
    <w:rsid w:val="00FC3668"/>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7B4"/>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9E9"/>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9F7441"/>
    <w:rsid w:val="01B37585"/>
    <w:rsid w:val="01D55165"/>
    <w:rsid w:val="01DF6BF8"/>
    <w:rsid w:val="01E03DA0"/>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EE927"/>
    <w:rsid w:val="060E5941"/>
    <w:rsid w:val="06110FAF"/>
    <w:rsid w:val="06493CA7"/>
    <w:rsid w:val="064A4B6B"/>
    <w:rsid w:val="065A6178"/>
    <w:rsid w:val="066F1CF3"/>
    <w:rsid w:val="06930BB8"/>
    <w:rsid w:val="07245D42"/>
    <w:rsid w:val="07264C62"/>
    <w:rsid w:val="0779354C"/>
    <w:rsid w:val="07C55751"/>
    <w:rsid w:val="08061376"/>
    <w:rsid w:val="08410597"/>
    <w:rsid w:val="08452D77"/>
    <w:rsid w:val="086401F8"/>
    <w:rsid w:val="08751CAA"/>
    <w:rsid w:val="087E4C40"/>
    <w:rsid w:val="08A871D0"/>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A374A5"/>
    <w:rsid w:val="0AAB7649"/>
    <w:rsid w:val="0ABC5606"/>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54D3D"/>
    <w:rsid w:val="12255233"/>
    <w:rsid w:val="12530213"/>
    <w:rsid w:val="127723A9"/>
    <w:rsid w:val="12862074"/>
    <w:rsid w:val="12883966"/>
    <w:rsid w:val="129E45B4"/>
    <w:rsid w:val="12D81596"/>
    <w:rsid w:val="13072A44"/>
    <w:rsid w:val="135F4BE2"/>
    <w:rsid w:val="13631AD8"/>
    <w:rsid w:val="139B1A0A"/>
    <w:rsid w:val="139D25C7"/>
    <w:rsid w:val="13BF3CE4"/>
    <w:rsid w:val="13C92283"/>
    <w:rsid w:val="141008D8"/>
    <w:rsid w:val="14125FE6"/>
    <w:rsid w:val="146D271E"/>
    <w:rsid w:val="147310E7"/>
    <w:rsid w:val="147C10A3"/>
    <w:rsid w:val="14982588"/>
    <w:rsid w:val="149A5AD9"/>
    <w:rsid w:val="14A7619D"/>
    <w:rsid w:val="150536C3"/>
    <w:rsid w:val="150C1963"/>
    <w:rsid w:val="151447A0"/>
    <w:rsid w:val="154A6454"/>
    <w:rsid w:val="15762120"/>
    <w:rsid w:val="16A8729C"/>
    <w:rsid w:val="16B33777"/>
    <w:rsid w:val="16BC70A7"/>
    <w:rsid w:val="16C6339E"/>
    <w:rsid w:val="1729546F"/>
    <w:rsid w:val="172F2D79"/>
    <w:rsid w:val="17557BEF"/>
    <w:rsid w:val="17D349C1"/>
    <w:rsid w:val="1830729E"/>
    <w:rsid w:val="1870062C"/>
    <w:rsid w:val="18817102"/>
    <w:rsid w:val="18830A15"/>
    <w:rsid w:val="18852B28"/>
    <w:rsid w:val="188B5321"/>
    <w:rsid w:val="18E85CF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1A4B0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1724F3"/>
    <w:rsid w:val="216133FC"/>
    <w:rsid w:val="217D645B"/>
    <w:rsid w:val="21D56769"/>
    <w:rsid w:val="21E52EF3"/>
    <w:rsid w:val="21E97D80"/>
    <w:rsid w:val="21FB5D7B"/>
    <w:rsid w:val="22015E94"/>
    <w:rsid w:val="220B1C3D"/>
    <w:rsid w:val="221D1D20"/>
    <w:rsid w:val="22334A87"/>
    <w:rsid w:val="226D06CE"/>
    <w:rsid w:val="22BE6801"/>
    <w:rsid w:val="233500BF"/>
    <w:rsid w:val="23377FF7"/>
    <w:rsid w:val="236B425F"/>
    <w:rsid w:val="23836192"/>
    <w:rsid w:val="23901F29"/>
    <w:rsid w:val="239C0061"/>
    <w:rsid w:val="23B00D6A"/>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455E0"/>
    <w:rsid w:val="2628662C"/>
    <w:rsid w:val="262D45DE"/>
    <w:rsid w:val="26871DC8"/>
    <w:rsid w:val="26A53EF9"/>
    <w:rsid w:val="26A94201"/>
    <w:rsid w:val="26AC274F"/>
    <w:rsid w:val="27044A29"/>
    <w:rsid w:val="271D34C8"/>
    <w:rsid w:val="276142BF"/>
    <w:rsid w:val="27783712"/>
    <w:rsid w:val="27907362"/>
    <w:rsid w:val="28123DA1"/>
    <w:rsid w:val="28333E1D"/>
    <w:rsid w:val="28454BD6"/>
    <w:rsid w:val="28455253"/>
    <w:rsid w:val="28551971"/>
    <w:rsid w:val="285B1C53"/>
    <w:rsid w:val="289F7086"/>
    <w:rsid w:val="28C32028"/>
    <w:rsid w:val="28C66939"/>
    <w:rsid w:val="28CC490F"/>
    <w:rsid w:val="28DE40AA"/>
    <w:rsid w:val="29345E77"/>
    <w:rsid w:val="294C65AD"/>
    <w:rsid w:val="29806583"/>
    <w:rsid w:val="29817BFA"/>
    <w:rsid w:val="298B3C4C"/>
    <w:rsid w:val="29F26D24"/>
    <w:rsid w:val="2A15033F"/>
    <w:rsid w:val="2A1662C1"/>
    <w:rsid w:val="2A1C7367"/>
    <w:rsid w:val="2A2815FA"/>
    <w:rsid w:val="2A6D6092"/>
    <w:rsid w:val="2A7D76B4"/>
    <w:rsid w:val="2B3F3E85"/>
    <w:rsid w:val="2B437463"/>
    <w:rsid w:val="2B5E0B35"/>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B3D22"/>
    <w:rsid w:val="2E9A3C18"/>
    <w:rsid w:val="2EBB0FEE"/>
    <w:rsid w:val="2EC63002"/>
    <w:rsid w:val="2F0A6B38"/>
    <w:rsid w:val="2F124686"/>
    <w:rsid w:val="2F946CCB"/>
    <w:rsid w:val="2FD25781"/>
    <w:rsid w:val="2FDC745C"/>
    <w:rsid w:val="2FF7D722"/>
    <w:rsid w:val="2FFD7934"/>
    <w:rsid w:val="303C2E81"/>
    <w:rsid w:val="30733ACD"/>
    <w:rsid w:val="308C3862"/>
    <w:rsid w:val="309379D8"/>
    <w:rsid w:val="30A270F7"/>
    <w:rsid w:val="30DF1478"/>
    <w:rsid w:val="30EC586F"/>
    <w:rsid w:val="310402C4"/>
    <w:rsid w:val="314550B7"/>
    <w:rsid w:val="319C6071"/>
    <w:rsid w:val="31AC537E"/>
    <w:rsid w:val="31E3679B"/>
    <w:rsid w:val="31E732FD"/>
    <w:rsid w:val="32517576"/>
    <w:rsid w:val="32AA4DE3"/>
    <w:rsid w:val="32AE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2519D"/>
    <w:rsid w:val="354D7158"/>
    <w:rsid w:val="358D5588"/>
    <w:rsid w:val="363A3B40"/>
    <w:rsid w:val="365302AE"/>
    <w:rsid w:val="36607A0A"/>
    <w:rsid w:val="366E227C"/>
    <w:rsid w:val="366F2E0D"/>
    <w:rsid w:val="367B6A5C"/>
    <w:rsid w:val="36A74ADA"/>
    <w:rsid w:val="36AD60D5"/>
    <w:rsid w:val="36B224F9"/>
    <w:rsid w:val="36EC0CC9"/>
    <w:rsid w:val="373F410B"/>
    <w:rsid w:val="37EE7094"/>
    <w:rsid w:val="37FF0B27"/>
    <w:rsid w:val="38296C89"/>
    <w:rsid w:val="383002EB"/>
    <w:rsid w:val="38586797"/>
    <w:rsid w:val="38BC0149"/>
    <w:rsid w:val="38D87D1C"/>
    <w:rsid w:val="396106E4"/>
    <w:rsid w:val="39636459"/>
    <w:rsid w:val="396B7F6C"/>
    <w:rsid w:val="39B417A9"/>
    <w:rsid w:val="39FC5695"/>
    <w:rsid w:val="3A006D8E"/>
    <w:rsid w:val="3A3651E5"/>
    <w:rsid w:val="3A744481"/>
    <w:rsid w:val="3A8C7BEF"/>
    <w:rsid w:val="3A906246"/>
    <w:rsid w:val="3B2349B7"/>
    <w:rsid w:val="3B616CFF"/>
    <w:rsid w:val="3B6259F6"/>
    <w:rsid w:val="3B976654"/>
    <w:rsid w:val="3BBBA69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A025B"/>
    <w:rsid w:val="4019356B"/>
    <w:rsid w:val="40592157"/>
    <w:rsid w:val="406E1CAE"/>
    <w:rsid w:val="40A0133A"/>
    <w:rsid w:val="40C31A53"/>
    <w:rsid w:val="40FF545D"/>
    <w:rsid w:val="410067C8"/>
    <w:rsid w:val="413B4AA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977AB6"/>
    <w:rsid w:val="43A3342B"/>
    <w:rsid w:val="43B27D8E"/>
    <w:rsid w:val="43C77C27"/>
    <w:rsid w:val="43DE09EE"/>
    <w:rsid w:val="44002FAD"/>
    <w:rsid w:val="449101DD"/>
    <w:rsid w:val="44A91191"/>
    <w:rsid w:val="44DE1391"/>
    <w:rsid w:val="44E623E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C75F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75734"/>
    <w:rsid w:val="4C245A30"/>
    <w:rsid w:val="4C79769B"/>
    <w:rsid w:val="4CB6685F"/>
    <w:rsid w:val="4CC367FE"/>
    <w:rsid w:val="4D077F3C"/>
    <w:rsid w:val="4D123355"/>
    <w:rsid w:val="4D2A3B31"/>
    <w:rsid w:val="4D312C52"/>
    <w:rsid w:val="4D905305"/>
    <w:rsid w:val="4D93478D"/>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1A291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B86552"/>
    <w:rsid w:val="52C207C8"/>
    <w:rsid w:val="52D94AA4"/>
    <w:rsid w:val="52EA3A62"/>
    <w:rsid w:val="52F50BB8"/>
    <w:rsid w:val="53097272"/>
    <w:rsid w:val="53544462"/>
    <w:rsid w:val="5397158E"/>
    <w:rsid w:val="54013861"/>
    <w:rsid w:val="54352A4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82C5A"/>
    <w:rsid w:val="566B6D1E"/>
    <w:rsid w:val="566E38A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8917D2F"/>
    <w:rsid w:val="5894085C"/>
    <w:rsid w:val="589E3B49"/>
    <w:rsid w:val="58AE4F0C"/>
    <w:rsid w:val="58B85899"/>
    <w:rsid w:val="58E363A9"/>
    <w:rsid w:val="595E1678"/>
    <w:rsid w:val="596D5BD4"/>
    <w:rsid w:val="597E3DD8"/>
    <w:rsid w:val="59A26483"/>
    <w:rsid w:val="59F80043"/>
    <w:rsid w:val="5A09252F"/>
    <w:rsid w:val="5A0B2778"/>
    <w:rsid w:val="5A2A7C7B"/>
    <w:rsid w:val="5A3E2560"/>
    <w:rsid w:val="5A5D3B6E"/>
    <w:rsid w:val="5A637A76"/>
    <w:rsid w:val="5A6D33BA"/>
    <w:rsid w:val="5A792B1F"/>
    <w:rsid w:val="5A874767"/>
    <w:rsid w:val="5AA85BE2"/>
    <w:rsid w:val="5AAD6F28"/>
    <w:rsid w:val="5AD63A24"/>
    <w:rsid w:val="5B144C0A"/>
    <w:rsid w:val="5B2E1A1D"/>
    <w:rsid w:val="5B5639C9"/>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9741C"/>
    <w:rsid w:val="5E1834A1"/>
    <w:rsid w:val="5E261785"/>
    <w:rsid w:val="5E4A7017"/>
    <w:rsid w:val="5E552BBA"/>
    <w:rsid w:val="5E611C10"/>
    <w:rsid w:val="5E7A0F3F"/>
    <w:rsid w:val="5EFC7377"/>
    <w:rsid w:val="5F06174D"/>
    <w:rsid w:val="5F3A3602"/>
    <w:rsid w:val="5F45733B"/>
    <w:rsid w:val="5F6277C6"/>
    <w:rsid w:val="5F6D0B1D"/>
    <w:rsid w:val="5F8D0B82"/>
    <w:rsid w:val="5F968556"/>
    <w:rsid w:val="5FCC5339"/>
    <w:rsid w:val="5FE34A5B"/>
    <w:rsid w:val="5FFE1E36"/>
    <w:rsid w:val="60232584"/>
    <w:rsid w:val="60545F6A"/>
    <w:rsid w:val="607330CE"/>
    <w:rsid w:val="60825176"/>
    <w:rsid w:val="60921B4C"/>
    <w:rsid w:val="609F2AC4"/>
    <w:rsid w:val="60FA2EE8"/>
    <w:rsid w:val="60FC0DF8"/>
    <w:rsid w:val="61054A27"/>
    <w:rsid w:val="610A52BC"/>
    <w:rsid w:val="611D2366"/>
    <w:rsid w:val="61421856"/>
    <w:rsid w:val="615227C4"/>
    <w:rsid w:val="61654E3F"/>
    <w:rsid w:val="6182292A"/>
    <w:rsid w:val="619F7F92"/>
    <w:rsid w:val="61F94C26"/>
    <w:rsid w:val="62000E56"/>
    <w:rsid w:val="62055E54"/>
    <w:rsid w:val="624F3E49"/>
    <w:rsid w:val="62632286"/>
    <w:rsid w:val="62885958"/>
    <w:rsid w:val="62F40B65"/>
    <w:rsid w:val="62FC2CFE"/>
    <w:rsid w:val="63024505"/>
    <w:rsid w:val="635600A5"/>
    <w:rsid w:val="635B1DB5"/>
    <w:rsid w:val="6362529D"/>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E3244"/>
    <w:rsid w:val="66016B8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DF4D46"/>
    <w:rsid w:val="67E55852"/>
    <w:rsid w:val="67EB1AB4"/>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40B0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5B47A9"/>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D181C"/>
    <w:rsid w:val="704B4683"/>
    <w:rsid w:val="70565D7A"/>
    <w:rsid w:val="707723D0"/>
    <w:rsid w:val="70F5661B"/>
    <w:rsid w:val="71360107"/>
    <w:rsid w:val="713B688E"/>
    <w:rsid w:val="71743F62"/>
    <w:rsid w:val="71CF1988"/>
    <w:rsid w:val="71D43752"/>
    <w:rsid w:val="71F1796A"/>
    <w:rsid w:val="72154626"/>
    <w:rsid w:val="721E646B"/>
    <w:rsid w:val="72262B5D"/>
    <w:rsid w:val="72283FF7"/>
    <w:rsid w:val="722E7212"/>
    <w:rsid w:val="723A0474"/>
    <w:rsid w:val="725923E4"/>
    <w:rsid w:val="72864BF7"/>
    <w:rsid w:val="729023FC"/>
    <w:rsid w:val="7366631C"/>
    <w:rsid w:val="73BB666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610C6"/>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B58B2"/>
    <w:rsid w:val="7E1E5218"/>
    <w:rsid w:val="7E9A4E1F"/>
    <w:rsid w:val="7EA7723A"/>
    <w:rsid w:val="7EF56FBB"/>
    <w:rsid w:val="7F0768EB"/>
    <w:rsid w:val="7F143BEC"/>
    <w:rsid w:val="7F715AF2"/>
    <w:rsid w:val="7F886E69"/>
    <w:rsid w:val="9CBF4418"/>
    <w:rsid w:val="9FBF0B8A"/>
    <w:rsid w:val="AC1F4E35"/>
    <w:rsid w:val="B3DD2E1E"/>
    <w:rsid w:val="B7E6E635"/>
    <w:rsid w:val="BB7FA927"/>
    <w:rsid w:val="F5FFD31F"/>
    <w:rsid w:val="F79C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link w:val="128"/>
    <w:qFormat/>
    <w:uiPriority w:val="0"/>
    <w:pPr>
      <w:adjustRightInd/>
      <w:spacing w:after="120" w:line="240" w:lineRule="auto"/>
      <w:ind w:left="420" w:leftChars="200" w:firstLine="210"/>
    </w:pPr>
    <w:rPr>
      <w:sz w:val="21"/>
    </w:rPr>
  </w:style>
  <w:style w:type="paragraph" w:styleId="3">
    <w:name w:val="Body Text Indent"/>
    <w:basedOn w:val="1"/>
    <w:next w:val="4"/>
    <w:link w:val="269"/>
    <w:qFormat/>
    <w:uiPriority w:val="0"/>
    <w:pPr>
      <w:spacing w:line="480" w:lineRule="exact"/>
      <w:ind w:firstLine="480" w:firstLineChars="200"/>
    </w:pPr>
    <w:rPr>
      <w:rFonts w:ascii="宋体" w:hAnsi="宋体"/>
      <w:sz w:val="24"/>
    </w:rPr>
  </w:style>
  <w:style w:type="paragraph" w:styleId="4">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8"/>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4"/>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4"/>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3"/>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62"/>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50"/>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4"/>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20"/>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8"/>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6"/>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1"/>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3"/>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5"/>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9"/>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basedOn w:val="70"/>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6"/>
    <w:next w:val="8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6"/>
    <w:next w:val="8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basedOn w:val="70"/>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正文"/>
    <w:basedOn w:val="1"/>
    <w:qFormat/>
    <w:uiPriority w:val="0"/>
    <w:pPr>
      <w:widowControl/>
      <w:ind w:firstLine="200" w:firstLineChars="200"/>
      <w:jc w:val="left"/>
    </w:pPr>
  </w:style>
  <w:style w:type="paragraph" w:customStyle="1" w:styleId="967">
    <w:name w:val="正文缩进(ALT+Z)"/>
    <w:basedOn w:val="1"/>
    <w:qFormat/>
    <w:uiPriority w:val="0"/>
    <w:pPr>
      <w:widowControl/>
      <w:spacing w:after="200"/>
      <w:jc w:val="left"/>
    </w:pPr>
    <w:rPr>
      <w:rFonts w:ascii="Calibri" w:hAnsi="Calibri"/>
      <w:kern w:val="0"/>
    </w:rPr>
  </w:style>
  <w:style w:type="paragraph" w:customStyle="1" w:styleId="968">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69">
    <w:name w:val="A_正文"/>
    <w:basedOn w:val="35"/>
    <w:qFormat/>
    <w:uiPriority w:val="0"/>
    <w:pPr>
      <w:topLinePunct/>
      <w:snapToGrid w:val="0"/>
      <w:spacing w:before="120" w:beforeLines="50" w:after="120" w:afterLines="50" w:line="600" w:lineRule="exact"/>
      <w:ind w:firstLine="600" w:firstLineChars="200"/>
    </w:pPr>
    <w:rPr>
      <w:rFonts w:ascii="Times New Roman" w:hAnsi="Times New Roman" w:eastAsia="仿宋" w:cs="仿宋"/>
      <w:sz w:val="30"/>
      <w:szCs w:val="30"/>
    </w:rPr>
  </w:style>
  <w:style w:type="paragraph" w:customStyle="1" w:styleId="970">
    <w:name w:val="A_正文标题"/>
    <w:basedOn w:val="35"/>
    <w:qFormat/>
    <w:uiPriority w:val="0"/>
    <w:pPr>
      <w:numPr>
        <w:ilvl w:val="0"/>
        <w:numId w:val="1"/>
      </w:numPr>
      <w:tabs>
        <w:tab w:val="left" w:pos="1276"/>
        <w:tab w:val="left" w:pos="1560"/>
      </w:tabs>
      <w:snapToGrid w:val="0"/>
      <w:spacing w:before="120" w:beforeLines="50" w:after="120" w:afterLines="50" w:line="600" w:lineRule="exact"/>
      <w:jc w:val="left"/>
    </w:pPr>
    <w:rPr>
      <w:rFonts w:ascii="Times New Roman" w:hAnsi="Times New Roman" w:eastAsia="仿宋" w:cs="仿宋"/>
      <w:b/>
      <w:sz w:val="30"/>
      <w:szCs w:val="30"/>
    </w:rPr>
  </w:style>
  <w:style w:type="paragraph" w:customStyle="1" w:styleId="971">
    <w:name w:val="正文首行缩进 2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30"/>
      <w:szCs w:val="22"/>
      <w:lang w:val="en-US" w:eastAsia="zh-CN" w:bidi="ar-SA"/>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15700</Words>
  <Characters>16852</Characters>
  <Lines>464</Lines>
  <Paragraphs>130</Paragraphs>
  <TotalTime>9</TotalTime>
  <ScaleCrop>false</ScaleCrop>
  <LinksUpToDate>false</LinksUpToDate>
  <CharactersWithSpaces>17174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阿葛</cp:lastModifiedBy>
  <cp:lastPrinted>2024-11-27T09:37:00Z</cp:lastPrinted>
  <dcterms:modified xsi:type="dcterms:W3CDTF">2024-12-24T06:17:59Z</dcterms:modified>
  <dc:title>杭州市市民卡扩大发卡工程</dc:title>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9B671668955849C39E2F63BFC1267448_13</vt:lpwstr>
  </property>
</Properties>
</file>